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UZ/2/17/2020 ze dne </w:t>
      </w:r>
      <w:r w:rsidR="00794A4C" w:rsidRPr="00794A4C">
        <w:rPr>
          <w:szCs w:val="24"/>
        </w:rPr>
        <w:br/>
        <w:t xml:space="preserve">21. 12. 2020 schválilo rozpočet Olomouckého kraje na rok 2021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2021.</w:t>
      </w:r>
    </w:p>
    <w:p w:rsidR="00794A4C" w:rsidRPr="006A38AE" w:rsidRDefault="006A38AE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6A38AE">
        <w:rPr>
          <w:rFonts w:ascii="Arial" w:hAnsi="Arial" w:cs="Arial"/>
          <w:b/>
          <w:sz w:val="24"/>
          <w:szCs w:val="24"/>
        </w:rPr>
        <w:t>Hospodaření Olomouckého kraje k 30. 6. 2021 skončilo kladným saldem, kdy ve skutečnosti příjmy převyšují výdaje o 2 183 536 tis. Kč. Je to zapříčiněno zejména přijatými transfery</w:t>
      </w:r>
      <w:r w:rsidR="007B0118">
        <w:rPr>
          <w:rFonts w:ascii="Arial" w:hAnsi="Arial" w:cs="Arial"/>
          <w:b/>
          <w:sz w:val="24"/>
          <w:szCs w:val="24"/>
        </w:rPr>
        <w:t xml:space="preserve"> ve výši </w:t>
      </w:r>
      <w:r w:rsidRPr="006A38AE">
        <w:rPr>
          <w:rFonts w:ascii="Arial" w:hAnsi="Arial" w:cs="Arial"/>
          <w:b/>
          <w:sz w:val="24"/>
          <w:szCs w:val="24"/>
        </w:rPr>
        <w:t>9 437 508 tis. Kč</w:t>
      </w:r>
      <w:r w:rsidR="007B0118">
        <w:rPr>
          <w:rFonts w:ascii="Arial" w:hAnsi="Arial" w:cs="Arial"/>
          <w:b/>
          <w:sz w:val="24"/>
          <w:szCs w:val="24"/>
        </w:rPr>
        <w:t>,</w:t>
      </w:r>
      <w:r w:rsidRPr="006A38AE">
        <w:rPr>
          <w:rFonts w:ascii="Arial" w:hAnsi="Arial" w:cs="Arial"/>
          <w:b/>
          <w:sz w:val="24"/>
          <w:szCs w:val="24"/>
        </w:rPr>
        <w:t xml:space="preserve"> přičemž vyplaceno bylo 7 284 810 tis. Kč. Celkové příjmy Olomouckého kraje jsou plněny </w:t>
      </w:r>
      <w:r w:rsidR="007B0118">
        <w:rPr>
          <w:rFonts w:ascii="Arial" w:hAnsi="Arial" w:cs="Arial"/>
          <w:b/>
          <w:sz w:val="24"/>
          <w:szCs w:val="24"/>
        </w:rPr>
        <w:t>na</w:t>
      </w:r>
      <w:r w:rsidRPr="006A38AE">
        <w:rPr>
          <w:rFonts w:ascii="Arial" w:hAnsi="Arial" w:cs="Arial"/>
          <w:b/>
          <w:sz w:val="24"/>
          <w:szCs w:val="24"/>
        </w:rPr>
        <w:t> 66,4 %.</w:t>
      </w:r>
      <w:r w:rsidR="00BC050D">
        <w:rPr>
          <w:rFonts w:ascii="Arial" w:hAnsi="Arial" w:cs="Arial"/>
          <w:b/>
          <w:sz w:val="24"/>
          <w:szCs w:val="24"/>
        </w:rPr>
        <w:t xml:space="preserve"> Celkový objem výdajů koresponduje s polovinou roku a činí 53,7 %.</w:t>
      </w:r>
    </w:p>
    <w:p w:rsidR="007B0118" w:rsidRDefault="007B0118" w:rsidP="007B0118">
      <w:pPr>
        <w:jc w:val="both"/>
        <w:rPr>
          <w:rFonts w:ascii="Arial" w:hAnsi="Arial" w:cs="Arial"/>
          <w:sz w:val="24"/>
          <w:szCs w:val="24"/>
        </w:rPr>
      </w:pPr>
    </w:p>
    <w:p w:rsidR="007B0118" w:rsidRDefault="007B0118" w:rsidP="007B0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meziroční srovnání z rokem 2020 celkové daňové příjmy Olomouckého kraje vzrostly </w:t>
      </w:r>
      <w:r>
        <w:rPr>
          <w:rFonts w:ascii="Arial" w:hAnsi="Arial" w:cs="Arial"/>
          <w:sz w:val="24"/>
          <w:szCs w:val="24"/>
        </w:rPr>
        <w:br/>
        <w:t>o 14,2 %.</w:t>
      </w:r>
    </w:p>
    <w:p w:rsidR="00565948" w:rsidRDefault="00565948" w:rsidP="00565948">
      <w:pPr>
        <w:jc w:val="both"/>
        <w:rPr>
          <w:rFonts w:ascii="Arial" w:hAnsi="Arial" w:cs="Arial"/>
          <w:sz w:val="24"/>
          <w:szCs w:val="24"/>
        </w:rPr>
      </w:pPr>
    </w:p>
    <w:p w:rsidR="00565948" w:rsidRPr="00787EAE" w:rsidRDefault="00565948" w:rsidP="0056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příspěvku</w:t>
      </w:r>
      <w:r w:rsidRPr="00787EAE">
        <w:rPr>
          <w:rFonts w:ascii="Arial" w:hAnsi="Arial" w:cs="Arial"/>
          <w:sz w:val="24"/>
          <w:szCs w:val="24"/>
        </w:rPr>
        <w:t xml:space="preserve"> příspěvkovým organizacím</w:t>
      </w:r>
      <w:r>
        <w:rPr>
          <w:rFonts w:ascii="Arial" w:hAnsi="Arial" w:cs="Arial"/>
          <w:sz w:val="24"/>
          <w:szCs w:val="24"/>
        </w:rPr>
        <w:t xml:space="preserve"> k 30. 6. 2021 činí 52,7 %</w:t>
      </w:r>
      <w:r w:rsidRPr="00787EAE">
        <w:rPr>
          <w:rFonts w:ascii="Arial" w:hAnsi="Arial" w:cs="Arial"/>
          <w:sz w:val="24"/>
          <w:szCs w:val="24"/>
        </w:rPr>
        <w:t>.</w:t>
      </w:r>
    </w:p>
    <w:p w:rsidR="006A38AE" w:rsidRPr="00794A4C" w:rsidRDefault="006A38AE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rámci schváleného rozpočtu na straně příjmů Olomouckého kraje došlo k podstatné změně v daňových příjmech Olomouckého kraje, kdy byl schválený rozpočet snížen o částku 128 mil. Kč a to na základě predikce MF. </w:t>
      </w:r>
      <w:r w:rsidR="0035170A">
        <w:rPr>
          <w:rFonts w:ascii="Arial" w:hAnsi="Arial" w:cs="Arial"/>
          <w:sz w:val="24"/>
          <w:szCs w:val="24"/>
        </w:rPr>
        <w:t>Další snížení daňových příjmů Olomo</w:t>
      </w:r>
      <w:r w:rsidR="00AC309A">
        <w:rPr>
          <w:rFonts w:ascii="Arial" w:hAnsi="Arial" w:cs="Arial"/>
          <w:sz w:val="24"/>
          <w:szCs w:val="24"/>
        </w:rPr>
        <w:t>uckého kraje bylo</w:t>
      </w:r>
      <w:r w:rsidR="0035170A">
        <w:rPr>
          <w:rFonts w:ascii="Arial" w:hAnsi="Arial" w:cs="Arial"/>
          <w:sz w:val="24"/>
          <w:szCs w:val="24"/>
        </w:rPr>
        <w:t xml:space="preserve"> schváleno v Radě Olomouckého kraje dne 26. 7. 2021 o částku 150 mil. Kč.</w:t>
      </w:r>
    </w:p>
    <w:p w:rsid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930725" w:rsidRPr="00794A4C" w:rsidRDefault="00930725" w:rsidP="00930725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kraje se skutečností k 3</w:t>
      </w:r>
      <w:r>
        <w:rPr>
          <w:rFonts w:ascii="Arial" w:hAnsi="Arial" w:cs="Arial"/>
          <w:sz w:val="24"/>
          <w:szCs w:val="24"/>
        </w:rPr>
        <w:t>0</w:t>
      </w:r>
      <w:r w:rsidRPr="00794A4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6</w:t>
      </w:r>
      <w:r w:rsidRPr="00794A4C">
        <w:rPr>
          <w:rFonts w:ascii="Arial" w:hAnsi="Arial" w:cs="Arial"/>
          <w:sz w:val="24"/>
          <w:szCs w:val="24"/>
        </w:rPr>
        <w:t xml:space="preserve">. 2020. </w:t>
      </w:r>
    </w:p>
    <w:p w:rsidR="00930725" w:rsidRDefault="00930725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216109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216109">
        <w:rPr>
          <w:rFonts w:ascii="Arial" w:hAnsi="Arial" w:cs="Arial"/>
          <w:sz w:val="24"/>
          <w:szCs w:val="24"/>
        </w:rPr>
        <w:t>U nedaňových příjmů došlo v porovnání se stejným obdobím roku 2020 k</w:t>
      </w:r>
      <w:r w:rsidR="005D4965">
        <w:rPr>
          <w:rFonts w:ascii="Arial" w:hAnsi="Arial" w:cs="Arial"/>
          <w:sz w:val="24"/>
          <w:szCs w:val="24"/>
        </w:rPr>
        <w:t> </w:t>
      </w:r>
      <w:r w:rsidRPr="00216109">
        <w:rPr>
          <w:rFonts w:ascii="Arial" w:hAnsi="Arial" w:cs="Arial"/>
          <w:sz w:val="24"/>
          <w:szCs w:val="24"/>
        </w:rPr>
        <w:t>nárůstu</w:t>
      </w:r>
      <w:r w:rsidR="005D4965">
        <w:rPr>
          <w:rFonts w:ascii="Arial" w:hAnsi="Arial" w:cs="Arial"/>
          <w:sz w:val="24"/>
          <w:szCs w:val="24"/>
        </w:rPr>
        <w:t xml:space="preserve"> </w:t>
      </w:r>
      <w:r w:rsidRPr="00216109">
        <w:rPr>
          <w:rFonts w:ascii="Arial" w:hAnsi="Arial" w:cs="Arial"/>
          <w:sz w:val="24"/>
          <w:szCs w:val="24"/>
        </w:rPr>
        <w:t xml:space="preserve">u odvodů příspěvkových organizací a finančního vypořádání, celkem nárůst činí </w:t>
      </w:r>
      <w:r w:rsidR="00930725">
        <w:rPr>
          <w:rFonts w:ascii="Arial" w:hAnsi="Arial" w:cs="Arial"/>
          <w:sz w:val="24"/>
          <w:szCs w:val="24"/>
        </w:rPr>
        <w:t>1</w:t>
      </w:r>
      <w:r w:rsidR="00321A9B">
        <w:rPr>
          <w:rFonts w:ascii="Arial" w:hAnsi="Arial" w:cs="Arial"/>
          <w:sz w:val="24"/>
          <w:szCs w:val="24"/>
        </w:rPr>
        <w:t>5</w:t>
      </w:r>
      <w:r w:rsidRPr="00216109">
        <w:rPr>
          <w:rFonts w:ascii="Arial" w:hAnsi="Arial" w:cs="Arial"/>
          <w:sz w:val="24"/>
          <w:szCs w:val="24"/>
        </w:rPr>
        <w:t>,</w:t>
      </w:r>
      <w:r w:rsidR="00216109" w:rsidRPr="00216109">
        <w:rPr>
          <w:rFonts w:ascii="Arial" w:hAnsi="Arial" w:cs="Arial"/>
          <w:sz w:val="24"/>
          <w:szCs w:val="24"/>
        </w:rPr>
        <w:t>2</w:t>
      </w:r>
      <w:r w:rsidRPr="00216109">
        <w:rPr>
          <w:rFonts w:ascii="Arial" w:hAnsi="Arial" w:cs="Arial"/>
          <w:sz w:val="24"/>
          <w:szCs w:val="24"/>
        </w:rPr>
        <w:t xml:space="preserve">%. Odvod z fondu investic je stanovován s ohledem na výši účetních odpisů, které meziročně rostou z důvodu zvyšování hodnoty majetku (nové investice, technické zhodnocení). Finanční vypořádání zahrnuje vratky z veřejnoprávních smluv a vratky od příspěvkových organizací. </w:t>
      </w:r>
    </w:p>
    <w:p w:rsidR="00794A4C" w:rsidRPr="00020CB3" w:rsidRDefault="00794A4C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794A4C" w:rsidRPr="00DE18E8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DE18E8">
        <w:rPr>
          <w:rFonts w:ascii="Arial" w:hAnsi="Arial" w:cs="Arial"/>
          <w:sz w:val="24"/>
          <w:szCs w:val="24"/>
        </w:rPr>
        <w:t xml:space="preserve">V oblasti </w:t>
      </w:r>
      <w:r w:rsidR="005D4965">
        <w:rPr>
          <w:rFonts w:ascii="Arial" w:hAnsi="Arial" w:cs="Arial"/>
          <w:sz w:val="24"/>
          <w:szCs w:val="24"/>
        </w:rPr>
        <w:t>přijatých transferů</w:t>
      </w:r>
      <w:r w:rsidRPr="00DE18E8">
        <w:rPr>
          <w:rFonts w:ascii="Arial" w:hAnsi="Arial" w:cs="Arial"/>
          <w:sz w:val="24"/>
          <w:szCs w:val="24"/>
        </w:rPr>
        <w:t xml:space="preserve"> došlo v meziročním srovnání u přijatých investičních transferů k nárůstu o 1</w:t>
      </w:r>
      <w:r w:rsidR="00216109" w:rsidRPr="00DE18E8">
        <w:rPr>
          <w:rFonts w:ascii="Arial" w:hAnsi="Arial" w:cs="Arial"/>
          <w:sz w:val="24"/>
          <w:szCs w:val="24"/>
        </w:rPr>
        <w:t>7</w:t>
      </w:r>
      <w:r w:rsidRPr="00DE18E8">
        <w:rPr>
          <w:rFonts w:ascii="Arial" w:hAnsi="Arial" w:cs="Arial"/>
          <w:sz w:val="24"/>
          <w:szCs w:val="24"/>
        </w:rPr>
        <w:t>,</w:t>
      </w:r>
      <w:r w:rsidR="00216109" w:rsidRPr="00DE18E8">
        <w:rPr>
          <w:rFonts w:ascii="Arial" w:hAnsi="Arial" w:cs="Arial"/>
          <w:sz w:val="24"/>
          <w:szCs w:val="24"/>
        </w:rPr>
        <w:t>6</w:t>
      </w:r>
      <w:r w:rsidRPr="00DE18E8">
        <w:rPr>
          <w:rFonts w:ascii="Arial" w:hAnsi="Arial" w:cs="Arial"/>
          <w:sz w:val="24"/>
          <w:szCs w:val="24"/>
        </w:rPr>
        <w:t>%, jedná se o přijaté transfery z Ministerstva pro místní rozvoj a rovněž ve stejné oblasti účelových dotací za příjem z kotlíkových dotací pro Olomoucký kraj.</w:t>
      </w:r>
      <w:r w:rsidR="00216109" w:rsidRPr="00DE18E8">
        <w:rPr>
          <w:rFonts w:ascii="Arial" w:hAnsi="Arial" w:cs="Arial"/>
          <w:sz w:val="24"/>
          <w:szCs w:val="24"/>
        </w:rPr>
        <w:t xml:space="preserve"> Z velké části </w:t>
      </w:r>
      <w:r w:rsidR="00DE18E8" w:rsidRPr="00DE18E8">
        <w:rPr>
          <w:rFonts w:ascii="Arial" w:hAnsi="Arial" w:cs="Arial"/>
          <w:sz w:val="24"/>
          <w:szCs w:val="24"/>
        </w:rPr>
        <w:t>je zde především nárůst přijatého investičního transferu</w:t>
      </w:r>
      <w:r w:rsidR="00930725">
        <w:rPr>
          <w:rFonts w:ascii="Arial" w:hAnsi="Arial" w:cs="Arial"/>
          <w:sz w:val="24"/>
          <w:szCs w:val="24"/>
        </w:rPr>
        <w:t xml:space="preserve"> ve výši 207 mil. Kč</w:t>
      </w:r>
      <w:r w:rsidR="00DE18E8" w:rsidRPr="00DE18E8">
        <w:rPr>
          <w:rFonts w:ascii="Arial" w:hAnsi="Arial" w:cs="Arial"/>
          <w:sz w:val="24"/>
          <w:szCs w:val="24"/>
        </w:rPr>
        <w:t xml:space="preserve"> ze Státního fondu dopravní infrastruktury pro Správu silnic Olomouckého kraje. </w:t>
      </w:r>
      <w:r w:rsidRPr="00DE18E8">
        <w:rPr>
          <w:rFonts w:ascii="Arial" w:hAnsi="Arial" w:cs="Arial"/>
          <w:sz w:val="24"/>
          <w:szCs w:val="24"/>
        </w:rPr>
        <w:t xml:space="preserve"> </w:t>
      </w:r>
    </w:p>
    <w:p w:rsidR="00794A4C" w:rsidRPr="00020CB3" w:rsidRDefault="00794A4C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794A4C" w:rsidRPr="00DE18E8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DE18E8">
        <w:rPr>
          <w:rFonts w:ascii="Arial" w:hAnsi="Arial" w:cs="Arial"/>
          <w:sz w:val="24"/>
          <w:szCs w:val="24"/>
        </w:rPr>
        <w:t>V rámci výdajové stránky rozpočtu došlo v meziroční srovnání k poklesu vyplacených</w:t>
      </w:r>
      <w:r w:rsidR="00DE18E8" w:rsidRPr="00DE18E8">
        <w:rPr>
          <w:rFonts w:ascii="Arial" w:hAnsi="Arial" w:cs="Arial"/>
          <w:sz w:val="24"/>
          <w:szCs w:val="24"/>
        </w:rPr>
        <w:t xml:space="preserve"> </w:t>
      </w:r>
      <w:r w:rsidR="006A38AE">
        <w:rPr>
          <w:rFonts w:ascii="Arial" w:hAnsi="Arial" w:cs="Arial"/>
          <w:sz w:val="24"/>
          <w:szCs w:val="24"/>
        </w:rPr>
        <w:t>investičních (kapitálových výdajů)</w:t>
      </w:r>
      <w:r w:rsidRPr="00DE18E8">
        <w:rPr>
          <w:rFonts w:ascii="Arial" w:hAnsi="Arial" w:cs="Arial"/>
          <w:sz w:val="24"/>
          <w:szCs w:val="24"/>
        </w:rPr>
        <w:t xml:space="preserve"> dotačních titulů/program o</w:t>
      </w:r>
      <w:r w:rsidR="00DE18E8" w:rsidRPr="00DE18E8">
        <w:rPr>
          <w:rFonts w:ascii="Arial" w:hAnsi="Arial" w:cs="Arial"/>
          <w:sz w:val="24"/>
          <w:szCs w:val="24"/>
        </w:rPr>
        <w:t xml:space="preserve"> cca</w:t>
      </w:r>
      <w:r w:rsidRPr="00DE18E8">
        <w:rPr>
          <w:rFonts w:ascii="Arial" w:hAnsi="Arial" w:cs="Arial"/>
          <w:sz w:val="24"/>
          <w:szCs w:val="24"/>
        </w:rPr>
        <w:t xml:space="preserve"> </w:t>
      </w:r>
      <w:r w:rsidR="00DE18E8" w:rsidRPr="00DE18E8">
        <w:rPr>
          <w:rFonts w:ascii="Arial" w:hAnsi="Arial" w:cs="Arial"/>
          <w:sz w:val="24"/>
          <w:szCs w:val="24"/>
        </w:rPr>
        <w:t>52</w:t>
      </w:r>
      <w:r w:rsidRPr="00DE18E8">
        <w:rPr>
          <w:rFonts w:ascii="Arial" w:hAnsi="Arial" w:cs="Arial"/>
          <w:sz w:val="24"/>
          <w:szCs w:val="24"/>
        </w:rPr>
        <w:t>%</w:t>
      </w:r>
      <w:r w:rsidR="00DE18E8" w:rsidRPr="00DE18E8">
        <w:rPr>
          <w:rFonts w:ascii="Arial" w:hAnsi="Arial" w:cs="Arial"/>
          <w:sz w:val="24"/>
          <w:szCs w:val="24"/>
        </w:rPr>
        <w:t xml:space="preserve"> oproti roku 2020</w:t>
      </w:r>
      <w:r w:rsidRPr="00DE18E8">
        <w:rPr>
          <w:rFonts w:ascii="Arial" w:hAnsi="Arial" w:cs="Arial"/>
          <w:sz w:val="24"/>
          <w:szCs w:val="24"/>
        </w:rPr>
        <w:t xml:space="preserve">, obecně u </w:t>
      </w:r>
      <w:r w:rsidR="00DE18E8" w:rsidRPr="00DE18E8">
        <w:rPr>
          <w:rFonts w:ascii="Arial" w:hAnsi="Arial" w:cs="Arial"/>
          <w:sz w:val="24"/>
          <w:szCs w:val="24"/>
        </w:rPr>
        <w:t xml:space="preserve">běžných </w:t>
      </w:r>
      <w:r w:rsidRPr="00DE18E8">
        <w:rPr>
          <w:rFonts w:ascii="Arial" w:hAnsi="Arial" w:cs="Arial"/>
          <w:sz w:val="24"/>
          <w:szCs w:val="24"/>
        </w:rPr>
        <w:t xml:space="preserve">výdajů jako takových došlo k navýšení v porovnání se stejným obdobím roku 2020 o </w:t>
      </w:r>
      <w:r w:rsidR="00DE18E8" w:rsidRPr="00DE18E8">
        <w:rPr>
          <w:rFonts w:ascii="Arial" w:hAnsi="Arial" w:cs="Arial"/>
          <w:sz w:val="24"/>
          <w:szCs w:val="24"/>
        </w:rPr>
        <w:t>10</w:t>
      </w:r>
      <w:r w:rsidRPr="00DE18E8">
        <w:rPr>
          <w:rFonts w:ascii="Arial" w:hAnsi="Arial" w:cs="Arial"/>
          <w:sz w:val="24"/>
          <w:szCs w:val="24"/>
        </w:rPr>
        <w:t xml:space="preserve">,6%. </w:t>
      </w:r>
    </w:p>
    <w:p w:rsidR="00794A4C" w:rsidRPr="00020CB3" w:rsidRDefault="00794A4C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8AE" w:rsidRPr="00794A4C" w:rsidRDefault="006A38AE" w:rsidP="006A38AE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lastRenderedPageBreak/>
        <w:t xml:space="preserve">Nově je od roku 2021 přidána příloha č. 1 – Bilance Olomouckého kraje (bez konsolidace) v členění dle následujícího: </w:t>
      </w:r>
    </w:p>
    <w:p w:rsidR="006A38AE" w:rsidRPr="00794A4C" w:rsidRDefault="006A38AE" w:rsidP="006A38AE">
      <w:pPr>
        <w:jc w:val="both"/>
        <w:rPr>
          <w:rFonts w:ascii="Arial" w:hAnsi="Arial" w:cs="Arial"/>
          <w:sz w:val="24"/>
          <w:szCs w:val="24"/>
        </w:rPr>
      </w:pPr>
    </w:p>
    <w:p w:rsidR="006A38AE" w:rsidRPr="00794A4C" w:rsidRDefault="006A38AE" w:rsidP="006A38AE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Příjmy Olomouckého kraje – z toho je zde vyčíslen vlastní rozpočet a dále fondy a účelové dotace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Daňové příjmy – z toho jsou vyčíslené daňové příjmy, správní poplatky, poplatky za znečišťování ovzduší a poplatek za odebrané množství podzemní vody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Nedaňové příjmy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Kapitálové příjmy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Přijaté transfery – v členění dle neinvestičních a investičních transferů</w:t>
      </w:r>
    </w:p>
    <w:p w:rsidR="006A38AE" w:rsidRPr="00794A4C" w:rsidRDefault="006A38AE" w:rsidP="006A38AE">
      <w:pPr>
        <w:pStyle w:val="Odstavecseseznamem"/>
        <w:ind w:left="1069"/>
        <w:jc w:val="both"/>
        <w:rPr>
          <w:rFonts w:ascii="Arial" w:hAnsi="Arial" w:cs="Arial"/>
          <w:sz w:val="24"/>
          <w:szCs w:val="24"/>
        </w:rPr>
      </w:pPr>
    </w:p>
    <w:p w:rsidR="006A38AE" w:rsidRPr="00794A4C" w:rsidRDefault="006A38AE" w:rsidP="006A38AE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Výdaje Olomouckého kraje – z toho vyčíslen vlastní rozpočet a fondy a účelové dotace</w:t>
      </w:r>
    </w:p>
    <w:p w:rsidR="006A38AE" w:rsidRPr="00794A4C" w:rsidRDefault="006A38AE" w:rsidP="006A38A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Běžné výdaje – členěné na: dotační programy a tituly, příspěvkové organizace, KIDSOK – dopravní obslužnost, platy a ostatní výdaje, běžné výdaje a ostatní dopočet</w:t>
      </w:r>
    </w:p>
    <w:p w:rsidR="006A38AE" w:rsidRPr="00794A4C" w:rsidRDefault="006A38AE" w:rsidP="006A38A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Kapitálové výdaje </w:t>
      </w:r>
    </w:p>
    <w:p w:rsidR="006A38AE" w:rsidRPr="00794A4C" w:rsidRDefault="006A38AE" w:rsidP="006A38AE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6A38AE" w:rsidRPr="00794A4C" w:rsidRDefault="006A38AE" w:rsidP="006A38AE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Financování – zde se to rovná celkovému součtu za třídu 8 rozpočtové skladby. Detailní financování je uvedeno v příloze č. 2. </w:t>
      </w: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1F484B" w:rsidP="001F484B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DZ_p</w:t>
      </w:r>
      <w:r w:rsidR="002614EA" w:rsidRPr="002614EA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0</w:t>
      </w:r>
      <w:r w:rsidR="002614EA" w:rsidRPr="002614EA">
        <w:rPr>
          <w:rFonts w:ascii="Arial" w:hAnsi="Arial" w:cs="Arial"/>
        </w:rPr>
        <w:t>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35170A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35170A">
        <w:rPr>
          <w:rFonts w:ascii="Arial" w:hAnsi="Arial" w:cs="Arial"/>
          <w:sz w:val="24"/>
          <w:szCs w:val="24"/>
        </w:rPr>
        <w:t>6</w:t>
      </w:r>
      <w:r w:rsidRPr="002614EA">
        <w:rPr>
          <w:rFonts w:ascii="Arial" w:hAnsi="Arial" w:cs="Arial"/>
          <w:sz w:val="24"/>
          <w:szCs w:val="24"/>
        </w:rPr>
        <w:t>. 2021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1F484B" w:rsidP="001F484B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DZ_p</w:t>
      </w:r>
      <w:r w:rsidR="002614EA" w:rsidRPr="002614EA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0</w:t>
      </w:r>
      <w:r w:rsidR="002614EA" w:rsidRPr="002614EA">
        <w:rPr>
          <w:rFonts w:ascii="Arial" w:hAnsi="Arial" w:cs="Arial"/>
        </w:rPr>
        <w:t>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35170A">
        <w:rPr>
          <w:rFonts w:ascii="Arial" w:hAnsi="Arial" w:cs="Arial"/>
          <w:sz w:val="24"/>
          <w:szCs w:val="24"/>
        </w:rPr>
        <w:t>0. 6.</w:t>
      </w:r>
      <w:r w:rsidRPr="002614EA">
        <w:rPr>
          <w:rFonts w:ascii="Arial" w:hAnsi="Arial" w:cs="Arial"/>
          <w:sz w:val="24"/>
          <w:szCs w:val="24"/>
        </w:rPr>
        <w:t xml:space="preserve"> 2021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B5A3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1F7687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0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0E4423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21E82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E10A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21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</w:t>
    </w:r>
    <w:r w:rsidR="001F7687">
      <w:rPr>
        <w:rFonts w:ascii="Arial" w:hAnsi="Arial" w:cs="Arial"/>
        <w:i/>
      </w:rPr>
      <w:t>30</w:t>
    </w:r>
    <w:r w:rsidR="002614EA">
      <w:rPr>
        <w:rFonts w:ascii="Arial" w:hAnsi="Arial" w:cs="Arial"/>
        <w:i/>
      </w:rPr>
      <w:t xml:space="preserve">. </w:t>
    </w:r>
    <w:r w:rsidR="001F7687">
      <w:rPr>
        <w:rFonts w:ascii="Arial" w:hAnsi="Arial" w:cs="Arial"/>
        <w:i/>
      </w:rPr>
      <w:t>6</w:t>
    </w:r>
    <w:r w:rsidR="002614EA">
      <w:rPr>
        <w:rFonts w:ascii="Arial" w:hAnsi="Arial" w:cs="Arial"/>
        <w:i/>
      </w:rPr>
      <w:t>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F5917"/>
    <w:multiLevelType w:val="hybridMultilevel"/>
    <w:tmpl w:val="06ECFAFE"/>
    <w:lvl w:ilvl="0" w:tplc="F18AF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5804"/>
    <w:multiLevelType w:val="hybridMultilevel"/>
    <w:tmpl w:val="59F0BF5C"/>
    <w:lvl w:ilvl="0" w:tplc="6CF6A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0CB3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0E4423"/>
    <w:rsid w:val="00102FF7"/>
    <w:rsid w:val="00107A2A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84B"/>
    <w:rsid w:val="001F4EBC"/>
    <w:rsid w:val="001F4F56"/>
    <w:rsid w:val="001F5C04"/>
    <w:rsid w:val="001F6833"/>
    <w:rsid w:val="001F7687"/>
    <w:rsid w:val="001F7A56"/>
    <w:rsid w:val="00200D36"/>
    <w:rsid w:val="00201D75"/>
    <w:rsid w:val="00207BFF"/>
    <w:rsid w:val="00215F7E"/>
    <w:rsid w:val="00216109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1A9B"/>
    <w:rsid w:val="003229E9"/>
    <w:rsid w:val="00324A3A"/>
    <w:rsid w:val="00330339"/>
    <w:rsid w:val="00335FBE"/>
    <w:rsid w:val="00337820"/>
    <w:rsid w:val="00340ED0"/>
    <w:rsid w:val="003448D1"/>
    <w:rsid w:val="003500CC"/>
    <w:rsid w:val="0035170A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5948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D4965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86FCE"/>
    <w:rsid w:val="0069538A"/>
    <w:rsid w:val="00695E50"/>
    <w:rsid w:val="006A38AE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87EAE"/>
    <w:rsid w:val="0079026C"/>
    <w:rsid w:val="0079409F"/>
    <w:rsid w:val="00794A4C"/>
    <w:rsid w:val="007A1520"/>
    <w:rsid w:val="007A3265"/>
    <w:rsid w:val="007A4156"/>
    <w:rsid w:val="007B0118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10AD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1E82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0725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05217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5A32"/>
    <w:rsid w:val="00AB73F4"/>
    <w:rsid w:val="00AC1521"/>
    <w:rsid w:val="00AC309A"/>
    <w:rsid w:val="00AC3963"/>
    <w:rsid w:val="00AC3A85"/>
    <w:rsid w:val="00AC4BAD"/>
    <w:rsid w:val="00AC6E18"/>
    <w:rsid w:val="00AD6C82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C050D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09F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234B"/>
    <w:rsid w:val="00DA44D5"/>
    <w:rsid w:val="00DC1A9E"/>
    <w:rsid w:val="00DC51C6"/>
    <w:rsid w:val="00DC63DE"/>
    <w:rsid w:val="00DE0169"/>
    <w:rsid w:val="00DE18E8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014B"/>
    <w:rsid w:val="00EB1F10"/>
    <w:rsid w:val="00EB4FF0"/>
    <w:rsid w:val="00EB56C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69"/>
    <o:shapelayout v:ext="edit">
      <o:idmap v:ext="edit" data="1"/>
    </o:shapelayout>
  </w:shapeDefaults>
  <w:decimalSymbol w:val=","/>
  <w:listSeparator w:val=";"/>
  <w14:docId w14:val="392DD63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23</cp:revision>
  <cp:lastPrinted>2021-07-21T05:11:00Z</cp:lastPrinted>
  <dcterms:created xsi:type="dcterms:W3CDTF">2021-05-11T05:29:00Z</dcterms:created>
  <dcterms:modified xsi:type="dcterms:W3CDTF">2021-08-31T08:45:00Z</dcterms:modified>
</cp:coreProperties>
</file>