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92D" w:rsidRDefault="0092492D" w:rsidP="001E54C1">
      <w:pPr>
        <w:pStyle w:val="Radadvodovzprva"/>
        <w:spacing w:after="360"/>
      </w:pPr>
      <w:bookmarkStart w:id="0" w:name="_GoBack"/>
      <w:bookmarkEnd w:id="0"/>
      <w:r>
        <w:t>Důvodová zpráva:</w:t>
      </w:r>
    </w:p>
    <w:p w:rsidR="00D56B8D" w:rsidRDefault="00366291" w:rsidP="00201190">
      <w:pPr>
        <w:pStyle w:val="Zkladntext"/>
        <w:spacing w:after="240" w:line="20" w:lineRule="atLeast"/>
        <w:rPr>
          <w:rFonts w:cs="Arial"/>
        </w:rPr>
      </w:pPr>
      <w:r>
        <w:t>Olomoucký kraj obdržel žádost města Litovel</w:t>
      </w:r>
      <w:r w:rsidR="007269A3">
        <w:t xml:space="preserve"> ze dne 06. 08. 2013 </w:t>
      </w:r>
      <w:r>
        <w:t>o vyčlenění finanční částky jako pomoc městu při odstra</w:t>
      </w:r>
      <w:r w:rsidR="002659FC">
        <w:t>ň</w:t>
      </w:r>
      <w:r>
        <w:t xml:space="preserve">ování </w:t>
      </w:r>
      <w:r w:rsidR="00D56B8D" w:rsidRPr="00D56B8D">
        <w:t>zji</w:t>
      </w:r>
      <w:r w:rsidR="004B22E9">
        <w:t>š</w:t>
      </w:r>
      <w:r w:rsidR="00D56B8D" w:rsidRPr="00D56B8D">
        <w:t>těné kontaminac</w:t>
      </w:r>
      <w:r>
        <w:t>e</w:t>
      </w:r>
      <w:r w:rsidR="00D56B8D" w:rsidRPr="00D56B8D">
        <w:t xml:space="preserve"> podzemních vod </w:t>
      </w:r>
      <w:r w:rsidR="00D56B8D" w:rsidRPr="00D56B8D">
        <w:rPr>
          <w:rFonts w:cs="Arial"/>
        </w:rPr>
        <w:t xml:space="preserve">chlorovanými uhlovodíky (CIU) v místní části </w:t>
      </w:r>
      <w:r w:rsidR="00D56B8D">
        <w:rPr>
          <w:rFonts w:cs="Arial"/>
        </w:rPr>
        <w:t xml:space="preserve">Litovel - </w:t>
      </w:r>
      <w:r w:rsidR="00D56B8D" w:rsidRPr="00D56B8D">
        <w:rPr>
          <w:rFonts w:cs="Arial"/>
        </w:rPr>
        <w:t>Nasobůrky.</w:t>
      </w:r>
    </w:p>
    <w:p w:rsidR="00457EEA" w:rsidRPr="00457EEA" w:rsidRDefault="00457EEA" w:rsidP="00457EEA">
      <w:pPr>
        <w:pStyle w:val="Zkladntext"/>
        <w:numPr>
          <w:ilvl w:val="0"/>
          <w:numId w:val="30"/>
        </w:numPr>
        <w:spacing w:line="20" w:lineRule="atLeast"/>
        <w:rPr>
          <w:rFonts w:cs="Arial"/>
          <w:b/>
        </w:rPr>
      </w:pPr>
      <w:r>
        <w:rPr>
          <w:rFonts w:cs="Arial"/>
          <w:b/>
        </w:rPr>
        <w:t>Znečištění podzemních vod</w:t>
      </w:r>
    </w:p>
    <w:p w:rsidR="0031342B" w:rsidRPr="00457EEA" w:rsidRDefault="0031342B" w:rsidP="0029105E">
      <w:pPr>
        <w:pStyle w:val="Zkladntext"/>
        <w:spacing w:after="240" w:line="20" w:lineRule="atLeast"/>
        <w:rPr>
          <w:rFonts w:cs="Arial"/>
        </w:rPr>
      </w:pPr>
      <w:r w:rsidRPr="00457EEA">
        <w:rPr>
          <w:rFonts w:cs="Arial"/>
        </w:rPr>
        <w:t>Laboratorními rozbory vzorků podzemní vody v místní části Litovel – Nasobůrky v období březen až prosinec 2010 bylo opakovaně prokázáno překročení mezních hodnot jednotlivých zjištěných kontaminantů -  tetrachlorethen (PCE), trichlorethen (TCE) při porovnání s limitními a referenčními hodnotami vyplývajícími z vyhlášky Ministerstva zdravotnictví č. 252/2004 Sb., kterou se stanoví hygienické požadavky na pitnou a teplou vodu a četnost a rozsah kontroly pitné vody a metodického pokynu Ministerstva životního prostředí Kritéria znečištění zemin a podzemní vody.</w:t>
      </w:r>
    </w:p>
    <w:p w:rsidR="0031342B" w:rsidRPr="00457EEA" w:rsidRDefault="0031342B" w:rsidP="0029105E">
      <w:pPr>
        <w:spacing w:after="240"/>
        <w:jc w:val="both"/>
        <w:rPr>
          <w:rFonts w:ascii="Arial" w:hAnsi="Arial" w:cs="Arial"/>
        </w:rPr>
      </w:pPr>
      <w:r w:rsidRPr="007623E8">
        <w:rPr>
          <w:rFonts w:ascii="Arial" w:hAnsi="Arial" w:cs="Arial"/>
          <w:b/>
        </w:rPr>
        <w:t>Zdravotním rizikem plynoucím z kontaminace lokality</w:t>
      </w:r>
      <w:r w:rsidRPr="00457EEA">
        <w:rPr>
          <w:rFonts w:ascii="Arial" w:hAnsi="Arial" w:cs="Arial"/>
        </w:rPr>
        <w:t xml:space="preserve"> je dlouhodobější kontakt s podzemní vodou kontaminovanou chlorovanými uhlovodíky, který může představovat zvýšené riziko vzniku nádorových onemocnění. Mezi nejzávažnější způsoby expozice patří přímá konzumace podzemní vody jako vody pitné, dermální kontakt s podzemní vodou při sprchování a inhalace výparů při sprchování.</w:t>
      </w:r>
    </w:p>
    <w:p w:rsidR="001A6A61" w:rsidRPr="00457EEA" w:rsidRDefault="001A6A61" w:rsidP="0029105E">
      <w:pPr>
        <w:spacing w:after="240"/>
        <w:jc w:val="both"/>
        <w:rPr>
          <w:rFonts w:ascii="Arial" w:hAnsi="Arial" w:cs="Arial"/>
        </w:rPr>
      </w:pPr>
      <w:r w:rsidRPr="007623E8">
        <w:rPr>
          <w:rFonts w:ascii="Arial" w:hAnsi="Arial" w:cs="Arial"/>
          <w:b/>
        </w:rPr>
        <w:t>Ekologickým rizikem plynoucím ze zjištěné kontaminace lokality</w:t>
      </w:r>
      <w:r w:rsidRPr="00457EEA">
        <w:rPr>
          <w:rFonts w:ascii="Arial" w:hAnsi="Arial" w:cs="Arial"/>
        </w:rPr>
        <w:t xml:space="preserve"> je skutečnost, že se v blízkém okolí nachází II. ochranné pásmo vodního zdroje jímacího území Litovel – </w:t>
      </w:r>
      <w:proofErr w:type="spellStart"/>
      <w:r w:rsidRPr="00457EEA">
        <w:rPr>
          <w:rFonts w:ascii="Arial" w:hAnsi="Arial" w:cs="Arial"/>
        </w:rPr>
        <w:t>Čerlinka</w:t>
      </w:r>
      <w:proofErr w:type="spellEnd"/>
      <w:r w:rsidRPr="00457EEA">
        <w:rPr>
          <w:rFonts w:ascii="Arial" w:hAnsi="Arial" w:cs="Arial"/>
        </w:rPr>
        <w:t>. Další negativní vlivy pro okolní ekosystémy nelze očekávat.</w:t>
      </w:r>
    </w:p>
    <w:p w:rsidR="001A6A61" w:rsidRPr="00457EEA" w:rsidRDefault="001A6A61" w:rsidP="0029105E">
      <w:pPr>
        <w:spacing w:after="240"/>
        <w:jc w:val="both"/>
        <w:rPr>
          <w:rFonts w:ascii="Arial" w:hAnsi="Arial" w:cs="Arial"/>
        </w:rPr>
      </w:pPr>
      <w:r w:rsidRPr="00457EEA">
        <w:rPr>
          <w:rFonts w:ascii="Arial" w:hAnsi="Arial" w:cs="Arial"/>
        </w:rPr>
        <w:t xml:space="preserve">Ze závěrů rizikové analýzy zpracované firmou DEKONTA (duben 2011) vyplynulo, že bez aktivního sanačního zásahu vedoucího ke snížení obsahu chlorovaných uhlovodíků v podzemní vodě není možné eliminovat riziko ohrožení významného vodního zdroje Litovel - </w:t>
      </w:r>
      <w:proofErr w:type="spellStart"/>
      <w:r w:rsidRPr="00457EEA">
        <w:rPr>
          <w:rFonts w:ascii="Arial" w:hAnsi="Arial" w:cs="Arial"/>
        </w:rPr>
        <w:t>Čerlinka</w:t>
      </w:r>
      <w:proofErr w:type="spellEnd"/>
      <w:r w:rsidRPr="00457EEA">
        <w:rPr>
          <w:rFonts w:ascii="Arial" w:hAnsi="Arial" w:cs="Arial"/>
        </w:rPr>
        <w:t xml:space="preserve"> a zajistit snížení zdravotních rizik pro obyvatele </w:t>
      </w:r>
      <w:proofErr w:type="spellStart"/>
      <w:r w:rsidRPr="00457EEA">
        <w:rPr>
          <w:rFonts w:ascii="Arial" w:hAnsi="Arial" w:cs="Arial"/>
        </w:rPr>
        <w:t>Nasobůrek</w:t>
      </w:r>
      <w:proofErr w:type="spellEnd"/>
      <w:r w:rsidRPr="00457EEA">
        <w:rPr>
          <w:rFonts w:ascii="Arial" w:hAnsi="Arial" w:cs="Arial"/>
        </w:rPr>
        <w:t xml:space="preserve"> plynoucích z existující kontaminace. </w:t>
      </w:r>
    </w:p>
    <w:p w:rsidR="00670C10" w:rsidRPr="00457EEA" w:rsidRDefault="00AD38D9" w:rsidP="0029105E">
      <w:pPr>
        <w:spacing w:after="240"/>
        <w:jc w:val="both"/>
        <w:rPr>
          <w:rStyle w:val="Siln"/>
          <w:rFonts w:ascii="Arial" w:hAnsi="Arial" w:cs="Arial"/>
          <w:b w:val="0"/>
        </w:rPr>
      </w:pPr>
      <w:r w:rsidRPr="00457EEA">
        <w:rPr>
          <w:rFonts w:ascii="Arial" w:hAnsi="Arial" w:cs="Arial"/>
        </w:rPr>
        <w:t>Ze závěrečné zprávy z </w:t>
      </w:r>
      <w:proofErr w:type="spellStart"/>
      <w:r w:rsidRPr="00457EEA">
        <w:rPr>
          <w:rFonts w:ascii="Arial" w:hAnsi="Arial" w:cs="Arial"/>
        </w:rPr>
        <w:t>doprůzkumu</w:t>
      </w:r>
      <w:proofErr w:type="spellEnd"/>
      <w:r w:rsidRPr="00457EEA">
        <w:rPr>
          <w:rFonts w:ascii="Arial" w:hAnsi="Arial" w:cs="Arial"/>
        </w:rPr>
        <w:t xml:space="preserve"> lokality (březen 2014) realizovaného Sdružením nápravných opatření Litovel – </w:t>
      </w:r>
      <w:proofErr w:type="spellStart"/>
      <w:r w:rsidRPr="00457EEA">
        <w:rPr>
          <w:rFonts w:ascii="Arial" w:hAnsi="Arial" w:cs="Arial"/>
        </w:rPr>
        <w:t>Nasobůrky</w:t>
      </w:r>
      <w:proofErr w:type="spellEnd"/>
      <w:r w:rsidRPr="00457EEA">
        <w:rPr>
          <w:rFonts w:ascii="Arial" w:hAnsi="Arial" w:cs="Arial"/>
        </w:rPr>
        <w:t xml:space="preserve"> </w:t>
      </w:r>
      <w:r w:rsidRPr="00457EEA">
        <w:rPr>
          <w:rFonts w:ascii="Arial" w:hAnsi="Arial" w:cs="Arial"/>
          <w:b/>
        </w:rPr>
        <w:t>(</w:t>
      </w:r>
      <w:r w:rsidRPr="00457EEA">
        <w:rPr>
          <w:rStyle w:val="Siln"/>
          <w:rFonts w:ascii="Arial" w:hAnsi="Arial" w:cs="Arial"/>
          <w:b w:val="0"/>
        </w:rPr>
        <w:t xml:space="preserve">IES RECYCLING, a.s., SITA CZ a.s. </w:t>
      </w:r>
      <w:r w:rsidR="00670C10" w:rsidRPr="00457EEA">
        <w:rPr>
          <w:rStyle w:val="Siln"/>
          <w:rFonts w:ascii="Arial" w:hAnsi="Arial" w:cs="Arial"/>
          <w:b w:val="0"/>
        </w:rPr>
        <w:br/>
      </w:r>
      <w:r w:rsidRPr="00457EEA">
        <w:rPr>
          <w:rStyle w:val="Siln"/>
          <w:rFonts w:ascii="Arial" w:hAnsi="Arial" w:cs="Arial"/>
          <w:b w:val="0"/>
        </w:rPr>
        <w:t xml:space="preserve">a EKOSYSTEM spol. s r.o.) </w:t>
      </w:r>
      <w:r w:rsidR="00670C10" w:rsidRPr="00457EEA">
        <w:rPr>
          <w:rStyle w:val="Siln"/>
          <w:rFonts w:ascii="Arial" w:hAnsi="Arial" w:cs="Arial"/>
          <w:b w:val="0"/>
        </w:rPr>
        <w:t>v rámci projektu „Realizace nápravných opatření na lokalitě Litovel-</w:t>
      </w:r>
      <w:proofErr w:type="spellStart"/>
      <w:r w:rsidR="00670C10" w:rsidRPr="00457EEA">
        <w:rPr>
          <w:rStyle w:val="Siln"/>
          <w:rFonts w:ascii="Arial" w:hAnsi="Arial" w:cs="Arial"/>
          <w:b w:val="0"/>
        </w:rPr>
        <w:t>Nasoblůrky</w:t>
      </w:r>
      <w:proofErr w:type="spellEnd"/>
      <w:r w:rsidR="00670C10" w:rsidRPr="00457EEA">
        <w:rPr>
          <w:rStyle w:val="Siln"/>
          <w:rFonts w:ascii="Arial" w:hAnsi="Arial" w:cs="Arial"/>
          <w:b w:val="0"/>
        </w:rPr>
        <w:t xml:space="preserve">“ </w:t>
      </w:r>
      <w:r w:rsidRPr="00457EEA">
        <w:rPr>
          <w:rStyle w:val="Siln"/>
          <w:rFonts w:ascii="Arial" w:hAnsi="Arial" w:cs="Arial"/>
          <w:b w:val="0"/>
        </w:rPr>
        <w:t xml:space="preserve">vyplývá, že byla prokázána existence významného ložiska kontaminace. </w:t>
      </w:r>
      <w:r w:rsidR="00670C10" w:rsidRPr="00457EEA">
        <w:rPr>
          <w:rStyle w:val="Siln"/>
          <w:rFonts w:ascii="Arial" w:hAnsi="Arial" w:cs="Arial"/>
          <w:b w:val="0"/>
        </w:rPr>
        <w:t xml:space="preserve">Znečištění podzemních vod bylo zjištěno významně většího rozsahu a to jak plošného tak i koncentračního (až 16x vyšší koncentrace) oproti roku 2011. Rovněž byl zjištěn nárůst koncentrace v domovních studnách. </w:t>
      </w:r>
    </w:p>
    <w:p w:rsidR="00670C10" w:rsidRPr="00457EEA" w:rsidRDefault="00670C10" w:rsidP="0029105E">
      <w:pPr>
        <w:spacing w:after="240"/>
        <w:jc w:val="both"/>
        <w:rPr>
          <w:rFonts w:ascii="Arial" w:hAnsi="Arial" w:cs="Arial"/>
        </w:rPr>
      </w:pPr>
      <w:proofErr w:type="spellStart"/>
      <w:r w:rsidRPr="00457EEA">
        <w:rPr>
          <w:rStyle w:val="Siln"/>
          <w:rFonts w:ascii="Arial" w:hAnsi="Arial" w:cs="Arial"/>
          <w:b w:val="0"/>
        </w:rPr>
        <w:t>Doprůzkumem</w:t>
      </w:r>
      <w:proofErr w:type="spellEnd"/>
      <w:r w:rsidRPr="00457EEA">
        <w:rPr>
          <w:rStyle w:val="Siln"/>
          <w:rFonts w:ascii="Arial" w:hAnsi="Arial" w:cs="Arial"/>
          <w:b w:val="0"/>
        </w:rPr>
        <w:t xml:space="preserve"> byl zjištěn posun čela kontaminačního mraku až na hranici </w:t>
      </w:r>
      <w:r w:rsidR="00C06437" w:rsidRPr="00457EEA">
        <w:rPr>
          <w:rStyle w:val="Siln"/>
          <w:rFonts w:ascii="Arial" w:hAnsi="Arial" w:cs="Arial"/>
          <w:b w:val="0"/>
        </w:rPr>
        <w:br/>
      </w:r>
      <w:r w:rsidRPr="00457EEA">
        <w:rPr>
          <w:rFonts w:ascii="Arial" w:hAnsi="Arial" w:cs="Arial"/>
        </w:rPr>
        <w:t>II. ochranné</w:t>
      </w:r>
      <w:r w:rsidR="00C06437" w:rsidRPr="00457EEA">
        <w:rPr>
          <w:rFonts w:ascii="Arial" w:hAnsi="Arial" w:cs="Arial"/>
        </w:rPr>
        <w:t>ho</w:t>
      </w:r>
      <w:r w:rsidRPr="00457EEA">
        <w:rPr>
          <w:rFonts w:ascii="Arial" w:hAnsi="Arial" w:cs="Arial"/>
        </w:rPr>
        <w:t xml:space="preserve"> pásmo vodního zdroje jímacího území Litovel – </w:t>
      </w:r>
      <w:proofErr w:type="spellStart"/>
      <w:r w:rsidRPr="00457EEA">
        <w:rPr>
          <w:rFonts w:ascii="Arial" w:hAnsi="Arial" w:cs="Arial"/>
        </w:rPr>
        <w:t>Čerlinka</w:t>
      </w:r>
      <w:proofErr w:type="spellEnd"/>
      <w:r w:rsidRPr="00457EEA">
        <w:rPr>
          <w:rFonts w:ascii="Arial" w:hAnsi="Arial" w:cs="Arial"/>
        </w:rPr>
        <w:t>.</w:t>
      </w:r>
      <w:r w:rsidR="00C06437" w:rsidRPr="00457EEA">
        <w:rPr>
          <w:rFonts w:ascii="Arial" w:hAnsi="Arial" w:cs="Arial"/>
        </w:rPr>
        <w:t xml:space="preserve"> Toto je podstatný rozdíl oproti roku 2011</w:t>
      </w:r>
      <w:r w:rsidR="0007005C" w:rsidRPr="00457EEA">
        <w:rPr>
          <w:rFonts w:ascii="Arial" w:hAnsi="Arial" w:cs="Arial"/>
        </w:rPr>
        <w:t>,</w:t>
      </w:r>
      <w:r w:rsidR="00C06437" w:rsidRPr="00457EEA">
        <w:rPr>
          <w:rFonts w:ascii="Arial" w:hAnsi="Arial" w:cs="Arial"/>
        </w:rPr>
        <w:t xml:space="preserve"> kdy bylo zjištěno čelo kontaminačního mraku cca 200 - 300 </w:t>
      </w:r>
      <w:r w:rsidR="00ED224F" w:rsidRPr="00457EEA">
        <w:rPr>
          <w:rFonts w:ascii="Arial" w:hAnsi="Arial" w:cs="Arial"/>
        </w:rPr>
        <w:t xml:space="preserve">m </w:t>
      </w:r>
      <w:r w:rsidR="00C06437" w:rsidRPr="00457EEA">
        <w:rPr>
          <w:rFonts w:ascii="Arial" w:hAnsi="Arial" w:cs="Arial"/>
        </w:rPr>
        <w:t>od hranice ochranného pásma.</w:t>
      </w:r>
    </w:p>
    <w:p w:rsidR="00457EEA" w:rsidRPr="00457EEA" w:rsidRDefault="002B244B" w:rsidP="0029105E">
      <w:pPr>
        <w:spacing w:after="240"/>
        <w:jc w:val="both"/>
        <w:rPr>
          <w:rFonts w:ascii="Arial" w:hAnsi="Arial" w:cs="Arial"/>
        </w:rPr>
      </w:pPr>
      <w:r w:rsidRPr="00457EEA">
        <w:rPr>
          <w:rFonts w:ascii="Arial" w:hAnsi="Arial" w:cs="Arial"/>
        </w:rPr>
        <w:t xml:space="preserve">S výsledky </w:t>
      </w:r>
      <w:proofErr w:type="spellStart"/>
      <w:r w:rsidRPr="00457EEA">
        <w:rPr>
          <w:rFonts w:ascii="Arial" w:hAnsi="Arial" w:cs="Arial"/>
        </w:rPr>
        <w:t>doprůzkumu</w:t>
      </w:r>
      <w:proofErr w:type="spellEnd"/>
      <w:r w:rsidRPr="00457EEA">
        <w:rPr>
          <w:rFonts w:ascii="Arial" w:hAnsi="Arial" w:cs="Arial"/>
        </w:rPr>
        <w:t xml:space="preserve"> lokality a současn</w:t>
      </w:r>
      <w:r w:rsidR="007623E8">
        <w:rPr>
          <w:rFonts w:ascii="Arial" w:hAnsi="Arial" w:cs="Arial"/>
        </w:rPr>
        <w:t>ým</w:t>
      </w:r>
      <w:r w:rsidRPr="00457EEA">
        <w:rPr>
          <w:rFonts w:ascii="Arial" w:hAnsi="Arial" w:cs="Arial"/>
        </w:rPr>
        <w:t xml:space="preserve"> stav</w:t>
      </w:r>
      <w:r w:rsidR="007623E8">
        <w:rPr>
          <w:rFonts w:ascii="Arial" w:hAnsi="Arial" w:cs="Arial"/>
        </w:rPr>
        <w:t>em</w:t>
      </w:r>
      <w:r w:rsidRPr="00457EEA">
        <w:rPr>
          <w:rFonts w:ascii="Arial" w:hAnsi="Arial" w:cs="Arial"/>
        </w:rPr>
        <w:t xml:space="preserve"> přípravy realizace nápravných opatření byly seznámeni zástupci firmy Vodohospodářské společnosti, a.s., jako vlastník</w:t>
      </w:r>
      <w:r w:rsidR="007623E8">
        <w:rPr>
          <w:rFonts w:ascii="Arial" w:hAnsi="Arial" w:cs="Arial"/>
        </w:rPr>
        <w:t>a</w:t>
      </w:r>
      <w:r w:rsidRPr="00457EEA">
        <w:rPr>
          <w:rFonts w:ascii="Arial" w:hAnsi="Arial" w:cs="Arial"/>
        </w:rPr>
        <w:t xml:space="preserve"> vodního zdroje Litovel – </w:t>
      </w:r>
      <w:proofErr w:type="spellStart"/>
      <w:r w:rsidRPr="00457EEA">
        <w:rPr>
          <w:rFonts w:ascii="Arial" w:hAnsi="Arial" w:cs="Arial"/>
        </w:rPr>
        <w:t>Čerlinka</w:t>
      </w:r>
      <w:proofErr w:type="spellEnd"/>
      <w:r w:rsidRPr="00457EEA">
        <w:rPr>
          <w:rFonts w:ascii="Arial" w:hAnsi="Arial" w:cs="Arial"/>
        </w:rPr>
        <w:t>, firmy Moravské vodárenské, a.s., jako provozovatele vodního zdroje a Statutárního města Olomouc jako dominantního odběratele pitné vody z vodního zdroje pro obyv</w:t>
      </w:r>
      <w:r w:rsidR="0029105E">
        <w:rPr>
          <w:rFonts w:ascii="Arial" w:hAnsi="Arial" w:cs="Arial"/>
        </w:rPr>
        <w:t>atelstvo.</w:t>
      </w:r>
    </w:p>
    <w:p w:rsidR="00457EEA" w:rsidRPr="00457EEA" w:rsidRDefault="00457EEA" w:rsidP="00457EEA">
      <w:pPr>
        <w:pStyle w:val="Odstavecseseznamem"/>
        <w:numPr>
          <w:ilvl w:val="0"/>
          <w:numId w:val="30"/>
        </w:numPr>
        <w:spacing w:before="120" w:after="120"/>
        <w:jc w:val="both"/>
        <w:rPr>
          <w:rFonts w:ascii="Arial" w:hAnsi="Arial" w:cs="Arial"/>
          <w:b/>
        </w:rPr>
      </w:pPr>
      <w:r w:rsidRPr="00457EEA">
        <w:rPr>
          <w:rFonts w:ascii="Arial" w:hAnsi="Arial" w:cs="Arial"/>
          <w:b/>
        </w:rPr>
        <w:lastRenderedPageBreak/>
        <w:t>Nápravná opatření</w:t>
      </w:r>
      <w:r>
        <w:rPr>
          <w:rFonts w:ascii="Arial" w:hAnsi="Arial" w:cs="Arial"/>
          <w:b/>
        </w:rPr>
        <w:t>, harmonogram prací a náklady na jejich realizaci</w:t>
      </w:r>
    </w:p>
    <w:p w:rsidR="00457EEA" w:rsidRPr="00201190" w:rsidRDefault="00457EEA" w:rsidP="0029105E">
      <w:pPr>
        <w:spacing w:before="120" w:after="240"/>
        <w:jc w:val="both"/>
        <w:rPr>
          <w:rFonts w:ascii="Arial" w:hAnsi="Arial" w:cs="Arial"/>
        </w:rPr>
      </w:pPr>
      <w:r w:rsidRPr="007623E8">
        <w:rPr>
          <w:rFonts w:ascii="Arial" w:hAnsi="Arial" w:cs="Arial"/>
          <w:b/>
        </w:rPr>
        <w:t xml:space="preserve">Vlastní realizace opatření nápravných opatření v lokalitě Litovel – </w:t>
      </w:r>
      <w:proofErr w:type="spellStart"/>
      <w:r w:rsidRPr="007623E8">
        <w:rPr>
          <w:rFonts w:ascii="Arial" w:hAnsi="Arial" w:cs="Arial"/>
          <w:b/>
        </w:rPr>
        <w:t>Nasobůrky</w:t>
      </w:r>
      <w:proofErr w:type="spellEnd"/>
      <w:r w:rsidRPr="007623E8">
        <w:rPr>
          <w:rFonts w:ascii="Arial" w:hAnsi="Arial" w:cs="Arial"/>
          <w:b/>
        </w:rPr>
        <w:t xml:space="preserve"> spočívá</w:t>
      </w:r>
      <w:r w:rsidRPr="00201190">
        <w:rPr>
          <w:rFonts w:ascii="Arial" w:hAnsi="Arial" w:cs="Arial"/>
        </w:rPr>
        <w:t xml:space="preserve"> v odtěžení a odvozu nebezpečných odpadů s obsahem chlorovaných uhlovodíků k odstranění v externím zařízení a sanace podzemní vody metodou chemické oxidace (převedení toxických organických i anorganických látek na netoxické produkty chemickou cestou – oxidací) in </w:t>
      </w:r>
      <w:proofErr w:type="spellStart"/>
      <w:r w:rsidRPr="00201190">
        <w:rPr>
          <w:rFonts w:ascii="Arial" w:hAnsi="Arial" w:cs="Arial"/>
        </w:rPr>
        <w:t>situ</w:t>
      </w:r>
      <w:proofErr w:type="spellEnd"/>
      <w:r w:rsidRPr="00201190">
        <w:rPr>
          <w:rFonts w:ascii="Arial" w:hAnsi="Arial" w:cs="Arial"/>
        </w:rPr>
        <w:t xml:space="preserve"> (na místě).</w:t>
      </w:r>
    </w:p>
    <w:p w:rsidR="002B244B" w:rsidRPr="00D00D36" w:rsidRDefault="002B244B" w:rsidP="00186E2E">
      <w:pPr>
        <w:spacing w:after="240"/>
        <w:jc w:val="both"/>
        <w:rPr>
          <w:rFonts w:ascii="Arial" w:hAnsi="Arial" w:cs="Arial"/>
        </w:rPr>
      </w:pPr>
      <w:r w:rsidRPr="007623E8">
        <w:rPr>
          <w:rFonts w:ascii="Arial" w:hAnsi="Arial" w:cs="Arial"/>
          <w:b/>
        </w:rPr>
        <w:t xml:space="preserve">Na základě výsledku výběrového řízení na dodavatele akce „Realizace nápravných opatření v lokalitě Litovel – </w:t>
      </w:r>
      <w:proofErr w:type="spellStart"/>
      <w:r w:rsidRPr="007623E8">
        <w:rPr>
          <w:rFonts w:ascii="Arial" w:hAnsi="Arial" w:cs="Arial"/>
          <w:b/>
        </w:rPr>
        <w:t>Nasobůrky</w:t>
      </w:r>
      <w:proofErr w:type="spellEnd"/>
      <w:r w:rsidRPr="007623E8">
        <w:rPr>
          <w:rFonts w:ascii="Arial" w:hAnsi="Arial" w:cs="Arial"/>
          <w:b/>
        </w:rPr>
        <w:t>“ jsou náklady na realizaci cca 385 mil. Kč</w:t>
      </w:r>
      <w:r w:rsidR="00DB4DD4" w:rsidRPr="007623E8">
        <w:rPr>
          <w:rFonts w:ascii="Arial" w:hAnsi="Arial" w:cs="Arial"/>
          <w:b/>
        </w:rPr>
        <w:t xml:space="preserve"> </w:t>
      </w:r>
      <w:r w:rsidR="00801F35" w:rsidRPr="007623E8">
        <w:rPr>
          <w:rFonts w:ascii="Arial" w:hAnsi="Arial" w:cs="Arial"/>
          <w:b/>
        </w:rPr>
        <w:t>včetně DPH</w:t>
      </w:r>
      <w:r w:rsidR="00801F35" w:rsidRPr="00D00D36">
        <w:rPr>
          <w:rFonts w:ascii="Arial" w:hAnsi="Arial" w:cs="Arial"/>
        </w:rPr>
        <w:t xml:space="preserve"> </w:t>
      </w:r>
      <w:r w:rsidR="00DB4DD4" w:rsidRPr="00D00D36">
        <w:rPr>
          <w:rFonts w:ascii="Arial" w:hAnsi="Arial" w:cs="Arial"/>
        </w:rPr>
        <w:t>(viz. Příloha č. 1)</w:t>
      </w:r>
      <w:r w:rsidRPr="00D00D36">
        <w:rPr>
          <w:rFonts w:ascii="Arial" w:hAnsi="Arial" w:cs="Arial"/>
        </w:rPr>
        <w:t xml:space="preserve">. </w:t>
      </w:r>
      <w:r w:rsidR="00DB4DD4" w:rsidRPr="00D00D36">
        <w:rPr>
          <w:rFonts w:ascii="Arial" w:hAnsi="Arial" w:cs="Arial"/>
        </w:rPr>
        <w:t>Realizace prací je rozložena do období 2013 – 2015.</w:t>
      </w:r>
    </w:p>
    <w:p w:rsidR="00801F35" w:rsidRPr="00D00D36" w:rsidRDefault="00801F35" w:rsidP="002B244B">
      <w:pPr>
        <w:spacing w:after="120"/>
        <w:jc w:val="both"/>
        <w:rPr>
          <w:rFonts w:ascii="Arial" w:hAnsi="Arial" w:cs="Arial"/>
        </w:rPr>
      </w:pPr>
      <w:r w:rsidRPr="00D00D36">
        <w:rPr>
          <w:rFonts w:ascii="Arial" w:hAnsi="Arial" w:cs="Arial"/>
        </w:rPr>
        <w:t>Souhrnný rozpočet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70"/>
        <w:gridCol w:w="3071"/>
        <w:gridCol w:w="3071"/>
      </w:tblGrid>
      <w:tr w:rsidR="00801F35" w:rsidRPr="00D00D36" w:rsidTr="00D00D36">
        <w:tc>
          <w:tcPr>
            <w:tcW w:w="3070" w:type="dxa"/>
            <w:shd w:val="clear" w:color="auto" w:fill="D6E3BC" w:themeFill="accent3" w:themeFillTint="66"/>
          </w:tcPr>
          <w:p w:rsidR="00801F35" w:rsidRPr="00D00D36" w:rsidRDefault="00801F35" w:rsidP="002B244B">
            <w:pPr>
              <w:spacing w:after="120"/>
              <w:jc w:val="both"/>
              <w:rPr>
                <w:rFonts w:ascii="Arial" w:hAnsi="Arial" w:cs="Arial"/>
                <w:sz w:val="20"/>
                <w:szCs w:val="20"/>
              </w:rPr>
            </w:pPr>
            <w:r w:rsidRPr="00D00D36">
              <w:rPr>
                <w:rFonts w:ascii="Arial" w:hAnsi="Arial" w:cs="Arial"/>
                <w:sz w:val="20"/>
                <w:szCs w:val="20"/>
              </w:rPr>
              <w:t xml:space="preserve">Výdaje </w:t>
            </w:r>
          </w:p>
        </w:tc>
        <w:tc>
          <w:tcPr>
            <w:tcW w:w="3071" w:type="dxa"/>
            <w:shd w:val="clear" w:color="auto" w:fill="D6E3BC" w:themeFill="accent3" w:themeFillTint="66"/>
          </w:tcPr>
          <w:p w:rsidR="00186E2E" w:rsidRDefault="00DA14F7" w:rsidP="00D00D36">
            <w:pPr>
              <w:spacing w:after="120"/>
              <w:jc w:val="center"/>
              <w:rPr>
                <w:rFonts w:ascii="Arial" w:hAnsi="Arial" w:cs="Arial"/>
                <w:sz w:val="20"/>
                <w:szCs w:val="20"/>
              </w:rPr>
            </w:pPr>
            <w:r w:rsidRPr="00D00D36">
              <w:rPr>
                <w:rFonts w:ascii="Arial" w:hAnsi="Arial" w:cs="Arial"/>
                <w:sz w:val="20"/>
                <w:szCs w:val="20"/>
              </w:rPr>
              <w:t xml:space="preserve">bez DPH </w:t>
            </w:r>
          </w:p>
          <w:p w:rsidR="00801F35" w:rsidRPr="00D00D36" w:rsidRDefault="00940C12" w:rsidP="00D00D36">
            <w:pPr>
              <w:spacing w:after="120"/>
              <w:jc w:val="center"/>
              <w:rPr>
                <w:rFonts w:ascii="Arial" w:hAnsi="Arial" w:cs="Arial"/>
                <w:sz w:val="20"/>
                <w:szCs w:val="20"/>
              </w:rPr>
            </w:pPr>
            <w:r>
              <w:rPr>
                <w:rFonts w:ascii="Arial" w:hAnsi="Arial" w:cs="Arial"/>
                <w:sz w:val="20"/>
                <w:szCs w:val="20"/>
              </w:rPr>
              <w:t>(</w:t>
            </w:r>
            <w:r w:rsidR="00D00D36">
              <w:rPr>
                <w:rFonts w:ascii="Arial" w:hAnsi="Arial" w:cs="Arial"/>
                <w:sz w:val="20"/>
                <w:szCs w:val="20"/>
              </w:rPr>
              <w:t xml:space="preserve">v </w:t>
            </w:r>
            <w:r w:rsidR="00DA14F7" w:rsidRPr="00D00D36">
              <w:rPr>
                <w:rFonts w:ascii="Arial" w:hAnsi="Arial" w:cs="Arial"/>
                <w:sz w:val="20"/>
                <w:szCs w:val="20"/>
              </w:rPr>
              <w:t>Kč</w:t>
            </w:r>
            <w:r>
              <w:rPr>
                <w:rFonts w:ascii="Arial" w:hAnsi="Arial" w:cs="Arial"/>
                <w:sz w:val="20"/>
                <w:szCs w:val="20"/>
              </w:rPr>
              <w:t>)</w:t>
            </w:r>
          </w:p>
        </w:tc>
        <w:tc>
          <w:tcPr>
            <w:tcW w:w="3071" w:type="dxa"/>
            <w:shd w:val="clear" w:color="auto" w:fill="D6E3BC" w:themeFill="accent3" w:themeFillTint="66"/>
          </w:tcPr>
          <w:p w:rsidR="00186E2E" w:rsidRDefault="00DA14F7" w:rsidP="00D00D36">
            <w:pPr>
              <w:spacing w:after="120"/>
              <w:jc w:val="center"/>
              <w:rPr>
                <w:rFonts w:ascii="Arial" w:hAnsi="Arial" w:cs="Arial"/>
                <w:sz w:val="20"/>
                <w:szCs w:val="20"/>
              </w:rPr>
            </w:pPr>
            <w:r w:rsidRPr="00D00D36">
              <w:rPr>
                <w:rFonts w:ascii="Arial" w:hAnsi="Arial" w:cs="Arial"/>
                <w:sz w:val="20"/>
                <w:szCs w:val="20"/>
              </w:rPr>
              <w:t xml:space="preserve">včetně DPH </w:t>
            </w:r>
          </w:p>
          <w:p w:rsidR="00801F35" w:rsidRPr="00D00D36" w:rsidRDefault="00940C12" w:rsidP="00D00D36">
            <w:pPr>
              <w:spacing w:after="120"/>
              <w:jc w:val="center"/>
              <w:rPr>
                <w:rFonts w:ascii="Arial" w:hAnsi="Arial" w:cs="Arial"/>
                <w:sz w:val="20"/>
                <w:szCs w:val="20"/>
              </w:rPr>
            </w:pPr>
            <w:r>
              <w:rPr>
                <w:rFonts w:ascii="Arial" w:hAnsi="Arial" w:cs="Arial"/>
                <w:sz w:val="20"/>
                <w:szCs w:val="20"/>
              </w:rPr>
              <w:t>(</w:t>
            </w:r>
            <w:r w:rsidR="00D00D36">
              <w:rPr>
                <w:rFonts w:ascii="Arial" w:hAnsi="Arial" w:cs="Arial"/>
                <w:sz w:val="20"/>
                <w:szCs w:val="20"/>
              </w:rPr>
              <w:t xml:space="preserve">v </w:t>
            </w:r>
            <w:r w:rsidR="00DA14F7" w:rsidRPr="00D00D36">
              <w:rPr>
                <w:rFonts w:ascii="Arial" w:hAnsi="Arial" w:cs="Arial"/>
                <w:sz w:val="20"/>
                <w:szCs w:val="20"/>
              </w:rPr>
              <w:t>Kč</w:t>
            </w:r>
            <w:r>
              <w:rPr>
                <w:rFonts w:ascii="Arial" w:hAnsi="Arial" w:cs="Arial"/>
                <w:sz w:val="20"/>
                <w:szCs w:val="20"/>
              </w:rPr>
              <w:t>)</w:t>
            </w:r>
          </w:p>
        </w:tc>
      </w:tr>
      <w:tr w:rsidR="00801F35" w:rsidRPr="00D00D36" w:rsidTr="00D00D36">
        <w:tc>
          <w:tcPr>
            <w:tcW w:w="3070" w:type="dxa"/>
          </w:tcPr>
          <w:p w:rsidR="00801F35" w:rsidRPr="00D00D36" w:rsidRDefault="00DA14F7" w:rsidP="002B244B">
            <w:pPr>
              <w:spacing w:after="120"/>
              <w:jc w:val="both"/>
              <w:rPr>
                <w:rFonts w:ascii="Arial" w:hAnsi="Arial" w:cs="Arial"/>
                <w:sz w:val="20"/>
                <w:szCs w:val="20"/>
              </w:rPr>
            </w:pPr>
            <w:r w:rsidRPr="00D00D36">
              <w:rPr>
                <w:rFonts w:ascii="Arial" w:hAnsi="Arial" w:cs="Arial"/>
                <w:sz w:val="20"/>
                <w:szCs w:val="20"/>
              </w:rPr>
              <w:t xml:space="preserve">Náklady na zabezpečení </w:t>
            </w:r>
            <w:r w:rsidR="00940C12">
              <w:rPr>
                <w:rFonts w:ascii="Arial" w:hAnsi="Arial" w:cs="Arial"/>
                <w:sz w:val="20"/>
                <w:szCs w:val="20"/>
              </w:rPr>
              <w:t xml:space="preserve">realizace </w:t>
            </w:r>
            <w:r w:rsidRPr="00D00D36">
              <w:rPr>
                <w:rFonts w:ascii="Arial" w:hAnsi="Arial" w:cs="Arial"/>
                <w:sz w:val="20"/>
                <w:szCs w:val="20"/>
              </w:rPr>
              <w:t>stavby</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3 898 000</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4 716 580</w:t>
            </w:r>
          </w:p>
        </w:tc>
      </w:tr>
      <w:tr w:rsidR="00801F35" w:rsidRPr="00D00D36" w:rsidTr="00D00D36">
        <w:tc>
          <w:tcPr>
            <w:tcW w:w="3070" w:type="dxa"/>
          </w:tcPr>
          <w:p w:rsidR="00801F35" w:rsidRDefault="00DA14F7" w:rsidP="00201190">
            <w:pPr>
              <w:jc w:val="both"/>
              <w:rPr>
                <w:rFonts w:ascii="Arial" w:hAnsi="Arial" w:cs="Arial"/>
                <w:sz w:val="20"/>
                <w:szCs w:val="20"/>
              </w:rPr>
            </w:pPr>
            <w:r w:rsidRPr="00D00D36">
              <w:rPr>
                <w:rFonts w:ascii="Arial" w:hAnsi="Arial" w:cs="Arial"/>
                <w:sz w:val="20"/>
                <w:szCs w:val="20"/>
              </w:rPr>
              <w:t>Přímé realizační náklady</w:t>
            </w:r>
          </w:p>
          <w:p w:rsidR="00201190" w:rsidRPr="00D00D36" w:rsidRDefault="00186E2E" w:rsidP="00186E2E">
            <w:pPr>
              <w:spacing w:after="120"/>
              <w:jc w:val="both"/>
              <w:rPr>
                <w:rFonts w:ascii="Arial" w:hAnsi="Arial" w:cs="Arial"/>
                <w:sz w:val="20"/>
                <w:szCs w:val="20"/>
              </w:rPr>
            </w:pPr>
            <w:r>
              <w:rPr>
                <w:rFonts w:ascii="Arial" w:hAnsi="Arial" w:cs="Arial"/>
                <w:sz w:val="20"/>
                <w:szCs w:val="20"/>
              </w:rPr>
              <w:t>v</w:t>
            </w:r>
            <w:r w:rsidR="00201190">
              <w:rPr>
                <w:rFonts w:ascii="Arial" w:hAnsi="Arial" w:cs="Arial"/>
                <w:sz w:val="20"/>
                <w:szCs w:val="20"/>
              </w:rPr>
              <w:t xml:space="preserve">četně nákladů na publicitu </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299 570 994</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362 480 903</w:t>
            </w:r>
          </w:p>
        </w:tc>
      </w:tr>
      <w:tr w:rsidR="00801F35" w:rsidRPr="00D00D36" w:rsidTr="00D00D36">
        <w:tc>
          <w:tcPr>
            <w:tcW w:w="3070" w:type="dxa"/>
          </w:tcPr>
          <w:p w:rsidR="00801F35" w:rsidRPr="00D00D36" w:rsidRDefault="00DA14F7" w:rsidP="002B244B">
            <w:pPr>
              <w:spacing w:after="120"/>
              <w:jc w:val="both"/>
              <w:rPr>
                <w:rFonts w:ascii="Arial" w:hAnsi="Arial" w:cs="Arial"/>
                <w:sz w:val="20"/>
                <w:szCs w:val="20"/>
              </w:rPr>
            </w:pPr>
            <w:r w:rsidRPr="00D00D36">
              <w:rPr>
                <w:rFonts w:ascii="Arial" w:hAnsi="Arial" w:cs="Arial"/>
                <w:sz w:val="20"/>
                <w:szCs w:val="20"/>
              </w:rPr>
              <w:t>Rezerva</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14 978 550</w:t>
            </w:r>
          </w:p>
        </w:tc>
        <w:tc>
          <w:tcPr>
            <w:tcW w:w="3071" w:type="dxa"/>
          </w:tcPr>
          <w:p w:rsidR="00801F35" w:rsidRPr="00D00D36" w:rsidRDefault="00DA14F7" w:rsidP="00D00D36">
            <w:pPr>
              <w:spacing w:after="120"/>
              <w:jc w:val="center"/>
              <w:rPr>
                <w:rFonts w:ascii="Arial" w:hAnsi="Arial" w:cs="Arial"/>
                <w:sz w:val="20"/>
                <w:szCs w:val="20"/>
              </w:rPr>
            </w:pPr>
            <w:r w:rsidRPr="00D00D36">
              <w:rPr>
                <w:rFonts w:ascii="Arial" w:hAnsi="Arial" w:cs="Arial"/>
                <w:sz w:val="20"/>
                <w:szCs w:val="20"/>
              </w:rPr>
              <w:t>18 124 045</w:t>
            </w:r>
          </w:p>
        </w:tc>
      </w:tr>
      <w:tr w:rsidR="00DA14F7" w:rsidRPr="00D00D36" w:rsidTr="00D00D36">
        <w:tc>
          <w:tcPr>
            <w:tcW w:w="3070" w:type="dxa"/>
            <w:shd w:val="clear" w:color="auto" w:fill="D6E3BC" w:themeFill="accent3" w:themeFillTint="66"/>
          </w:tcPr>
          <w:p w:rsidR="00DA14F7" w:rsidRPr="00D00D36" w:rsidRDefault="00DA14F7" w:rsidP="002B244B">
            <w:pPr>
              <w:spacing w:after="120"/>
              <w:jc w:val="both"/>
              <w:rPr>
                <w:rFonts w:ascii="Arial" w:hAnsi="Arial" w:cs="Arial"/>
                <w:sz w:val="20"/>
                <w:szCs w:val="20"/>
              </w:rPr>
            </w:pPr>
            <w:r w:rsidRPr="00D00D36">
              <w:rPr>
                <w:rFonts w:ascii="Arial" w:hAnsi="Arial" w:cs="Arial"/>
                <w:sz w:val="20"/>
                <w:szCs w:val="20"/>
              </w:rPr>
              <w:t>Celkem</w:t>
            </w:r>
          </w:p>
        </w:tc>
        <w:tc>
          <w:tcPr>
            <w:tcW w:w="3071" w:type="dxa"/>
            <w:shd w:val="clear" w:color="auto" w:fill="D6E3BC" w:themeFill="accent3" w:themeFillTint="66"/>
          </w:tcPr>
          <w:p w:rsidR="00DA14F7" w:rsidRPr="00D00D36" w:rsidRDefault="00DA14F7" w:rsidP="00D00D36">
            <w:pPr>
              <w:spacing w:after="120"/>
              <w:jc w:val="center"/>
              <w:rPr>
                <w:rFonts w:ascii="Arial" w:hAnsi="Arial" w:cs="Arial"/>
                <w:sz w:val="20"/>
                <w:szCs w:val="20"/>
              </w:rPr>
            </w:pPr>
            <w:r w:rsidRPr="00D00D36">
              <w:rPr>
                <w:rFonts w:ascii="Arial" w:hAnsi="Arial" w:cs="Arial"/>
                <w:sz w:val="20"/>
                <w:szCs w:val="20"/>
              </w:rPr>
              <w:t>318 562 544</w:t>
            </w:r>
          </w:p>
        </w:tc>
        <w:tc>
          <w:tcPr>
            <w:tcW w:w="3071" w:type="dxa"/>
            <w:shd w:val="clear" w:color="auto" w:fill="D6E3BC" w:themeFill="accent3" w:themeFillTint="66"/>
          </w:tcPr>
          <w:p w:rsidR="00DA14F7" w:rsidRPr="00D00D36" w:rsidRDefault="00DA14F7" w:rsidP="00D00D36">
            <w:pPr>
              <w:spacing w:after="120"/>
              <w:jc w:val="center"/>
              <w:rPr>
                <w:rFonts w:ascii="Arial" w:hAnsi="Arial" w:cs="Arial"/>
                <w:sz w:val="20"/>
                <w:szCs w:val="20"/>
              </w:rPr>
            </w:pPr>
            <w:r w:rsidRPr="00D00D36">
              <w:rPr>
                <w:rFonts w:ascii="Arial" w:hAnsi="Arial" w:cs="Arial"/>
                <w:sz w:val="20"/>
                <w:szCs w:val="20"/>
              </w:rPr>
              <w:t>385 345 728</w:t>
            </w:r>
          </w:p>
        </w:tc>
      </w:tr>
    </w:tbl>
    <w:p w:rsidR="00DB4DD4" w:rsidRPr="00D00D36" w:rsidRDefault="00DB4DD4" w:rsidP="00940C12">
      <w:pPr>
        <w:spacing w:before="240" w:after="120"/>
        <w:jc w:val="both"/>
        <w:rPr>
          <w:rFonts w:ascii="Arial" w:hAnsi="Arial" w:cs="Arial"/>
        </w:rPr>
      </w:pPr>
      <w:r w:rsidRPr="00D00D36">
        <w:rPr>
          <w:rFonts w:ascii="Arial" w:hAnsi="Arial" w:cs="Arial"/>
        </w:rPr>
        <w:t xml:space="preserve">Podle aktuálního harmonogramu prací (viz. Příloha č. 2) je předpokládáno v letech </w:t>
      </w:r>
      <w:r w:rsidR="00DA14F7" w:rsidRPr="00D00D36">
        <w:rPr>
          <w:rFonts w:ascii="Arial" w:hAnsi="Arial" w:cs="Arial"/>
        </w:rPr>
        <w:t xml:space="preserve">2013 – 2015 </w:t>
      </w:r>
      <w:r w:rsidRPr="00D00D36">
        <w:rPr>
          <w:rFonts w:ascii="Arial" w:hAnsi="Arial" w:cs="Arial"/>
        </w:rPr>
        <w:t>následující čerpání finančních prostředků</w:t>
      </w:r>
      <w:r w:rsidR="00DA14F7" w:rsidRPr="00D00D36">
        <w:rPr>
          <w:rFonts w:ascii="Arial" w:hAnsi="Arial" w:cs="Arial"/>
        </w:rPr>
        <w:t xml:space="preserve"> na přímé realizační náklady</w:t>
      </w:r>
      <w:r w:rsidR="00801F35" w:rsidRPr="00D00D36">
        <w:rPr>
          <w:rFonts w:ascii="Arial" w:hAnsi="Arial" w:cs="Arial"/>
        </w:rPr>
        <w:t>:</w:t>
      </w:r>
    </w:p>
    <w:tbl>
      <w:tblPr>
        <w:tblStyle w:val="Mkatabulky"/>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5"/>
        <w:gridCol w:w="1560"/>
        <w:gridCol w:w="1559"/>
        <w:gridCol w:w="1417"/>
        <w:gridCol w:w="1771"/>
      </w:tblGrid>
      <w:tr w:rsidR="00E67098" w:rsidRPr="00D00D36" w:rsidTr="00940C12">
        <w:trPr>
          <w:jc w:val="center"/>
        </w:trPr>
        <w:tc>
          <w:tcPr>
            <w:tcW w:w="2905" w:type="dxa"/>
            <w:vMerge w:val="restart"/>
            <w:shd w:val="clear" w:color="auto" w:fill="D6E3BC" w:themeFill="accent3" w:themeFillTint="66"/>
          </w:tcPr>
          <w:p w:rsidR="00E67098" w:rsidRPr="00D00D36" w:rsidRDefault="00DA14F7" w:rsidP="00186E2E">
            <w:pPr>
              <w:spacing w:after="120"/>
              <w:jc w:val="both"/>
              <w:rPr>
                <w:rFonts w:ascii="Arial" w:hAnsi="Arial" w:cs="Arial"/>
                <w:sz w:val="20"/>
                <w:szCs w:val="20"/>
              </w:rPr>
            </w:pPr>
            <w:r w:rsidRPr="00D00D36">
              <w:rPr>
                <w:rFonts w:ascii="Arial" w:hAnsi="Arial" w:cs="Arial"/>
                <w:sz w:val="20"/>
                <w:szCs w:val="20"/>
              </w:rPr>
              <w:t>Výdaje</w:t>
            </w:r>
            <w:r w:rsidR="004005A8" w:rsidRPr="00D00D36">
              <w:rPr>
                <w:rFonts w:ascii="Arial" w:hAnsi="Arial" w:cs="Arial"/>
                <w:sz w:val="20"/>
                <w:szCs w:val="20"/>
              </w:rPr>
              <w:t xml:space="preserve"> na </w:t>
            </w:r>
            <w:r w:rsidR="00186E2E">
              <w:rPr>
                <w:rFonts w:ascii="Arial" w:hAnsi="Arial" w:cs="Arial"/>
                <w:sz w:val="20"/>
                <w:szCs w:val="20"/>
              </w:rPr>
              <w:t xml:space="preserve">přímé </w:t>
            </w:r>
            <w:r w:rsidR="004005A8" w:rsidRPr="00D00D36">
              <w:rPr>
                <w:rFonts w:ascii="Arial" w:hAnsi="Arial" w:cs="Arial"/>
                <w:sz w:val="20"/>
                <w:szCs w:val="20"/>
              </w:rPr>
              <w:t>realiza</w:t>
            </w:r>
            <w:r w:rsidR="00186E2E">
              <w:rPr>
                <w:rFonts w:ascii="Arial" w:hAnsi="Arial" w:cs="Arial"/>
                <w:sz w:val="20"/>
                <w:szCs w:val="20"/>
              </w:rPr>
              <w:t>ční</w:t>
            </w:r>
            <w:r w:rsidR="004005A8" w:rsidRPr="00D00D36">
              <w:rPr>
                <w:rFonts w:ascii="Arial" w:hAnsi="Arial" w:cs="Arial"/>
                <w:sz w:val="20"/>
                <w:szCs w:val="20"/>
              </w:rPr>
              <w:t xml:space="preserve"> </w:t>
            </w:r>
            <w:r w:rsidR="00186E2E">
              <w:rPr>
                <w:rFonts w:ascii="Arial" w:hAnsi="Arial" w:cs="Arial"/>
                <w:sz w:val="20"/>
                <w:szCs w:val="20"/>
              </w:rPr>
              <w:t>náklady bez nákladů na publicitu</w:t>
            </w:r>
            <w:r w:rsidR="00801F35" w:rsidRPr="00D00D36">
              <w:rPr>
                <w:rFonts w:ascii="Arial" w:hAnsi="Arial" w:cs="Arial"/>
                <w:sz w:val="20"/>
                <w:szCs w:val="20"/>
              </w:rPr>
              <w:t xml:space="preserve"> </w:t>
            </w:r>
            <w:r w:rsidR="00940C12">
              <w:rPr>
                <w:rFonts w:ascii="Arial" w:hAnsi="Arial" w:cs="Arial"/>
                <w:sz w:val="20"/>
                <w:szCs w:val="20"/>
              </w:rPr>
              <w:t>v jednotlivých letech (</w:t>
            </w:r>
            <w:r w:rsidR="00D00D36" w:rsidRPr="00D00D36">
              <w:rPr>
                <w:rFonts w:ascii="Arial" w:hAnsi="Arial" w:cs="Arial"/>
                <w:sz w:val="20"/>
                <w:szCs w:val="20"/>
              </w:rPr>
              <w:t>v</w:t>
            </w:r>
            <w:r w:rsidR="00801F35" w:rsidRPr="00D00D36">
              <w:rPr>
                <w:rFonts w:ascii="Arial" w:hAnsi="Arial" w:cs="Arial"/>
                <w:sz w:val="20"/>
                <w:szCs w:val="20"/>
              </w:rPr>
              <w:t xml:space="preserve"> Kč</w:t>
            </w:r>
            <w:r w:rsidR="00940C12">
              <w:rPr>
                <w:rFonts w:ascii="Arial" w:hAnsi="Arial" w:cs="Arial"/>
                <w:sz w:val="20"/>
                <w:szCs w:val="20"/>
              </w:rPr>
              <w:t>)</w:t>
            </w:r>
          </w:p>
        </w:tc>
        <w:tc>
          <w:tcPr>
            <w:tcW w:w="4536" w:type="dxa"/>
            <w:gridSpan w:val="3"/>
            <w:shd w:val="clear" w:color="auto" w:fill="D6E3BC" w:themeFill="accent3" w:themeFillTint="66"/>
          </w:tcPr>
          <w:p w:rsidR="00E67098" w:rsidRPr="00D00D36" w:rsidRDefault="00E67098" w:rsidP="00801F35">
            <w:pPr>
              <w:spacing w:after="120"/>
              <w:jc w:val="center"/>
              <w:rPr>
                <w:rFonts w:ascii="Arial" w:hAnsi="Arial" w:cs="Arial"/>
                <w:sz w:val="20"/>
                <w:szCs w:val="20"/>
              </w:rPr>
            </w:pPr>
            <w:r w:rsidRPr="00D00D36">
              <w:rPr>
                <w:rFonts w:ascii="Arial" w:hAnsi="Arial" w:cs="Arial"/>
                <w:sz w:val="20"/>
                <w:szCs w:val="20"/>
              </w:rPr>
              <w:t>Rok</w:t>
            </w:r>
          </w:p>
        </w:tc>
        <w:tc>
          <w:tcPr>
            <w:tcW w:w="1771" w:type="dxa"/>
            <w:vMerge w:val="restart"/>
            <w:shd w:val="clear" w:color="auto" w:fill="D6E3BC" w:themeFill="accent3" w:themeFillTint="66"/>
          </w:tcPr>
          <w:p w:rsidR="00940C12" w:rsidRDefault="004005A8" w:rsidP="00D00D36">
            <w:pPr>
              <w:spacing w:after="120"/>
              <w:jc w:val="center"/>
              <w:rPr>
                <w:rFonts w:ascii="Arial" w:hAnsi="Arial" w:cs="Arial"/>
                <w:sz w:val="20"/>
                <w:szCs w:val="20"/>
              </w:rPr>
            </w:pPr>
            <w:r w:rsidRPr="00D00D36">
              <w:rPr>
                <w:rFonts w:ascii="Arial" w:hAnsi="Arial" w:cs="Arial"/>
                <w:sz w:val="20"/>
                <w:szCs w:val="20"/>
              </w:rPr>
              <w:t>Celkem</w:t>
            </w:r>
            <w:r w:rsidR="00801F35" w:rsidRPr="00D00D36">
              <w:rPr>
                <w:rFonts w:ascii="Arial" w:hAnsi="Arial" w:cs="Arial"/>
                <w:sz w:val="20"/>
                <w:szCs w:val="20"/>
              </w:rPr>
              <w:t xml:space="preserve"> </w:t>
            </w:r>
          </w:p>
          <w:p w:rsidR="00E67098" w:rsidRPr="00D00D36" w:rsidRDefault="00940C12" w:rsidP="00D00D36">
            <w:pPr>
              <w:spacing w:after="120"/>
              <w:jc w:val="center"/>
              <w:rPr>
                <w:rFonts w:ascii="Arial" w:hAnsi="Arial" w:cs="Arial"/>
                <w:sz w:val="20"/>
                <w:szCs w:val="20"/>
              </w:rPr>
            </w:pPr>
            <w:r>
              <w:rPr>
                <w:rFonts w:ascii="Arial" w:hAnsi="Arial" w:cs="Arial"/>
                <w:sz w:val="20"/>
                <w:szCs w:val="20"/>
              </w:rPr>
              <w:t>(</w:t>
            </w:r>
            <w:r w:rsidR="00801F35" w:rsidRPr="00D00D36">
              <w:rPr>
                <w:rFonts w:ascii="Arial" w:hAnsi="Arial" w:cs="Arial"/>
                <w:sz w:val="20"/>
                <w:szCs w:val="20"/>
              </w:rPr>
              <w:t>v Kč</w:t>
            </w:r>
            <w:r>
              <w:rPr>
                <w:rFonts w:ascii="Arial" w:hAnsi="Arial" w:cs="Arial"/>
                <w:sz w:val="20"/>
                <w:szCs w:val="20"/>
              </w:rPr>
              <w:t>)</w:t>
            </w:r>
          </w:p>
        </w:tc>
      </w:tr>
      <w:tr w:rsidR="00E67098" w:rsidRPr="00D00D36" w:rsidTr="00940C12">
        <w:trPr>
          <w:jc w:val="center"/>
        </w:trPr>
        <w:tc>
          <w:tcPr>
            <w:tcW w:w="2905" w:type="dxa"/>
            <w:vMerge/>
          </w:tcPr>
          <w:p w:rsidR="00E67098" w:rsidRPr="00D00D36" w:rsidRDefault="00E67098" w:rsidP="002B244B">
            <w:pPr>
              <w:spacing w:after="120"/>
              <w:jc w:val="both"/>
              <w:rPr>
                <w:rFonts w:ascii="Arial" w:hAnsi="Arial" w:cs="Arial"/>
                <w:sz w:val="20"/>
                <w:szCs w:val="20"/>
              </w:rPr>
            </w:pPr>
          </w:p>
        </w:tc>
        <w:tc>
          <w:tcPr>
            <w:tcW w:w="1560" w:type="dxa"/>
            <w:shd w:val="clear" w:color="auto" w:fill="D6E3BC" w:themeFill="accent3" w:themeFillTint="66"/>
          </w:tcPr>
          <w:p w:rsidR="00E67098" w:rsidRPr="00D00D36" w:rsidRDefault="00E67098" w:rsidP="00801F35">
            <w:pPr>
              <w:spacing w:after="120"/>
              <w:jc w:val="center"/>
              <w:rPr>
                <w:rFonts w:ascii="Arial" w:hAnsi="Arial" w:cs="Arial"/>
                <w:sz w:val="20"/>
                <w:szCs w:val="20"/>
              </w:rPr>
            </w:pPr>
            <w:r w:rsidRPr="00D00D36">
              <w:rPr>
                <w:rFonts w:ascii="Arial" w:hAnsi="Arial" w:cs="Arial"/>
                <w:sz w:val="20"/>
                <w:szCs w:val="20"/>
              </w:rPr>
              <w:t>2013</w:t>
            </w:r>
          </w:p>
        </w:tc>
        <w:tc>
          <w:tcPr>
            <w:tcW w:w="1559" w:type="dxa"/>
            <w:shd w:val="clear" w:color="auto" w:fill="D6E3BC" w:themeFill="accent3" w:themeFillTint="66"/>
          </w:tcPr>
          <w:p w:rsidR="00E67098" w:rsidRPr="00D00D36" w:rsidRDefault="00E67098" w:rsidP="00801F35">
            <w:pPr>
              <w:spacing w:after="120"/>
              <w:jc w:val="center"/>
              <w:rPr>
                <w:rFonts w:ascii="Arial" w:hAnsi="Arial" w:cs="Arial"/>
                <w:sz w:val="20"/>
                <w:szCs w:val="20"/>
              </w:rPr>
            </w:pPr>
            <w:r w:rsidRPr="00D00D36">
              <w:rPr>
                <w:rFonts w:ascii="Arial" w:hAnsi="Arial" w:cs="Arial"/>
                <w:sz w:val="20"/>
                <w:szCs w:val="20"/>
              </w:rPr>
              <w:t>2014</w:t>
            </w:r>
          </w:p>
        </w:tc>
        <w:tc>
          <w:tcPr>
            <w:tcW w:w="1417" w:type="dxa"/>
            <w:shd w:val="clear" w:color="auto" w:fill="D6E3BC" w:themeFill="accent3" w:themeFillTint="66"/>
          </w:tcPr>
          <w:p w:rsidR="00E67098" w:rsidRPr="00D00D36" w:rsidRDefault="00E67098" w:rsidP="00801F35">
            <w:pPr>
              <w:spacing w:after="120"/>
              <w:jc w:val="center"/>
              <w:rPr>
                <w:rFonts w:ascii="Arial" w:hAnsi="Arial" w:cs="Arial"/>
                <w:sz w:val="20"/>
                <w:szCs w:val="20"/>
              </w:rPr>
            </w:pPr>
            <w:r w:rsidRPr="00D00D36">
              <w:rPr>
                <w:rFonts w:ascii="Arial" w:hAnsi="Arial" w:cs="Arial"/>
                <w:sz w:val="20"/>
                <w:szCs w:val="20"/>
              </w:rPr>
              <w:t>2015</w:t>
            </w:r>
          </w:p>
        </w:tc>
        <w:tc>
          <w:tcPr>
            <w:tcW w:w="1771" w:type="dxa"/>
            <w:vMerge/>
          </w:tcPr>
          <w:p w:rsidR="00E67098" w:rsidRPr="00D00D36" w:rsidRDefault="00E67098" w:rsidP="00801F35">
            <w:pPr>
              <w:spacing w:after="120"/>
              <w:jc w:val="center"/>
              <w:rPr>
                <w:rFonts w:ascii="Arial" w:hAnsi="Arial" w:cs="Arial"/>
                <w:sz w:val="20"/>
                <w:szCs w:val="20"/>
              </w:rPr>
            </w:pPr>
          </w:p>
        </w:tc>
      </w:tr>
      <w:tr w:rsidR="00DB4DD4" w:rsidRPr="00D00D36" w:rsidTr="00940C12">
        <w:trPr>
          <w:jc w:val="center"/>
        </w:trPr>
        <w:tc>
          <w:tcPr>
            <w:tcW w:w="2905" w:type="dxa"/>
          </w:tcPr>
          <w:p w:rsidR="00DB4DD4" w:rsidRPr="00D00D36" w:rsidRDefault="00E67098" w:rsidP="002B244B">
            <w:pPr>
              <w:spacing w:after="120"/>
              <w:jc w:val="both"/>
              <w:rPr>
                <w:rFonts w:ascii="Arial" w:hAnsi="Arial" w:cs="Arial"/>
                <w:sz w:val="20"/>
                <w:szCs w:val="20"/>
              </w:rPr>
            </w:pPr>
            <w:r w:rsidRPr="00D00D36">
              <w:rPr>
                <w:rFonts w:ascii="Arial" w:hAnsi="Arial" w:cs="Arial"/>
                <w:sz w:val="20"/>
                <w:szCs w:val="20"/>
              </w:rPr>
              <w:t>bez DPH</w:t>
            </w:r>
          </w:p>
        </w:tc>
        <w:tc>
          <w:tcPr>
            <w:tcW w:w="1560"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1</w:t>
            </w:r>
            <w:r w:rsidR="00D00D36" w:rsidRPr="00D00D36">
              <w:rPr>
                <w:rFonts w:ascii="Arial" w:hAnsi="Arial" w:cs="Arial"/>
                <w:sz w:val="20"/>
                <w:szCs w:val="20"/>
              </w:rPr>
              <w:t> </w:t>
            </w:r>
            <w:r w:rsidRPr="00D00D36">
              <w:rPr>
                <w:rFonts w:ascii="Arial" w:hAnsi="Arial" w:cs="Arial"/>
                <w:sz w:val="20"/>
                <w:szCs w:val="20"/>
              </w:rPr>
              <w:t>752</w:t>
            </w:r>
            <w:r w:rsidR="00D00D36" w:rsidRPr="00D00D36">
              <w:rPr>
                <w:rFonts w:ascii="Arial" w:hAnsi="Arial" w:cs="Arial"/>
                <w:sz w:val="20"/>
                <w:szCs w:val="20"/>
              </w:rPr>
              <w:t xml:space="preserve"> </w:t>
            </w:r>
            <w:r w:rsidRPr="00D00D36">
              <w:rPr>
                <w:rFonts w:ascii="Arial" w:hAnsi="Arial" w:cs="Arial"/>
                <w:sz w:val="20"/>
                <w:szCs w:val="20"/>
              </w:rPr>
              <w:t>202</w:t>
            </w:r>
          </w:p>
        </w:tc>
        <w:tc>
          <w:tcPr>
            <w:tcW w:w="1559"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253</w:t>
            </w:r>
            <w:r w:rsidR="00D00D36" w:rsidRPr="00D00D36">
              <w:rPr>
                <w:rFonts w:ascii="Arial" w:hAnsi="Arial" w:cs="Arial"/>
                <w:sz w:val="20"/>
                <w:szCs w:val="20"/>
              </w:rPr>
              <w:t> </w:t>
            </w:r>
            <w:r w:rsidRPr="00D00D36">
              <w:rPr>
                <w:rFonts w:ascii="Arial" w:hAnsi="Arial" w:cs="Arial"/>
                <w:sz w:val="20"/>
                <w:szCs w:val="20"/>
              </w:rPr>
              <w:t>944</w:t>
            </w:r>
            <w:r w:rsidR="00D00D36" w:rsidRPr="00D00D36">
              <w:rPr>
                <w:rFonts w:ascii="Arial" w:hAnsi="Arial" w:cs="Arial"/>
                <w:sz w:val="20"/>
                <w:szCs w:val="20"/>
              </w:rPr>
              <w:t xml:space="preserve"> </w:t>
            </w:r>
            <w:r w:rsidRPr="00D00D36">
              <w:rPr>
                <w:rFonts w:ascii="Arial" w:hAnsi="Arial" w:cs="Arial"/>
                <w:sz w:val="20"/>
                <w:szCs w:val="20"/>
              </w:rPr>
              <w:t>940</w:t>
            </w:r>
          </w:p>
        </w:tc>
        <w:tc>
          <w:tcPr>
            <w:tcW w:w="1417"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43</w:t>
            </w:r>
            <w:r w:rsidR="00D00D36" w:rsidRPr="00D00D36">
              <w:rPr>
                <w:rFonts w:ascii="Arial" w:hAnsi="Arial" w:cs="Arial"/>
                <w:sz w:val="20"/>
                <w:szCs w:val="20"/>
              </w:rPr>
              <w:t> </w:t>
            </w:r>
            <w:r w:rsidRPr="00D00D36">
              <w:rPr>
                <w:rFonts w:ascii="Arial" w:hAnsi="Arial" w:cs="Arial"/>
                <w:sz w:val="20"/>
                <w:szCs w:val="20"/>
              </w:rPr>
              <w:t>893</w:t>
            </w:r>
            <w:r w:rsidR="00D00D36" w:rsidRPr="00D00D36">
              <w:rPr>
                <w:rFonts w:ascii="Arial" w:hAnsi="Arial" w:cs="Arial"/>
                <w:sz w:val="20"/>
                <w:szCs w:val="20"/>
              </w:rPr>
              <w:t xml:space="preserve"> </w:t>
            </w:r>
            <w:r w:rsidRPr="00D00D36">
              <w:rPr>
                <w:rFonts w:ascii="Arial" w:hAnsi="Arial" w:cs="Arial"/>
                <w:sz w:val="20"/>
                <w:szCs w:val="20"/>
              </w:rPr>
              <w:t>852</w:t>
            </w:r>
          </w:p>
        </w:tc>
        <w:tc>
          <w:tcPr>
            <w:tcW w:w="1771"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299</w:t>
            </w:r>
            <w:r w:rsidR="00D00D36" w:rsidRPr="00D00D36">
              <w:rPr>
                <w:rFonts w:ascii="Arial" w:hAnsi="Arial" w:cs="Arial"/>
                <w:sz w:val="20"/>
                <w:szCs w:val="20"/>
              </w:rPr>
              <w:t> </w:t>
            </w:r>
            <w:r w:rsidRPr="00D00D36">
              <w:rPr>
                <w:rFonts w:ascii="Arial" w:hAnsi="Arial" w:cs="Arial"/>
                <w:sz w:val="20"/>
                <w:szCs w:val="20"/>
              </w:rPr>
              <w:t>59</w:t>
            </w:r>
            <w:r w:rsidR="004005A8" w:rsidRPr="00D00D36">
              <w:rPr>
                <w:rFonts w:ascii="Arial" w:hAnsi="Arial" w:cs="Arial"/>
                <w:sz w:val="20"/>
                <w:szCs w:val="20"/>
              </w:rPr>
              <w:t>0</w:t>
            </w:r>
            <w:r w:rsidR="00D00D36" w:rsidRPr="00D00D36">
              <w:rPr>
                <w:rFonts w:ascii="Arial" w:hAnsi="Arial" w:cs="Arial"/>
                <w:sz w:val="20"/>
                <w:szCs w:val="20"/>
              </w:rPr>
              <w:t xml:space="preserve"> </w:t>
            </w:r>
            <w:r w:rsidRPr="00D00D36">
              <w:rPr>
                <w:rFonts w:ascii="Arial" w:hAnsi="Arial" w:cs="Arial"/>
                <w:sz w:val="20"/>
                <w:szCs w:val="20"/>
              </w:rPr>
              <w:t>994</w:t>
            </w:r>
          </w:p>
        </w:tc>
      </w:tr>
      <w:tr w:rsidR="00DB4DD4" w:rsidRPr="00D00D36" w:rsidTr="00940C12">
        <w:trPr>
          <w:jc w:val="center"/>
        </w:trPr>
        <w:tc>
          <w:tcPr>
            <w:tcW w:w="2905" w:type="dxa"/>
          </w:tcPr>
          <w:p w:rsidR="00DB4DD4" w:rsidRPr="00D00D36" w:rsidRDefault="00E67098" w:rsidP="00E67098">
            <w:pPr>
              <w:spacing w:after="120"/>
              <w:jc w:val="both"/>
              <w:rPr>
                <w:rFonts w:ascii="Arial" w:hAnsi="Arial" w:cs="Arial"/>
                <w:sz w:val="20"/>
                <w:szCs w:val="20"/>
              </w:rPr>
            </w:pPr>
            <w:r w:rsidRPr="00D00D36">
              <w:rPr>
                <w:rFonts w:ascii="Arial" w:hAnsi="Arial" w:cs="Arial"/>
                <w:sz w:val="20"/>
                <w:szCs w:val="20"/>
              </w:rPr>
              <w:t>včetně DPH</w:t>
            </w:r>
          </w:p>
        </w:tc>
        <w:tc>
          <w:tcPr>
            <w:tcW w:w="1560"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2</w:t>
            </w:r>
            <w:r w:rsidR="00D00D36" w:rsidRPr="00D00D36">
              <w:rPr>
                <w:rFonts w:ascii="Arial" w:hAnsi="Arial" w:cs="Arial"/>
                <w:sz w:val="20"/>
                <w:szCs w:val="20"/>
              </w:rPr>
              <w:t> </w:t>
            </w:r>
            <w:r w:rsidRPr="00D00D36">
              <w:rPr>
                <w:rFonts w:ascii="Arial" w:hAnsi="Arial" w:cs="Arial"/>
                <w:sz w:val="20"/>
                <w:szCs w:val="20"/>
              </w:rPr>
              <w:t>120</w:t>
            </w:r>
            <w:r w:rsidR="00D00D36" w:rsidRPr="00D00D36">
              <w:rPr>
                <w:rFonts w:ascii="Arial" w:hAnsi="Arial" w:cs="Arial"/>
                <w:sz w:val="20"/>
                <w:szCs w:val="20"/>
              </w:rPr>
              <w:t xml:space="preserve"> </w:t>
            </w:r>
            <w:r w:rsidRPr="00D00D36">
              <w:rPr>
                <w:rFonts w:ascii="Arial" w:hAnsi="Arial" w:cs="Arial"/>
                <w:sz w:val="20"/>
                <w:szCs w:val="20"/>
              </w:rPr>
              <w:t>164</w:t>
            </w:r>
          </w:p>
        </w:tc>
        <w:tc>
          <w:tcPr>
            <w:tcW w:w="1559"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307</w:t>
            </w:r>
            <w:r w:rsidR="00D00D36" w:rsidRPr="00D00D36">
              <w:rPr>
                <w:rFonts w:ascii="Arial" w:hAnsi="Arial" w:cs="Arial"/>
                <w:sz w:val="20"/>
                <w:szCs w:val="20"/>
              </w:rPr>
              <w:t> </w:t>
            </w:r>
            <w:r w:rsidRPr="00D00D36">
              <w:rPr>
                <w:rFonts w:ascii="Arial" w:hAnsi="Arial" w:cs="Arial"/>
                <w:sz w:val="20"/>
                <w:szCs w:val="20"/>
              </w:rPr>
              <w:t>273</w:t>
            </w:r>
            <w:r w:rsidR="00D00D36" w:rsidRPr="00D00D36">
              <w:rPr>
                <w:rFonts w:ascii="Arial" w:hAnsi="Arial" w:cs="Arial"/>
                <w:sz w:val="20"/>
                <w:szCs w:val="20"/>
              </w:rPr>
              <w:t xml:space="preserve"> </w:t>
            </w:r>
            <w:r w:rsidRPr="00D00D36">
              <w:rPr>
                <w:rFonts w:ascii="Arial" w:hAnsi="Arial" w:cs="Arial"/>
                <w:sz w:val="20"/>
                <w:szCs w:val="20"/>
              </w:rPr>
              <w:t>377</w:t>
            </w:r>
          </w:p>
        </w:tc>
        <w:tc>
          <w:tcPr>
            <w:tcW w:w="1417"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53</w:t>
            </w:r>
            <w:r w:rsidR="00D00D36" w:rsidRPr="00D00D36">
              <w:rPr>
                <w:rFonts w:ascii="Arial" w:hAnsi="Arial" w:cs="Arial"/>
                <w:sz w:val="20"/>
                <w:szCs w:val="20"/>
              </w:rPr>
              <w:t> </w:t>
            </w:r>
            <w:r w:rsidRPr="00D00D36">
              <w:rPr>
                <w:rFonts w:ascii="Arial" w:hAnsi="Arial" w:cs="Arial"/>
                <w:sz w:val="20"/>
                <w:szCs w:val="20"/>
              </w:rPr>
              <w:t>111</w:t>
            </w:r>
            <w:r w:rsidR="00D00D36" w:rsidRPr="00D00D36">
              <w:rPr>
                <w:rFonts w:ascii="Arial" w:hAnsi="Arial" w:cs="Arial"/>
                <w:sz w:val="20"/>
                <w:szCs w:val="20"/>
              </w:rPr>
              <w:t xml:space="preserve"> </w:t>
            </w:r>
            <w:r w:rsidRPr="00D00D36">
              <w:rPr>
                <w:rFonts w:ascii="Arial" w:hAnsi="Arial" w:cs="Arial"/>
                <w:sz w:val="20"/>
                <w:szCs w:val="20"/>
              </w:rPr>
              <w:t>561</w:t>
            </w:r>
          </w:p>
        </w:tc>
        <w:tc>
          <w:tcPr>
            <w:tcW w:w="1771" w:type="dxa"/>
          </w:tcPr>
          <w:p w:rsidR="00DB4DD4" w:rsidRPr="00D00D36" w:rsidRDefault="00E67098" w:rsidP="00D00D36">
            <w:pPr>
              <w:spacing w:after="120"/>
              <w:jc w:val="center"/>
              <w:rPr>
                <w:rFonts w:ascii="Arial" w:hAnsi="Arial" w:cs="Arial"/>
                <w:sz w:val="20"/>
                <w:szCs w:val="20"/>
              </w:rPr>
            </w:pPr>
            <w:r w:rsidRPr="00D00D36">
              <w:rPr>
                <w:rFonts w:ascii="Arial" w:hAnsi="Arial" w:cs="Arial"/>
                <w:sz w:val="20"/>
                <w:szCs w:val="20"/>
              </w:rPr>
              <w:t>362</w:t>
            </w:r>
            <w:r w:rsidR="00D00D36" w:rsidRPr="00D00D36">
              <w:rPr>
                <w:rFonts w:ascii="Arial" w:hAnsi="Arial" w:cs="Arial"/>
                <w:sz w:val="20"/>
                <w:szCs w:val="20"/>
              </w:rPr>
              <w:t> </w:t>
            </w:r>
            <w:r w:rsidRPr="00D00D36">
              <w:rPr>
                <w:rFonts w:ascii="Arial" w:hAnsi="Arial" w:cs="Arial"/>
                <w:sz w:val="20"/>
                <w:szCs w:val="20"/>
              </w:rPr>
              <w:t>505</w:t>
            </w:r>
            <w:r w:rsidR="00D00D36" w:rsidRPr="00D00D36">
              <w:rPr>
                <w:rFonts w:ascii="Arial" w:hAnsi="Arial" w:cs="Arial"/>
                <w:sz w:val="20"/>
                <w:szCs w:val="20"/>
              </w:rPr>
              <w:t xml:space="preserve"> </w:t>
            </w:r>
            <w:r w:rsidRPr="00D00D36">
              <w:rPr>
                <w:rFonts w:ascii="Arial" w:hAnsi="Arial" w:cs="Arial"/>
                <w:sz w:val="20"/>
                <w:szCs w:val="20"/>
              </w:rPr>
              <w:t>102</w:t>
            </w:r>
          </w:p>
        </w:tc>
      </w:tr>
    </w:tbl>
    <w:p w:rsidR="00F86622" w:rsidRDefault="00F86622" w:rsidP="00114CC1">
      <w:pPr>
        <w:spacing w:after="120"/>
        <w:jc w:val="both"/>
        <w:rPr>
          <w:rFonts w:ascii="Arial" w:hAnsi="Arial" w:cs="Arial"/>
        </w:rPr>
      </w:pPr>
    </w:p>
    <w:p w:rsidR="002B244B" w:rsidRDefault="00114CC1" w:rsidP="00CD03F0">
      <w:pPr>
        <w:spacing w:after="360"/>
        <w:jc w:val="both"/>
        <w:rPr>
          <w:rFonts w:ascii="Arial" w:hAnsi="Arial" w:cs="Arial"/>
        </w:rPr>
      </w:pPr>
      <w:r w:rsidRPr="00D00D36">
        <w:rPr>
          <w:rFonts w:ascii="Arial" w:hAnsi="Arial" w:cs="Arial"/>
        </w:rPr>
        <w:t xml:space="preserve">Město doposud investovalo do přípravy realizace opatření cca 2 mil. Kč. </w:t>
      </w:r>
      <w:r w:rsidR="003D1575" w:rsidRPr="00D00D36">
        <w:rPr>
          <w:rFonts w:ascii="Arial" w:hAnsi="Arial" w:cs="Arial"/>
        </w:rPr>
        <w:t xml:space="preserve">Do současnosti byl již realizován výše zmiňovaný </w:t>
      </w:r>
      <w:proofErr w:type="spellStart"/>
      <w:r w:rsidR="003D1575" w:rsidRPr="00D00D36">
        <w:rPr>
          <w:rFonts w:ascii="Arial" w:hAnsi="Arial" w:cs="Arial"/>
        </w:rPr>
        <w:t>doprůzkum</w:t>
      </w:r>
      <w:proofErr w:type="spellEnd"/>
      <w:r w:rsidR="003D1575" w:rsidRPr="00D00D36">
        <w:rPr>
          <w:rFonts w:ascii="Arial" w:hAnsi="Arial" w:cs="Arial"/>
        </w:rPr>
        <w:t xml:space="preserve"> lokality (03/2014) </w:t>
      </w:r>
      <w:r w:rsidR="0007005C">
        <w:rPr>
          <w:rFonts w:ascii="Arial" w:hAnsi="Arial" w:cs="Arial"/>
        </w:rPr>
        <w:br/>
      </w:r>
      <w:r w:rsidR="003D1575" w:rsidRPr="00D00D36">
        <w:rPr>
          <w:rFonts w:ascii="Arial" w:hAnsi="Arial" w:cs="Arial"/>
        </w:rPr>
        <w:t xml:space="preserve">a zpracován realizační projekt Realizace nápravných opatření na lokalitě Litovel – </w:t>
      </w:r>
      <w:proofErr w:type="spellStart"/>
      <w:r w:rsidR="003D1575" w:rsidRPr="00D00D36">
        <w:rPr>
          <w:rFonts w:ascii="Arial" w:hAnsi="Arial" w:cs="Arial"/>
        </w:rPr>
        <w:t>Nasobůrky</w:t>
      </w:r>
      <w:proofErr w:type="spellEnd"/>
      <w:r w:rsidR="003D1575" w:rsidRPr="00D00D36">
        <w:rPr>
          <w:rFonts w:ascii="Arial" w:hAnsi="Arial" w:cs="Arial"/>
        </w:rPr>
        <w:t xml:space="preserve"> (04/2014), ke kt</w:t>
      </w:r>
      <w:r w:rsidR="002B244B" w:rsidRPr="00D00D36">
        <w:rPr>
          <w:rFonts w:ascii="Arial" w:hAnsi="Arial" w:cs="Arial"/>
        </w:rPr>
        <w:t>e</w:t>
      </w:r>
      <w:r w:rsidR="003D1575" w:rsidRPr="00D00D36">
        <w:rPr>
          <w:rFonts w:ascii="Arial" w:hAnsi="Arial" w:cs="Arial"/>
        </w:rPr>
        <w:t>rému bylo vydáno souhlasné stanovisko Ministerstva životního prostředí (05/2014).</w:t>
      </w:r>
    </w:p>
    <w:p w:rsidR="00457EEA" w:rsidRPr="00457EEA" w:rsidRDefault="00457EEA" w:rsidP="00457EEA">
      <w:pPr>
        <w:pStyle w:val="Odstavecseseznamem"/>
        <w:numPr>
          <w:ilvl w:val="0"/>
          <w:numId w:val="30"/>
        </w:numPr>
        <w:spacing w:after="120"/>
        <w:jc w:val="both"/>
        <w:rPr>
          <w:rFonts w:ascii="Arial" w:hAnsi="Arial" w:cs="Arial"/>
          <w:b/>
        </w:rPr>
      </w:pPr>
      <w:r w:rsidRPr="00457EEA">
        <w:rPr>
          <w:rFonts w:ascii="Arial" w:hAnsi="Arial" w:cs="Arial"/>
          <w:b/>
        </w:rPr>
        <w:t>Zabezpečení financování</w:t>
      </w:r>
      <w:r w:rsidR="00940C12">
        <w:rPr>
          <w:rFonts w:ascii="Arial" w:hAnsi="Arial" w:cs="Arial"/>
          <w:b/>
        </w:rPr>
        <w:t xml:space="preserve"> realizace opatření</w:t>
      </w:r>
    </w:p>
    <w:p w:rsidR="00CD03F0" w:rsidRDefault="00457EEA" w:rsidP="00457EEA">
      <w:pPr>
        <w:spacing w:after="120"/>
        <w:jc w:val="both"/>
        <w:rPr>
          <w:rFonts w:ascii="Arial" w:hAnsi="Arial" w:cs="Arial"/>
        </w:rPr>
      </w:pPr>
      <w:r w:rsidRPr="00CD03F0">
        <w:rPr>
          <w:rFonts w:ascii="Arial" w:hAnsi="Arial" w:cs="Arial"/>
          <w:b/>
        </w:rPr>
        <w:t>Na realizaci opatření byla městu Litovel poskytnuta dotace v rámci Operačního programu Životní prostředí</w:t>
      </w:r>
      <w:r w:rsidRPr="00457EEA">
        <w:rPr>
          <w:rFonts w:ascii="Arial" w:hAnsi="Arial" w:cs="Arial"/>
        </w:rPr>
        <w:t xml:space="preserve"> ve výši 90 % celkových způsobilých veřejných výdajů projektu a to z 85 % Fondu soudržnosti a 5 % ze státního rozpočtu (kapitola 315 – MŽP). V souvislosti s principem </w:t>
      </w:r>
      <w:proofErr w:type="spellStart"/>
      <w:r w:rsidRPr="00457EEA">
        <w:rPr>
          <w:rFonts w:ascii="Arial" w:hAnsi="Arial" w:cs="Arial"/>
        </w:rPr>
        <w:t>adicionality</w:t>
      </w:r>
      <w:proofErr w:type="spellEnd"/>
      <w:r w:rsidRPr="00457EEA">
        <w:rPr>
          <w:rFonts w:ascii="Arial" w:hAnsi="Arial" w:cs="Arial"/>
        </w:rPr>
        <w:t xml:space="preserve"> je požadována finanční účast příjemce podpory na spolufinancování projektu a to ve výši 10 % z celkových způsobilých výdajů projektu.</w:t>
      </w:r>
    </w:p>
    <w:p w:rsidR="00F21D69" w:rsidRPr="00F21D69" w:rsidRDefault="00F21D69" w:rsidP="00457EEA">
      <w:pPr>
        <w:spacing w:after="120"/>
        <w:jc w:val="both"/>
        <w:rPr>
          <w:rFonts w:ascii="Arial" w:hAnsi="Arial" w:cs="Arial"/>
          <w:b/>
        </w:rPr>
      </w:pPr>
      <w:r w:rsidRPr="00F21D69">
        <w:rPr>
          <w:rFonts w:ascii="Arial" w:hAnsi="Arial" w:cs="Arial"/>
          <w:b/>
        </w:rPr>
        <w:lastRenderedPageBreak/>
        <w:t xml:space="preserve">Podmínkou vydání </w:t>
      </w:r>
      <w:r w:rsidR="00CD03F0" w:rsidRPr="00F21D69">
        <w:rPr>
          <w:rFonts w:ascii="Arial" w:hAnsi="Arial" w:cs="Arial"/>
          <w:b/>
        </w:rPr>
        <w:t xml:space="preserve">Rozhodnutí o poskytnutí podpory z Fondu </w:t>
      </w:r>
      <w:r w:rsidRPr="00F21D69">
        <w:rPr>
          <w:rFonts w:ascii="Arial" w:hAnsi="Arial" w:cs="Arial"/>
          <w:b/>
        </w:rPr>
        <w:t xml:space="preserve">soudržnosti </w:t>
      </w:r>
      <w:r w:rsidR="00940C12">
        <w:rPr>
          <w:rFonts w:ascii="Arial" w:hAnsi="Arial" w:cs="Arial"/>
          <w:b/>
        </w:rPr>
        <w:br/>
      </w:r>
      <w:r w:rsidRPr="00F21D69">
        <w:rPr>
          <w:rFonts w:ascii="Arial" w:hAnsi="Arial" w:cs="Arial"/>
          <w:b/>
        </w:rPr>
        <w:t>a uzavření smlouvy o poskytnutí podpory ze státního rozpočtu je doložení zajištění vlastních zdrojů příjemce podpory do celkové výše uznatelných nákladů projektu.</w:t>
      </w:r>
    </w:p>
    <w:p w:rsidR="009E7E40" w:rsidRDefault="009E7E40" w:rsidP="009E7E40">
      <w:pPr>
        <w:spacing w:after="240"/>
        <w:jc w:val="both"/>
        <w:rPr>
          <w:rFonts w:ascii="Arial" w:hAnsi="Arial" w:cs="Arial"/>
          <w:b/>
        </w:rPr>
      </w:pPr>
      <w:r>
        <w:rPr>
          <w:rFonts w:ascii="Arial" w:hAnsi="Arial" w:cs="Arial"/>
          <w:b/>
        </w:rPr>
        <w:t xml:space="preserve">Podle informací poskytnutých zástupci města Litovel jsou již výše uvedené dokumenty před podpisem. </w:t>
      </w:r>
    </w:p>
    <w:p w:rsidR="00B63B30" w:rsidRPr="00CD03F0" w:rsidRDefault="00B63B30" w:rsidP="00B63B30">
      <w:pPr>
        <w:spacing w:after="120"/>
        <w:jc w:val="both"/>
        <w:rPr>
          <w:rFonts w:ascii="Arial" w:hAnsi="Arial" w:cs="Arial"/>
          <w:b/>
        </w:rPr>
      </w:pPr>
      <w:r w:rsidRPr="00CD03F0">
        <w:rPr>
          <w:rFonts w:ascii="Arial" w:hAnsi="Arial" w:cs="Arial"/>
          <w:b/>
        </w:rPr>
        <w:t>S</w:t>
      </w:r>
      <w:r>
        <w:rPr>
          <w:rFonts w:ascii="Arial" w:hAnsi="Arial" w:cs="Arial"/>
          <w:b/>
        </w:rPr>
        <w:t>oučasná s</w:t>
      </w:r>
      <w:r w:rsidRPr="00CD03F0">
        <w:rPr>
          <w:rFonts w:ascii="Arial" w:hAnsi="Arial" w:cs="Arial"/>
          <w:b/>
        </w:rPr>
        <w:t>kladba zabezpečení financování</w:t>
      </w:r>
    </w:p>
    <w:p w:rsidR="00B63B30" w:rsidRDefault="00B63B30" w:rsidP="00B63B30">
      <w:pPr>
        <w:jc w:val="both"/>
        <w:rPr>
          <w:rFonts w:ascii="Arial" w:hAnsi="Arial" w:cs="Arial"/>
        </w:rPr>
      </w:pPr>
      <w:r>
        <w:rPr>
          <w:rFonts w:ascii="Arial" w:hAnsi="Arial" w:cs="Arial"/>
        </w:rPr>
        <w:t>Dotace Fond soudržnosti</w:t>
      </w:r>
      <w:r>
        <w:rPr>
          <w:rFonts w:ascii="Arial" w:hAnsi="Arial" w:cs="Arial"/>
        </w:rPr>
        <w:tab/>
        <w:t xml:space="preserve">   </w:t>
      </w:r>
      <w:r>
        <w:rPr>
          <w:rFonts w:ascii="Arial" w:hAnsi="Arial" w:cs="Arial"/>
        </w:rPr>
        <w:tab/>
        <w:t>– 85 % způsobilých výdajů</w:t>
      </w:r>
      <w:r>
        <w:rPr>
          <w:rFonts w:ascii="Arial" w:hAnsi="Arial" w:cs="Arial"/>
        </w:rPr>
        <w:tab/>
        <w:t xml:space="preserve">      327 543 869,-Kč</w:t>
      </w:r>
    </w:p>
    <w:p w:rsidR="00B63B30" w:rsidRDefault="00B63B30" w:rsidP="00B63B30">
      <w:pPr>
        <w:jc w:val="both"/>
        <w:rPr>
          <w:rFonts w:ascii="Arial" w:hAnsi="Arial" w:cs="Arial"/>
        </w:rPr>
      </w:pPr>
      <w:r>
        <w:rPr>
          <w:rFonts w:ascii="Arial" w:hAnsi="Arial" w:cs="Arial"/>
        </w:rPr>
        <w:t>Dotace ze státního rozpočtu</w:t>
      </w:r>
      <w:r>
        <w:rPr>
          <w:rFonts w:ascii="Arial" w:hAnsi="Arial" w:cs="Arial"/>
        </w:rPr>
        <w:tab/>
        <w:t>-    5 % způsobilých výdajů       19 267 286,-Kč</w:t>
      </w:r>
    </w:p>
    <w:p w:rsidR="00B63B30" w:rsidRDefault="00B63B30" w:rsidP="00B63B30">
      <w:pPr>
        <w:jc w:val="both"/>
        <w:rPr>
          <w:rFonts w:ascii="Arial" w:hAnsi="Arial" w:cs="Arial"/>
        </w:rPr>
      </w:pPr>
      <w:r>
        <w:rPr>
          <w:rFonts w:ascii="Arial" w:hAnsi="Arial" w:cs="Arial"/>
        </w:rPr>
        <w:t>Půjčka ze Státního fondu životního prostředí</w:t>
      </w:r>
    </w:p>
    <w:p w:rsidR="00B63B30" w:rsidRPr="00CD03F0" w:rsidRDefault="00B63B30" w:rsidP="00B63B30">
      <w:pPr>
        <w:jc w:val="both"/>
        <w:rPr>
          <w:rFonts w:ascii="Arial" w:hAnsi="Arial" w:cs="Arial"/>
          <w:u w:val="single"/>
        </w:rPr>
      </w:pPr>
      <w:r w:rsidRPr="00CD03F0">
        <w:rPr>
          <w:rFonts w:ascii="Arial" w:hAnsi="Arial" w:cs="Arial"/>
          <w:u w:val="single"/>
        </w:rPr>
        <w:t xml:space="preserve">na vlastní zdroje </w:t>
      </w:r>
      <w:r w:rsidRPr="00CD03F0">
        <w:rPr>
          <w:rFonts w:ascii="Arial" w:hAnsi="Arial" w:cs="Arial"/>
          <w:u w:val="single"/>
        </w:rPr>
        <w:tab/>
      </w:r>
      <w:r w:rsidRPr="00CD03F0">
        <w:rPr>
          <w:rFonts w:ascii="Arial" w:hAnsi="Arial" w:cs="Arial"/>
          <w:u w:val="single"/>
        </w:rPr>
        <w:tab/>
      </w:r>
      <w:r w:rsidRPr="00CD03F0">
        <w:rPr>
          <w:rFonts w:ascii="Arial" w:hAnsi="Arial" w:cs="Arial"/>
          <w:u w:val="single"/>
        </w:rPr>
        <w:tab/>
        <w:t>– 10 % způsobilých výdajů</w:t>
      </w:r>
      <w:r w:rsidRPr="00CD03F0">
        <w:rPr>
          <w:rFonts w:ascii="Arial" w:hAnsi="Arial" w:cs="Arial"/>
          <w:u w:val="single"/>
        </w:rPr>
        <w:tab/>
        <w:t xml:space="preserve">        38 534 52</w:t>
      </w:r>
      <w:r>
        <w:rPr>
          <w:rFonts w:ascii="Arial" w:hAnsi="Arial" w:cs="Arial"/>
          <w:u w:val="single"/>
        </w:rPr>
        <w:t>8</w:t>
      </w:r>
      <w:r w:rsidRPr="00CD03F0">
        <w:rPr>
          <w:rFonts w:ascii="Arial" w:hAnsi="Arial" w:cs="Arial"/>
          <w:u w:val="single"/>
        </w:rPr>
        <w:t>,-Kč</w:t>
      </w:r>
    </w:p>
    <w:p w:rsidR="00B63B30" w:rsidRDefault="00B63B30" w:rsidP="00940C12">
      <w:pPr>
        <w:spacing w:after="240"/>
        <w:jc w:val="both"/>
        <w:rPr>
          <w:rFonts w:ascii="Arial" w:hAnsi="Arial" w:cs="Arial"/>
        </w:rPr>
      </w:pPr>
      <w:r>
        <w:rPr>
          <w:rFonts w:ascii="Arial" w:hAnsi="Arial" w:cs="Arial"/>
        </w:rPr>
        <w:t>Celkem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385 345 728,-Kč</w:t>
      </w:r>
    </w:p>
    <w:p w:rsidR="009E7E40" w:rsidRDefault="00F21D69" w:rsidP="009E7E40">
      <w:pPr>
        <w:spacing w:after="360"/>
        <w:jc w:val="both"/>
        <w:rPr>
          <w:rFonts w:ascii="Arial" w:hAnsi="Arial" w:cs="Arial"/>
        </w:rPr>
      </w:pPr>
      <w:r w:rsidRPr="00F21D69">
        <w:rPr>
          <w:rFonts w:ascii="Arial" w:hAnsi="Arial" w:cs="Arial"/>
          <w:b/>
        </w:rPr>
        <w:t xml:space="preserve">V současné době </w:t>
      </w:r>
      <w:r w:rsidR="00B63B30">
        <w:rPr>
          <w:rFonts w:ascii="Arial" w:hAnsi="Arial" w:cs="Arial"/>
          <w:b/>
        </w:rPr>
        <w:t xml:space="preserve">tedy </w:t>
      </w:r>
      <w:r w:rsidRPr="00F21D69">
        <w:rPr>
          <w:rFonts w:ascii="Arial" w:hAnsi="Arial" w:cs="Arial"/>
          <w:b/>
        </w:rPr>
        <w:t xml:space="preserve">zajištění vlastních zdrojů </w:t>
      </w:r>
      <w:r w:rsidR="004358CC">
        <w:rPr>
          <w:rFonts w:ascii="Arial" w:hAnsi="Arial" w:cs="Arial"/>
          <w:b/>
        </w:rPr>
        <w:t xml:space="preserve">na dofinancování realizace </w:t>
      </w:r>
      <w:r w:rsidR="00940C12">
        <w:rPr>
          <w:rFonts w:ascii="Arial" w:hAnsi="Arial" w:cs="Arial"/>
          <w:b/>
        </w:rPr>
        <w:t xml:space="preserve">řeší </w:t>
      </w:r>
      <w:r w:rsidRPr="00F21D69">
        <w:rPr>
          <w:rFonts w:ascii="Arial" w:hAnsi="Arial" w:cs="Arial"/>
          <w:b/>
        </w:rPr>
        <w:t>měst</w:t>
      </w:r>
      <w:r w:rsidR="00940C12">
        <w:rPr>
          <w:rFonts w:ascii="Arial" w:hAnsi="Arial" w:cs="Arial"/>
          <w:b/>
        </w:rPr>
        <w:t>o</w:t>
      </w:r>
      <w:r w:rsidRPr="00F21D69">
        <w:rPr>
          <w:rFonts w:ascii="Arial" w:hAnsi="Arial" w:cs="Arial"/>
          <w:b/>
        </w:rPr>
        <w:t xml:space="preserve"> Litovel půjčkou ve výši 38 534 528,- Kč od Státního Fondu životního prostředí. </w:t>
      </w:r>
      <w:r>
        <w:rPr>
          <w:rFonts w:ascii="Arial" w:hAnsi="Arial" w:cs="Arial"/>
        </w:rPr>
        <w:t>Půjčka je zajištěna zástavní smlouvou a je poskytnuta s úrokem 1 % se splatností 10 let.</w:t>
      </w:r>
    </w:p>
    <w:p w:rsidR="0029105E" w:rsidRPr="009E7E40" w:rsidRDefault="009E7E40" w:rsidP="009E7E40">
      <w:pPr>
        <w:pStyle w:val="Odstavecseseznamem"/>
        <w:numPr>
          <w:ilvl w:val="0"/>
          <w:numId w:val="30"/>
        </w:numPr>
        <w:spacing w:after="120"/>
        <w:jc w:val="both"/>
        <w:rPr>
          <w:rFonts w:ascii="Arial" w:hAnsi="Arial" w:cs="Arial"/>
          <w:b/>
        </w:rPr>
      </w:pPr>
      <w:r w:rsidRPr="009E7E40">
        <w:rPr>
          <w:rFonts w:ascii="Arial" w:hAnsi="Arial" w:cs="Arial"/>
          <w:b/>
        </w:rPr>
        <w:t>Žádost města Litovel o poskytnutí finanční podpory</w:t>
      </w:r>
      <w:r w:rsidR="00CD03F0" w:rsidRPr="009E7E40">
        <w:rPr>
          <w:rFonts w:ascii="Arial" w:hAnsi="Arial" w:cs="Arial"/>
          <w:b/>
        </w:rPr>
        <w:tab/>
      </w:r>
    </w:p>
    <w:p w:rsidR="00457EEA" w:rsidRPr="009E7E40" w:rsidRDefault="00457EEA" w:rsidP="009E7E40">
      <w:pPr>
        <w:spacing w:after="240"/>
        <w:jc w:val="both"/>
        <w:rPr>
          <w:rFonts w:ascii="Arial" w:hAnsi="Arial" w:cs="Arial"/>
        </w:rPr>
      </w:pPr>
      <w:r w:rsidRPr="00E742C4">
        <w:rPr>
          <w:rFonts w:ascii="Arial" w:hAnsi="Arial" w:cs="Arial"/>
          <w:b/>
        </w:rPr>
        <w:t>Spolufinancování projektů z národních veřejných zdrojů ČR může být zajišťováno finančními prostředky ze zdrojů veřejnoprávních subjektů</w:t>
      </w:r>
      <w:r w:rsidRPr="009E7E40">
        <w:rPr>
          <w:rFonts w:ascii="Arial" w:hAnsi="Arial" w:cs="Arial"/>
        </w:rPr>
        <w:t xml:space="preserve"> </w:t>
      </w:r>
      <w:r w:rsidR="00E742C4">
        <w:rPr>
          <w:rFonts w:ascii="Arial" w:hAnsi="Arial" w:cs="Arial"/>
        </w:rPr>
        <w:br/>
      </w:r>
      <w:r w:rsidRPr="009E7E40">
        <w:rPr>
          <w:rFonts w:ascii="Arial" w:hAnsi="Arial" w:cs="Arial"/>
        </w:rPr>
        <w:t>(tj. žadatelů nebo ostatních národních veřejných subjektů).</w:t>
      </w:r>
      <w:r w:rsidR="009E7E40">
        <w:rPr>
          <w:rFonts w:ascii="Arial" w:hAnsi="Arial" w:cs="Arial"/>
        </w:rPr>
        <w:t xml:space="preserve">  Na základě této skutečnosti požádalo město Litovel o poskytnutí podpory z rozpočtu Olomouckého kraje. </w:t>
      </w:r>
    </w:p>
    <w:p w:rsidR="00457EEA" w:rsidRPr="009E7E40" w:rsidRDefault="00457EEA" w:rsidP="00457EEA">
      <w:pPr>
        <w:spacing w:after="120"/>
        <w:jc w:val="both"/>
        <w:rPr>
          <w:rFonts w:ascii="Arial" w:hAnsi="Arial" w:cs="Arial"/>
          <w:i/>
        </w:rPr>
      </w:pPr>
      <w:r w:rsidRPr="009E7E40">
        <w:rPr>
          <w:rFonts w:ascii="Arial" w:hAnsi="Arial" w:cs="Arial"/>
          <w:i/>
        </w:rPr>
        <w:t>Pro informaci:</w:t>
      </w:r>
    </w:p>
    <w:p w:rsidR="009E7E40" w:rsidRDefault="00457EEA" w:rsidP="009E7E40">
      <w:pPr>
        <w:spacing w:after="120"/>
        <w:jc w:val="both"/>
        <w:rPr>
          <w:rFonts w:ascii="Arial" w:hAnsi="Arial" w:cs="Arial"/>
          <w:i/>
        </w:rPr>
      </w:pPr>
      <w:r w:rsidRPr="009E7E40">
        <w:rPr>
          <w:rFonts w:ascii="Arial" w:hAnsi="Arial" w:cs="Arial"/>
          <w:i/>
        </w:rPr>
        <w:t xml:space="preserve">Město Litovel požádalo </w:t>
      </w:r>
      <w:r w:rsidR="009E7E40">
        <w:rPr>
          <w:rFonts w:ascii="Arial" w:hAnsi="Arial" w:cs="Arial"/>
          <w:i/>
        </w:rPr>
        <w:t>rovněž další z</w:t>
      </w:r>
      <w:r w:rsidRPr="009E7E40">
        <w:rPr>
          <w:rFonts w:ascii="Arial" w:hAnsi="Arial" w:cs="Arial"/>
          <w:i/>
        </w:rPr>
        <w:t xml:space="preserve"> možných zainteresovaných subjektů (Vodohospodářská společnost, a.s., Moravská vodárenská, a.s., Statutární města Olomouc) o poskytnutí finanční podpory na realizaci nápravných opatření ve výši </w:t>
      </w:r>
      <w:r w:rsidR="00E742C4">
        <w:rPr>
          <w:rFonts w:ascii="Arial" w:hAnsi="Arial" w:cs="Arial"/>
          <w:i/>
        </w:rPr>
        <w:br/>
      </w:r>
      <w:r w:rsidRPr="009E7E40">
        <w:rPr>
          <w:rFonts w:ascii="Arial" w:hAnsi="Arial" w:cs="Arial"/>
          <w:i/>
        </w:rPr>
        <w:t>4 mil</w:t>
      </w:r>
      <w:r w:rsidR="00E742C4">
        <w:rPr>
          <w:rFonts w:ascii="Arial" w:hAnsi="Arial" w:cs="Arial"/>
          <w:i/>
        </w:rPr>
        <w:t>.</w:t>
      </w:r>
      <w:r w:rsidRPr="009E7E40">
        <w:rPr>
          <w:rFonts w:ascii="Arial" w:hAnsi="Arial" w:cs="Arial"/>
          <w:i/>
        </w:rPr>
        <w:t xml:space="preserve"> Kč, a to s rozložením do let 2014 a 2015 po 2 mil</w:t>
      </w:r>
      <w:r w:rsidR="00E742C4">
        <w:rPr>
          <w:rFonts w:ascii="Arial" w:hAnsi="Arial" w:cs="Arial"/>
          <w:i/>
        </w:rPr>
        <w:t>.</w:t>
      </w:r>
      <w:r w:rsidRPr="009E7E40">
        <w:rPr>
          <w:rFonts w:ascii="Arial" w:hAnsi="Arial" w:cs="Arial"/>
          <w:i/>
        </w:rPr>
        <w:t xml:space="preserve"> Kč. Celkem se jedná </w:t>
      </w:r>
      <w:r w:rsidRPr="009E7E40">
        <w:rPr>
          <w:rFonts w:ascii="Arial" w:hAnsi="Arial" w:cs="Arial"/>
          <w:i/>
        </w:rPr>
        <w:br/>
        <w:t xml:space="preserve">o požadavek na poskytnutí 12 mil. Kč. </w:t>
      </w:r>
    </w:p>
    <w:p w:rsidR="00457EEA" w:rsidRPr="009E7E40" w:rsidRDefault="00457EEA" w:rsidP="009E7E40">
      <w:pPr>
        <w:spacing w:after="240"/>
        <w:jc w:val="both"/>
        <w:rPr>
          <w:rFonts w:ascii="Arial" w:hAnsi="Arial" w:cs="Arial"/>
          <w:i/>
        </w:rPr>
      </w:pPr>
      <w:r w:rsidRPr="009E7E40">
        <w:rPr>
          <w:rFonts w:ascii="Arial" w:hAnsi="Arial" w:cs="Arial"/>
          <w:i/>
        </w:rPr>
        <w:t>Na jednání konaném dne 12. 05. 201</w:t>
      </w:r>
      <w:r w:rsidR="009C2A6A">
        <w:rPr>
          <w:rFonts w:ascii="Arial" w:hAnsi="Arial" w:cs="Arial"/>
          <w:i/>
        </w:rPr>
        <w:t>4</w:t>
      </w:r>
      <w:r w:rsidRPr="009E7E40">
        <w:rPr>
          <w:rFonts w:ascii="Arial" w:hAnsi="Arial" w:cs="Arial"/>
          <w:i/>
        </w:rPr>
        <w:t xml:space="preserve"> k problematice zabezpečení realizace nápravných opatření nebyla ze strany zúčastněných zástupců výše uvedených subjektů předem vyloučena možnost nějaké míry spoluúčasti na zabezpečení jejich financování. Možné poskytnutí podpory je však závisle na výsledku projednání žádosti města Litovel ve statutárních orgánech těchto subjektů. </w:t>
      </w:r>
      <w:r w:rsidR="009C2A6A">
        <w:rPr>
          <w:rFonts w:ascii="Arial" w:hAnsi="Arial" w:cs="Arial"/>
          <w:i/>
        </w:rPr>
        <w:t xml:space="preserve">V současnosti však </w:t>
      </w:r>
      <w:r w:rsidRPr="009E7E40">
        <w:rPr>
          <w:rFonts w:ascii="Arial" w:hAnsi="Arial" w:cs="Arial"/>
          <w:i/>
        </w:rPr>
        <w:t xml:space="preserve"> není znám oficiální závěr těchto projednání.</w:t>
      </w:r>
    </w:p>
    <w:p w:rsidR="009E7E40" w:rsidRDefault="00062DCC" w:rsidP="001A6A61">
      <w:pPr>
        <w:spacing w:after="120"/>
        <w:jc w:val="both"/>
        <w:rPr>
          <w:rFonts w:ascii="Arial" w:hAnsi="Arial" w:cs="Arial"/>
        </w:rPr>
      </w:pPr>
      <w:r w:rsidRPr="009E7E40">
        <w:rPr>
          <w:rFonts w:ascii="Arial" w:hAnsi="Arial" w:cs="Arial"/>
          <w:b/>
        </w:rPr>
        <w:t xml:space="preserve">Při projednávání </w:t>
      </w:r>
      <w:r w:rsidR="00512D08" w:rsidRPr="009E7E40">
        <w:rPr>
          <w:rFonts w:ascii="Arial" w:hAnsi="Arial" w:cs="Arial"/>
          <w:b/>
        </w:rPr>
        <w:t xml:space="preserve">žádosti </w:t>
      </w:r>
      <w:r w:rsidR="009E7E40" w:rsidRPr="009E7E40">
        <w:rPr>
          <w:rFonts w:ascii="Arial" w:hAnsi="Arial" w:cs="Arial"/>
          <w:b/>
        </w:rPr>
        <w:t xml:space="preserve">města Litovel </w:t>
      </w:r>
      <w:r w:rsidR="00FA21EA" w:rsidRPr="009E7E40">
        <w:rPr>
          <w:rFonts w:ascii="Arial" w:hAnsi="Arial" w:cs="Arial"/>
          <w:b/>
        </w:rPr>
        <w:t xml:space="preserve">ze dne 06. 08. 2013 </w:t>
      </w:r>
      <w:r w:rsidR="00512D08" w:rsidRPr="009E7E40">
        <w:rPr>
          <w:rFonts w:ascii="Arial" w:hAnsi="Arial" w:cs="Arial"/>
          <w:b/>
        </w:rPr>
        <w:t>podané na</w:t>
      </w:r>
      <w:r w:rsidR="00665B6C" w:rsidRPr="009E7E40">
        <w:rPr>
          <w:rFonts w:ascii="Arial" w:hAnsi="Arial" w:cs="Arial"/>
          <w:b/>
        </w:rPr>
        <w:t xml:space="preserve"> Olomoucký kraj </w:t>
      </w:r>
      <w:r w:rsidR="00512D08" w:rsidRPr="009E7E40">
        <w:rPr>
          <w:rFonts w:ascii="Arial" w:hAnsi="Arial" w:cs="Arial"/>
          <w:b/>
        </w:rPr>
        <w:t xml:space="preserve">bylo </w:t>
      </w:r>
      <w:r w:rsidR="00FA21EA" w:rsidRPr="009E7E40">
        <w:rPr>
          <w:rFonts w:ascii="Arial" w:hAnsi="Arial" w:cs="Arial"/>
          <w:b/>
        </w:rPr>
        <w:t xml:space="preserve">ze strany města Litovel </w:t>
      </w:r>
      <w:r w:rsidR="00512D08" w:rsidRPr="009E7E40">
        <w:rPr>
          <w:rFonts w:ascii="Arial" w:hAnsi="Arial" w:cs="Arial"/>
          <w:b/>
        </w:rPr>
        <w:t>požadováno</w:t>
      </w:r>
      <w:r w:rsidR="00003F4C" w:rsidRPr="009E7E40">
        <w:rPr>
          <w:rFonts w:ascii="Arial" w:hAnsi="Arial" w:cs="Arial"/>
          <w:b/>
        </w:rPr>
        <w:t xml:space="preserve"> </w:t>
      </w:r>
      <w:r w:rsidR="00CB5FD3" w:rsidRPr="009E7E40">
        <w:rPr>
          <w:rFonts w:ascii="Arial" w:hAnsi="Arial" w:cs="Arial"/>
          <w:b/>
        </w:rPr>
        <w:t xml:space="preserve">poskytnutí podpory ve </w:t>
      </w:r>
      <w:r w:rsidR="00264509" w:rsidRPr="009E7E40">
        <w:rPr>
          <w:rFonts w:ascii="Arial" w:hAnsi="Arial" w:cs="Arial"/>
          <w:b/>
        </w:rPr>
        <w:t xml:space="preserve">výši </w:t>
      </w:r>
      <w:r w:rsidR="00CF0812" w:rsidRPr="009E7E40">
        <w:rPr>
          <w:rFonts w:ascii="Arial" w:hAnsi="Arial" w:cs="Arial"/>
          <w:b/>
        </w:rPr>
        <w:t xml:space="preserve">38,5 mil. Kč, to je </w:t>
      </w:r>
      <w:r w:rsidR="00CB5FD3" w:rsidRPr="009E7E40">
        <w:rPr>
          <w:rFonts w:ascii="Arial" w:hAnsi="Arial" w:cs="Arial"/>
          <w:b/>
        </w:rPr>
        <w:t xml:space="preserve">celého </w:t>
      </w:r>
      <w:r w:rsidR="00D00D36" w:rsidRPr="009E7E40">
        <w:rPr>
          <w:rFonts w:ascii="Arial" w:hAnsi="Arial" w:cs="Arial"/>
          <w:b/>
        </w:rPr>
        <w:t>jeh</w:t>
      </w:r>
      <w:r w:rsidR="00CB5FD3" w:rsidRPr="009E7E40">
        <w:rPr>
          <w:rFonts w:ascii="Arial" w:hAnsi="Arial" w:cs="Arial"/>
          <w:b/>
        </w:rPr>
        <w:t>o podílu na financování akce (10 % celkových způsobilých výdajů projektu).</w:t>
      </w:r>
      <w:r w:rsidR="00CB5FD3">
        <w:rPr>
          <w:rFonts w:ascii="Arial" w:hAnsi="Arial" w:cs="Arial"/>
        </w:rPr>
        <w:t xml:space="preserve"> </w:t>
      </w:r>
    </w:p>
    <w:p w:rsidR="00457EEA" w:rsidRDefault="00264509" w:rsidP="001A6A61">
      <w:pPr>
        <w:spacing w:after="120"/>
        <w:jc w:val="both"/>
        <w:rPr>
          <w:rFonts w:ascii="Arial" w:hAnsi="Arial" w:cs="Arial"/>
        </w:rPr>
      </w:pPr>
      <w:r>
        <w:rPr>
          <w:rFonts w:ascii="Arial" w:hAnsi="Arial" w:cs="Arial"/>
        </w:rPr>
        <w:t xml:space="preserve">Toto </w:t>
      </w:r>
      <w:r w:rsidR="00665B6C">
        <w:rPr>
          <w:rFonts w:ascii="Arial" w:hAnsi="Arial" w:cs="Arial"/>
        </w:rPr>
        <w:t>bylo</w:t>
      </w:r>
      <w:r>
        <w:rPr>
          <w:rFonts w:ascii="Arial" w:hAnsi="Arial" w:cs="Arial"/>
        </w:rPr>
        <w:t xml:space="preserve"> zdůvodňováno jednak nutností </w:t>
      </w:r>
      <w:r w:rsidR="00725271">
        <w:rPr>
          <w:rFonts w:ascii="Arial" w:hAnsi="Arial" w:cs="Arial"/>
        </w:rPr>
        <w:t>realizace opatření</w:t>
      </w:r>
      <w:r w:rsidR="00BD364C">
        <w:rPr>
          <w:rFonts w:ascii="Arial" w:hAnsi="Arial" w:cs="Arial"/>
        </w:rPr>
        <w:t>,</w:t>
      </w:r>
      <w:r w:rsidR="00725271">
        <w:rPr>
          <w:rFonts w:ascii="Arial" w:hAnsi="Arial" w:cs="Arial"/>
        </w:rPr>
        <w:t xml:space="preserve"> </w:t>
      </w:r>
      <w:r>
        <w:rPr>
          <w:rFonts w:ascii="Arial" w:hAnsi="Arial" w:cs="Arial"/>
        </w:rPr>
        <w:t>vyplývající ze zpracovaných analýz</w:t>
      </w:r>
      <w:r w:rsidR="00BD364C">
        <w:rPr>
          <w:rFonts w:ascii="Arial" w:hAnsi="Arial" w:cs="Arial"/>
        </w:rPr>
        <w:t>,</w:t>
      </w:r>
      <w:r w:rsidR="00010354">
        <w:rPr>
          <w:rFonts w:ascii="Arial" w:hAnsi="Arial" w:cs="Arial"/>
        </w:rPr>
        <w:t xml:space="preserve"> aby nedošlo k ohrožení prameniště Litovel – </w:t>
      </w:r>
      <w:proofErr w:type="spellStart"/>
      <w:r w:rsidR="00010354">
        <w:rPr>
          <w:rFonts w:ascii="Arial" w:hAnsi="Arial" w:cs="Arial"/>
        </w:rPr>
        <w:t>Čerlinka</w:t>
      </w:r>
      <w:proofErr w:type="spellEnd"/>
      <w:r w:rsidR="00010354">
        <w:rPr>
          <w:rFonts w:ascii="Arial" w:hAnsi="Arial" w:cs="Arial"/>
        </w:rPr>
        <w:t>.</w:t>
      </w:r>
      <w:r w:rsidR="00725271">
        <w:rPr>
          <w:rFonts w:ascii="Arial" w:hAnsi="Arial" w:cs="Arial"/>
        </w:rPr>
        <w:t xml:space="preserve"> Dále pak</w:t>
      </w:r>
      <w:r>
        <w:rPr>
          <w:rFonts w:ascii="Arial" w:hAnsi="Arial" w:cs="Arial"/>
        </w:rPr>
        <w:t xml:space="preserve"> tíživou finanční situací města</w:t>
      </w:r>
      <w:r w:rsidR="00725271">
        <w:rPr>
          <w:rFonts w:ascii="Arial" w:hAnsi="Arial" w:cs="Arial"/>
        </w:rPr>
        <w:t>, které připravuje řadu investičních akcí, na které obdrželo podporu z různých dotačních titulů.</w:t>
      </w:r>
      <w:r w:rsidR="00C00938">
        <w:rPr>
          <w:rFonts w:ascii="Arial" w:hAnsi="Arial" w:cs="Arial"/>
        </w:rPr>
        <w:t xml:space="preserve"> </w:t>
      </w:r>
    </w:p>
    <w:p w:rsidR="007764A2" w:rsidRPr="007764A2" w:rsidRDefault="007764A2" w:rsidP="001A6A61">
      <w:pPr>
        <w:spacing w:after="120"/>
        <w:jc w:val="both"/>
        <w:rPr>
          <w:rFonts w:ascii="Arial" w:hAnsi="Arial" w:cs="Arial"/>
          <w:i/>
        </w:rPr>
      </w:pPr>
      <w:r>
        <w:rPr>
          <w:rFonts w:ascii="Arial" w:hAnsi="Arial" w:cs="Arial"/>
        </w:rPr>
        <w:lastRenderedPageBreak/>
        <w:t xml:space="preserve">V textu důvodové zprávy materiálu předloženého na zasedání Zastupitelstva Olomouckého kraje konaného dne 19. 12. 2013 bylo uvedeno cit.: </w:t>
      </w:r>
      <w:r w:rsidRPr="007764A2">
        <w:rPr>
          <w:rFonts w:ascii="Arial" w:hAnsi="Arial" w:cs="Arial"/>
          <w:i/>
        </w:rPr>
        <w:t>„Na základě žádosti města Litovel je možno uvažovat, že by se Olomoucký kraj spolupodílel na financování realizace opatření ve výši maximálně 50 % vlastního podílu města Litovel na financování akce, to je cca 20 000 000,- Kč. Tuto finanční podporu by bylo možno rozdělit rovnoměrně v průběhu let 2014 až 2015. Případné poskytnutí dotace na realizaci sanace skládky v roce 2015 je navrhováno řešit při přípravě rozpočtu Olomouckého kraje na rok 2015.“</w:t>
      </w:r>
    </w:p>
    <w:p w:rsidR="00665B6C" w:rsidRPr="00010354" w:rsidRDefault="00665B6C" w:rsidP="001A6A61">
      <w:pPr>
        <w:spacing w:after="120"/>
        <w:jc w:val="both"/>
        <w:rPr>
          <w:rFonts w:ascii="Arial" w:hAnsi="Arial" w:cs="Arial"/>
          <w:b/>
        </w:rPr>
      </w:pPr>
      <w:r w:rsidRPr="00010354">
        <w:rPr>
          <w:rFonts w:ascii="Arial" w:hAnsi="Arial" w:cs="Arial"/>
          <w:b/>
        </w:rPr>
        <w:t xml:space="preserve">Zastupitelstvo Olomouckého kraje po projednání žádosti o poskytnutí podpory usnesením UZ/8/48/2013 ze dne 19. 12. 2013 schválilo záměr na poskytnutí účelové finanční dotace </w:t>
      </w:r>
      <w:r w:rsidR="00512D08" w:rsidRPr="00010354">
        <w:rPr>
          <w:rFonts w:ascii="Arial" w:hAnsi="Arial" w:cs="Arial"/>
          <w:b/>
        </w:rPr>
        <w:t xml:space="preserve">z rozpočtu Olomouckého kraje v roce 2014 pro město Litovel do výše 10 mil. Kč na realizaci nápravných opatření v Lokalitě Litovel – </w:t>
      </w:r>
      <w:proofErr w:type="spellStart"/>
      <w:r w:rsidR="00512D08" w:rsidRPr="00010354">
        <w:rPr>
          <w:rFonts w:ascii="Arial" w:hAnsi="Arial" w:cs="Arial"/>
          <w:b/>
        </w:rPr>
        <w:t>Nasobůrky</w:t>
      </w:r>
      <w:proofErr w:type="spellEnd"/>
      <w:r w:rsidR="00512D08" w:rsidRPr="00010354">
        <w:rPr>
          <w:rFonts w:ascii="Arial" w:hAnsi="Arial" w:cs="Arial"/>
          <w:b/>
        </w:rPr>
        <w:t>.</w:t>
      </w:r>
    </w:p>
    <w:p w:rsidR="00062DCC" w:rsidRPr="00BD364C" w:rsidRDefault="001A48D0" w:rsidP="001A6A61">
      <w:pPr>
        <w:spacing w:after="120"/>
        <w:jc w:val="both"/>
        <w:rPr>
          <w:rFonts w:ascii="Arial" w:hAnsi="Arial" w:cs="Arial"/>
        </w:rPr>
      </w:pPr>
      <w:r>
        <w:rPr>
          <w:rFonts w:ascii="Arial" w:hAnsi="Arial" w:cs="Arial"/>
        </w:rPr>
        <w:t xml:space="preserve">Na základě výše uvedeného </w:t>
      </w:r>
      <w:r w:rsidR="00B449BE">
        <w:rPr>
          <w:rFonts w:ascii="Arial" w:hAnsi="Arial" w:cs="Arial"/>
        </w:rPr>
        <w:t>navrhuje</w:t>
      </w:r>
      <w:r>
        <w:rPr>
          <w:rFonts w:ascii="Arial" w:hAnsi="Arial" w:cs="Arial"/>
        </w:rPr>
        <w:t xml:space="preserve"> předkladatel a zpracovatel poskytnutí účelové finanční dotace městu Litovel z rozpočtu Olomouckého kraje realizaci nápravných opatření v Lokalitě Litovel – </w:t>
      </w:r>
      <w:proofErr w:type="spellStart"/>
      <w:r>
        <w:rPr>
          <w:rFonts w:ascii="Arial" w:hAnsi="Arial" w:cs="Arial"/>
        </w:rPr>
        <w:t>Nasobůrky</w:t>
      </w:r>
      <w:proofErr w:type="spellEnd"/>
      <w:r>
        <w:rPr>
          <w:rFonts w:ascii="Arial" w:hAnsi="Arial" w:cs="Arial"/>
        </w:rPr>
        <w:t xml:space="preserve"> ve výši </w:t>
      </w:r>
      <w:r w:rsidR="00667EC2">
        <w:rPr>
          <w:rFonts w:ascii="Arial" w:hAnsi="Arial" w:cs="Arial"/>
        </w:rPr>
        <w:t xml:space="preserve"> 6 000 000 </w:t>
      </w:r>
      <w:r w:rsidRPr="00BD364C">
        <w:rPr>
          <w:rFonts w:ascii="Arial" w:hAnsi="Arial" w:cs="Arial"/>
        </w:rPr>
        <w:t>Kč.</w:t>
      </w:r>
    </w:p>
    <w:p w:rsidR="00B449BE" w:rsidRDefault="00B449BE" w:rsidP="001A6A61">
      <w:pPr>
        <w:spacing w:after="120"/>
        <w:jc w:val="both"/>
        <w:rPr>
          <w:rFonts w:ascii="Arial" w:hAnsi="Arial" w:cs="Arial"/>
        </w:rPr>
      </w:pPr>
      <w:r>
        <w:rPr>
          <w:rFonts w:ascii="Arial" w:hAnsi="Arial" w:cs="Arial"/>
        </w:rPr>
        <w:t xml:space="preserve">Z důvodu, že ve schváleném rozpočtu Olomouckého kraje pro rok 2014 nejsou vyčleněny žádné finanční prostředky na poskytnutí dotace na realizaci nápravných opatření na lokalitě Litovel – </w:t>
      </w:r>
      <w:proofErr w:type="spellStart"/>
      <w:r>
        <w:rPr>
          <w:rFonts w:ascii="Arial" w:hAnsi="Arial" w:cs="Arial"/>
        </w:rPr>
        <w:t>Nasobůrky</w:t>
      </w:r>
      <w:proofErr w:type="spellEnd"/>
      <w:r>
        <w:rPr>
          <w:rFonts w:ascii="Arial" w:hAnsi="Arial" w:cs="Arial"/>
        </w:rPr>
        <w:t xml:space="preserve"> je navrhováno využití finančních prostředků z</w:t>
      </w:r>
      <w:r w:rsidR="00114CC1">
        <w:rPr>
          <w:rFonts w:ascii="Arial" w:hAnsi="Arial" w:cs="Arial"/>
        </w:rPr>
        <w:t> rezervy rozpočtu Olomouckého kraje.</w:t>
      </w:r>
    </w:p>
    <w:p w:rsidR="008869C8" w:rsidRDefault="008869C8" w:rsidP="008869C8">
      <w:pPr>
        <w:pStyle w:val="Zkladntext"/>
        <w:rPr>
          <w:b/>
        </w:rPr>
      </w:pPr>
    </w:p>
    <w:p w:rsidR="008869C8" w:rsidRDefault="008869C8" w:rsidP="008869C8">
      <w:pPr>
        <w:pStyle w:val="Zkladntext"/>
        <w:rPr>
          <w:b/>
        </w:rPr>
      </w:pPr>
    </w:p>
    <w:p w:rsidR="008869C8" w:rsidRPr="009F3253" w:rsidRDefault="008869C8" w:rsidP="008869C8">
      <w:pPr>
        <w:pStyle w:val="Zkladntext"/>
        <w:rPr>
          <w:b/>
        </w:rPr>
      </w:pPr>
      <w:r w:rsidRPr="009F3253">
        <w:rPr>
          <w:b/>
        </w:rPr>
        <w:t xml:space="preserve">Rada Olomouckého kraje </w:t>
      </w:r>
    </w:p>
    <w:tbl>
      <w:tblPr>
        <w:tblW w:w="9114" w:type="dxa"/>
        <w:tblInd w:w="-42" w:type="dxa"/>
        <w:tblLayout w:type="fixed"/>
        <w:tblCellMar>
          <w:left w:w="0" w:type="dxa"/>
          <w:bottom w:w="113" w:type="dxa"/>
          <w:right w:w="0" w:type="dxa"/>
        </w:tblCellMar>
        <w:tblLook w:val="01E0" w:firstRow="1" w:lastRow="1" w:firstColumn="1" w:lastColumn="1" w:noHBand="0" w:noVBand="0"/>
      </w:tblPr>
      <w:tblGrid>
        <w:gridCol w:w="42"/>
        <w:gridCol w:w="9072"/>
      </w:tblGrid>
      <w:tr w:rsidR="008869C8" w:rsidRPr="008869C8" w:rsidTr="00DC2A19">
        <w:tc>
          <w:tcPr>
            <w:tcW w:w="42" w:type="dxa"/>
          </w:tcPr>
          <w:p w:rsidR="008869C8" w:rsidRPr="00A30E79" w:rsidRDefault="008869C8" w:rsidP="00DC2A19">
            <w:pPr>
              <w:ind w:left="360"/>
              <w:rPr>
                <w:rFonts w:cs="Arial"/>
                <w:color w:val="FF0000"/>
                <w:szCs w:val="22"/>
              </w:rPr>
            </w:pPr>
          </w:p>
        </w:tc>
        <w:tc>
          <w:tcPr>
            <w:tcW w:w="9072" w:type="dxa"/>
          </w:tcPr>
          <w:tbl>
            <w:tblPr>
              <w:tblW w:w="9072" w:type="dxa"/>
              <w:tblLayout w:type="fixed"/>
              <w:tblCellMar>
                <w:left w:w="0" w:type="dxa"/>
                <w:bottom w:w="113" w:type="dxa"/>
                <w:right w:w="0" w:type="dxa"/>
              </w:tblCellMar>
              <w:tblLook w:val="01E0" w:firstRow="1" w:lastRow="1" w:firstColumn="1" w:lastColumn="1" w:noHBand="0" w:noVBand="0"/>
            </w:tblPr>
            <w:tblGrid>
              <w:gridCol w:w="42"/>
              <w:gridCol w:w="9030"/>
            </w:tblGrid>
            <w:tr w:rsidR="008869C8" w:rsidRPr="008869C8" w:rsidTr="00DC2A19">
              <w:tc>
                <w:tcPr>
                  <w:tcW w:w="42" w:type="dxa"/>
                </w:tcPr>
                <w:p w:rsidR="008869C8" w:rsidRPr="008869C8" w:rsidRDefault="008869C8" w:rsidP="00DC2A19">
                  <w:pPr>
                    <w:ind w:left="360"/>
                    <w:rPr>
                      <w:rFonts w:cs="Arial"/>
                      <w:szCs w:val="22"/>
                    </w:rPr>
                  </w:pPr>
                  <w:r w:rsidRPr="008869C8">
                    <w:rPr>
                      <w:rFonts w:cs="Arial"/>
                      <w:szCs w:val="22"/>
                    </w:rPr>
                    <w:t xml:space="preserve">  </w:t>
                  </w:r>
                </w:p>
              </w:tc>
              <w:tc>
                <w:tcPr>
                  <w:tcW w:w="9030" w:type="dxa"/>
                </w:tcPr>
                <w:p w:rsidR="008869C8" w:rsidRPr="008869C8" w:rsidRDefault="008869C8" w:rsidP="00DC2A19">
                  <w:pPr>
                    <w:pStyle w:val="Normal"/>
                    <w:numPr>
                      <w:ilvl w:val="0"/>
                      <w:numId w:val="24"/>
                    </w:numPr>
                    <w:spacing w:after="120"/>
                    <w:ind w:left="426" w:hanging="426"/>
                    <w:jc w:val="both"/>
                  </w:pPr>
                  <w:r w:rsidRPr="008869C8">
                    <w:t xml:space="preserve">souhlasí s návrhem na poskytnutí účelové finanční dotace z rozpočtu  Olomouckého kraje v roce 2014 ve výši </w:t>
                  </w:r>
                  <w:r w:rsidR="00DA5780">
                    <w:t xml:space="preserve"> 6 000 000 </w:t>
                  </w:r>
                  <w:r w:rsidRPr="008869C8">
                    <w:t xml:space="preserve">Kč na realizaci  nápravných opatření na lokalitě Litovel – </w:t>
                  </w:r>
                  <w:proofErr w:type="spellStart"/>
                  <w:r w:rsidRPr="008869C8">
                    <w:t>Nasobůrky</w:t>
                  </w:r>
                  <w:proofErr w:type="spellEnd"/>
                  <w:r w:rsidRPr="008869C8">
                    <w:t xml:space="preserve"> pro město Litovel, dle důvodové zprávy,</w:t>
                  </w:r>
                </w:p>
                <w:p w:rsidR="008869C8" w:rsidRPr="008869C8" w:rsidRDefault="008869C8" w:rsidP="008869C8">
                  <w:pPr>
                    <w:pStyle w:val="Normal"/>
                    <w:numPr>
                      <w:ilvl w:val="0"/>
                      <w:numId w:val="24"/>
                    </w:numPr>
                    <w:ind w:left="426" w:hanging="426"/>
                    <w:jc w:val="both"/>
                  </w:pPr>
                  <w:r w:rsidRPr="008869C8">
                    <w:t xml:space="preserve">doporučuje Zastupitelstvu Olomouckého kraje schválit poskytnutí účelové finanční dotace z rozpočtu Olomouckého kraje v roce 2014 ve výši </w:t>
                  </w:r>
                  <w:r w:rsidR="00B30A16">
                    <w:br/>
                  </w:r>
                  <w:r w:rsidR="00BF4D5F">
                    <w:t xml:space="preserve"> 6 000 000 </w:t>
                  </w:r>
                  <w:r w:rsidRPr="008869C8">
                    <w:t xml:space="preserve">Kč na realizaci nápravných opatření na lokalitě Litovel – </w:t>
                  </w:r>
                  <w:proofErr w:type="spellStart"/>
                  <w:r w:rsidRPr="008869C8">
                    <w:t>Nasobůrky</w:t>
                  </w:r>
                  <w:proofErr w:type="spellEnd"/>
                  <w:r w:rsidRPr="008869C8">
                    <w:t xml:space="preserve"> pro město Litovel, dle důvodové zprávy.</w:t>
                  </w:r>
                </w:p>
                <w:p w:rsidR="008869C8" w:rsidRPr="008869C8" w:rsidRDefault="008869C8" w:rsidP="00DC2A19">
                  <w:pPr>
                    <w:pStyle w:val="Odstavecseseznamem"/>
                  </w:pPr>
                </w:p>
                <w:p w:rsidR="008869C8" w:rsidRPr="008869C8" w:rsidRDefault="008869C8" w:rsidP="00DC2A19">
                  <w:pPr>
                    <w:pStyle w:val="Normal"/>
                    <w:ind w:left="426"/>
                    <w:jc w:val="both"/>
                  </w:pPr>
                </w:p>
              </w:tc>
            </w:tr>
          </w:tbl>
          <w:p w:rsidR="008869C8" w:rsidRPr="008869C8" w:rsidRDefault="008869C8" w:rsidP="00DC2A19">
            <w:pPr>
              <w:pStyle w:val="Normal"/>
              <w:ind w:left="426"/>
              <w:jc w:val="both"/>
            </w:pPr>
          </w:p>
        </w:tc>
      </w:tr>
    </w:tbl>
    <w:p w:rsidR="00CF3173" w:rsidRDefault="00CF3173" w:rsidP="003020C7">
      <w:pPr>
        <w:pStyle w:val="Radaplohy"/>
        <w:spacing w:before="0"/>
        <w:rPr>
          <w:b/>
        </w:rPr>
      </w:pPr>
    </w:p>
    <w:p w:rsidR="00A647CF" w:rsidRPr="00E52F2B" w:rsidRDefault="00A647CF" w:rsidP="00A647CF">
      <w:pPr>
        <w:pStyle w:val="Radaplohy"/>
      </w:pPr>
      <w:r w:rsidRPr="00E52F2B">
        <w:t>Přílohy:</w:t>
      </w:r>
    </w:p>
    <w:p w:rsidR="00A647CF" w:rsidRPr="00E52F2B" w:rsidRDefault="00A647CF" w:rsidP="00A647CF">
      <w:pPr>
        <w:pStyle w:val="Radaploha1"/>
        <w:numPr>
          <w:ilvl w:val="0"/>
          <w:numId w:val="29"/>
        </w:numPr>
        <w:ind w:left="567" w:hanging="578"/>
      </w:pPr>
      <w:r w:rsidRPr="00E52F2B">
        <w:t>Příloha č. 1:</w:t>
      </w:r>
    </w:p>
    <w:p w:rsidR="00A647CF" w:rsidRPr="006817D8" w:rsidRDefault="00A647CF" w:rsidP="00A647CF">
      <w:pPr>
        <w:pStyle w:val="Radaploha1"/>
        <w:numPr>
          <w:ilvl w:val="0"/>
          <w:numId w:val="0"/>
        </w:numPr>
        <w:ind w:left="567"/>
        <w:rPr>
          <w:u w:val="none"/>
        </w:rPr>
      </w:pPr>
      <w:r w:rsidRPr="00E52F2B">
        <w:rPr>
          <w:u w:val="none"/>
        </w:rPr>
        <w:t>S</w:t>
      </w:r>
      <w:r>
        <w:rPr>
          <w:u w:val="none"/>
        </w:rPr>
        <w:t>ouhrnný rozpočet projektu</w:t>
      </w:r>
      <w:r w:rsidRPr="006817D8">
        <w:rPr>
          <w:rFonts w:cs="Arial"/>
          <w:u w:val="none"/>
        </w:rPr>
        <w:t xml:space="preserve"> (</w:t>
      </w:r>
      <w:r w:rsidRPr="006817D8">
        <w:rPr>
          <w:u w:val="none"/>
        </w:rPr>
        <w:t xml:space="preserve">strana </w:t>
      </w:r>
      <w:r>
        <w:rPr>
          <w:u w:val="none"/>
        </w:rPr>
        <w:t>5</w:t>
      </w:r>
      <w:r w:rsidRPr="006817D8">
        <w:rPr>
          <w:u w:val="none"/>
        </w:rPr>
        <w:t>)</w:t>
      </w:r>
    </w:p>
    <w:p w:rsidR="00A647CF" w:rsidRPr="009A53EE" w:rsidRDefault="00A647CF" w:rsidP="00A647CF">
      <w:pPr>
        <w:pStyle w:val="Radaploha1"/>
        <w:numPr>
          <w:ilvl w:val="0"/>
          <w:numId w:val="29"/>
        </w:numPr>
        <w:ind w:left="567" w:hanging="578"/>
      </w:pPr>
      <w:r w:rsidRPr="009A53EE">
        <w:t>Příloha č. 2:</w:t>
      </w:r>
    </w:p>
    <w:p w:rsidR="00A647CF" w:rsidRPr="00D56AB2" w:rsidRDefault="00A647CF" w:rsidP="00A647CF">
      <w:pPr>
        <w:pStyle w:val="Radaploha1"/>
        <w:numPr>
          <w:ilvl w:val="0"/>
          <w:numId w:val="0"/>
        </w:numPr>
        <w:ind w:left="567"/>
        <w:rPr>
          <w:u w:val="none"/>
        </w:rPr>
      </w:pPr>
      <w:r>
        <w:rPr>
          <w:u w:val="none"/>
        </w:rPr>
        <w:t>Harmonogram prací – aktualizace 04/2014</w:t>
      </w:r>
      <w:r w:rsidRPr="00D56AB2">
        <w:rPr>
          <w:u w:val="none"/>
        </w:rPr>
        <w:t xml:space="preserve"> (strana </w:t>
      </w:r>
      <w:r>
        <w:rPr>
          <w:u w:val="none"/>
        </w:rPr>
        <w:t>6</w:t>
      </w:r>
      <w:r w:rsidRPr="00D56AB2">
        <w:rPr>
          <w:u w:val="none"/>
        </w:rPr>
        <w:t>)</w:t>
      </w:r>
    </w:p>
    <w:p w:rsidR="00C26FFD" w:rsidRDefault="00C26FFD"/>
    <w:sectPr w:rsidR="00C26FF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B0" w:rsidRDefault="005417B0">
      <w:r>
        <w:separator/>
      </w:r>
    </w:p>
  </w:endnote>
  <w:endnote w:type="continuationSeparator" w:id="0">
    <w:p w:rsidR="005417B0" w:rsidRDefault="0054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6E" w:rsidRPr="00C81929" w:rsidRDefault="00A714E3" w:rsidP="00F51D6E">
    <w:pPr>
      <w:pStyle w:val="Zpat"/>
      <w:pBdr>
        <w:top w:val="single" w:sz="4" w:space="1" w:color="auto"/>
      </w:pBdr>
    </w:pPr>
    <w:r>
      <w:t xml:space="preserve">Zastupitelstvo </w:t>
    </w:r>
    <w:r w:rsidR="00F51D6E" w:rsidRPr="00C81929">
      <w:t xml:space="preserve"> Olomouckého kraje </w:t>
    </w:r>
    <w:r w:rsidR="00114CC1">
      <w:t>20</w:t>
    </w:r>
    <w:r w:rsidR="00AB7509">
      <w:t xml:space="preserve">. </w:t>
    </w:r>
    <w:r w:rsidR="00114CC1">
      <w:t>06</w:t>
    </w:r>
    <w:r w:rsidR="00AB7509">
      <w:t>. 2014</w:t>
    </w:r>
    <w:r w:rsidR="00F51D6E" w:rsidRPr="00C81929">
      <w:t xml:space="preserve">                                           </w:t>
    </w:r>
    <w:r w:rsidR="00CD3F0F">
      <w:t xml:space="preserve">          </w:t>
    </w:r>
    <w:r w:rsidR="00F51D6E" w:rsidRPr="00C81929">
      <w:t xml:space="preserve"> Strana  </w:t>
    </w:r>
    <w:r w:rsidR="00F51D6E" w:rsidRPr="00C81929">
      <w:rPr>
        <w:rStyle w:val="slostrnky"/>
      </w:rPr>
      <w:fldChar w:fldCharType="begin"/>
    </w:r>
    <w:r w:rsidR="00F51D6E" w:rsidRPr="00C81929">
      <w:rPr>
        <w:rStyle w:val="slostrnky"/>
      </w:rPr>
      <w:instrText xml:space="preserve"> PAGE </w:instrText>
    </w:r>
    <w:r w:rsidR="00F51D6E" w:rsidRPr="00C81929">
      <w:rPr>
        <w:rStyle w:val="slostrnky"/>
      </w:rPr>
      <w:fldChar w:fldCharType="separate"/>
    </w:r>
    <w:r w:rsidR="00890EE8">
      <w:rPr>
        <w:rStyle w:val="slostrnky"/>
        <w:noProof/>
      </w:rPr>
      <w:t>4</w:t>
    </w:r>
    <w:r w:rsidR="00F51D6E" w:rsidRPr="00C81929">
      <w:rPr>
        <w:rStyle w:val="slostrnky"/>
      </w:rPr>
      <w:fldChar w:fldCharType="end"/>
    </w:r>
    <w:r w:rsidR="00F51D6E" w:rsidRPr="00C81929">
      <w:rPr>
        <w:rStyle w:val="slostrnky"/>
      </w:rPr>
      <w:t xml:space="preserve"> </w:t>
    </w:r>
    <w:r w:rsidR="00F51D6E" w:rsidRPr="00C81929">
      <w:t xml:space="preserve">(celkem </w:t>
    </w:r>
    <w:r w:rsidR="008869C8">
      <w:t>6</w:t>
    </w:r>
    <w:r w:rsidR="00F51D6E" w:rsidRPr="00C81929">
      <w:t>)</w:t>
    </w:r>
  </w:p>
  <w:p w:rsidR="00AB7509" w:rsidRDefault="00A714E3" w:rsidP="00F51D6E">
    <w:pPr>
      <w:pStyle w:val="Zpat"/>
      <w:jc w:val="both"/>
      <w:rPr>
        <w:iCs/>
      </w:rPr>
    </w:pPr>
    <w:r>
      <w:rPr>
        <w:rFonts w:cs="Arial"/>
        <w:bCs/>
        <w:iCs/>
        <w:szCs w:val="20"/>
      </w:rPr>
      <w:t>29</w:t>
    </w:r>
    <w:r w:rsidR="0058713C">
      <w:rPr>
        <w:rFonts w:cs="Arial"/>
        <w:bCs/>
        <w:iCs/>
        <w:szCs w:val="20"/>
      </w:rPr>
      <w:t>.</w:t>
    </w:r>
    <w:r w:rsidR="00F51D6E" w:rsidRPr="00AB7509">
      <w:rPr>
        <w:rFonts w:cs="Arial"/>
        <w:bCs/>
        <w:iCs/>
        <w:szCs w:val="20"/>
      </w:rPr>
      <w:t xml:space="preserve"> – </w:t>
    </w:r>
    <w:r w:rsidR="00AB7509" w:rsidRPr="00AB7509">
      <w:rPr>
        <w:iCs/>
      </w:rPr>
      <w:t xml:space="preserve">Poskytnutí dotace městu Litovel na realizaci nápravných opatření k odstranění kontaminace </w:t>
    </w:r>
    <w:r w:rsidR="00AB7509">
      <w:rPr>
        <w:iCs/>
      </w:rPr>
      <w:t xml:space="preserve"> </w:t>
    </w:r>
  </w:p>
  <w:p w:rsidR="00F51D6E" w:rsidRPr="00AB7509" w:rsidRDefault="00AB7509" w:rsidP="00F51D6E">
    <w:pPr>
      <w:pStyle w:val="Zpat"/>
      <w:jc w:val="both"/>
      <w:rPr>
        <w:rFonts w:cs="Arial"/>
        <w:bCs/>
        <w:iCs/>
        <w:szCs w:val="20"/>
      </w:rPr>
    </w:pPr>
    <w:r>
      <w:rPr>
        <w:iCs/>
      </w:rPr>
      <w:t xml:space="preserve">         </w:t>
    </w:r>
    <w:r w:rsidRPr="00AB7509">
      <w:rPr>
        <w:iCs/>
      </w:rPr>
      <w:t xml:space="preserve">podzemních vod v lokalitě </w:t>
    </w:r>
    <w:proofErr w:type="spellStart"/>
    <w:r w:rsidRPr="00AB7509">
      <w:rPr>
        <w:iCs/>
      </w:rPr>
      <w:t>Nasobůrky</w:t>
    </w:r>
    <w:proofErr w:type="spellEnd"/>
  </w:p>
  <w:p w:rsidR="003020C7" w:rsidRPr="005A0CC5" w:rsidRDefault="003020C7" w:rsidP="005A0CC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B0" w:rsidRDefault="005417B0">
      <w:r>
        <w:separator/>
      </w:r>
    </w:p>
  </w:footnote>
  <w:footnote w:type="continuationSeparator" w:id="0">
    <w:p w:rsidR="005417B0" w:rsidRDefault="00541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DA6"/>
    <w:multiLevelType w:val="hybridMultilevel"/>
    <w:tmpl w:val="45B48164"/>
    <w:lvl w:ilvl="0" w:tplc="14E4DE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E74267"/>
    <w:multiLevelType w:val="hybridMultilevel"/>
    <w:tmpl w:val="31364492"/>
    <w:lvl w:ilvl="0" w:tplc="88F831DE">
      <w:numFmt w:val="bullet"/>
      <w:lvlText w:val="-"/>
      <w:lvlJc w:val="left"/>
      <w:pPr>
        <w:ind w:left="792" w:hanging="360"/>
      </w:pPr>
      <w:rPr>
        <w:rFonts w:ascii="Arial" w:eastAsia="Lucida Calligraphy" w:hAnsi="Arial" w:cs="Arial" w:hint="default"/>
        <w:b w:val="0"/>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nsid w:val="06511458"/>
    <w:multiLevelType w:val="hybridMultilevel"/>
    <w:tmpl w:val="344A641E"/>
    <w:lvl w:ilvl="0" w:tplc="F5F45B6A">
      <w:numFmt w:val="bullet"/>
      <w:lvlText w:val="-"/>
      <w:lvlJc w:val="left"/>
      <w:pPr>
        <w:tabs>
          <w:tab w:val="num" w:pos="720"/>
        </w:tabs>
        <w:ind w:left="720" w:hanging="360"/>
      </w:pPr>
      <w:rPr>
        <w:rFonts w:ascii="Arial" w:eastAsia="Lucida Calligraphy"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8CC2DEB"/>
    <w:multiLevelType w:val="hybridMultilevel"/>
    <w:tmpl w:val="6F022B38"/>
    <w:lvl w:ilvl="0" w:tplc="5942AA04">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4F605A"/>
    <w:multiLevelType w:val="hybridMultilevel"/>
    <w:tmpl w:val="5E6839C8"/>
    <w:lvl w:ilvl="0" w:tplc="88F831DE">
      <w:numFmt w:val="bullet"/>
      <w:lvlText w:val="-"/>
      <w:lvlJc w:val="left"/>
      <w:pPr>
        <w:ind w:left="720" w:hanging="360"/>
      </w:pPr>
      <w:rPr>
        <w:rFonts w:ascii="Arial" w:eastAsia="Lucida Calligraphy"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AA7DD1"/>
    <w:multiLevelType w:val="hybridMultilevel"/>
    <w:tmpl w:val="3136318E"/>
    <w:lvl w:ilvl="0" w:tplc="19E01FBC">
      <w:start w:val="2"/>
      <w:numFmt w:val="decimal"/>
      <w:lvlText w:val="%1."/>
      <w:lvlJc w:val="left"/>
      <w:pPr>
        <w:tabs>
          <w:tab w:val="num" w:pos="720"/>
        </w:tabs>
        <w:ind w:left="720" w:hanging="360"/>
      </w:pPr>
      <w:rPr>
        <w:rFonts w:hint="default"/>
        <w:b/>
      </w:rPr>
    </w:lvl>
    <w:lvl w:ilvl="1" w:tplc="88F831DE">
      <w:numFmt w:val="bullet"/>
      <w:lvlText w:val="-"/>
      <w:lvlJc w:val="left"/>
      <w:pPr>
        <w:tabs>
          <w:tab w:val="num" w:pos="1440"/>
        </w:tabs>
        <w:ind w:left="1440" w:hanging="360"/>
      </w:pPr>
      <w:rPr>
        <w:rFonts w:ascii="Arial" w:eastAsia="Lucida Calligraphy" w:hAnsi="Arial" w:cs="Arial"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5D1679"/>
    <w:multiLevelType w:val="hybridMultilevel"/>
    <w:tmpl w:val="917E2F18"/>
    <w:lvl w:ilvl="0" w:tplc="BB0C377A">
      <w:start w:val="1"/>
      <w:numFmt w:val="lowerLetter"/>
      <w:lvlText w:val="%1)"/>
      <w:lvlJc w:val="left"/>
      <w:pPr>
        <w:ind w:left="1364" w:hanging="72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39747B5"/>
    <w:multiLevelType w:val="hybridMultilevel"/>
    <w:tmpl w:val="5B6E1E4C"/>
    <w:lvl w:ilvl="0" w:tplc="A748F358">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3A550AD"/>
    <w:multiLevelType w:val="hybridMultilevel"/>
    <w:tmpl w:val="8256A89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5645593"/>
    <w:multiLevelType w:val="hybridMultilevel"/>
    <w:tmpl w:val="E8D6E794"/>
    <w:lvl w:ilvl="0" w:tplc="E2E89C12">
      <w:start w:val="4"/>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A82337C"/>
    <w:multiLevelType w:val="hybridMultilevel"/>
    <w:tmpl w:val="95ECE3A0"/>
    <w:lvl w:ilvl="0" w:tplc="255C7EAA">
      <w:start w:val="1"/>
      <w:numFmt w:val="decimal"/>
      <w:lvlText w:val="%1."/>
      <w:lvlJc w:val="left"/>
      <w:pPr>
        <w:tabs>
          <w:tab w:val="num" w:pos="480"/>
        </w:tabs>
        <w:ind w:left="480" w:hanging="360"/>
      </w:pPr>
      <w:rPr>
        <w:rFonts w:ascii="Arial" w:hAnsi="Arial" w:cs="Arial"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B335CB"/>
    <w:multiLevelType w:val="hybridMultilevel"/>
    <w:tmpl w:val="17C09F7E"/>
    <w:lvl w:ilvl="0" w:tplc="812E2022">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1C81D23"/>
    <w:multiLevelType w:val="hybridMultilevel"/>
    <w:tmpl w:val="D636516E"/>
    <w:lvl w:ilvl="0" w:tplc="BB0C377A">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0D66E0"/>
    <w:multiLevelType w:val="hybridMultilevel"/>
    <w:tmpl w:val="EDB60DD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4">
    <w:nsid w:val="31A83134"/>
    <w:multiLevelType w:val="hybridMultilevel"/>
    <w:tmpl w:val="C7940CD4"/>
    <w:lvl w:ilvl="0" w:tplc="14E4DE3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57919C6"/>
    <w:multiLevelType w:val="multilevel"/>
    <w:tmpl w:val="27A663AA"/>
    <w:lvl w:ilvl="0">
      <w:start w:val="2"/>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C913FE1"/>
    <w:multiLevelType w:val="hybridMultilevel"/>
    <w:tmpl w:val="76647A00"/>
    <w:lvl w:ilvl="0" w:tplc="88F831DE">
      <w:numFmt w:val="bullet"/>
      <w:lvlText w:val="-"/>
      <w:lvlJc w:val="left"/>
      <w:pPr>
        <w:ind w:left="720" w:hanging="360"/>
      </w:pPr>
      <w:rPr>
        <w:rFonts w:ascii="Arial" w:eastAsia="Lucida Calligraphy"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3E4453"/>
    <w:multiLevelType w:val="hybridMultilevel"/>
    <w:tmpl w:val="EE189B04"/>
    <w:lvl w:ilvl="0" w:tplc="5828796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BED0758"/>
    <w:multiLevelType w:val="hybridMultilevel"/>
    <w:tmpl w:val="F2AA075E"/>
    <w:lvl w:ilvl="0" w:tplc="F5F45B6A">
      <w:numFmt w:val="bullet"/>
      <w:lvlText w:val="-"/>
      <w:lvlJc w:val="left"/>
      <w:pPr>
        <w:tabs>
          <w:tab w:val="num" w:pos="780"/>
        </w:tabs>
        <w:ind w:left="780" w:hanging="360"/>
      </w:pPr>
      <w:rPr>
        <w:rFonts w:ascii="Arial" w:eastAsia="Lucida Calligraphy" w:hAnsi="Arial" w:cs="Aria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nsid w:val="502B425A"/>
    <w:multiLevelType w:val="hybridMultilevel"/>
    <w:tmpl w:val="441C3FA8"/>
    <w:lvl w:ilvl="0" w:tplc="BB0C377A">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0">
    <w:nsid w:val="597E7613"/>
    <w:multiLevelType w:val="hybridMultilevel"/>
    <w:tmpl w:val="DAF816BC"/>
    <w:lvl w:ilvl="0" w:tplc="7442A05A">
      <w:start w:val="1"/>
      <w:numFmt w:val="decimal"/>
      <w:lvlText w:val="%1."/>
      <w:lvlJc w:val="left"/>
      <w:pPr>
        <w:tabs>
          <w:tab w:val="num" w:pos="644"/>
        </w:tabs>
        <w:ind w:left="644" w:hanging="360"/>
      </w:pPr>
      <w:rPr>
        <w:b/>
        <w:color w:val="auto"/>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E6B7C87"/>
    <w:multiLevelType w:val="hybridMultilevel"/>
    <w:tmpl w:val="4014C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237283D"/>
    <w:multiLevelType w:val="hybridMultilevel"/>
    <w:tmpl w:val="C1EAB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A36B82"/>
    <w:multiLevelType w:val="hybridMultilevel"/>
    <w:tmpl w:val="3988795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05672E0"/>
    <w:multiLevelType w:val="hybridMultilevel"/>
    <w:tmpl w:val="EA66121A"/>
    <w:lvl w:ilvl="0" w:tplc="46A455BE">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nsid w:val="72905481"/>
    <w:multiLevelType w:val="hybridMultilevel"/>
    <w:tmpl w:val="E81408B4"/>
    <w:lvl w:ilvl="0" w:tplc="2BE683DA">
      <w:start w:val="1"/>
      <w:numFmt w:val="decimal"/>
      <w:lvlText w:val="%1."/>
      <w:lvlJc w:val="left"/>
      <w:pPr>
        <w:tabs>
          <w:tab w:val="num" w:pos="480"/>
        </w:tabs>
        <w:ind w:left="480" w:hanging="360"/>
      </w:pPr>
      <w:rPr>
        <w:rFonts w:ascii="Arial" w:hAnsi="Arial" w:cs="Arial" w:hint="default"/>
        <w:sz w:val="24"/>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7">
    <w:nsid w:val="73235E45"/>
    <w:multiLevelType w:val="multilevel"/>
    <w:tmpl w:val="448620A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3FC4CA2"/>
    <w:multiLevelType w:val="multilevel"/>
    <w:tmpl w:val="3A1C96A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7F326EB9"/>
    <w:multiLevelType w:val="hybridMultilevel"/>
    <w:tmpl w:val="AC7A38F8"/>
    <w:lvl w:ilvl="0" w:tplc="FF0AE4C8">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9"/>
  </w:num>
  <w:num w:numId="3">
    <w:abstractNumId w:val="10"/>
  </w:num>
  <w:num w:numId="4">
    <w:abstractNumId w:val="18"/>
  </w:num>
  <w:num w:numId="5">
    <w:abstractNumId w:val="3"/>
  </w:num>
  <w:num w:numId="6">
    <w:abstractNumId w:val="5"/>
  </w:num>
  <w:num w:numId="7">
    <w:abstractNumId w:val="17"/>
  </w:num>
  <w:num w:numId="8">
    <w:abstractNumId w:val="0"/>
  </w:num>
  <w:num w:numId="9">
    <w:abstractNumId w:val="28"/>
  </w:num>
  <w:num w:numId="10">
    <w:abstractNumId w:val="8"/>
  </w:num>
  <w:num w:numId="11">
    <w:abstractNumId w:val="14"/>
  </w:num>
  <w:num w:numId="12">
    <w:abstractNumId w:val="15"/>
  </w:num>
  <w:num w:numId="13">
    <w:abstractNumId w:val="7"/>
  </w:num>
  <w:num w:numId="14">
    <w:abstractNumId w:val="12"/>
  </w:num>
  <w:num w:numId="15">
    <w:abstractNumId w:val="2"/>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25"/>
  </w:num>
  <w:num w:numId="20">
    <w:abstractNumId w:val="27"/>
  </w:num>
  <w:num w:numId="21">
    <w:abstractNumId w:val="26"/>
  </w:num>
  <w:num w:numId="22">
    <w:abstractNumId w:val="23"/>
  </w:num>
  <w:num w:numId="23">
    <w:abstractNumId w:val="16"/>
  </w:num>
  <w:num w:numId="24">
    <w:abstractNumId w:val="4"/>
  </w:num>
  <w:num w:numId="25">
    <w:abstractNumId w:val="13"/>
  </w:num>
  <w:num w:numId="26">
    <w:abstractNumId w:val="1"/>
  </w:num>
  <w:num w:numId="27">
    <w:abstractNumId w:val="29"/>
  </w:num>
  <w:num w:numId="28">
    <w:abstractNumId w:val="21"/>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92D"/>
    <w:rsid w:val="00003F4C"/>
    <w:rsid w:val="00010354"/>
    <w:rsid w:val="00012AA7"/>
    <w:rsid w:val="00036E5A"/>
    <w:rsid w:val="0004731A"/>
    <w:rsid w:val="00050015"/>
    <w:rsid w:val="00062DCC"/>
    <w:rsid w:val="0007005C"/>
    <w:rsid w:val="00074441"/>
    <w:rsid w:val="000856D9"/>
    <w:rsid w:val="00090415"/>
    <w:rsid w:val="00091579"/>
    <w:rsid w:val="000A6436"/>
    <w:rsid w:val="000A6944"/>
    <w:rsid w:val="000B18FC"/>
    <w:rsid w:val="000C3D2F"/>
    <w:rsid w:val="000C6253"/>
    <w:rsid w:val="000E1C4C"/>
    <w:rsid w:val="000E28BA"/>
    <w:rsid w:val="00114CC1"/>
    <w:rsid w:val="00115AE6"/>
    <w:rsid w:val="00122FC4"/>
    <w:rsid w:val="00131D91"/>
    <w:rsid w:val="001418D0"/>
    <w:rsid w:val="00155767"/>
    <w:rsid w:val="00170AE4"/>
    <w:rsid w:val="001735BB"/>
    <w:rsid w:val="00186E2E"/>
    <w:rsid w:val="001A2778"/>
    <w:rsid w:val="001A48D0"/>
    <w:rsid w:val="001A6A61"/>
    <w:rsid w:val="001A6D31"/>
    <w:rsid w:val="001A7E32"/>
    <w:rsid w:val="001C0B08"/>
    <w:rsid w:val="001E54C1"/>
    <w:rsid w:val="001E5F99"/>
    <w:rsid w:val="001E7523"/>
    <w:rsid w:val="001F7030"/>
    <w:rsid w:val="00201190"/>
    <w:rsid w:val="00206B64"/>
    <w:rsid w:val="00244177"/>
    <w:rsid w:val="00264509"/>
    <w:rsid w:val="002659FC"/>
    <w:rsid w:val="00290507"/>
    <w:rsid w:val="0029105E"/>
    <w:rsid w:val="00297070"/>
    <w:rsid w:val="002A07DD"/>
    <w:rsid w:val="002B08C2"/>
    <w:rsid w:val="002B1715"/>
    <w:rsid w:val="002B244B"/>
    <w:rsid w:val="002B3EB8"/>
    <w:rsid w:val="002C4C3F"/>
    <w:rsid w:val="002D28BB"/>
    <w:rsid w:val="003020C7"/>
    <w:rsid w:val="003026B7"/>
    <w:rsid w:val="0031342B"/>
    <w:rsid w:val="00344E71"/>
    <w:rsid w:val="003546C8"/>
    <w:rsid w:val="00366291"/>
    <w:rsid w:val="00372A1C"/>
    <w:rsid w:val="003734F7"/>
    <w:rsid w:val="003934E7"/>
    <w:rsid w:val="003C2678"/>
    <w:rsid w:val="003C65FB"/>
    <w:rsid w:val="003D1575"/>
    <w:rsid w:val="003D6F2C"/>
    <w:rsid w:val="003F1F7B"/>
    <w:rsid w:val="004005A8"/>
    <w:rsid w:val="004325B4"/>
    <w:rsid w:val="004358CC"/>
    <w:rsid w:val="00454BDA"/>
    <w:rsid w:val="00457EEA"/>
    <w:rsid w:val="00492FA1"/>
    <w:rsid w:val="004A2385"/>
    <w:rsid w:val="004B22E9"/>
    <w:rsid w:val="004D11AD"/>
    <w:rsid w:val="004D5543"/>
    <w:rsid w:val="00512D08"/>
    <w:rsid w:val="005140FD"/>
    <w:rsid w:val="005222BD"/>
    <w:rsid w:val="0053206B"/>
    <w:rsid w:val="005417B0"/>
    <w:rsid w:val="00545DEF"/>
    <w:rsid w:val="00556EBE"/>
    <w:rsid w:val="00557C2B"/>
    <w:rsid w:val="0056080B"/>
    <w:rsid w:val="00573C98"/>
    <w:rsid w:val="00585C35"/>
    <w:rsid w:val="0058713C"/>
    <w:rsid w:val="005A0CC5"/>
    <w:rsid w:val="005A0F16"/>
    <w:rsid w:val="005A70DC"/>
    <w:rsid w:val="005E446F"/>
    <w:rsid w:val="005F0C6B"/>
    <w:rsid w:val="005F5E53"/>
    <w:rsid w:val="005F7A08"/>
    <w:rsid w:val="006103B3"/>
    <w:rsid w:val="00625E1B"/>
    <w:rsid w:val="006324A4"/>
    <w:rsid w:val="00637109"/>
    <w:rsid w:val="00641913"/>
    <w:rsid w:val="00644D24"/>
    <w:rsid w:val="00665B6C"/>
    <w:rsid w:val="00667EC2"/>
    <w:rsid w:val="00670C10"/>
    <w:rsid w:val="0068233F"/>
    <w:rsid w:val="00685E33"/>
    <w:rsid w:val="006A490B"/>
    <w:rsid w:val="006C1F6D"/>
    <w:rsid w:val="006D0BF0"/>
    <w:rsid w:val="006F3AC8"/>
    <w:rsid w:val="00705B30"/>
    <w:rsid w:val="00706892"/>
    <w:rsid w:val="00725271"/>
    <w:rsid w:val="007269A3"/>
    <w:rsid w:val="00735502"/>
    <w:rsid w:val="00751CE8"/>
    <w:rsid w:val="00760BEE"/>
    <w:rsid w:val="007623E8"/>
    <w:rsid w:val="00771B0B"/>
    <w:rsid w:val="007764A2"/>
    <w:rsid w:val="00780339"/>
    <w:rsid w:val="007C43EE"/>
    <w:rsid w:val="007C638E"/>
    <w:rsid w:val="007F6C3B"/>
    <w:rsid w:val="00801F35"/>
    <w:rsid w:val="0081391F"/>
    <w:rsid w:val="00820DAC"/>
    <w:rsid w:val="008349A2"/>
    <w:rsid w:val="00835A8B"/>
    <w:rsid w:val="00861F82"/>
    <w:rsid w:val="00863578"/>
    <w:rsid w:val="00871F21"/>
    <w:rsid w:val="008759BB"/>
    <w:rsid w:val="008869C8"/>
    <w:rsid w:val="008870F2"/>
    <w:rsid w:val="008878D0"/>
    <w:rsid w:val="00890EE8"/>
    <w:rsid w:val="008C518F"/>
    <w:rsid w:val="0090182C"/>
    <w:rsid w:val="009026AD"/>
    <w:rsid w:val="00902758"/>
    <w:rsid w:val="00910053"/>
    <w:rsid w:val="009121CF"/>
    <w:rsid w:val="00913728"/>
    <w:rsid w:val="0092492D"/>
    <w:rsid w:val="009368C2"/>
    <w:rsid w:val="00940C12"/>
    <w:rsid w:val="00971471"/>
    <w:rsid w:val="00975157"/>
    <w:rsid w:val="0098015F"/>
    <w:rsid w:val="00997938"/>
    <w:rsid w:val="009A3E59"/>
    <w:rsid w:val="009A55F2"/>
    <w:rsid w:val="009B423C"/>
    <w:rsid w:val="009C2A6A"/>
    <w:rsid w:val="009E7E40"/>
    <w:rsid w:val="00A2246F"/>
    <w:rsid w:val="00A30E79"/>
    <w:rsid w:val="00A41D7F"/>
    <w:rsid w:val="00A44E42"/>
    <w:rsid w:val="00A52AD3"/>
    <w:rsid w:val="00A54052"/>
    <w:rsid w:val="00A57E90"/>
    <w:rsid w:val="00A647CF"/>
    <w:rsid w:val="00A714E3"/>
    <w:rsid w:val="00A71E0B"/>
    <w:rsid w:val="00A74B10"/>
    <w:rsid w:val="00A74FEB"/>
    <w:rsid w:val="00A91489"/>
    <w:rsid w:val="00AA6F88"/>
    <w:rsid w:val="00AB7509"/>
    <w:rsid w:val="00AC6869"/>
    <w:rsid w:val="00AD38D9"/>
    <w:rsid w:val="00B16EAE"/>
    <w:rsid w:val="00B22D9D"/>
    <w:rsid w:val="00B24691"/>
    <w:rsid w:val="00B30A16"/>
    <w:rsid w:val="00B34B91"/>
    <w:rsid w:val="00B449BE"/>
    <w:rsid w:val="00B44CF5"/>
    <w:rsid w:val="00B503C6"/>
    <w:rsid w:val="00B510AB"/>
    <w:rsid w:val="00B51BC8"/>
    <w:rsid w:val="00B57572"/>
    <w:rsid w:val="00B63B30"/>
    <w:rsid w:val="00B73A88"/>
    <w:rsid w:val="00B902FE"/>
    <w:rsid w:val="00B93DEA"/>
    <w:rsid w:val="00BD364C"/>
    <w:rsid w:val="00BF4D5F"/>
    <w:rsid w:val="00BF5425"/>
    <w:rsid w:val="00C00938"/>
    <w:rsid w:val="00C0173E"/>
    <w:rsid w:val="00C06437"/>
    <w:rsid w:val="00C12C1F"/>
    <w:rsid w:val="00C134D1"/>
    <w:rsid w:val="00C15494"/>
    <w:rsid w:val="00C26FFD"/>
    <w:rsid w:val="00C30152"/>
    <w:rsid w:val="00C45EBD"/>
    <w:rsid w:val="00C46A97"/>
    <w:rsid w:val="00C660CE"/>
    <w:rsid w:val="00C81929"/>
    <w:rsid w:val="00CA0F8D"/>
    <w:rsid w:val="00CB5FD3"/>
    <w:rsid w:val="00CC38B2"/>
    <w:rsid w:val="00CD03F0"/>
    <w:rsid w:val="00CD3F0F"/>
    <w:rsid w:val="00CD755D"/>
    <w:rsid w:val="00CF0812"/>
    <w:rsid w:val="00CF3173"/>
    <w:rsid w:val="00D00C3C"/>
    <w:rsid w:val="00D00D36"/>
    <w:rsid w:val="00D119B7"/>
    <w:rsid w:val="00D11C85"/>
    <w:rsid w:val="00D156C0"/>
    <w:rsid w:val="00D27203"/>
    <w:rsid w:val="00D56B8D"/>
    <w:rsid w:val="00D6263A"/>
    <w:rsid w:val="00D64366"/>
    <w:rsid w:val="00D81174"/>
    <w:rsid w:val="00D83D4A"/>
    <w:rsid w:val="00D84203"/>
    <w:rsid w:val="00D97AD1"/>
    <w:rsid w:val="00DA1215"/>
    <w:rsid w:val="00DA14F7"/>
    <w:rsid w:val="00DA5780"/>
    <w:rsid w:val="00DB4DD4"/>
    <w:rsid w:val="00DD5108"/>
    <w:rsid w:val="00DE5DF8"/>
    <w:rsid w:val="00DF0738"/>
    <w:rsid w:val="00DF3506"/>
    <w:rsid w:val="00DF7319"/>
    <w:rsid w:val="00E05966"/>
    <w:rsid w:val="00E11CC8"/>
    <w:rsid w:val="00E12C2D"/>
    <w:rsid w:val="00E163CB"/>
    <w:rsid w:val="00E255D4"/>
    <w:rsid w:val="00E25870"/>
    <w:rsid w:val="00E325AE"/>
    <w:rsid w:val="00E37C1E"/>
    <w:rsid w:val="00E441BB"/>
    <w:rsid w:val="00E67098"/>
    <w:rsid w:val="00E742C4"/>
    <w:rsid w:val="00EA3161"/>
    <w:rsid w:val="00EA7941"/>
    <w:rsid w:val="00EB7558"/>
    <w:rsid w:val="00ED224F"/>
    <w:rsid w:val="00ED2761"/>
    <w:rsid w:val="00EF02D5"/>
    <w:rsid w:val="00F21D69"/>
    <w:rsid w:val="00F3433E"/>
    <w:rsid w:val="00F51D6E"/>
    <w:rsid w:val="00F55A21"/>
    <w:rsid w:val="00F86622"/>
    <w:rsid w:val="00FA21EA"/>
    <w:rsid w:val="00FB5CA7"/>
    <w:rsid w:val="00FC134E"/>
    <w:rsid w:val="00FD148F"/>
    <w:rsid w:val="00FD4129"/>
    <w:rsid w:val="00FD710C"/>
    <w:rsid w:val="00FF4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9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835A8B"/>
    <w:pPr>
      <w:keepNext/>
      <w:numPr>
        <w:numId w:val="12"/>
      </w:numPr>
      <w:spacing w:before="120" w:after="120"/>
      <w:jc w:val="both"/>
      <w:outlineLvl w:val="0"/>
    </w:pPr>
    <w:rPr>
      <w:rFonts w:ascii="Arial" w:hAnsi="Arial" w:cs="Arial"/>
      <w:b/>
      <w:bCs/>
      <w:caps/>
      <w:kern w:val="32"/>
      <w:sz w:val="28"/>
      <w:szCs w:val="28"/>
    </w:rPr>
  </w:style>
  <w:style w:type="paragraph" w:styleId="Nadpis2">
    <w:name w:val="heading 2"/>
    <w:basedOn w:val="Normln"/>
    <w:next w:val="Normln"/>
    <w:link w:val="Nadpis2Char"/>
    <w:autoRedefine/>
    <w:qFormat/>
    <w:rsid w:val="00835A8B"/>
    <w:pPr>
      <w:keepNext/>
      <w:numPr>
        <w:ilvl w:val="1"/>
        <w:numId w:val="12"/>
      </w:numPr>
      <w:tabs>
        <w:tab w:val="clear" w:pos="720"/>
        <w:tab w:val="num" w:pos="540"/>
      </w:tabs>
      <w:spacing w:after="120"/>
      <w:ind w:left="578" w:hanging="578"/>
      <w:jc w:val="both"/>
      <w:outlineLvl w:val="1"/>
    </w:pPr>
    <w:rPr>
      <w:rFonts w:ascii="Arial" w:hAnsi="Arial" w:cs="Arial"/>
      <w:b/>
      <w:bCs/>
      <w:sz w:val="26"/>
      <w:szCs w:val="26"/>
    </w:rPr>
  </w:style>
  <w:style w:type="paragraph" w:styleId="Nadpis3">
    <w:name w:val="heading 3"/>
    <w:basedOn w:val="Normln"/>
    <w:next w:val="Normln"/>
    <w:link w:val="Nadpis3Char"/>
    <w:autoRedefine/>
    <w:qFormat/>
    <w:rsid w:val="00297070"/>
    <w:pPr>
      <w:keepNext/>
      <w:overflowPunct w:val="0"/>
      <w:autoSpaceDE w:val="0"/>
      <w:autoSpaceDN w:val="0"/>
      <w:adjustRightInd w:val="0"/>
      <w:spacing w:before="240"/>
      <w:jc w:val="both"/>
      <w:textAlignment w:val="baseline"/>
      <w:outlineLvl w:val="2"/>
    </w:pPr>
    <w:rPr>
      <w:rFonts w:ascii="Arial" w:hAnsi="Arial" w:cs="Arial"/>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2492D"/>
    <w:pPr>
      <w:widowControl w:val="0"/>
      <w:spacing w:after="120"/>
      <w:jc w:val="both"/>
    </w:pPr>
    <w:rPr>
      <w:rFonts w:ascii="Arial" w:hAnsi="Arial"/>
      <w:bCs/>
      <w:noProof/>
      <w:szCs w:val="20"/>
      <w:lang w:eastAsia="en-US"/>
    </w:rPr>
  </w:style>
  <w:style w:type="character" w:customStyle="1" w:styleId="ZkladntextChar">
    <w:name w:val="Základní text Char"/>
    <w:basedOn w:val="Standardnpsmoodstavce"/>
    <w:link w:val="Zkladntext"/>
    <w:rsid w:val="0092492D"/>
    <w:rPr>
      <w:rFonts w:ascii="Arial" w:eastAsia="Times New Roman" w:hAnsi="Arial" w:cs="Times New Roman"/>
      <w:bCs/>
      <w:noProof/>
      <w:sz w:val="24"/>
      <w:szCs w:val="20"/>
    </w:rPr>
  </w:style>
  <w:style w:type="paragraph" w:customStyle="1" w:styleId="Radadvodovzprva">
    <w:name w:val="Rada důvodová zpráva"/>
    <w:basedOn w:val="Normln"/>
    <w:rsid w:val="0092492D"/>
    <w:pPr>
      <w:widowControl w:val="0"/>
      <w:spacing w:after="480"/>
      <w:jc w:val="both"/>
    </w:pPr>
    <w:rPr>
      <w:rFonts w:ascii="Arial" w:hAnsi="Arial"/>
      <w:b/>
      <w:noProof/>
      <w:szCs w:val="20"/>
    </w:rPr>
  </w:style>
  <w:style w:type="paragraph" w:customStyle="1" w:styleId="Radaplohy">
    <w:name w:val="Rada přílohy"/>
    <w:basedOn w:val="Normln"/>
    <w:rsid w:val="0092492D"/>
    <w:pPr>
      <w:widowControl w:val="0"/>
      <w:spacing w:before="480" w:after="120"/>
      <w:jc w:val="both"/>
    </w:pPr>
    <w:rPr>
      <w:rFonts w:ascii="Arial" w:hAnsi="Arial"/>
      <w:noProof/>
      <w:szCs w:val="20"/>
      <w:u w:val="single"/>
    </w:rPr>
  </w:style>
  <w:style w:type="paragraph" w:styleId="Zpat">
    <w:name w:val="footer"/>
    <w:basedOn w:val="Normln"/>
    <w:link w:val="ZpatChar"/>
    <w:uiPriority w:val="99"/>
    <w:rsid w:val="0092492D"/>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92492D"/>
    <w:rPr>
      <w:rFonts w:ascii="Arial" w:eastAsia="Times New Roman" w:hAnsi="Arial" w:cs="Times New Roman"/>
      <w:i/>
      <w:sz w:val="20"/>
      <w:szCs w:val="24"/>
      <w:lang w:eastAsia="cs-CZ"/>
    </w:rPr>
  </w:style>
  <w:style w:type="character" w:styleId="slostrnky">
    <w:name w:val="page number"/>
    <w:basedOn w:val="Standardnpsmoodstavce"/>
    <w:rsid w:val="0092492D"/>
  </w:style>
  <w:style w:type="paragraph" w:styleId="Zkladntextodsazen">
    <w:name w:val="Body Text Indent"/>
    <w:basedOn w:val="Normln"/>
    <w:link w:val="ZkladntextodsazenChar"/>
    <w:rsid w:val="0092492D"/>
    <w:pPr>
      <w:spacing w:after="120"/>
      <w:ind w:left="283"/>
    </w:pPr>
  </w:style>
  <w:style w:type="character" w:customStyle="1" w:styleId="ZkladntextodsazenChar">
    <w:name w:val="Základní text odsazený Char"/>
    <w:basedOn w:val="Standardnpsmoodstavce"/>
    <w:link w:val="Zkladntextodsazen"/>
    <w:rsid w:val="0092492D"/>
    <w:rPr>
      <w:rFonts w:ascii="Times New Roman" w:eastAsia="Times New Roman" w:hAnsi="Times New Roman" w:cs="Times New Roman"/>
      <w:sz w:val="24"/>
      <w:szCs w:val="24"/>
      <w:lang w:eastAsia="cs-CZ"/>
    </w:rPr>
  </w:style>
  <w:style w:type="table" w:styleId="Mkatabulky">
    <w:name w:val="Table Grid"/>
    <w:basedOn w:val="Normlntabulka"/>
    <w:uiPriority w:val="59"/>
    <w:rsid w:val="005E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DD510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extbubliny">
    <w:name w:val="Balloon Text"/>
    <w:basedOn w:val="Normln"/>
    <w:link w:val="TextbublinyChar"/>
    <w:uiPriority w:val="99"/>
    <w:semiHidden/>
    <w:unhideWhenUsed/>
    <w:rsid w:val="00C46A97"/>
    <w:rPr>
      <w:rFonts w:ascii="Tahoma" w:hAnsi="Tahoma" w:cs="Tahoma"/>
      <w:sz w:val="16"/>
      <w:szCs w:val="16"/>
    </w:rPr>
  </w:style>
  <w:style w:type="character" w:customStyle="1" w:styleId="TextbublinyChar">
    <w:name w:val="Text bubliny Char"/>
    <w:basedOn w:val="Standardnpsmoodstavce"/>
    <w:link w:val="Textbubliny"/>
    <w:uiPriority w:val="99"/>
    <w:semiHidden/>
    <w:rsid w:val="00C46A97"/>
    <w:rPr>
      <w:rFonts w:ascii="Tahoma" w:eastAsia="Times New Roman" w:hAnsi="Tahoma" w:cs="Tahoma"/>
      <w:sz w:val="16"/>
      <w:szCs w:val="16"/>
      <w:lang w:eastAsia="cs-CZ"/>
    </w:rPr>
  </w:style>
  <w:style w:type="paragraph" w:customStyle="1" w:styleId="Char0">
    <w:name w:val="Char"/>
    <w:basedOn w:val="Normln"/>
    <w:rsid w:val="00C134D1"/>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Odstavecseseznamem">
    <w:name w:val="List Paragraph"/>
    <w:basedOn w:val="Normln"/>
    <w:uiPriority w:val="34"/>
    <w:qFormat/>
    <w:rsid w:val="006324A4"/>
    <w:pPr>
      <w:ind w:left="720"/>
      <w:contextualSpacing/>
    </w:pPr>
  </w:style>
  <w:style w:type="paragraph" w:customStyle="1" w:styleId="Textodstavec">
    <w:name w:val="Text_odstavec"/>
    <w:basedOn w:val="Normln"/>
    <w:link w:val="TextodstavecChar"/>
    <w:rsid w:val="00DF3506"/>
    <w:pPr>
      <w:jc w:val="both"/>
    </w:pPr>
    <w:rPr>
      <w:rFonts w:ascii="Arial" w:hAnsi="Arial" w:cs="Arial"/>
      <w:sz w:val="20"/>
      <w:szCs w:val="20"/>
    </w:rPr>
  </w:style>
  <w:style w:type="character" w:customStyle="1" w:styleId="TextodstavecChar">
    <w:name w:val="Text_odstavec Char"/>
    <w:basedOn w:val="Standardnpsmoodstavce"/>
    <w:link w:val="Textodstavec"/>
    <w:locked/>
    <w:rsid w:val="00DF3506"/>
    <w:rPr>
      <w:rFonts w:ascii="Arial" w:eastAsia="Times New Roman" w:hAnsi="Arial" w:cs="Arial"/>
      <w:sz w:val="20"/>
      <w:szCs w:val="20"/>
      <w:lang w:eastAsia="cs-CZ"/>
    </w:rPr>
  </w:style>
  <w:style w:type="character" w:customStyle="1" w:styleId="Nadpis1Char">
    <w:name w:val="Nadpis 1 Char"/>
    <w:basedOn w:val="Standardnpsmoodstavce"/>
    <w:link w:val="Nadpis1"/>
    <w:rsid w:val="00835A8B"/>
    <w:rPr>
      <w:rFonts w:ascii="Arial" w:eastAsia="Times New Roman" w:hAnsi="Arial" w:cs="Arial"/>
      <w:b/>
      <w:bCs/>
      <w:caps/>
      <w:kern w:val="32"/>
      <w:sz w:val="28"/>
      <w:szCs w:val="28"/>
      <w:lang w:eastAsia="cs-CZ"/>
    </w:rPr>
  </w:style>
  <w:style w:type="character" w:customStyle="1" w:styleId="Nadpis2Char">
    <w:name w:val="Nadpis 2 Char"/>
    <w:basedOn w:val="Standardnpsmoodstavce"/>
    <w:link w:val="Nadpis2"/>
    <w:rsid w:val="00835A8B"/>
    <w:rPr>
      <w:rFonts w:ascii="Arial" w:eastAsia="Times New Roman" w:hAnsi="Arial" w:cs="Arial"/>
      <w:b/>
      <w:bCs/>
      <w:sz w:val="26"/>
      <w:szCs w:val="26"/>
      <w:lang w:eastAsia="cs-CZ"/>
    </w:rPr>
  </w:style>
  <w:style w:type="character" w:customStyle="1" w:styleId="Nadpis3Char">
    <w:name w:val="Nadpis 3 Char"/>
    <w:basedOn w:val="Standardnpsmoodstavce"/>
    <w:link w:val="Nadpis3"/>
    <w:rsid w:val="00297070"/>
    <w:rPr>
      <w:rFonts w:ascii="Arial" w:eastAsia="Times New Roman" w:hAnsi="Arial" w:cs="Arial"/>
      <w:b/>
      <w:iCs/>
      <w:sz w:val="24"/>
      <w:szCs w:val="24"/>
      <w:lang w:eastAsia="cs-CZ"/>
    </w:rPr>
  </w:style>
  <w:style w:type="paragraph" w:styleId="Zhlav">
    <w:name w:val="header"/>
    <w:basedOn w:val="Normln"/>
    <w:link w:val="ZhlavChar"/>
    <w:uiPriority w:val="99"/>
    <w:unhideWhenUsed/>
    <w:rsid w:val="00C81929"/>
    <w:pPr>
      <w:tabs>
        <w:tab w:val="center" w:pos="4536"/>
        <w:tab w:val="right" w:pos="9072"/>
      </w:tabs>
    </w:pPr>
  </w:style>
  <w:style w:type="character" w:customStyle="1" w:styleId="ZhlavChar">
    <w:name w:val="Záhlaví Char"/>
    <w:basedOn w:val="Standardnpsmoodstavce"/>
    <w:link w:val="Zhlav"/>
    <w:uiPriority w:val="99"/>
    <w:rsid w:val="00C81929"/>
    <w:rPr>
      <w:rFonts w:ascii="Times New Roman" w:eastAsia="Times New Roman" w:hAnsi="Times New Roman" w:cs="Times New Roman"/>
      <w:sz w:val="24"/>
      <w:szCs w:val="24"/>
      <w:lang w:eastAsia="cs-CZ"/>
    </w:rPr>
  </w:style>
  <w:style w:type="paragraph" w:customStyle="1" w:styleId="Char1">
    <w:name w:val="Char"/>
    <w:basedOn w:val="Normln"/>
    <w:rsid w:val="00B57572"/>
    <w:pPr>
      <w:widowControl w:val="0"/>
      <w:adjustRightInd w:val="0"/>
      <w:spacing w:after="160" w:line="240" w:lineRule="exact"/>
      <w:jc w:val="both"/>
      <w:textAlignment w:val="baseline"/>
    </w:pPr>
    <w:rPr>
      <w:rFonts w:ascii="Tahoma" w:hAnsi="Tahoma" w:cs="Tahoma"/>
      <w:sz w:val="20"/>
      <w:szCs w:val="20"/>
      <w:lang w:val="en-US" w:eastAsia="en-US"/>
    </w:rPr>
  </w:style>
  <w:style w:type="character" w:customStyle="1" w:styleId="Tunproloenznak">
    <w:name w:val="Tučný proložený znak"/>
    <w:basedOn w:val="Standardnpsmoodstavce"/>
    <w:rsid w:val="00E12C2D"/>
    <w:rPr>
      <w:rFonts w:ascii="Arial" w:hAnsi="Arial"/>
      <w:b/>
      <w:dstrike w:val="0"/>
      <w:color w:val="auto"/>
      <w:spacing w:val="70"/>
      <w:sz w:val="22"/>
      <w:u w:val="none"/>
      <w:vertAlign w:val="baseline"/>
    </w:rPr>
  </w:style>
  <w:style w:type="paragraph" w:customStyle="1" w:styleId="Default">
    <w:name w:val="Default"/>
    <w:rsid w:val="00FD1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lavikaspisovaskartanznak">
    <w:name w:val="Hlavička spisový a skartační znak"/>
    <w:basedOn w:val="Normln"/>
    <w:rsid w:val="00FD148F"/>
    <w:pPr>
      <w:widowControl w:val="0"/>
      <w:jc w:val="both"/>
    </w:pPr>
    <w:rPr>
      <w:rFonts w:ascii="Arial" w:hAnsi="Arial"/>
      <w:sz w:val="20"/>
      <w:szCs w:val="20"/>
    </w:rPr>
  </w:style>
  <w:style w:type="paragraph" w:customStyle="1" w:styleId="Normal">
    <w:name w:val="[Normal]"/>
    <w:rsid w:val="00D156C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tuntext16nasted">
    <w:name w:val="Tabulka tučný text_16 na střed"/>
    <w:basedOn w:val="Normln"/>
    <w:rsid w:val="00CF317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CF3173"/>
    <w:pPr>
      <w:widowControl w:val="0"/>
      <w:spacing w:before="40" w:after="40"/>
      <w:jc w:val="center"/>
    </w:pPr>
    <w:rPr>
      <w:rFonts w:ascii="Arial" w:hAnsi="Arial"/>
      <w:b/>
      <w:noProof/>
      <w:szCs w:val="20"/>
    </w:rPr>
  </w:style>
  <w:style w:type="paragraph" w:customStyle="1" w:styleId="Tabulkazkladntext">
    <w:name w:val="Tabulka základní text"/>
    <w:basedOn w:val="Normln"/>
    <w:rsid w:val="00CF317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CF3173"/>
    <w:pPr>
      <w:widowControl w:val="0"/>
      <w:spacing w:before="40" w:after="40"/>
      <w:jc w:val="center"/>
    </w:pPr>
    <w:rPr>
      <w:rFonts w:ascii="Arial" w:hAnsi="Arial"/>
      <w:noProof/>
      <w:szCs w:val="20"/>
    </w:rPr>
  </w:style>
  <w:style w:type="character" w:styleId="Siln">
    <w:name w:val="Strong"/>
    <w:basedOn w:val="Standardnpsmoodstavce"/>
    <w:uiPriority w:val="22"/>
    <w:qFormat/>
    <w:rsid w:val="00AD38D9"/>
    <w:rPr>
      <w:b/>
      <w:bCs/>
    </w:rPr>
  </w:style>
  <w:style w:type="paragraph" w:customStyle="1" w:styleId="Radaploha1">
    <w:name w:val="Rada příloha č.1"/>
    <w:basedOn w:val="Normln"/>
    <w:rsid w:val="00A647CF"/>
    <w:pPr>
      <w:widowControl w:val="0"/>
      <w:numPr>
        <w:numId w:val="28"/>
      </w:numPr>
      <w:spacing w:after="120"/>
      <w:jc w:val="both"/>
    </w:pPr>
    <w:rPr>
      <w:rFonts w:ascii="Arial" w:hAnsi="Arial"/>
      <w:noProof/>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492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835A8B"/>
    <w:pPr>
      <w:keepNext/>
      <w:numPr>
        <w:numId w:val="12"/>
      </w:numPr>
      <w:spacing w:before="120" w:after="120"/>
      <w:jc w:val="both"/>
      <w:outlineLvl w:val="0"/>
    </w:pPr>
    <w:rPr>
      <w:rFonts w:ascii="Arial" w:hAnsi="Arial" w:cs="Arial"/>
      <w:b/>
      <w:bCs/>
      <w:caps/>
      <w:kern w:val="32"/>
      <w:sz w:val="28"/>
      <w:szCs w:val="28"/>
    </w:rPr>
  </w:style>
  <w:style w:type="paragraph" w:styleId="Nadpis2">
    <w:name w:val="heading 2"/>
    <w:basedOn w:val="Normln"/>
    <w:next w:val="Normln"/>
    <w:link w:val="Nadpis2Char"/>
    <w:autoRedefine/>
    <w:qFormat/>
    <w:rsid w:val="00835A8B"/>
    <w:pPr>
      <w:keepNext/>
      <w:numPr>
        <w:ilvl w:val="1"/>
        <w:numId w:val="12"/>
      </w:numPr>
      <w:tabs>
        <w:tab w:val="clear" w:pos="720"/>
        <w:tab w:val="num" w:pos="540"/>
      </w:tabs>
      <w:spacing w:after="120"/>
      <w:ind w:left="578" w:hanging="578"/>
      <w:jc w:val="both"/>
      <w:outlineLvl w:val="1"/>
    </w:pPr>
    <w:rPr>
      <w:rFonts w:ascii="Arial" w:hAnsi="Arial" w:cs="Arial"/>
      <w:b/>
      <w:bCs/>
      <w:sz w:val="26"/>
      <w:szCs w:val="26"/>
    </w:rPr>
  </w:style>
  <w:style w:type="paragraph" w:styleId="Nadpis3">
    <w:name w:val="heading 3"/>
    <w:basedOn w:val="Normln"/>
    <w:next w:val="Normln"/>
    <w:link w:val="Nadpis3Char"/>
    <w:autoRedefine/>
    <w:qFormat/>
    <w:rsid w:val="00297070"/>
    <w:pPr>
      <w:keepNext/>
      <w:overflowPunct w:val="0"/>
      <w:autoSpaceDE w:val="0"/>
      <w:autoSpaceDN w:val="0"/>
      <w:adjustRightInd w:val="0"/>
      <w:spacing w:before="240"/>
      <w:jc w:val="both"/>
      <w:textAlignment w:val="baseline"/>
      <w:outlineLvl w:val="2"/>
    </w:pPr>
    <w:rPr>
      <w:rFonts w:ascii="Arial" w:hAnsi="Arial" w:cs="Arial"/>
      <w:b/>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2492D"/>
    <w:pPr>
      <w:widowControl w:val="0"/>
      <w:spacing w:after="120"/>
      <w:jc w:val="both"/>
    </w:pPr>
    <w:rPr>
      <w:rFonts w:ascii="Arial" w:hAnsi="Arial"/>
      <w:bCs/>
      <w:noProof/>
      <w:szCs w:val="20"/>
      <w:lang w:eastAsia="en-US"/>
    </w:rPr>
  </w:style>
  <w:style w:type="character" w:customStyle="1" w:styleId="ZkladntextChar">
    <w:name w:val="Základní text Char"/>
    <w:basedOn w:val="Standardnpsmoodstavce"/>
    <w:link w:val="Zkladntext"/>
    <w:rsid w:val="0092492D"/>
    <w:rPr>
      <w:rFonts w:ascii="Arial" w:eastAsia="Times New Roman" w:hAnsi="Arial" w:cs="Times New Roman"/>
      <w:bCs/>
      <w:noProof/>
      <w:sz w:val="24"/>
      <w:szCs w:val="20"/>
    </w:rPr>
  </w:style>
  <w:style w:type="paragraph" w:customStyle="1" w:styleId="Radadvodovzprva">
    <w:name w:val="Rada důvodová zpráva"/>
    <w:basedOn w:val="Normln"/>
    <w:rsid w:val="0092492D"/>
    <w:pPr>
      <w:widowControl w:val="0"/>
      <w:spacing w:after="480"/>
      <w:jc w:val="both"/>
    </w:pPr>
    <w:rPr>
      <w:rFonts w:ascii="Arial" w:hAnsi="Arial"/>
      <w:b/>
      <w:noProof/>
      <w:szCs w:val="20"/>
    </w:rPr>
  </w:style>
  <w:style w:type="paragraph" w:customStyle="1" w:styleId="Radaplohy">
    <w:name w:val="Rada přílohy"/>
    <w:basedOn w:val="Normln"/>
    <w:rsid w:val="0092492D"/>
    <w:pPr>
      <w:widowControl w:val="0"/>
      <w:spacing w:before="480" w:after="120"/>
      <w:jc w:val="both"/>
    </w:pPr>
    <w:rPr>
      <w:rFonts w:ascii="Arial" w:hAnsi="Arial"/>
      <w:noProof/>
      <w:szCs w:val="20"/>
      <w:u w:val="single"/>
    </w:rPr>
  </w:style>
  <w:style w:type="paragraph" w:styleId="Zpat">
    <w:name w:val="footer"/>
    <w:basedOn w:val="Normln"/>
    <w:link w:val="ZpatChar"/>
    <w:uiPriority w:val="99"/>
    <w:rsid w:val="0092492D"/>
    <w:pPr>
      <w:tabs>
        <w:tab w:val="center" w:pos="4536"/>
        <w:tab w:val="right" w:pos="9072"/>
      </w:tabs>
    </w:pPr>
    <w:rPr>
      <w:rFonts w:ascii="Arial" w:hAnsi="Arial"/>
      <w:i/>
      <w:sz w:val="20"/>
    </w:rPr>
  </w:style>
  <w:style w:type="character" w:customStyle="1" w:styleId="ZpatChar">
    <w:name w:val="Zápatí Char"/>
    <w:basedOn w:val="Standardnpsmoodstavce"/>
    <w:link w:val="Zpat"/>
    <w:uiPriority w:val="99"/>
    <w:rsid w:val="0092492D"/>
    <w:rPr>
      <w:rFonts w:ascii="Arial" w:eastAsia="Times New Roman" w:hAnsi="Arial" w:cs="Times New Roman"/>
      <w:i/>
      <w:sz w:val="20"/>
      <w:szCs w:val="24"/>
      <w:lang w:eastAsia="cs-CZ"/>
    </w:rPr>
  </w:style>
  <w:style w:type="character" w:styleId="slostrnky">
    <w:name w:val="page number"/>
    <w:basedOn w:val="Standardnpsmoodstavce"/>
    <w:rsid w:val="0092492D"/>
  </w:style>
  <w:style w:type="paragraph" w:styleId="Zkladntextodsazen">
    <w:name w:val="Body Text Indent"/>
    <w:basedOn w:val="Normln"/>
    <w:link w:val="ZkladntextodsazenChar"/>
    <w:rsid w:val="0092492D"/>
    <w:pPr>
      <w:spacing w:after="120"/>
      <w:ind w:left="283"/>
    </w:pPr>
  </w:style>
  <w:style w:type="character" w:customStyle="1" w:styleId="ZkladntextodsazenChar">
    <w:name w:val="Základní text odsazený Char"/>
    <w:basedOn w:val="Standardnpsmoodstavce"/>
    <w:link w:val="Zkladntextodsazen"/>
    <w:rsid w:val="0092492D"/>
    <w:rPr>
      <w:rFonts w:ascii="Times New Roman" w:eastAsia="Times New Roman" w:hAnsi="Times New Roman" w:cs="Times New Roman"/>
      <w:sz w:val="24"/>
      <w:szCs w:val="24"/>
      <w:lang w:eastAsia="cs-CZ"/>
    </w:rPr>
  </w:style>
  <w:style w:type="table" w:styleId="Mkatabulky">
    <w:name w:val="Table Grid"/>
    <w:basedOn w:val="Normlntabulka"/>
    <w:uiPriority w:val="59"/>
    <w:rsid w:val="005E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ln"/>
    <w:rsid w:val="00DD5108"/>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Textbubliny">
    <w:name w:val="Balloon Text"/>
    <w:basedOn w:val="Normln"/>
    <w:link w:val="TextbublinyChar"/>
    <w:uiPriority w:val="99"/>
    <w:semiHidden/>
    <w:unhideWhenUsed/>
    <w:rsid w:val="00C46A97"/>
    <w:rPr>
      <w:rFonts w:ascii="Tahoma" w:hAnsi="Tahoma" w:cs="Tahoma"/>
      <w:sz w:val="16"/>
      <w:szCs w:val="16"/>
    </w:rPr>
  </w:style>
  <w:style w:type="character" w:customStyle="1" w:styleId="TextbublinyChar">
    <w:name w:val="Text bubliny Char"/>
    <w:basedOn w:val="Standardnpsmoodstavce"/>
    <w:link w:val="Textbubliny"/>
    <w:uiPriority w:val="99"/>
    <w:semiHidden/>
    <w:rsid w:val="00C46A97"/>
    <w:rPr>
      <w:rFonts w:ascii="Tahoma" w:eastAsia="Times New Roman" w:hAnsi="Tahoma" w:cs="Tahoma"/>
      <w:sz w:val="16"/>
      <w:szCs w:val="16"/>
      <w:lang w:eastAsia="cs-CZ"/>
    </w:rPr>
  </w:style>
  <w:style w:type="paragraph" w:customStyle="1" w:styleId="Char0">
    <w:name w:val="Char"/>
    <w:basedOn w:val="Normln"/>
    <w:rsid w:val="00C134D1"/>
    <w:pPr>
      <w:widowControl w:val="0"/>
      <w:adjustRightInd w:val="0"/>
      <w:spacing w:after="160" w:line="240" w:lineRule="exact"/>
      <w:jc w:val="both"/>
      <w:textAlignment w:val="baseline"/>
    </w:pPr>
    <w:rPr>
      <w:rFonts w:ascii="Tahoma" w:hAnsi="Tahoma" w:cs="Tahoma"/>
      <w:sz w:val="20"/>
      <w:szCs w:val="20"/>
      <w:lang w:val="en-US" w:eastAsia="en-US"/>
    </w:rPr>
  </w:style>
  <w:style w:type="paragraph" w:styleId="Odstavecseseznamem">
    <w:name w:val="List Paragraph"/>
    <w:basedOn w:val="Normln"/>
    <w:uiPriority w:val="34"/>
    <w:qFormat/>
    <w:rsid w:val="006324A4"/>
    <w:pPr>
      <w:ind w:left="720"/>
      <w:contextualSpacing/>
    </w:pPr>
  </w:style>
  <w:style w:type="paragraph" w:customStyle="1" w:styleId="Textodstavec">
    <w:name w:val="Text_odstavec"/>
    <w:basedOn w:val="Normln"/>
    <w:link w:val="TextodstavecChar"/>
    <w:rsid w:val="00DF3506"/>
    <w:pPr>
      <w:jc w:val="both"/>
    </w:pPr>
    <w:rPr>
      <w:rFonts w:ascii="Arial" w:hAnsi="Arial" w:cs="Arial"/>
      <w:sz w:val="20"/>
      <w:szCs w:val="20"/>
    </w:rPr>
  </w:style>
  <w:style w:type="character" w:customStyle="1" w:styleId="TextodstavecChar">
    <w:name w:val="Text_odstavec Char"/>
    <w:basedOn w:val="Standardnpsmoodstavce"/>
    <w:link w:val="Textodstavec"/>
    <w:locked/>
    <w:rsid w:val="00DF3506"/>
    <w:rPr>
      <w:rFonts w:ascii="Arial" w:eastAsia="Times New Roman" w:hAnsi="Arial" w:cs="Arial"/>
      <w:sz w:val="20"/>
      <w:szCs w:val="20"/>
      <w:lang w:eastAsia="cs-CZ"/>
    </w:rPr>
  </w:style>
  <w:style w:type="character" w:customStyle="1" w:styleId="Nadpis1Char">
    <w:name w:val="Nadpis 1 Char"/>
    <w:basedOn w:val="Standardnpsmoodstavce"/>
    <w:link w:val="Nadpis1"/>
    <w:rsid w:val="00835A8B"/>
    <w:rPr>
      <w:rFonts w:ascii="Arial" w:eastAsia="Times New Roman" w:hAnsi="Arial" w:cs="Arial"/>
      <w:b/>
      <w:bCs/>
      <w:caps/>
      <w:kern w:val="32"/>
      <w:sz w:val="28"/>
      <w:szCs w:val="28"/>
      <w:lang w:eastAsia="cs-CZ"/>
    </w:rPr>
  </w:style>
  <w:style w:type="character" w:customStyle="1" w:styleId="Nadpis2Char">
    <w:name w:val="Nadpis 2 Char"/>
    <w:basedOn w:val="Standardnpsmoodstavce"/>
    <w:link w:val="Nadpis2"/>
    <w:rsid w:val="00835A8B"/>
    <w:rPr>
      <w:rFonts w:ascii="Arial" w:eastAsia="Times New Roman" w:hAnsi="Arial" w:cs="Arial"/>
      <w:b/>
      <w:bCs/>
      <w:sz w:val="26"/>
      <w:szCs w:val="26"/>
      <w:lang w:eastAsia="cs-CZ"/>
    </w:rPr>
  </w:style>
  <w:style w:type="character" w:customStyle="1" w:styleId="Nadpis3Char">
    <w:name w:val="Nadpis 3 Char"/>
    <w:basedOn w:val="Standardnpsmoodstavce"/>
    <w:link w:val="Nadpis3"/>
    <w:rsid w:val="00297070"/>
    <w:rPr>
      <w:rFonts w:ascii="Arial" w:eastAsia="Times New Roman" w:hAnsi="Arial" w:cs="Arial"/>
      <w:b/>
      <w:iCs/>
      <w:sz w:val="24"/>
      <w:szCs w:val="24"/>
      <w:lang w:eastAsia="cs-CZ"/>
    </w:rPr>
  </w:style>
  <w:style w:type="paragraph" w:styleId="Zhlav">
    <w:name w:val="header"/>
    <w:basedOn w:val="Normln"/>
    <w:link w:val="ZhlavChar"/>
    <w:uiPriority w:val="99"/>
    <w:unhideWhenUsed/>
    <w:rsid w:val="00C81929"/>
    <w:pPr>
      <w:tabs>
        <w:tab w:val="center" w:pos="4536"/>
        <w:tab w:val="right" w:pos="9072"/>
      </w:tabs>
    </w:pPr>
  </w:style>
  <w:style w:type="character" w:customStyle="1" w:styleId="ZhlavChar">
    <w:name w:val="Záhlaví Char"/>
    <w:basedOn w:val="Standardnpsmoodstavce"/>
    <w:link w:val="Zhlav"/>
    <w:uiPriority w:val="99"/>
    <w:rsid w:val="00C81929"/>
    <w:rPr>
      <w:rFonts w:ascii="Times New Roman" w:eastAsia="Times New Roman" w:hAnsi="Times New Roman" w:cs="Times New Roman"/>
      <w:sz w:val="24"/>
      <w:szCs w:val="24"/>
      <w:lang w:eastAsia="cs-CZ"/>
    </w:rPr>
  </w:style>
  <w:style w:type="paragraph" w:customStyle="1" w:styleId="Char1">
    <w:name w:val="Char"/>
    <w:basedOn w:val="Normln"/>
    <w:rsid w:val="00B57572"/>
    <w:pPr>
      <w:widowControl w:val="0"/>
      <w:adjustRightInd w:val="0"/>
      <w:spacing w:after="160" w:line="240" w:lineRule="exact"/>
      <w:jc w:val="both"/>
      <w:textAlignment w:val="baseline"/>
    </w:pPr>
    <w:rPr>
      <w:rFonts w:ascii="Tahoma" w:hAnsi="Tahoma" w:cs="Tahoma"/>
      <w:sz w:val="20"/>
      <w:szCs w:val="20"/>
      <w:lang w:val="en-US" w:eastAsia="en-US"/>
    </w:rPr>
  </w:style>
  <w:style w:type="character" w:customStyle="1" w:styleId="Tunproloenznak">
    <w:name w:val="Tučný proložený znak"/>
    <w:basedOn w:val="Standardnpsmoodstavce"/>
    <w:rsid w:val="00E12C2D"/>
    <w:rPr>
      <w:rFonts w:ascii="Arial" w:hAnsi="Arial"/>
      <w:b/>
      <w:dstrike w:val="0"/>
      <w:color w:val="auto"/>
      <w:spacing w:val="70"/>
      <w:sz w:val="22"/>
      <w:u w:val="none"/>
      <w:vertAlign w:val="baseline"/>
    </w:rPr>
  </w:style>
  <w:style w:type="paragraph" w:customStyle="1" w:styleId="Default">
    <w:name w:val="Default"/>
    <w:rsid w:val="00FD1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lavikaspisovaskartanznak">
    <w:name w:val="Hlavička spisový a skartační znak"/>
    <w:basedOn w:val="Normln"/>
    <w:rsid w:val="00FD148F"/>
    <w:pPr>
      <w:widowControl w:val="0"/>
      <w:jc w:val="both"/>
    </w:pPr>
    <w:rPr>
      <w:rFonts w:ascii="Arial" w:hAnsi="Arial"/>
      <w:sz w:val="20"/>
      <w:szCs w:val="20"/>
    </w:rPr>
  </w:style>
  <w:style w:type="paragraph" w:customStyle="1" w:styleId="Normal">
    <w:name w:val="[Normal]"/>
    <w:rsid w:val="00D156C0"/>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customStyle="1" w:styleId="Tabulkatuntext16nasted">
    <w:name w:val="Tabulka tučný text_16 na střed"/>
    <w:basedOn w:val="Normln"/>
    <w:rsid w:val="00CF3173"/>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CF3173"/>
    <w:pPr>
      <w:widowControl w:val="0"/>
      <w:spacing w:before="40" w:after="40"/>
      <w:jc w:val="center"/>
    </w:pPr>
    <w:rPr>
      <w:rFonts w:ascii="Arial" w:hAnsi="Arial"/>
      <w:b/>
      <w:noProof/>
      <w:szCs w:val="20"/>
    </w:rPr>
  </w:style>
  <w:style w:type="paragraph" w:customStyle="1" w:styleId="Tabulkazkladntext">
    <w:name w:val="Tabulka základní text"/>
    <w:basedOn w:val="Normln"/>
    <w:rsid w:val="00CF3173"/>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CF3173"/>
    <w:pPr>
      <w:widowControl w:val="0"/>
      <w:spacing w:before="40" w:after="40"/>
      <w:jc w:val="center"/>
    </w:pPr>
    <w:rPr>
      <w:rFonts w:ascii="Arial" w:hAnsi="Arial"/>
      <w:noProof/>
      <w:szCs w:val="20"/>
    </w:rPr>
  </w:style>
  <w:style w:type="character" w:styleId="Siln">
    <w:name w:val="Strong"/>
    <w:basedOn w:val="Standardnpsmoodstavce"/>
    <w:uiPriority w:val="22"/>
    <w:qFormat/>
    <w:rsid w:val="00AD38D9"/>
    <w:rPr>
      <w:b/>
      <w:bCs/>
    </w:rPr>
  </w:style>
  <w:style w:type="paragraph" w:customStyle="1" w:styleId="Radaploha1">
    <w:name w:val="Rada příloha č.1"/>
    <w:basedOn w:val="Normln"/>
    <w:rsid w:val="00A647CF"/>
    <w:pPr>
      <w:widowControl w:val="0"/>
      <w:numPr>
        <w:numId w:val="28"/>
      </w:numPr>
      <w:spacing w:after="120"/>
      <w:jc w:val="both"/>
    </w:pPr>
    <w:rPr>
      <w:rFonts w:ascii="Arial" w:hAnsi="Arial"/>
      <w:noProo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4221">
      <w:bodyDiv w:val="1"/>
      <w:marLeft w:val="0"/>
      <w:marRight w:val="0"/>
      <w:marTop w:val="0"/>
      <w:marBottom w:val="0"/>
      <w:divBdr>
        <w:top w:val="none" w:sz="0" w:space="0" w:color="auto"/>
        <w:left w:val="none" w:sz="0" w:space="0" w:color="auto"/>
        <w:bottom w:val="none" w:sz="0" w:space="0" w:color="auto"/>
        <w:right w:val="none" w:sz="0" w:space="0" w:color="auto"/>
      </w:divBdr>
    </w:div>
    <w:div w:id="16073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3A8D-073B-42F7-BBEE-E643E41F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1425</Words>
  <Characters>8413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Veselský Josef</dc:creator>
  <cp:lastModifiedBy>Dosedlová Zuzana</cp:lastModifiedBy>
  <cp:revision>26</cp:revision>
  <cp:lastPrinted>2013-12-09T13:52:00Z</cp:lastPrinted>
  <dcterms:created xsi:type="dcterms:W3CDTF">2014-06-16T08:40:00Z</dcterms:created>
  <dcterms:modified xsi:type="dcterms:W3CDTF">2014-07-09T10:46:00Z</dcterms:modified>
</cp:coreProperties>
</file>