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70752">
        <w:rPr>
          <w:rFonts w:ascii="Arial" w:hAnsi="Arial" w:cs="Arial"/>
        </w:rPr>
        <w:t>6.4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470752">
        <w:rPr>
          <w:rFonts w:ascii="Arial" w:hAnsi="Arial" w:cs="Arial"/>
        </w:rPr>
        <w:t>161/20 - 194/20 a 196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470752">
        <w:rPr>
          <w:rFonts w:ascii="Arial" w:hAnsi="Arial" w:cs="Arial"/>
        </w:rPr>
        <w:t>198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70752">
        <w:rPr>
          <w:rFonts w:ascii="Arial" w:hAnsi="Arial" w:cs="Arial"/>
        </w:rPr>
        <w:t>6.4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470752"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470752">
        <w:rPr>
          <w:rFonts w:ascii="Arial" w:hAnsi="Arial" w:cs="Arial"/>
        </w:rPr>
        <w:t>2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470752">
        <w:rPr>
          <w:rFonts w:ascii="Arial" w:hAnsi="Arial" w:cs="Arial"/>
        </w:rPr>
        <w:t>6.4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470752">
        <w:rPr>
          <w:rFonts w:ascii="Arial" w:hAnsi="Arial" w:cs="Arial"/>
        </w:rPr>
        <w:t>23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70752">
        <w:rPr>
          <w:rFonts w:ascii="Arial" w:hAnsi="Arial" w:cs="Arial"/>
        </w:rPr>
        <w:t>6.4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70752">
        <w:rPr>
          <w:rFonts w:ascii="Arial" w:hAnsi="Arial" w:cs="Arial"/>
        </w:rPr>
        <w:t>24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70752">
        <w:rPr>
          <w:rFonts w:ascii="Arial" w:hAnsi="Arial" w:cs="Arial"/>
        </w:rPr>
        <w:t>25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E241A">
      <w:rPr>
        <w:rFonts w:ascii="Arial" w:hAnsi="Arial" w:cs="Arial"/>
        <w:i/>
        <w:sz w:val="20"/>
        <w:szCs w:val="20"/>
      </w:rPr>
      <w:t>20.4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>
      <w:rPr>
        <w:rFonts w:ascii="Arial" w:hAnsi="Arial" w:cs="Arial"/>
        <w:i/>
        <w:sz w:val="20"/>
        <w:szCs w:val="20"/>
      </w:rPr>
      <w:t xml:space="preserve">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7075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2E241A">
      <w:rPr>
        <w:rFonts w:ascii="Arial" w:hAnsi="Arial" w:cs="Arial"/>
        <w:i/>
        <w:sz w:val="20"/>
        <w:szCs w:val="20"/>
      </w:rPr>
      <w:t>25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E241A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241A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0752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317A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E1B18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92EB-18DE-439B-A4D7-656D18FF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2020-04-06T07:00:00Z</dcterms:created>
  <dcterms:modified xsi:type="dcterms:W3CDTF">2020-04-06T07:04:00Z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