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2FE6F" w14:textId="35E0EA97" w:rsidR="005F65CA" w:rsidRPr="005A7949" w:rsidRDefault="005F65CA" w:rsidP="005F65CA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5A7949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Vzor smlouvy DT1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19AD3C1" w:rsidR="00621063" w:rsidRPr="005A794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="008E7F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76D6A61" w:rsidR="00621063" w:rsidRPr="005A7949" w:rsidRDefault="007A68A5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Zastoupená/é</w:t>
      </w:r>
      <w:r w:rsidR="00621063" w:rsidRPr="005A794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621063" w:rsidRPr="005A794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8E7F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</w:t>
      </w:r>
      <w:r w:rsidR="008E7FCF" w:rsidRPr="001F4A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</w:t>
      </w:r>
      <w:r w:rsidR="008E7F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a/</w:t>
      </w:r>
      <w:r w:rsidR="008E7FCF" w:rsidRPr="001F4A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starosta</w:t>
      </w:r>
      <w:r w:rsidR="008E7F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primátorka/primátor, </w:t>
      </w:r>
      <w:r w:rsidR="008E7F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osoba určená vnitřními organizačními předpisy nebo pověřením, příp. jiná osoba na základě plné moci)</w:t>
      </w:r>
      <w:r w:rsidR="008E7FCF" w:rsidRPr="005A794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9C9686B" w14:textId="6F8D3BEC" w:rsidR="008E7FCF" w:rsidRDefault="009A3DA5" w:rsidP="001A6DD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E7FC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E7FC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E7FCF">
        <w:rPr>
          <w:rFonts w:ascii="Arial" w:eastAsia="Times New Roman" w:hAnsi="Arial" w:cs="Arial"/>
          <w:sz w:val="24"/>
          <w:szCs w:val="24"/>
          <w:lang w:eastAsia="cs-CZ"/>
        </w:rPr>
        <w:t>částečná</w:t>
      </w:r>
      <w:bookmarkStart w:id="0" w:name="_GoBack"/>
      <w:bookmarkEnd w:id="0"/>
      <w:r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úhrada </w:t>
      </w:r>
      <w:r w:rsidR="003D1870" w:rsidRPr="008E7FC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5C680E"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8E7FCF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8E7FCF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8E7F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8E7F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8E7F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8E7F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akce).</w:t>
      </w:r>
      <w:r w:rsidR="008E7FCF"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48C448F4" w:rsidR="009A3DA5" w:rsidRPr="008E7FCF" w:rsidRDefault="009A3DA5" w:rsidP="001A6DD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E7FC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8E7FC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E7FC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E7FCF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E7FCF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E7FC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E7FCF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E7FCF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E7FCF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E7FC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E7F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E7FCF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8E7FCF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8E7FCF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8E7FC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8E7FCF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8E7FC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8E7FCF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</w:p>
    <w:p w14:paraId="3C9258D1" w14:textId="4C48E580" w:rsidR="009A3DA5" w:rsidRPr="005F65CA" w:rsidRDefault="009A3DA5" w:rsidP="005F65CA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A7949">
        <w:rPr>
          <w:rFonts w:ascii="Arial" w:eastAsia="Times New Roman" w:hAnsi="Arial" w:cs="Arial"/>
          <w:sz w:val="24"/>
          <w:szCs w:val="24"/>
          <w:lang w:eastAsia="cs-CZ"/>
        </w:rPr>
        <w:t>investiční/neinvestiční</w:t>
      </w:r>
      <w:r w:rsidRPr="005A794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5A794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E7FCF" w:rsidRPr="00E367C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="008E7FCF"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E7FC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E7FCF" w:rsidRPr="001F4A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(bude specifikováno dle podané žádosti příjemce, </w:t>
      </w:r>
      <w:r w:rsidR="008E7FCF" w:rsidRPr="002653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8E7F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8E7FCF" w:rsidRPr="002653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případě, že je celková dotace dle čl. I odst. 1 poskytována na účel stanovený v</w:t>
      </w:r>
      <w:r w:rsidR="008E7F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8E7FCF" w:rsidRPr="002653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I odst. 2 této smlouvy jako investiční i neinvestiční, je potřeba uvést, jaká výše dotace v Kč připadá na část investiční a jaká na část neinvestiční)</w:t>
      </w:r>
      <w:r w:rsidR="008E7F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9A31FA6" w14:textId="77777777" w:rsidR="007B6D3E" w:rsidRPr="00957345" w:rsidRDefault="007B6D3E" w:rsidP="007B6D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 33 cit. zákona.</w:t>
      </w:r>
    </w:p>
    <w:p w14:paraId="5201D030" w14:textId="77777777" w:rsidR="007B6D3E" w:rsidRPr="004049AD" w:rsidRDefault="007B6D3E" w:rsidP="007B6D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9A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4049AD">
        <w:rPr>
          <w:rFonts w:ascii="Arial" w:hAnsi="Arial" w:cs="Arial"/>
          <w:sz w:val="24"/>
          <w:szCs w:val="24"/>
        </w:rPr>
        <w:t>zákonem</w:t>
      </w:r>
      <w:proofErr w:type="gramEnd"/>
      <w:r w:rsidRPr="004049AD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2A9C93B6" w14:textId="77777777" w:rsidR="007B6D3E" w:rsidRPr="00957345" w:rsidRDefault="007B6D3E" w:rsidP="007B6D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3DB7187" w14:textId="77777777" w:rsidR="007B6D3E" w:rsidRPr="00957345" w:rsidRDefault="007B6D3E" w:rsidP="007B6D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249F1BAA" w14:textId="77777777" w:rsidR="007B6D3E" w:rsidRPr="00957345" w:rsidRDefault="007B6D3E" w:rsidP="007B6D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06F51783" w:rsidR="009A3DA5" w:rsidRPr="00957345" w:rsidRDefault="007B6D3E" w:rsidP="007B6D3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B41A637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8E6AFC" w:rsidRPr="007B6D3E">
        <w:rPr>
          <w:rFonts w:ascii="Arial" w:eastAsia="Times New Roman" w:hAnsi="Arial" w:cs="Arial"/>
          <w:sz w:val="24"/>
          <w:szCs w:val="24"/>
          <w:lang w:eastAsia="cs-CZ"/>
        </w:rPr>
        <w:t>„Smart region Olomoucký kraj 202</w:t>
      </w:r>
      <w:r w:rsidR="00E81028" w:rsidRPr="007B6D3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8E6AFC" w:rsidRPr="007B6D3E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ED68BB"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1337EE" w:rsidRPr="007B6D3E">
        <w:rPr>
          <w:rFonts w:ascii="Arial" w:eastAsia="Times New Roman" w:hAnsi="Arial" w:cs="Arial"/>
          <w:sz w:val="24"/>
          <w:szCs w:val="24"/>
          <w:lang w:eastAsia="cs-CZ"/>
        </w:rPr>
        <w:t>15_01_01 Podpora realizace SMART opatření</w:t>
      </w:r>
      <w:r w:rsidR="00ED68BB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7777777" w:rsidR="00645B75" w:rsidRPr="00F27F8D" w:rsidRDefault="009A3DA5" w:rsidP="00645B75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D130A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645B75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45B75" w:rsidRPr="0019165A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7B6D3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7B6D3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773ACD1" w:rsidR="009A3DA5" w:rsidRPr="001337E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353680E" w:rsidR="001455CD" w:rsidRPr="001337E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C8E0FF4" w14:textId="77777777" w:rsidR="007B6D3E" w:rsidRPr="007B6D3E" w:rsidRDefault="009A3DA5" w:rsidP="007B6D3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D2513" w:rsidRPr="007B6D3E">
        <w:rPr>
          <w:rFonts w:ascii="Arial" w:eastAsia="Times New Roman" w:hAnsi="Arial" w:cs="Arial"/>
          <w:sz w:val="24"/>
          <w:szCs w:val="24"/>
          <w:lang w:eastAsia="cs-CZ"/>
        </w:rPr>
        <w:t>20. 12. 2023</w:t>
      </w:r>
      <w:r w:rsidR="007B6D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29888560" w:rsidR="009A3DA5" w:rsidRPr="007B6D3E" w:rsidRDefault="009A3DA5" w:rsidP="007B6D3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</w:t>
      </w: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čl. I odst. 2 a 4 této smlouvy a podmínkami </w:t>
      </w:r>
      <w:r w:rsidR="00F6008E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27F8D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1. 1. 2023</w:t>
      </w: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EA7604D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7B6D3E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D2513" w:rsidRPr="007B6D3E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F27F8D" w:rsidRPr="007B6D3E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7B6D3E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7B6D3E">
        <w:rPr>
          <w:rFonts w:ascii="Arial" w:hAnsi="Arial" w:cs="Arial"/>
          <w:sz w:val="24"/>
          <w:szCs w:val="24"/>
        </w:rPr>
        <w:t xml:space="preserve">dotace </w:t>
      </w:r>
      <w:r w:rsidRPr="007B6D3E">
        <w:rPr>
          <w:rFonts w:ascii="Arial" w:hAnsi="Arial" w:cs="Arial"/>
          <w:sz w:val="24"/>
          <w:szCs w:val="24"/>
        </w:rPr>
        <w:t xml:space="preserve">odpovídala </w:t>
      </w:r>
      <w:r w:rsidR="005175F6" w:rsidRPr="007B6D3E">
        <w:rPr>
          <w:rFonts w:ascii="Arial" w:hAnsi="Arial" w:cs="Arial"/>
          <w:sz w:val="24"/>
          <w:szCs w:val="24"/>
        </w:rPr>
        <w:t xml:space="preserve">nejvýše </w:t>
      </w:r>
      <w:r w:rsidR="009D2513" w:rsidRPr="007B6D3E">
        <w:rPr>
          <w:rFonts w:ascii="Arial" w:hAnsi="Arial" w:cs="Arial"/>
          <w:b/>
          <w:sz w:val="24"/>
          <w:szCs w:val="24"/>
        </w:rPr>
        <w:t>5</w:t>
      </w:r>
      <w:r w:rsidR="00F27F8D" w:rsidRPr="007B6D3E">
        <w:rPr>
          <w:rFonts w:ascii="Arial" w:hAnsi="Arial" w:cs="Arial"/>
          <w:b/>
          <w:sz w:val="24"/>
          <w:szCs w:val="24"/>
        </w:rPr>
        <w:t>0</w:t>
      </w:r>
      <w:r w:rsidRPr="007B6D3E">
        <w:rPr>
          <w:rFonts w:ascii="Arial" w:hAnsi="Arial" w:cs="Arial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 xml:space="preserve">% </w:t>
      </w:r>
      <w:r w:rsidR="00A026D9" w:rsidRPr="007B6D3E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7B6D3E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7B6D3E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CA5863" w:rsidRPr="007B6D3E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7B6D3E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04914925" w:rsidR="00CB5336" w:rsidRPr="00F27F8D" w:rsidRDefault="009C2373" w:rsidP="007B6D3E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7B6D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9FA692F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F27F8D" w:rsidRPr="007B6D3E">
        <w:rPr>
          <w:rFonts w:ascii="Arial" w:eastAsia="Times New Roman" w:hAnsi="Arial" w:cs="Arial"/>
          <w:sz w:val="24"/>
          <w:szCs w:val="24"/>
          <w:lang w:eastAsia="cs-CZ"/>
        </w:rPr>
        <w:t>31. 12. 2023</w:t>
      </w:r>
      <w:r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F27F8D">
        <w:rPr>
          <w:rFonts w:ascii="Arial" w:eastAsia="Times New Roman" w:hAnsi="Arial" w:cs="Arial"/>
          <w:sz w:val="24"/>
          <w:szCs w:val="24"/>
          <w:lang w:eastAsia="cs-CZ"/>
        </w:rPr>
        <w:t>, v 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</w:t>
      </w:r>
      <w:r w:rsidR="004F66DA" w:rsidRPr="007B6D3E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7B6D3E">
        <w:rPr>
          <w:rFonts w:ascii="Arial" w:hAnsi="Arial" w:cs="Arial"/>
          <w:sz w:val="24"/>
          <w:szCs w:val="24"/>
        </w:rPr>
        <w:t xml:space="preserve"> </w:t>
      </w:r>
      <w:r w:rsidR="00E93DF9" w:rsidRPr="00957345">
        <w:rPr>
          <w:rFonts w:ascii="Arial" w:hAnsi="Arial" w:cs="Arial"/>
          <w:sz w:val="24"/>
          <w:szCs w:val="24"/>
        </w:rPr>
        <w:t>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6A6C2C59" w:rsidR="00822CBA" w:rsidRPr="00F27F8D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B6D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169C57FD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6E83132" w14:textId="495DC0E5" w:rsidR="00F27F8D" w:rsidRPr="007B6D3E" w:rsidRDefault="00F27F8D" w:rsidP="00F27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UZ </w:t>
      </w:r>
      <w:r w:rsidR="00BB756F" w:rsidRPr="007B6D3E">
        <w:rPr>
          <w:rFonts w:ascii="Arial" w:eastAsia="Times New Roman" w:hAnsi="Arial" w:cs="Arial"/>
          <w:sz w:val="24"/>
          <w:szCs w:val="24"/>
          <w:lang w:eastAsia="cs-CZ"/>
        </w:rPr>
        <w:t>560</w:t>
      </w:r>
      <w:r w:rsidR="00BB756F" w:rsidRPr="007B6D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B6D3E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3B360FC" w14:textId="77777777" w:rsidR="007B6D3E" w:rsidRDefault="007B6D3E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</w:p>
    <w:p w14:paraId="38FAC365" w14:textId="15026583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F66A7"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7B6D3E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7B6D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7B6D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C927D87" w14:textId="77777777" w:rsidR="007B6D3E" w:rsidRDefault="009C5E46" w:rsidP="007B6D3E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87ED4" w:rsidRPr="007B6D3E">
        <w:rPr>
          <w:rFonts w:ascii="Arial" w:eastAsia="Times New Roman" w:hAnsi="Arial" w:cs="Arial"/>
          <w:sz w:val="24"/>
          <w:szCs w:val="24"/>
          <w:lang w:eastAsia="cs-CZ"/>
        </w:rPr>
        <w:t>vyplněný formulář „Závěrečná zpráva o ukončení realizace akce z programu Smart region Olomoucký kraj 202</w:t>
      </w:r>
      <w:r w:rsidR="007F0105" w:rsidRPr="007B6D3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87ED4" w:rsidRPr="007B6D3E">
        <w:rPr>
          <w:rFonts w:ascii="Arial" w:eastAsia="Times New Roman" w:hAnsi="Arial" w:cs="Arial"/>
          <w:sz w:val="24"/>
          <w:szCs w:val="24"/>
          <w:lang w:eastAsia="cs-CZ"/>
        </w:rPr>
        <w:t>“ (</w:t>
      </w:r>
      <w:r w:rsidR="00D87ED4" w:rsidRPr="007B6D3E">
        <w:rPr>
          <w:rFonts w:ascii="Arial" w:eastAsia="Times New Roman" w:hAnsi="Arial" w:cs="Arial"/>
          <w:i/>
          <w:sz w:val="24"/>
          <w:szCs w:val="24"/>
          <w:lang w:eastAsia="cs-CZ"/>
        </w:rPr>
        <w:t>formulář je pro příjemce k dispozici v elektronické podobě v systému RAP</w:t>
      </w:r>
      <w:r w:rsidR="00D87ED4" w:rsidRPr="007B6D3E">
        <w:rPr>
          <w:rFonts w:ascii="Arial" w:eastAsia="Times New Roman" w:hAnsi="Arial" w:cs="Arial"/>
          <w:sz w:val="24"/>
          <w:szCs w:val="24"/>
          <w:lang w:eastAsia="cs-CZ"/>
        </w:rPr>
        <w:t>). V </w:t>
      </w:r>
      <w:r w:rsidRPr="007B6D3E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="00D87ED4"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dokumentaci splnění povinné propagace </w:t>
      </w:r>
      <w:proofErr w:type="gramStart"/>
      <w:r w:rsidR="00D87ED4"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 </w:t>
      </w:r>
      <w:r w:rsidR="00D87ED4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vč.</w:t>
      </w:r>
      <w:proofErr w:type="gramEnd"/>
      <w:r w:rsidR="00D87ED4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proofErr w:type="spellStart"/>
      <w:r w:rsidR="00D87ED4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D87ED4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poskytovatele a informací o poskytnutí dotace </w:t>
      </w:r>
      <w:r w:rsidR="00D87ED4" w:rsidRPr="007B6D3E">
        <w:rPr>
          <w:rFonts w:ascii="Arial" w:eastAsia="Times New Roman" w:hAnsi="Arial" w:cs="Arial"/>
          <w:sz w:val="24"/>
          <w:szCs w:val="24"/>
          <w:lang w:eastAsia="cs-CZ"/>
        </w:rPr>
        <w:t>Smart region Olomoucký kraj 202</w:t>
      </w:r>
      <w:r w:rsidR="00EB2D77" w:rsidRPr="007B6D3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87ED4"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 z dotačního titulu 1 Podpora realizace SMART opatření</w:t>
      </w:r>
      <w:r w:rsidR="000F6D00" w:rsidRPr="007B6D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</w:t>
      </w:r>
      <w:r w:rsidR="007B6D3E" w:rsidRPr="001F4A10">
        <w:rPr>
          <w:rFonts w:ascii="Arial" w:eastAsia="Times New Roman" w:hAnsi="Arial" w:cs="Arial"/>
          <w:sz w:val="24"/>
          <w:szCs w:val="24"/>
          <w:lang w:eastAsia="cs-CZ"/>
        </w:rPr>
        <w:t>fotodokumentaci z průběhu realizace akce (min. 3 fotografie z průběhu realizace akce a min. 3 fotografie po realizaci akce)</w:t>
      </w:r>
      <w:r w:rsidR="007B6D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A7A6FA" w14:textId="77777777" w:rsidR="007B6D3E" w:rsidRPr="00FD04D4" w:rsidRDefault="007B6D3E" w:rsidP="007B6D3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předloží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zpracovaný </w:t>
      </w:r>
      <w:r w:rsidRPr="00FD04D4">
        <w:rPr>
          <w:rFonts w:ascii="Arial" w:hAnsi="Arial" w:cs="Arial"/>
          <w:color w:val="000000" w:themeColor="text1"/>
          <w:sz w:val="24"/>
          <w:szCs w:val="24"/>
        </w:rPr>
        <w:t xml:space="preserve">strategický nebo koncepční dokument, analýzu, studii </w:t>
      </w:r>
      <w:r>
        <w:rPr>
          <w:rFonts w:ascii="Arial" w:hAnsi="Arial" w:cs="Arial"/>
          <w:color w:val="000000" w:themeColor="text1"/>
          <w:sz w:val="24"/>
          <w:szCs w:val="24"/>
        </w:rPr>
        <w:t>proveditelnosti, nebo zpracovanou</w:t>
      </w:r>
      <w:r w:rsidRPr="00FD04D4">
        <w:rPr>
          <w:rFonts w:ascii="Arial" w:hAnsi="Arial" w:cs="Arial"/>
          <w:color w:val="000000" w:themeColor="text1"/>
          <w:sz w:val="24"/>
          <w:szCs w:val="24"/>
        </w:rPr>
        <w:t xml:space="preserve"> projektovou dokumentaci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elektronicky na datovém nosiči osobním doručením na podatelnu Krajského úřadu Olomouckého kraje, Jeremenkova 1191/40a, 779 00 Olomouc nebo zasláním na adresu: Olomoucký kraj, Odbor strategického rozvoje kraje, Jeremenkova 1191/40a, 779 00 Olomouc a to nejpozději ve lhůtě pro předložení vyúčtování a závěrečné zprávy.</w:t>
      </w:r>
    </w:p>
    <w:p w14:paraId="758E3118" w14:textId="7E68EE56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7B6D3E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7B6D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B6D3E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7B6D3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B6D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7B6D3E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5D244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5D2445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5D2445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5D24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5D24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EE80400" w:rsidR="009A3DA5" w:rsidRPr="00D87ED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</w:t>
      </w:r>
      <w:r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padě, že je příjemce dle této smlouvy povinen vrátit dotaci nebo její část, vrátí příjemce dotaci nebo její část na účet poskytovatele č. </w:t>
      </w:r>
      <w:r w:rsidR="00D87ED4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</w:t>
      </w:r>
      <w:r w:rsidR="00D40813" w:rsidRPr="005D2445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D87ED4" w:rsidRPr="005D2445">
        <w:rPr>
          <w:rFonts w:ascii="Arial" w:hAnsi="Arial" w:cs="Arial"/>
          <w:sz w:val="24"/>
          <w:szCs w:val="24"/>
        </w:rPr>
        <w:t xml:space="preserve">poskytovatele č. 27-4228320287/0100. </w:t>
      </w:r>
    </w:p>
    <w:p w14:paraId="3C925913" w14:textId="4F02DCFD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5BDF311" w14:textId="0354DD86" w:rsidR="00836AA2" w:rsidRPr="005D24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5D2445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D2445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D87ED4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10A71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od </w:t>
      </w:r>
      <w:r w:rsidR="00D87ED4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nabytí účinnosti této smlouvy nejméně do </w:t>
      </w:r>
      <w:r w:rsidR="00E10A71" w:rsidRPr="005D2445">
        <w:rPr>
          <w:rFonts w:ascii="Arial" w:eastAsia="Times New Roman" w:hAnsi="Arial" w:cs="Arial"/>
          <w:sz w:val="24"/>
          <w:szCs w:val="24"/>
          <w:lang w:eastAsia="cs-CZ"/>
        </w:rPr>
        <w:t>30. 6. 2024</w:t>
      </w:r>
      <w:r w:rsidR="005D2445" w:rsidRPr="005D244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83752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5D2445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87ED4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od nabytí účinnosti této smlouvy minimálně do </w:t>
      </w:r>
      <w:r w:rsidR="00E10A71" w:rsidRPr="005D2445">
        <w:rPr>
          <w:rFonts w:ascii="Arial" w:eastAsia="Times New Roman" w:hAnsi="Arial" w:cs="Arial"/>
          <w:sz w:val="24"/>
          <w:szCs w:val="24"/>
          <w:lang w:eastAsia="cs-CZ"/>
        </w:rPr>
        <w:t>30. 6. 2024</w:t>
      </w:r>
      <w:r w:rsidR="00D87ED4" w:rsidRPr="005D244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D87ED4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 Spol</w:t>
      </w:r>
      <w:r w:rsidR="006136FA">
        <w:rPr>
          <w:rFonts w:ascii="Arial" w:eastAsia="Times New Roman" w:hAnsi="Arial" w:cs="Arial"/>
          <w:sz w:val="24"/>
          <w:szCs w:val="24"/>
          <w:lang w:eastAsia="cs-CZ"/>
        </w:rPr>
        <w:t>u s logem poskytovatele dotace</w:t>
      </w:r>
      <w:r w:rsidR="00D87ED4" w:rsidRPr="005D2445">
        <w:rPr>
          <w:rFonts w:ascii="Arial" w:eastAsia="Times New Roman" w:hAnsi="Arial" w:cs="Arial"/>
          <w:sz w:val="24"/>
          <w:szCs w:val="24"/>
          <w:lang w:eastAsia="cs-CZ"/>
        </w:rPr>
        <w:t xml:space="preserve"> bude uvedena informace, že poskytovatel akci finančně podpořil. Dále bude uvedena informace, že byla akce podpořena z dotačního programu Smart region Olomoucký kraj 202</w:t>
      </w:r>
      <w:r w:rsidR="00745EBD" w:rsidRPr="005D244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87ED4" w:rsidRPr="005D24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 w:rsidRPr="005D24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5D24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5D24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5D24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C73D04" w:rsidRPr="005D24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D244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F165D4" w:rsidRPr="005D244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C22174" w:rsidRPr="005D244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F165D4" w:rsidRPr="005D244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C22174" w:rsidRPr="005D244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 w:rsidRPr="005D244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C22174" w:rsidRPr="005D244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5D244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30506B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sahu (de </w:t>
      </w:r>
      <w:proofErr w:type="spellStart"/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C62C1B"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244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D244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244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5D244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5D244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5D244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5D244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244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D244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5D2445">
        <w:rPr>
          <w:rFonts w:ascii="Arial" w:hAnsi="Arial" w:cs="Arial"/>
          <w:sz w:val="24"/>
          <w:szCs w:val="24"/>
          <w:lang w:eastAsia="cs-CZ"/>
        </w:rPr>
        <w:t>T</w:t>
      </w:r>
      <w:r w:rsidRPr="005D2445">
        <w:rPr>
          <w:rFonts w:ascii="Arial" w:hAnsi="Arial" w:cs="Arial"/>
          <w:sz w:val="24"/>
          <w:szCs w:val="24"/>
          <w:lang w:eastAsia="cs-CZ"/>
        </w:rPr>
        <w:t xml:space="preserve">ato </w:t>
      </w:r>
      <w:r w:rsidRPr="00957345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5D244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D24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49AC1FC" w14:textId="4F531BED" w:rsidR="00A34824" w:rsidRPr="005D2445" w:rsidRDefault="00495468" w:rsidP="005D2445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5D24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A34824" w:rsidRPr="005D2445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0F22" w14:textId="77777777" w:rsidR="00484856" w:rsidRDefault="00484856" w:rsidP="00D40C40">
      <w:r>
        <w:separator/>
      </w:r>
    </w:p>
  </w:endnote>
  <w:endnote w:type="continuationSeparator" w:id="0">
    <w:p w14:paraId="4BC44621" w14:textId="77777777" w:rsidR="00484856" w:rsidRDefault="004848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2CA1B81" w14:textId="76ED3067" w:rsidR="005F65CA" w:rsidRPr="00E25DAD" w:rsidRDefault="00C55EA0" w:rsidP="005F65CA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C55EA0">
          <w:rPr>
            <w:rFonts w:ascii="Arial" w:hAnsi="Arial" w:cs="Arial"/>
            <w:i/>
            <w:sz w:val="20"/>
            <w:szCs w:val="20"/>
          </w:rPr>
          <w:t>Zastupitelstvo Olomouckého kraje 20. 2. 2023</w:t>
        </w:r>
        <w:r w:rsidR="005F65CA" w:rsidRPr="00E25DAD">
          <w:rPr>
            <w:rFonts w:ascii="Arial" w:hAnsi="Arial" w:cs="Arial"/>
            <w:i/>
            <w:sz w:val="20"/>
            <w:szCs w:val="20"/>
          </w:rPr>
          <w:tab/>
        </w:r>
        <w:r w:rsidR="005F65CA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F65CA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16FD0">
          <w:rPr>
            <w:rFonts w:ascii="Arial" w:hAnsi="Arial" w:cs="Arial"/>
            <w:i/>
            <w:noProof/>
            <w:sz w:val="20"/>
            <w:szCs w:val="20"/>
          </w:rPr>
          <w:t>9</w: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F65CA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F65CA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16FD0">
          <w:rPr>
            <w:rFonts w:ascii="Arial" w:hAnsi="Arial" w:cs="Arial"/>
            <w:i/>
            <w:noProof/>
            <w:sz w:val="20"/>
            <w:szCs w:val="20"/>
          </w:rPr>
          <w:t>9</w: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F65CA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E8E0C77" w14:textId="23061775" w:rsidR="005F65CA" w:rsidRPr="00C4752C" w:rsidRDefault="00216FD0" w:rsidP="005F65C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38</w:t>
    </w:r>
    <w:r w:rsidR="00FF1728" w:rsidRPr="00FF1728">
      <w:rPr>
        <w:rFonts w:ascii="Arial" w:hAnsi="Arial" w:cs="Arial"/>
        <w:i/>
        <w:sz w:val="20"/>
        <w:szCs w:val="20"/>
      </w:rPr>
      <w:t>.</w:t>
    </w:r>
    <w:r w:rsidR="00FF1728">
      <w:rPr>
        <w:rFonts w:ascii="Arial" w:hAnsi="Arial" w:cs="Arial"/>
        <w:i/>
        <w:sz w:val="20"/>
        <w:szCs w:val="20"/>
      </w:rPr>
      <w:t xml:space="preserve"> </w:t>
    </w:r>
    <w:r w:rsidR="005F65CA">
      <w:rPr>
        <w:rFonts w:ascii="Arial" w:hAnsi="Arial" w:cs="Arial"/>
        <w:i/>
        <w:sz w:val="20"/>
        <w:szCs w:val="20"/>
      </w:rPr>
      <w:t xml:space="preserve">– Dotační program 15_01_Smart region Olomoucký kraj 2023 – vyhlášení </w:t>
    </w:r>
  </w:p>
  <w:p w14:paraId="78D3D6ED" w14:textId="039AF1F2" w:rsidR="00B622A2" w:rsidRPr="005F65CA" w:rsidRDefault="005F65CA" w:rsidP="005F65C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</w:t>
    </w:r>
    <w:r w:rsidR="00E51613">
      <w:rPr>
        <w:rFonts w:ascii="Arial" w:hAnsi="Arial" w:cs="Arial"/>
        <w:i/>
        <w:sz w:val="20"/>
        <w:szCs w:val="20"/>
      </w:rPr>
      <w:t>5</w:t>
    </w:r>
    <w:r w:rsidRPr="00EE781E">
      <w:rPr>
        <w:rFonts w:ascii="Arial" w:hAnsi="Arial" w:cs="Arial"/>
        <w:i/>
        <w:sz w:val="20"/>
        <w:szCs w:val="20"/>
      </w:rPr>
      <w:t xml:space="preserve"> –</w:t>
    </w:r>
    <w:r>
      <w:rPr>
        <w:rFonts w:ascii="Arial" w:hAnsi="Arial" w:cs="Arial"/>
        <w:i/>
        <w:sz w:val="20"/>
        <w:szCs w:val="20"/>
      </w:rPr>
      <w:t xml:space="preserve"> Vzor veřejnoprávní smlouvy</w:t>
    </w:r>
    <w:r w:rsidRPr="00EE781E">
      <w:rPr>
        <w:rFonts w:ascii="Arial" w:hAnsi="Arial" w:cs="Arial"/>
        <w:i/>
        <w:sz w:val="20"/>
        <w:szCs w:val="20"/>
      </w:rPr>
      <w:t xml:space="preserve"> o poskytnutí programové dotace na akci </w:t>
    </w:r>
    <w:r>
      <w:rPr>
        <w:rFonts w:ascii="Arial" w:hAnsi="Arial" w:cs="Arial"/>
        <w:i/>
        <w:sz w:val="20"/>
        <w:szCs w:val="20"/>
      </w:rPr>
      <w:t xml:space="preserve">obcím, městysům, městům </w:t>
    </w:r>
    <w:proofErr w:type="gramStart"/>
    <w:r>
      <w:rPr>
        <w:rFonts w:ascii="Arial" w:hAnsi="Arial" w:cs="Arial"/>
        <w:i/>
        <w:sz w:val="20"/>
        <w:szCs w:val="20"/>
      </w:rPr>
      <w:t>DT 1  Podpora</w:t>
    </w:r>
    <w:proofErr w:type="gramEnd"/>
    <w:r>
      <w:rPr>
        <w:rFonts w:ascii="Arial" w:hAnsi="Arial" w:cs="Arial"/>
        <w:i/>
        <w:sz w:val="20"/>
        <w:szCs w:val="20"/>
      </w:rPr>
      <w:t xml:space="preserve"> realizace SMART opatření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22102" w14:textId="77777777" w:rsidR="00484856" w:rsidRDefault="00484856" w:rsidP="00D40C40">
      <w:r>
        <w:separator/>
      </w:r>
    </w:p>
  </w:footnote>
  <w:footnote w:type="continuationSeparator" w:id="0">
    <w:p w14:paraId="7809DBA8" w14:textId="77777777" w:rsidR="00484856" w:rsidRDefault="004848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56822" w14:textId="361A4F1F" w:rsidR="005F65CA" w:rsidRPr="00A9598E" w:rsidRDefault="00E10A71" w:rsidP="005F65CA">
    <w:pPr>
      <w:tabs>
        <w:tab w:val="center" w:pos="4536"/>
        <w:tab w:val="right" w:pos="9072"/>
      </w:tabs>
      <w:ind w:left="1418" w:hanging="1418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Usnesení_příloha č. 0</w:t>
    </w:r>
    <w:r w:rsidR="00E5161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5F65CA" w:rsidRPr="00E4103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smlouvy o poskytnutí programové dotace na akci obcím, městysům, městům DT 1</w:t>
    </w:r>
    <w:r w:rsidR="005F65C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F65CA">
      <w:rPr>
        <w:rFonts w:ascii="Arial" w:hAnsi="Arial" w:cs="Arial"/>
        <w:i/>
        <w:sz w:val="20"/>
        <w:szCs w:val="20"/>
      </w:rPr>
      <w:t>Podpora realizace SMART opatření</w:t>
    </w:r>
  </w:p>
  <w:p w14:paraId="47824BF2" w14:textId="77777777" w:rsidR="00A123A9" w:rsidRDefault="00A12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0C7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0F6D00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37EE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165A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1DBA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6FD0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06B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0E53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856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949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80E"/>
    <w:rsid w:val="005C69C9"/>
    <w:rsid w:val="005C7142"/>
    <w:rsid w:val="005D0194"/>
    <w:rsid w:val="005D0F92"/>
    <w:rsid w:val="005D1434"/>
    <w:rsid w:val="005D21ED"/>
    <w:rsid w:val="005D2445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5F65C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36FA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0B0"/>
    <w:rsid w:val="0067634A"/>
    <w:rsid w:val="006767D1"/>
    <w:rsid w:val="00676E36"/>
    <w:rsid w:val="00677288"/>
    <w:rsid w:val="00683104"/>
    <w:rsid w:val="00684C20"/>
    <w:rsid w:val="00685285"/>
    <w:rsid w:val="00685549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45EBD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579"/>
    <w:rsid w:val="00766F9F"/>
    <w:rsid w:val="00770315"/>
    <w:rsid w:val="00771089"/>
    <w:rsid w:val="007723FC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8A5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B6D3E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010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34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E6AFC"/>
    <w:rsid w:val="008E7FCF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51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2F5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CA9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2C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56F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5EA0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0AC3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87ED4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0A71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161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028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2D77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2CE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27F8D"/>
    <w:rsid w:val="00F302D8"/>
    <w:rsid w:val="00F31B25"/>
    <w:rsid w:val="00F32346"/>
    <w:rsid w:val="00F323FB"/>
    <w:rsid w:val="00F32B92"/>
    <w:rsid w:val="00F34BFD"/>
    <w:rsid w:val="00F35336"/>
    <w:rsid w:val="00F35DEC"/>
    <w:rsid w:val="00F3643D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50B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1728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0597-A17C-4CDA-990B-510DC9EB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3356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Paličková Markéta</cp:lastModifiedBy>
  <cp:revision>3</cp:revision>
  <cp:lastPrinted>2018-08-24T12:55:00Z</cp:lastPrinted>
  <dcterms:created xsi:type="dcterms:W3CDTF">2023-01-26T10:36:00Z</dcterms:created>
  <dcterms:modified xsi:type="dcterms:W3CDTF">2023-01-31T12:26:00Z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