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BA0A3E" w:rsidRPr="00FE2AD4" w:rsidRDefault="00BA0A3E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FE2AD4">
        <w:rPr>
          <w:rFonts w:ascii="Arial" w:hAnsi="Arial" w:cs="Arial"/>
          <w:sz w:val="24"/>
          <w:szCs w:val="24"/>
        </w:rPr>
        <w:t xml:space="preserve">Dotace z krajského rozpočtu se poskytují </w:t>
      </w:r>
      <w:r w:rsidR="00E779CB">
        <w:rPr>
          <w:rFonts w:ascii="Arial" w:hAnsi="Arial" w:cs="Arial"/>
          <w:sz w:val="24"/>
          <w:szCs w:val="24"/>
        </w:rPr>
        <w:t xml:space="preserve">buď </w:t>
      </w:r>
      <w:r w:rsidRPr="00FE2AD4">
        <w:rPr>
          <w:rFonts w:ascii="Arial" w:hAnsi="Arial" w:cs="Arial"/>
          <w:sz w:val="24"/>
          <w:szCs w:val="24"/>
        </w:rPr>
        <w:t>na účel určený poskytovatelem v</w:t>
      </w:r>
      <w:r>
        <w:rPr>
          <w:rFonts w:ascii="Arial" w:hAnsi="Arial" w:cs="Arial"/>
          <w:sz w:val="24"/>
          <w:szCs w:val="24"/>
        </w:rPr>
        <w:t> některém z vyhlášených dotačních programů</w:t>
      </w:r>
      <w:r w:rsidR="00EC77D2">
        <w:rPr>
          <w:rFonts w:ascii="Arial" w:hAnsi="Arial" w:cs="Arial"/>
          <w:sz w:val="24"/>
          <w:szCs w:val="24"/>
        </w:rPr>
        <w:t>,</w:t>
      </w:r>
      <w:r w:rsidR="00E779CB">
        <w:rPr>
          <w:rFonts w:ascii="Arial" w:hAnsi="Arial" w:cs="Arial"/>
          <w:sz w:val="24"/>
          <w:szCs w:val="24"/>
        </w:rPr>
        <w:t xml:space="preserve"> nebo p</w:t>
      </w:r>
      <w:r>
        <w:rPr>
          <w:rFonts w:ascii="Arial" w:hAnsi="Arial" w:cs="Arial"/>
          <w:sz w:val="24"/>
          <w:szCs w:val="24"/>
        </w:rPr>
        <w:t>okud žadatel požádá o dotaci na j</w:t>
      </w:r>
      <w:r w:rsidRPr="00FE2AD4">
        <w:rPr>
          <w:rFonts w:ascii="Arial" w:hAnsi="Arial" w:cs="Arial"/>
          <w:sz w:val="24"/>
          <w:szCs w:val="24"/>
        </w:rPr>
        <w:t xml:space="preserve">iný účel, </w:t>
      </w:r>
      <w:r>
        <w:rPr>
          <w:rFonts w:ascii="Arial" w:hAnsi="Arial" w:cs="Arial"/>
          <w:sz w:val="24"/>
          <w:szCs w:val="24"/>
        </w:rPr>
        <w:t>jedná se o tzv. individuální žádost.</w:t>
      </w:r>
    </w:p>
    <w:p w:rsidR="00BA0A3E" w:rsidRDefault="00BA0A3E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35AD4" w:rsidRPr="00BA0A3E" w:rsidRDefault="00BA0A3E" w:rsidP="00BA0A3E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A0A3E">
        <w:rPr>
          <w:rFonts w:ascii="Arial" w:hAnsi="Arial" w:cs="Arial"/>
          <w:sz w:val="24"/>
          <w:szCs w:val="24"/>
        </w:rPr>
        <w:t xml:space="preserve">V předchozím volebním období se </w:t>
      </w:r>
      <w:r w:rsidR="008E040A" w:rsidRPr="00BA0A3E">
        <w:rPr>
          <w:rFonts w:ascii="Arial" w:hAnsi="Arial" w:cs="Arial"/>
          <w:sz w:val="24"/>
          <w:szCs w:val="24"/>
        </w:rPr>
        <w:t xml:space="preserve">Rada Olomouckého kraje </w:t>
      </w:r>
      <w:r w:rsidRPr="00BA0A3E">
        <w:rPr>
          <w:rFonts w:ascii="Arial" w:hAnsi="Arial" w:cs="Arial"/>
          <w:sz w:val="24"/>
          <w:szCs w:val="24"/>
        </w:rPr>
        <w:t>zabývala přípravou obecného systému na poskytování individuálních dotací. N</w:t>
      </w:r>
      <w:r w:rsidR="008E040A" w:rsidRPr="00BA0A3E">
        <w:rPr>
          <w:rFonts w:ascii="Arial" w:hAnsi="Arial" w:cs="Arial"/>
          <w:sz w:val="24"/>
          <w:szCs w:val="24"/>
        </w:rPr>
        <w:t>a své schůzi dne 7.</w:t>
      </w:r>
      <w:r w:rsidRPr="00BA0A3E">
        <w:rPr>
          <w:rFonts w:ascii="Arial" w:hAnsi="Arial" w:cs="Arial"/>
          <w:sz w:val="24"/>
          <w:szCs w:val="24"/>
        </w:rPr>
        <w:t> </w:t>
      </w:r>
      <w:r w:rsidR="008E040A" w:rsidRPr="00BA0A3E">
        <w:rPr>
          <w:rFonts w:ascii="Arial" w:hAnsi="Arial" w:cs="Arial"/>
          <w:sz w:val="24"/>
          <w:szCs w:val="24"/>
        </w:rPr>
        <w:t>4.</w:t>
      </w:r>
      <w:r w:rsidRPr="00BA0A3E">
        <w:rPr>
          <w:rFonts w:ascii="Arial" w:hAnsi="Arial" w:cs="Arial"/>
          <w:sz w:val="24"/>
          <w:szCs w:val="24"/>
        </w:rPr>
        <w:t> </w:t>
      </w:r>
      <w:r w:rsidR="008E040A" w:rsidRPr="00BA0A3E">
        <w:rPr>
          <w:rFonts w:ascii="Arial" w:hAnsi="Arial" w:cs="Arial"/>
          <w:sz w:val="24"/>
          <w:szCs w:val="24"/>
        </w:rPr>
        <w:t xml:space="preserve">2016 projednala písemný materiál </w:t>
      </w:r>
      <w:r w:rsidR="00835AD4" w:rsidRPr="00BA0A3E">
        <w:rPr>
          <w:rFonts w:ascii="Arial" w:hAnsi="Arial" w:cs="Arial"/>
          <w:sz w:val="24"/>
          <w:szCs w:val="24"/>
        </w:rPr>
        <w:t xml:space="preserve">týkající se individuálních žádostí o dotace z rozpočtu Olomouckého kraje. </w:t>
      </w:r>
      <w:r w:rsidR="008E040A" w:rsidRPr="00BA0A3E">
        <w:rPr>
          <w:rFonts w:ascii="Arial" w:hAnsi="Arial" w:cs="Arial"/>
          <w:sz w:val="24"/>
          <w:szCs w:val="24"/>
        </w:rPr>
        <w:t xml:space="preserve">ROK se shodla na </w:t>
      </w:r>
      <w:r w:rsidRPr="00BA0A3E">
        <w:rPr>
          <w:rFonts w:ascii="Arial" w:hAnsi="Arial" w:cs="Arial"/>
          <w:sz w:val="24"/>
          <w:szCs w:val="24"/>
        </w:rPr>
        <w:t xml:space="preserve">přípravě </w:t>
      </w:r>
      <w:r w:rsidR="008E040A" w:rsidRPr="00BA0A3E">
        <w:rPr>
          <w:rFonts w:ascii="Arial" w:hAnsi="Arial" w:cs="Arial"/>
          <w:sz w:val="24"/>
          <w:szCs w:val="24"/>
        </w:rPr>
        <w:t>postupu pro</w:t>
      </w:r>
      <w:r w:rsidR="00610D75" w:rsidRPr="00BA0A3E">
        <w:rPr>
          <w:rFonts w:ascii="Arial" w:hAnsi="Arial" w:cs="Arial"/>
          <w:sz w:val="24"/>
          <w:szCs w:val="24"/>
        </w:rPr>
        <w:t xml:space="preserve"> </w:t>
      </w:r>
      <w:r w:rsidR="008E040A" w:rsidRPr="00BA0A3E">
        <w:rPr>
          <w:rFonts w:ascii="Arial" w:hAnsi="Arial" w:cs="Arial"/>
          <w:sz w:val="24"/>
          <w:szCs w:val="24"/>
        </w:rPr>
        <w:t xml:space="preserve">individuální </w:t>
      </w:r>
      <w:r w:rsidR="00610D75" w:rsidRPr="00BA0A3E">
        <w:rPr>
          <w:rFonts w:ascii="Arial" w:hAnsi="Arial" w:cs="Arial"/>
          <w:sz w:val="24"/>
          <w:szCs w:val="24"/>
        </w:rPr>
        <w:t>dotace v roce 2017</w:t>
      </w:r>
      <w:r w:rsidRPr="00BA0A3E">
        <w:rPr>
          <w:rFonts w:ascii="Arial" w:hAnsi="Arial" w:cs="Arial"/>
          <w:sz w:val="24"/>
          <w:szCs w:val="24"/>
        </w:rPr>
        <w:t xml:space="preserve"> s tím, že f</w:t>
      </w:r>
      <w:r w:rsidR="00835AD4" w:rsidRPr="00BA0A3E">
        <w:rPr>
          <w:rFonts w:ascii="Arial" w:hAnsi="Arial" w:cs="Arial"/>
          <w:sz w:val="24"/>
          <w:szCs w:val="24"/>
        </w:rPr>
        <w:t xml:space="preserve">inanční prostředky, určené na individuální dotace budou alokovány na 1 místě </w:t>
      </w:r>
      <w:r w:rsidR="00E779CB">
        <w:rPr>
          <w:rFonts w:ascii="Arial" w:hAnsi="Arial" w:cs="Arial"/>
          <w:sz w:val="24"/>
          <w:szCs w:val="24"/>
        </w:rPr>
        <w:t xml:space="preserve">a </w:t>
      </w:r>
      <w:r w:rsidR="00835AD4" w:rsidRPr="00BA0A3E">
        <w:rPr>
          <w:rFonts w:ascii="Arial" w:hAnsi="Arial" w:cs="Arial"/>
          <w:sz w:val="24"/>
          <w:szCs w:val="24"/>
        </w:rPr>
        <w:t>garant</w:t>
      </w:r>
      <w:r>
        <w:rPr>
          <w:rFonts w:ascii="Arial" w:hAnsi="Arial" w:cs="Arial"/>
          <w:sz w:val="24"/>
          <w:szCs w:val="24"/>
        </w:rPr>
        <w:t xml:space="preserve">em finančních prostředků pro individuální dotace bude ekonomický odbor. </w:t>
      </w:r>
      <w:r w:rsidR="00835AD4" w:rsidRPr="00BA0A3E">
        <w:rPr>
          <w:rFonts w:ascii="Arial" w:hAnsi="Arial" w:cs="Arial"/>
          <w:sz w:val="24"/>
          <w:szCs w:val="24"/>
        </w:rPr>
        <w:t xml:space="preserve">Činnost administrátorů dotací dle věcně příslušných oblastí </w:t>
      </w:r>
      <w:r>
        <w:rPr>
          <w:rFonts w:ascii="Arial" w:hAnsi="Arial" w:cs="Arial"/>
          <w:sz w:val="24"/>
          <w:szCs w:val="24"/>
        </w:rPr>
        <w:t xml:space="preserve">však </w:t>
      </w:r>
      <w:r w:rsidR="00835AD4" w:rsidRPr="00BA0A3E">
        <w:rPr>
          <w:rFonts w:ascii="Arial" w:hAnsi="Arial" w:cs="Arial"/>
          <w:sz w:val="24"/>
          <w:szCs w:val="24"/>
        </w:rPr>
        <w:t>zůstane zachována</w:t>
      </w:r>
      <w:r>
        <w:rPr>
          <w:rFonts w:ascii="Arial" w:hAnsi="Arial" w:cs="Arial"/>
          <w:sz w:val="24"/>
          <w:szCs w:val="24"/>
        </w:rPr>
        <w:t xml:space="preserve">. Pro rok 2017 </w:t>
      </w:r>
      <w:r w:rsidR="00E779CB">
        <w:rPr>
          <w:rFonts w:ascii="Arial" w:hAnsi="Arial" w:cs="Arial"/>
          <w:sz w:val="24"/>
          <w:szCs w:val="24"/>
        </w:rPr>
        <w:t xml:space="preserve">má být </w:t>
      </w:r>
      <w:r>
        <w:rPr>
          <w:rFonts w:ascii="Arial" w:hAnsi="Arial" w:cs="Arial"/>
          <w:sz w:val="24"/>
          <w:szCs w:val="24"/>
        </w:rPr>
        <w:t xml:space="preserve">připraven </w:t>
      </w:r>
      <w:r w:rsidR="00835AD4" w:rsidRPr="00BA0A3E">
        <w:rPr>
          <w:rFonts w:ascii="Arial" w:hAnsi="Arial" w:cs="Arial"/>
          <w:sz w:val="24"/>
          <w:szCs w:val="24"/>
        </w:rPr>
        <w:t>dokument Zásady pro poskytování mimořádných dotací</w:t>
      </w:r>
      <w:r>
        <w:rPr>
          <w:rFonts w:ascii="Arial" w:hAnsi="Arial" w:cs="Arial"/>
          <w:sz w:val="24"/>
          <w:szCs w:val="24"/>
        </w:rPr>
        <w:t xml:space="preserve">, ve kterém </w:t>
      </w:r>
      <w:r w:rsidR="00835AD4" w:rsidRPr="00BA0A3E">
        <w:rPr>
          <w:rFonts w:ascii="Arial" w:hAnsi="Arial" w:cs="Arial"/>
          <w:sz w:val="24"/>
          <w:szCs w:val="24"/>
        </w:rPr>
        <w:t>mohou být v rámci přípravy dokumentu definována podobná pravidla jako v letošním roce nebo variantně striktní pravidla pro poskytování individuálních dotací apod.</w:t>
      </w:r>
      <w:r w:rsidR="001673D6">
        <w:rPr>
          <w:rFonts w:ascii="Arial" w:hAnsi="Arial" w:cs="Arial"/>
          <w:sz w:val="24"/>
          <w:szCs w:val="24"/>
        </w:rPr>
        <w:t xml:space="preserve"> T</w:t>
      </w:r>
      <w:r w:rsidR="00835AD4" w:rsidRPr="00BA0A3E">
        <w:rPr>
          <w:rFonts w:ascii="Arial" w:hAnsi="Arial" w:cs="Arial"/>
          <w:sz w:val="24"/>
          <w:szCs w:val="24"/>
        </w:rPr>
        <w:t xml:space="preserve">akto </w:t>
      </w:r>
      <w:r w:rsidR="001673D6">
        <w:rPr>
          <w:rFonts w:ascii="Arial" w:hAnsi="Arial" w:cs="Arial"/>
          <w:sz w:val="24"/>
          <w:szCs w:val="24"/>
        </w:rPr>
        <w:t xml:space="preserve">je </w:t>
      </w:r>
      <w:r w:rsidR="00835AD4" w:rsidRPr="00BA0A3E">
        <w:rPr>
          <w:rFonts w:ascii="Arial" w:hAnsi="Arial" w:cs="Arial"/>
          <w:sz w:val="24"/>
          <w:szCs w:val="24"/>
        </w:rPr>
        <w:t xml:space="preserve">řešení individuálních dotací </w:t>
      </w:r>
      <w:r w:rsidR="001673D6">
        <w:rPr>
          <w:rFonts w:ascii="Arial" w:hAnsi="Arial" w:cs="Arial"/>
          <w:sz w:val="24"/>
          <w:szCs w:val="24"/>
        </w:rPr>
        <w:t xml:space="preserve">nyní </w:t>
      </w:r>
      <w:r w:rsidR="00835AD4" w:rsidRPr="00BA0A3E">
        <w:rPr>
          <w:rFonts w:ascii="Arial" w:hAnsi="Arial" w:cs="Arial"/>
          <w:sz w:val="24"/>
          <w:szCs w:val="24"/>
        </w:rPr>
        <w:t xml:space="preserve">připraveno k posouzení nové samosprávě. </w:t>
      </w:r>
    </w:p>
    <w:p w:rsidR="001B26AB" w:rsidRDefault="001B26AB" w:rsidP="001B26AB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B26AB" w:rsidRPr="001B26AB" w:rsidRDefault="001B26AB" w:rsidP="001B26AB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B26AB">
        <w:rPr>
          <w:rFonts w:ascii="Arial" w:hAnsi="Arial" w:cs="Arial"/>
          <w:sz w:val="24"/>
          <w:szCs w:val="24"/>
        </w:rPr>
        <w:t>V roce 2016 byly žádosti přij</w:t>
      </w:r>
      <w:r w:rsidR="00610D75">
        <w:rPr>
          <w:rFonts w:ascii="Arial" w:hAnsi="Arial" w:cs="Arial"/>
          <w:sz w:val="24"/>
          <w:szCs w:val="24"/>
        </w:rPr>
        <w:t>í</w:t>
      </w:r>
      <w:r w:rsidRPr="001B26AB">
        <w:rPr>
          <w:rFonts w:ascii="Arial" w:hAnsi="Arial" w:cs="Arial"/>
          <w:sz w:val="24"/>
          <w:szCs w:val="24"/>
        </w:rPr>
        <w:t xml:space="preserve">mány </w:t>
      </w:r>
      <w:r w:rsidRPr="00D908FA">
        <w:rPr>
          <w:rFonts w:ascii="Arial" w:hAnsi="Arial" w:cs="Arial"/>
          <w:sz w:val="24"/>
          <w:szCs w:val="24"/>
        </w:rPr>
        <w:t xml:space="preserve">od </w:t>
      </w:r>
      <w:r w:rsidR="00D908FA">
        <w:rPr>
          <w:rFonts w:ascii="Arial" w:hAnsi="Arial" w:cs="Arial"/>
          <w:sz w:val="24"/>
          <w:szCs w:val="24"/>
        </w:rPr>
        <w:t>4</w:t>
      </w:r>
      <w:r w:rsidRPr="00D908FA">
        <w:rPr>
          <w:rFonts w:ascii="Arial" w:hAnsi="Arial" w:cs="Arial"/>
          <w:sz w:val="24"/>
          <w:szCs w:val="24"/>
        </w:rPr>
        <w:t>.</w:t>
      </w:r>
      <w:r w:rsidR="009824CD">
        <w:rPr>
          <w:rFonts w:ascii="Arial" w:hAnsi="Arial" w:cs="Arial"/>
          <w:sz w:val="24"/>
          <w:szCs w:val="24"/>
        </w:rPr>
        <w:t xml:space="preserve"> </w:t>
      </w:r>
      <w:r w:rsidRPr="00D908FA">
        <w:rPr>
          <w:rFonts w:ascii="Arial" w:hAnsi="Arial" w:cs="Arial"/>
          <w:sz w:val="24"/>
          <w:szCs w:val="24"/>
        </w:rPr>
        <w:t>1.</w:t>
      </w:r>
      <w:r w:rsidR="009824CD">
        <w:rPr>
          <w:rFonts w:ascii="Arial" w:hAnsi="Arial" w:cs="Arial"/>
          <w:sz w:val="24"/>
          <w:szCs w:val="24"/>
        </w:rPr>
        <w:t xml:space="preserve"> </w:t>
      </w:r>
      <w:r w:rsidRPr="00D908FA">
        <w:rPr>
          <w:rFonts w:ascii="Arial" w:hAnsi="Arial" w:cs="Arial"/>
          <w:sz w:val="24"/>
          <w:szCs w:val="24"/>
        </w:rPr>
        <w:t>2016 a</w:t>
      </w:r>
      <w:r w:rsidRPr="001B26AB">
        <w:rPr>
          <w:rFonts w:ascii="Arial" w:hAnsi="Arial" w:cs="Arial"/>
          <w:sz w:val="24"/>
          <w:szCs w:val="24"/>
        </w:rPr>
        <w:t xml:space="preserve"> příjem individuálních žádostí byl ukončen </w:t>
      </w:r>
      <w:r w:rsidRPr="001B26AB">
        <w:rPr>
          <w:rFonts w:ascii="Arial" w:hAnsi="Arial" w:cs="Arial"/>
          <w:b/>
          <w:sz w:val="24"/>
          <w:szCs w:val="24"/>
        </w:rPr>
        <w:t xml:space="preserve">30. 6. 2016. </w:t>
      </w:r>
      <w:r w:rsidRPr="001B26AB">
        <w:rPr>
          <w:rFonts w:ascii="Arial" w:hAnsi="Arial" w:cs="Arial"/>
          <w:sz w:val="24"/>
          <w:szCs w:val="24"/>
        </w:rPr>
        <w:t xml:space="preserve">Každá individuální žádost byla projednána poradou vedení, která v případě předběžného zájmu o vyhovění žádosti uložila vedoucímu příslušného odboru a vedoucímu OE najít </w:t>
      </w:r>
      <w:r w:rsidRPr="001B26AB">
        <w:rPr>
          <w:rFonts w:ascii="Arial" w:hAnsi="Arial" w:cs="Arial"/>
          <w:b/>
          <w:sz w:val="24"/>
          <w:szCs w:val="24"/>
        </w:rPr>
        <w:t>zdroj financování individuální dotace</w:t>
      </w:r>
      <w:r w:rsidRPr="001B26AB">
        <w:rPr>
          <w:rFonts w:ascii="Arial" w:hAnsi="Arial" w:cs="Arial"/>
          <w:sz w:val="24"/>
          <w:szCs w:val="24"/>
        </w:rPr>
        <w:t xml:space="preserve"> v případě jejího schválení příslušným orgánem kraje. Žádost o individuální dotaci nejprve každý VO projednal se svým náměstkem/hejtmanem a poté byl připraven materiál do porady vedení. Po projednání poradou vedení proběhly další kroky </w:t>
      </w:r>
      <w:r w:rsidRPr="004C6F67">
        <w:sym w:font="Wingdings" w:char="F0E0"/>
      </w:r>
      <w:r w:rsidRPr="001B26AB">
        <w:rPr>
          <w:rFonts w:ascii="Arial" w:hAnsi="Arial" w:cs="Arial"/>
          <w:sz w:val="24"/>
          <w:szCs w:val="24"/>
        </w:rPr>
        <w:t xml:space="preserve"> předložení odborné komisi/výboru </w:t>
      </w:r>
      <w:r w:rsidRPr="004C6F67">
        <w:sym w:font="Wingdings" w:char="F0E0"/>
      </w:r>
      <w:r w:rsidRPr="001B26AB">
        <w:rPr>
          <w:rFonts w:ascii="Arial" w:hAnsi="Arial" w:cs="Arial"/>
          <w:sz w:val="24"/>
          <w:szCs w:val="24"/>
        </w:rPr>
        <w:t xml:space="preserve"> řešení financování </w:t>
      </w:r>
      <w:r w:rsidRPr="004C6F67">
        <w:sym w:font="Wingdings" w:char="F0E0"/>
      </w:r>
      <w:r w:rsidRPr="001B26AB">
        <w:rPr>
          <w:rFonts w:ascii="Arial" w:hAnsi="Arial" w:cs="Arial"/>
          <w:sz w:val="24"/>
          <w:szCs w:val="24"/>
        </w:rPr>
        <w:t xml:space="preserve"> předložení materiálu do </w:t>
      </w:r>
      <w:proofErr w:type="gramStart"/>
      <w:r w:rsidRPr="001B26AB">
        <w:rPr>
          <w:rFonts w:ascii="Arial" w:hAnsi="Arial" w:cs="Arial"/>
          <w:sz w:val="24"/>
          <w:szCs w:val="24"/>
        </w:rPr>
        <w:t>ROK</w:t>
      </w:r>
      <w:proofErr w:type="gramEnd"/>
      <w:r w:rsidRPr="001B26AB">
        <w:rPr>
          <w:rFonts w:ascii="Arial" w:hAnsi="Arial" w:cs="Arial"/>
          <w:sz w:val="24"/>
          <w:szCs w:val="24"/>
        </w:rPr>
        <w:t xml:space="preserve"> s návrhem nevyhovět/vyhovět vč. návrhu financování </w:t>
      </w:r>
      <w:r w:rsidRPr="004C6F67">
        <w:sym w:font="Wingdings" w:char="F0E0"/>
      </w:r>
      <w:r w:rsidRPr="001B26AB">
        <w:rPr>
          <w:rFonts w:ascii="Arial" w:hAnsi="Arial" w:cs="Arial"/>
          <w:sz w:val="24"/>
          <w:szCs w:val="24"/>
        </w:rPr>
        <w:t xml:space="preserve"> rozhodnutí ROK/ZOK.  Poslední individuální žádosti byly předloženy k případnému schválení </w:t>
      </w:r>
      <w:r w:rsidRPr="001B26AB">
        <w:rPr>
          <w:rFonts w:ascii="Arial" w:hAnsi="Arial" w:cs="Arial"/>
          <w:b/>
          <w:sz w:val="24"/>
          <w:szCs w:val="24"/>
        </w:rPr>
        <w:t>nejpozději ROK 15. 9. 2016</w:t>
      </w:r>
      <w:r w:rsidRPr="001B26AB">
        <w:rPr>
          <w:rFonts w:ascii="Arial" w:hAnsi="Arial" w:cs="Arial"/>
          <w:sz w:val="24"/>
          <w:szCs w:val="24"/>
        </w:rPr>
        <w:t xml:space="preserve"> nebo </w:t>
      </w:r>
      <w:r w:rsidRPr="001B26AB">
        <w:rPr>
          <w:rFonts w:ascii="Arial" w:hAnsi="Arial" w:cs="Arial"/>
          <w:b/>
          <w:sz w:val="24"/>
          <w:szCs w:val="24"/>
        </w:rPr>
        <w:t>ZOK 23. 9. 2016</w:t>
      </w:r>
      <w:r w:rsidRPr="001B26AB">
        <w:rPr>
          <w:rFonts w:ascii="Arial" w:hAnsi="Arial" w:cs="Arial"/>
          <w:sz w:val="24"/>
          <w:szCs w:val="24"/>
        </w:rPr>
        <w:t xml:space="preserve">. </w:t>
      </w:r>
    </w:p>
    <w:p w:rsidR="001B26AB" w:rsidRPr="001B26AB" w:rsidRDefault="001B26AB" w:rsidP="001B26AB">
      <w:pPr>
        <w:pStyle w:val="Odstavecseseznamem"/>
        <w:tabs>
          <w:tab w:val="left" w:pos="567"/>
        </w:tabs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8E040A" w:rsidRDefault="001B26AB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1B26AB">
        <w:rPr>
          <w:rFonts w:ascii="Arial" w:hAnsi="Arial" w:cs="Arial"/>
          <w:sz w:val="24"/>
          <w:szCs w:val="24"/>
        </w:rPr>
        <w:t xml:space="preserve">V roce 2016 bylo přijato </w:t>
      </w:r>
      <w:r w:rsidRPr="001B26AB">
        <w:rPr>
          <w:rFonts w:ascii="Arial" w:hAnsi="Arial" w:cs="Arial"/>
          <w:b/>
          <w:sz w:val="24"/>
          <w:szCs w:val="24"/>
        </w:rPr>
        <w:t>331</w:t>
      </w:r>
      <w:r w:rsidRPr="001B26AB">
        <w:rPr>
          <w:rFonts w:ascii="Arial" w:hAnsi="Arial" w:cs="Arial"/>
          <w:sz w:val="24"/>
          <w:szCs w:val="24"/>
        </w:rPr>
        <w:t xml:space="preserve"> </w:t>
      </w:r>
      <w:r w:rsidRPr="001B26AB">
        <w:rPr>
          <w:rFonts w:ascii="Arial" w:hAnsi="Arial" w:cs="Arial"/>
          <w:b/>
          <w:sz w:val="24"/>
          <w:szCs w:val="24"/>
        </w:rPr>
        <w:t>individuálních žádostí</w:t>
      </w:r>
      <w:r w:rsidRPr="001B26AB">
        <w:rPr>
          <w:rFonts w:ascii="Arial" w:hAnsi="Arial" w:cs="Arial"/>
          <w:sz w:val="24"/>
          <w:szCs w:val="24"/>
        </w:rPr>
        <w:t xml:space="preserve"> v celkovém objemu </w:t>
      </w:r>
      <w:r w:rsidR="00244CA3">
        <w:rPr>
          <w:rFonts w:ascii="Arial" w:hAnsi="Arial" w:cs="Arial"/>
          <w:sz w:val="24"/>
          <w:szCs w:val="24"/>
        </w:rPr>
        <w:t xml:space="preserve">požadovaných finančních prostředků </w:t>
      </w:r>
      <w:r w:rsidRPr="001B26AB">
        <w:rPr>
          <w:rFonts w:ascii="Arial" w:hAnsi="Arial" w:cs="Arial"/>
          <w:b/>
          <w:sz w:val="24"/>
          <w:szCs w:val="24"/>
        </w:rPr>
        <w:t>291 762 981,19 Kč</w:t>
      </w:r>
      <w:r w:rsidRPr="001B26AB">
        <w:rPr>
          <w:rFonts w:ascii="Arial" w:hAnsi="Arial" w:cs="Arial"/>
          <w:sz w:val="24"/>
          <w:szCs w:val="24"/>
        </w:rPr>
        <w:t>. Orgány Olomouckého kraje schválil</w:t>
      </w:r>
      <w:r w:rsidR="009824CD">
        <w:rPr>
          <w:rFonts w:ascii="Arial" w:hAnsi="Arial" w:cs="Arial"/>
          <w:sz w:val="24"/>
          <w:szCs w:val="24"/>
        </w:rPr>
        <w:t>y</w:t>
      </w:r>
      <w:r w:rsidRPr="001B26AB">
        <w:rPr>
          <w:rFonts w:ascii="Arial" w:hAnsi="Arial" w:cs="Arial"/>
          <w:sz w:val="24"/>
          <w:szCs w:val="24"/>
        </w:rPr>
        <w:t xml:space="preserve"> </w:t>
      </w:r>
      <w:r w:rsidRPr="001B26AB">
        <w:rPr>
          <w:rFonts w:ascii="Arial" w:hAnsi="Arial" w:cs="Arial"/>
          <w:b/>
          <w:sz w:val="24"/>
          <w:szCs w:val="24"/>
        </w:rPr>
        <w:t>246 individuálních žádostí</w:t>
      </w:r>
      <w:r w:rsidRPr="001B26AB">
        <w:rPr>
          <w:rFonts w:ascii="Arial" w:hAnsi="Arial" w:cs="Arial"/>
          <w:sz w:val="24"/>
          <w:szCs w:val="24"/>
        </w:rPr>
        <w:t xml:space="preserve"> v celkovém objemu poskytnutých dotací </w:t>
      </w:r>
      <w:r w:rsidRPr="001B26AB">
        <w:rPr>
          <w:rFonts w:ascii="Arial" w:hAnsi="Arial" w:cs="Arial"/>
          <w:b/>
          <w:sz w:val="24"/>
          <w:szCs w:val="24"/>
        </w:rPr>
        <w:t>179 577 639,20 Kč.</w:t>
      </w:r>
      <w:r w:rsidRPr="001B26AB">
        <w:rPr>
          <w:rFonts w:ascii="Arial" w:hAnsi="Arial" w:cs="Arial"/>
          <w:sz w:val="24"/>
          <w:szCs w:val="24"/>
        </w:rPr>
        <w:t xml:space="preserve"> Se všemi příjemci byla uzavřena veřejnoprávní smlouva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26AB" w:rsidRPr="001B26AB" w:rsidRDefault="001B26AB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B26AB" w:rsidRDefault="00E779CB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Radě a následně Zastupitelstvu Olomouckého kraje je předkládán návrh na schválení obecných zásad pro poskytování mimořádných dotací z rozpočtu Olomouckého kraje.  </w:t>
      </w:r>
      <w:r w:rsidR="00610D75">
        <w:rPr>
          <w:rFonts w:ascii="Arial" w:hAnsi="Arial" w:cs="Arial"/>
          <w:sz w:val="24"/>
          <w:szCs w:val="24"/>
        </w:rPr>
        <w:t xml:space="preserve">Pro rok 2017 jsou </w:t>
      </w:r>
      <w:r w:rsidR="00F979DF">
        <w:rPr>
          <w:rFonts w:ascii="Arial" w:hAnsi="Arial" w:cs="Arial"/>
          <w:sz w:val="24"/>
          <w:szCs w:val="24"/>
        </w:rPr>
        <w:t xml:space="preserve">připraveny </w:t>
      </w:r>
      <w:r w:rsidR="00610D75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 xml:space="preserve">individuálních </w:t>
      </w:r>
      <w:r w:rsidR="00610D75">
        <w:rPr>
          <w:rFonts w:ascii="Arial" w:hAnsi="Arial" w:cs="Arial"/>
          <w:sz w:val="24"/>
          <w:szCs w:val="24"/>
        </w:rPr>
        <w:t xml:space="preserve">dotací z rozpočtu Olomouckého kraje v roce 2017 – Příloha č. 1. V Příloze č. 2 je zpracována </w:t>
      </w:r>
      <w:r w:rsidR="0011226E">
        <w:rPr>
          <w:rFonts w:ascii="Arial" w:hAnsi="Arial" w:cs="Arial"/>
          <w:sz w:val="24"/>
          <w:szCs w:val="24"/>
        </w:rPr>
        <w:t>Ž</w:t>
      </w:r>
      <w:r w:rsidR="00610D75">
        <w:rPr>
          <w:rFonts w:ascii="Arial" w:hAnsi="Arial" w:cs="Arial"/>
          <w:sz w:val="24"/>
          <w:szCs w:val="24"/>
        </w:rPr>
        <w:t xml:space="preserve">ádost o poskytnutí individuální dotace z rozpočtu Olomouckého kraje na rok 2017. </w:t>
      </w:r>
    </w:p>
    <w:p w:rsidR="00610D75" w:rsidRDefault="00610D75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610D75" w:rsidRDefault="00610D75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návrhu rozpočtu Olomouckého kraje na rok 2017, který je předkládán </w:t>
      </w:r>
      <w:r w:rsidR="00C115F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zasedání Zastupitelstva Olomouckého kraje 19.</w:t>
      </w:r>
      <w:r w:rsidR="00982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="00982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2016, je vyčleněn</w:t>
      </w:r>
      <w:r w:rsidR="00C115F0">
        <w:rPr>
          <w:rFonts w:ascii="Arial" w:hAnsi="Arial" w:cs="Arial"/>
          <w:sz w:val="24"/>
          <w:szCs w:val="24"/>
        </w:rPr>
        <w:t>a na</w:t>
      </w:r>
      <w:r>
        <w:rPr>
          <w:rFonts w:ascii="Arial" w:hAnsi="Arial" w:cs="Arial"/>
          <w:sz w:val="24"/>
          <w:szCs w:val="24"/>
        </w:rPr>
        <w:t xml:space="preserve"> individuální dotace celková částka 59 630 tis.</w:t>
      </w:r>
      <w:r w:rsidR="00982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Kč. </w:t>
      </w:r>
    </w:p>
    <w:p w:rsidR="00610D75" w:rsidRDefault="00610D75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610D75" w:rsidRPr="001B26AB" w:rsidRDefault="00610D75" w:rsidP="001B26AB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Administrace žádostí bude probíhat </w:t>
      </w:r>
      <w:r w:rsidR="009824CD">
        <w:rPr>
          <w:rFonts w:ascii="Arial" w:hAnsi="Arial" w:cs="Arial"/>
          <w:sz w:val="24"/>
          <w:szCs w:val="24"/>
        </w:rPr>
        <w:t xml:space="preserve">podobně </w:t>
      </w:r>
      <w:r>
        <w:rPr>
          <w:rFonts w:ascii="Arial" w:hAnsi="Arial" w:cs="Arial"/>
          <w:sz w:val="24"/>
          <w:szCs w:val="24"/>
        </w:rPr>
        <w:t>jako v roce 2016.</w:t>
      </w:r>
      <w:r w:rsidR="0011226E">
        <w:rPr>
          <w:rFonts w:ascii="Arial" w:hAnsi="Arial" w:cs="Arial"/>
          <w:sz w:val="24"/>
          <w:szCs w:val="24"/>
        </w:rPr>
        <w:t xml:space="preserve"> Na webu Olomouckého kraje budou zveřejněny Zásady pro poskytování </w:t>
      </w:r>
      <w:r w:rsidR="00C115F0">
        <w:rPr>
          <w:rFonts w:ascii="Arial" w:hAnsi="Arial" w:cs="Arial"/>
          <w:sz w:val="24"/>
          <w:szCs w:val="24"/>
        </w:rPr>
        <w:t xml:space="preserve">individuálních </w:t>
      </w:r>
      <w:r w:rsidR="0011226E">
        <w:rPr>
          <w:rFonts w:ascii="Arial" w:hAnsi="Arial" w:cs="Arial"/>
          <w:sz w:val="24"/>
          <w:szCs w:val="24"/>
        </w:rPr>
        <w:t xml:space="preserve">dotací z rozpočtu Olomouckého kraje v roce 2017 a Žádost o poskytnutí individuální dotace z rozpočtu Olomouckého kraje na rok 2017. </w:t>
      </w:r>
      <w:r w:rsidR="009824CD">
        <w:rPr>
          <w:rFonts w:ascii="Arial" w:hAnsi="Arial" w:cs="Arial"/>
          <w:sz w:val="24"/>
          <w:szCs w:val="24"/>
        </w:rPr>
        <w:t>Všechny individuální ž</w:t>
      </w:r>
      <w:r w:rsidR="0011226E">
        <w:rPr>
          <w:rFonts w:ascii="Arial" w:hAnsi="Arial" w:cs="Arial"/>
          <w:sz w:val="24"/>
          <w:szCs w:val="24"/>
        </w:rPr>
        <w:t xml:space="preserve">ádosti budou </w:t>
      </w:r>
      <w:r w:rsidR="0011226E">
        <w:rPr>
          <w:rFonts w:ascii="Arial" w:hAnsi="Arial" w:cs="Arial"/>
          <w:sz w:val="24"/>
          <w:szCs w:val="24"/>
        </w:rPr>
        <w:lastRenderedPageBreak/>
        <w:t>vyplněny elektronicky v systému Komunikace s občany (RAP)</w:t>
      </w:r>
      <w:r w:rsidR="009824CD">
        <w:rPr>
          <w:rFonts w:ascii="Arial" w:hAnsi="Arial" w:cs="Arial"/>
          <w:sz w:val="24"/>
          <w:szCs w:val="24"/>
        </w:rPr>
        <w:t>.</w:t>
      </w:r>
      <w:r w:rsidR="0011226E">
        <w:rPr>
          <w:rFonts w:ascii="Arial" w:hAnsi="Arial" w:cs="Arial"/>
          <w:sz w:val="24"/>
          <w:szCs w:val="24"/>
        </w:rPr>
        <w:t xml:space="preserve"> </w:t>
      </w:r>
      <w:r w:rsidR="009824CD">
        <w:rPr>
          <w:rFonts w:ascii="Arial" w:hAnsi="Arial" w:cs="Arial"/>
          <w:sz w:val="24"/>
          <w:szCs w:val="24"/>
        </w:rPr>
        <w:t>N</w:t>
      </w:r>
      <w:r w:rsidR="0011226E">
        <w:rPr>
          <w:rFonts w:ascii="Arial" w:hAnsi="Arial" w:cs="Arial"/>
          <w:sz w:val="24"/>
          <w:szCs w:val="24"/>
        </w:rPr>
        <w:t xml:space="preserve">ásledně </w:t>
      </w:r>
      <w:r w:rsidR="009824CD">
        <w:rPr>
          <w:rFonts w:ascii="Arial" w:hAnsi="Arial" w:cs="Arial"/>
          <w:sz w:val="24"/>
          <w:szCs w:val="24"/>
        </w:rPr>
        <w:t xml:space="preserve">bude žádost </w:t>
      </w:r>
      <w:r w:rsidR="0011226E">
        <w:rPr>
          <w:rFonts w:ascii="Arial" w:hAnsi="Arial" w:cs="Arial"/>
          <w:sz w:val="24"/>
          <w:szCs w:val="24"/>
        </w:rPr>
        <w:t xml:space="preserve">zaslána elektronicky se zaručeným podpisem nebo písemně (poštou nebo osobním podáním). Podklady pro rozhodnutí orgánů kraje budou připravovat věcně příslušné odbory. </w:t>
      </w:r>
      <w:r w:rsidR="0011226E" w:rsidRPr="001B26AB">
        <w:rPr>
          <w:rFonts w:ascii="Arial" w:hAnsi="Arial" w:cs="Arial"/>
          <w:sz w:val="24"/>
          <w:szCs w:val="24"/>
        </w:rPr>
        <w:t>Žádost o individuální dotaci nejprve každý VO projedn</w:t>
      </w:r>
      <w:r w:rsidR="0011226E">
        <w:rPr>
          <w:rFonts w:ascii="Arial" w:hAnsi="Arial" w:cs="Arial"/>
          <w:sz w:val="24"/>
          <w:szCs w:val="24"/>
        </w:rPr>
        <w:t>á</w:t>
      </w:r>
      <w:r w:rsidR="0011226E" w:rsidRPr="001B26AB">
        <w:rPr>
          <w:rFonts w:ascii="Arial" w:hAnsi="Arial" w:cs="Arial"/>
          <w:sz w:val="24"/>
          <w:szCs w:val="24"/>
        </w:rPr>
        <w:t xml:space="preserve"> se svým náměstkem/hejtmanem a poté b</w:t>
      </w:r>
      <w:r w:rsidR="0011226E">
        <w:rPr>
          <w:rFonts w:ascii="Arial" w:hAnsi="Arial" w:cs="Arial"/>
          <w:sz w:val="24"/>
          <w:szCs w:val="24"/>
        </w:rPr>
        <w:t>ude</w:t>
      </w:r>
      <w:r w:rsidR="0011226E" w:rsidRPr="001B26AB">
        <w:rPr>
          <w:rFonts w:ascii="Arial" w:hAnsi="Arial" w:cs="Arial"/>
          <w:sz w:val="24"/>
          <w:szCs w:val="24"/>
        </w:rPr>
        <w:t xml:space="preserve"> připraven materiál do porady vedení</w:t>
      </w:r>
      <w:r w:rsidR="009824CD">
        <w:rPr>
          <w:rFonts w:ascii="Arial" w:hAnsi="Arial" w:cs="Arial"/>
          <w:sz w:val="24"/>
          <w:szCs w:val="24"/>
        </w:rPr>
        <w:t>/do ROK</w:t>
      </w:r>
      <w:r w:rsidR="0011226E" w:rsidRPr="001B26AB">
        <w:rPr>
          <w:rFonts w:ascii="Arial" w:hAnsi="Arial" w:cs="Arial"/>
          <w:sz w:val="24"/>
          <w:szCs w:val="24"/>
        </w:rPr>
        <w:t xml:space="preserve">. Po projednání poradou vedení </w:t>
      </w:r>
      <w:r w:rsidR="009824CD">
        <w:rPr>
          <w:rFonts w:ascii="Arial" w:hAnsi="Arial" w:cs="Arial"/>
          <w:sz w:val="24"/>
          <w:szCs w:val="24"/>
        </w:rPr>
        <w:t xml:space="preserve">(nebo </w:t>
      </w:r>
      <w:r w:rsidR="00D50D05">
        <w:rPr>
          <w:rFonts w:ascii="Arial" w:hAnsi="Arial" w:cs="Arial"/>
          <w:sz w:val="24"/>
          <w:szCs w:val="24"/>
        </w:rPr>
        <w:t xml:space="preserve">po </w:t>
      </w:r>
      <w:r w:rsidR="009824CD">
        <w:rPr>
          <w:rFonts w:ascii="Arial" w:hAnsi="Arial" w:cs="Arial"/>
          <w:sz w:val="24"/>
          <w:szCs w:val="24"/>
        </w:rPr>
        <w:t xml:space="preserve">předjednání seznamu individuálních žádostí na schůzi ROK) </w:t>
      </w:r>
      <w:r w:rsidR="0011226E" w:rsidRPr="001B26AB">
        <w:rPr>
          <w:rFonts w:ascii="Arial" w:hAnsi="Arial" w:cs="Arial"/>
          <w:sz w:val="24"/>
          <w:szCs w:val="24"/>
        </w:rPr>
        <w:t>proběh</w:t>
      </w:r>
      <w:r w:rsidR="0011226E">
        <w:rPr>
          <w:rFonts w:ascii="Arial" w:hAnsi="Arial" w:cs="Arial"/>
          <w:sz w:val="24"/>
          <w:szCs w:val="24"/>
        </w:rPr>
        <w:t>nou</w:t>
      </w:r>
      <w:r w:rsidR="0011226E" w:rsidRPr="001B26AB">
        <w:rPr>
          <w:rFonts w:ascii="Arial" w:hAnsi="Arial" w:cs="Arial"/>
          <w:sz w:val="24"/>
          <w:szCs w:val="24"/>
        </w:rPr>
        <w:t xml:space="preserve"> další kroky </w:t>
      </w:r>
      <w:r w:rsidR="0011226E" w:rsidRPr="004C6F67">
        <w:sym w:font="Wingdings" w:char="F0E0"/>
      </w:r>
      <w:r w:rsidR="0011226E" w:rsidRPr="001B26AB">
        <w:rPr>
          <w:rFonts w:ascii="Arial" w:hAnsi="Arial" w:cs="Arial"/>
          <w:sz w:val="24"/>
          <w:szCs w:val="24"/>
        </w:rPr>
        <w:t xml:space="preserve"> předložení odborné komisi/výboru </w:t>
      </w:r>
      <w:r w:rsidR="0011226E" w:rsidRPr="004C6F67">
        <w:sym w:font="Wingdings" w:char="F0E0"/>
      </w:r>
      <w:r w:rsidR="0011226E" w:rsidRPr="001B26AB">
        <w:rPr>
          <w:rFonts w:ascii="Arial" w:hAnsi="Arial" w:cs="Arial"/>
          <w:sz w:val="24"/>
          <w:szCs w:val="24"/>
        </w:rPr>
        <w:t xml:space="preserve"> řešení financování </w:t>
      </w:r>
      <w:r w:rsidR="0011226E" w:rsidRPr="004C6F67">
        <w:sym w:font="Wingdings" w:char="F0E0"/>
      </w:r>
      <w:r w:rsidR="0011226E" w:rsidRPr="001B26AB">
        <w:rPr>
          <w:rFonts w:ascii="Arial" w:hAnsi="Arial" w:cs="Arial"/>
          <w:sz w:val="24"/>
          <w:szCs w:val="24"/>
        </w:rPr>
        <w:t xml:space="preserve"> předložení materiálu do </w:t>
      </w:r>
      <w:proofErr w:type="gramStart"/>
      <w:r w:rsidR="0011226E" w:rsidRPr="001B26AB">
        <w:rPr>
          <w:rFonts w:ascii="Arial" w:hAnsi="Arial" w:cs="Arial"/>
          <w:sz w:val="24"/>
          <w:szCs w:val="24"/>
        </w:rPr>
        <w:t>ROK</w:t>
      </w:r>
      <w:proofErr w:type="gramEnd"/>
      <w:r w:rsidR="0011226E" w:rsidRPr="001B26AB">
        <w:rPr>
          <w:rFonts w:ascii="Arial" w:hAnsi="Arial" w:cs="Arial"/>
          <w:sz w:val="24"/>
          <w:szCs w:val="24"/>
        </w:rPr>
        <w:t xml:space="preserve"> s návrhem nevyhovět/vyhovět vč. návrhu financování </w:t>
      </w:r>
      <w:r w:rsidR="0011226E" w:rsidRPr="004C6F67">
        <w:sym w:font="Wingdings" w:char="F0E0"/>
      </w:r>
      <w:r w:rsidR="0011226E" w:rsidRPr="001B26AB">
        <w:rPr>
          <w:rFonts w:ascii="Arial" w:hAnsi="Arial" w:cs="Arial"/>
          <w:sz w:val="24"/>
          <w:szCs w:val="24"/>
        </w:rPr>
        <w:t xml:space="preserve"> rozhodnutí ROK/ZOK.  </w:t>
      </w:r>
    </w:p>
    <w:p w:rsidR="007D04E2" w:rsidRDefault="007D04E2" w:rsidP="004B482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Pr="004C38C2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 xml:space="preserve">Příloha č. 1 </w:t>
      </w:r>
      <w:r w:rsidR="004C38C2">
        <w:rPr>
          <w:rFonts w:ascii="Arial" w:hAnsi="Arial" w:cs="Arial"/>
          <w:sz w:val="24"/>
          <w:szCs w:val="24"/>
        </w:rPr>
        <w:t xml:space="preserve"> </w:t>
      </w:r>
      <w:r w:rsidR="00B81C04">
        <w:rPr>
          <w:rFonts w:ascii="Arial" w:hAnsi="Arial" w:cs="Arial"/>
          <w:sz w:val="24"/>
          <w:szCs w:val="24"/>
        </w:rPr>
        <w:t xml:space="preserve">- 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</w:t>
      </w:r>
      <w:proofErr w:type="gramStart"/>
      <w:r w:rsidR="00B81C04">
        <w:rPr>
          <w:rFonts w:ascii="Arial" w:hAnsi="Arial" w:cs="Arial"/>
          <w:sz w:val="24"/>
          <w:szCs w:val="24"/>
        </w:rPr>
        <w:t xml:space="preserve">2017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BB166C">
        <w:rPr>
          <w:rFonts w:ascii="Arial" w:hAnsi="Arial" w:cs="Arial"/>
          <w:sz w:val="24"/>
          <w:szCs w:val="24"/>
        </w:rPr>
        <w:t>3 - 6</w:t>
      </w:r>
      <w:r w:rsidRPr="004C38C2">
        <w:rPr>
          <w:rFonts w:ascii="Arial" w:hAnsi="Arial" w:cs="Arial"/>
          <w:sz w:val="24"/>
          <w:szCs w:val="24"/>
        </w:rPr>
        <w:t>)</w:t>
      </w:r>
    </w:p>
    <w:p w:rsidR="004C38C2" w:rsidRDefault="004C38C2" w:rsidP="00AB5D5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C38C2" w:rsidRPr="004C38C2" w:rsidRDefault="004C38C2" w:rsidP="00BB166C">
      <w:pPr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2</w:t>
      </w:r>
      <w:r w:rsidR="00BB166C">
        <w:rPr>
          <w:rFonts w:ascii="Arial" w:hAnsi="Arial" w:cs="Arial"/>
          <w:sz w:val="24"/>
          <w:szCs w:val="24"/>
        </w:rPr>
        <w:t xml:space="preserve">a </w:t>
      </w:r>
      <w:r w:rsidRPr="004C38C2">
        <w:rPr>
          <w:rFonts w:ascii="Arial" w:hAnsi="Arial" w:cs="Arial"/>
          <w:sz w:val="24"/>
          <w:szCs w:val="24"/>
        </w:rPr>
        <w:t xml:space="preserve"> </w:t>
      </w:r>
      <w:r w:rsidR="00BB166C">
        <w:rPr>
          <w:rFonts w:ascii="Arial" w:hAnsi="Arial" w:cs="Arial"/>
          <w:sz w:val="24"/>
          <w:szCs w:val="24"/>
        </w:rPr>
        <w:t>–</w:t>
      </w:r>
      <w:r w:rsidRPr="004C38C2">
        <w:rPr>
          <w:rFonts w:ascii="Arial" w:hAnsi="Arial" w:cs="Arial"/>
          <w:sz w:val="24"/>
          <w:szCs w:val="24"/>
        </w:rPr>
        <w:t xml:space="preserve"> </w:t>
      </w:r>
      <w:r w:rsidR="00BB166C">
        <w:rPr>
          <w:rFonts w:ascii="Arial" w:hAnsi="Arial" w:cs="Arial"/>
          <w:sz w:val="24"/>
          <w:szCs w:val="24"/>
        </w:rPr>
        <w:t>Vzorová žádost</w:t>
      </w:r>
      <w:r w:rsidR="00B81C04">
        <w:rPr>
          <w:rFonts w:ascii="Arial" w:hAnsi="Arial" w:cs="Arial"/>
          <w:sz w:val="24"/>
          <w:szCs w:val="24"/>
        </w:rPr>
        <w:t xml:space="preserve"> na rok </w:t>
      </w:r>
      <w:proofErr w:type="gramStart"/>
      <w:r w:rsidR="00B81C04">
        <w:rPr>
          <w:rFonts w:ascii="Arial" w:hAnsi="Arial" w:cs="Arial"/>
          <w:sz w:val="24"/>
          <w:szCs w:val="24"/>
        </w:rPr>
        <w:t>2017</w:t>
      </w:r>
      <w:r w:rsidRPr="004C38C2">
        <w:rPr>
          <w:rFonts w:ascii="Arial" w:hAnsi="Arial" w:cs="Arial"/>
          <w:sz w:val="24"/>
          <w:szCs w:val="24"/>
        </w:rPr>
        <w:t xml:space="preserve">  </w:t>
      </w:r>
      <w:r w:rsidR="00BB166C">
        <w:rPr>
          <w:rFonts w:ascii="Arial" w:hAnsi="Arial" w:cs="Arial"/>
          <w:sz w:val="24"/>
          <w:szCs w:val="24"/>
        </w:rPr>
        <w:t xml:space="preserve">                                    </w:t>
      </w:r>
      <w:r w:rsidRPr="004C38C2">
        <w:rPr>
          <w:rFonts w:ascii="Arial" w:hAnsi="Arial" w:cs="Arial"/>
          <w:sz w:val="24"/>
          <w:szCs w:val="24"/>
        </w:rPr>
        <w:t xml:space="preserve">    </w:t>
      </w:r>
      <w:r w:rsidR="00BB166C">
        <w:rPr>
          <w:rFonts w:ascii="Arial" w:hAnsi="Arial" w:cs="Arial"/>
          <w:sz w:val="24"/>
          <w:szCs w:val="24"/>
        </w:rPr>
        <w:t xml:space="preserve">    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="00BB166C">
        <w:rPr>
          <w:rFonts w:ascii="Arial" w:hAnsi="Arial" w:cs="Arial"/>
          <w:sz w:val="24"/>
          <w:szCs w:val="24"/>
        </w:rPr>
        <w:t xml:space="preserve"> 7 - 1</w:t>
      </w:r>
      <w:r w:rsidR="00CF24CD">
        <w:rPr>
          <w:rFonts w:ascii="Arial" w:hAnsi="Arial" w:cs="Arial"/>
          <w:sz w:val="24"/>
          <w:szCs w:val="24"/>
        </w:rPr>
        <w:t>4</w:t>
      </w:r>
      <w:r w:rsidRPr="004C38C2">
        <w:rPr>
          <w:rFonts w:ascii="Arial" w:hAnsi="Arial" w:cs="Arial"/>
          <w:sz w:val="24"/>
          <w:szCs w:val="24"/>
        </w:rPr>
        <w:t>)</w:t>
      </w:r>
    </w:p>
    <w:p w:rsidR="00BB166C" w:rsidRDefault="00BB166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Default="00BB166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2</w:t>
      </w:r>
      <w:r>
        <w:rPr>
          <w:rFonts w:ascii="Arial" w:hAnsi="Arial" w:cs="Arial"/>
          <w:sz w:val="24"/>
          <w:szCs w:val="24"/>
        </w:rPr>
        <w:t xml:space="preserve">b </w:t>
      </w:r>
      <w:r w:rsidRPr="004C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C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Vzorová žádost na 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ok </w:t>
      </w:r>
      <w:proofErr w:type="gramStart"/>
      <w:r>
        <w:rPr>
          <w:rFonts w:ascii="Arial" w:hAnsi="Arial" w:cs="Arial"/>
          <w:sz w:val="24"/>
          <w:szCs w:val="24"/>
        </w:rPr>
        <w:t>2017</w:t>
      </w:r>
      <w:r w:rsidRPr="004C38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4C38C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  <w:r w:rsidR="00CF24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- 1</w:t>
      </w:r>
      <w:r w:rsidR="00CF24CD">
        <w:rPr>
          <w:rFonts w:ascii="Arial" w:hAnsi="Arial" w:cs="Arial"/>
          <w:sz w:val="24"/>
          <w:szCs w:val="24"/>
        </w:rPr>
        <w:t>8</w:t>
      </w:r>
      <w:r w:rsidRPr="004C38C2">
        <w:rPr>
          <w:rFonts w:ascii="Arial" w:hAnsi="Arial" w:cs="Arial"/>
          <w:sz w:val="24"/>
          <w:szCs w:val="24"/>
        </w:rPr>
        <w:t>)</w:t>
      </w:r>
    </w:p>
    <w:sectPr w:rsidR="00AB5D50" w:rsidSect="00AC436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BA" w:rsidRDefault="002714BA" w:rsidP="001B28DE">
      <w:r>
        <w:separator/>
      </w:r>
    </w:p>
  </w:endnote>
  <w:endnote w:type="continuationSeparator" w:id="0">
    <w:p w:rsidR="002714BA" w:rsidRDefault="002714BA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DE" w:rsidRPr="001B28DE" w:rsidRDefault="00C115F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1B28DE" w:rsidRPr="001B28DE">
      <w:rPr>
        <w:rFonts w:ascii="Arial" w:hAnsi="Arial" w:cs="Arial"/>
        <w:i/>
      </w:rPr>
      <w:t xml:space="preserve">Olomouckého kraje </w:t>
    </w:r>
    <w:r w:rsidR="00D908FA">
      <w:rPr>
        <w:rFonts w:ascii="Arial" w:hAnsi="Arial" w:cs="Arial"/>
        <w:i/>
      </w:rPr>
      <w:t>19</w:t>
    </w:r>
    <w:r w:rsidR="008E040A">
      <w:rPr>
        <w:rFonts w:ascii="Arial" w:hAnsi="Arial" w:cs="Arial"/>
        <w:i/>
      </w:rPr>
      <w:t xml:space="preserve">. </w:t>
    </w:r>
    <w:r w:rsidR="00D908FA">
      <w:rPr>
        <w:rFonts w:ascii="Arial" w:hAnsi="Arial" w:cs="Arial"/>
        <w:i/>
      </w:rPr>
      <w:t>12</w:t>
    </w:r>
    <w:r w:rsidR="008E040A">
      <w:rPr>
        <w:rFonts w:ascii="Arial" w:hAnsi="Arial" w:cs="Arial"/>
        <w:i/>
      </w:rPr>
      <w:t>. 2016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CF24CD">
      <w:rPr>
        <w:rFonts w:ascii="Arial" w:hAnsi="Arial" w:cs="Arial"/>
        <w:i/>
        <w:noProof/>
      </w:rPr>
      <w:t>2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F66070">
      <w:rPr>
        <w:rFonts w:ascii="Arial" w:hAnsi="Arial" w:cs="Arial"/>
        <w:i/>
      </w:rPr>
      <w:t>18</w:t>
    </w:r>
    <w:r w:rsidR="00A9038A">
      <w:rPr>
        <w:rFonts w:ascii="Arial" w:hAnsi="Arial" w:cs="Arial"/>
        <w:i/>
      </w:rPr>
      <w:t>)</w:t>
    </w:r>
  </w:p>
  <w:p w:rsidR="001B28DE" w:rsidRPr="001B28DE" w:rsidRDefault="00C115F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54</w:t>
    </w:r>
    <w:r w:rsidR="004A7046">
      <w:rPr>
        <w:rFonts w:ascii="Arial" w:hAnsi="Arial" w:cs="Arial"/>
        <w:i/>
      </w:rPr>
      <w:t>.</w:t>
    </w:r>
    <w:r w:rsidR="004C38C2">
      <w:rPr>
        <w:rFonts w:ascii="Arial" w:hAnsi="Arial" w:cs="Arial"/>
        <w:i/>
      </w:rPr>
      <w:t xml:space="preserve">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 xml:space="preserve">Individuální dotace z rozpočtu </w:t>
    </w:r>
    <w:r w:rsidR="001B28DE" w:rsidRPr="001B28DE">
      <w:rPr>
        <w:rFonts w:ascii="Arial" w:hAnsi="Arial" w:cs="Arial"/>
        <w:i/>
      </w:rPr>
      <w:t>Olomouckého kraje 201</w:t>
    </w:r>
    <w:r w:rsidR="00D908FA">
      <w:rPr>
        <w:rFonts w:ascii="Arial" w:hAnsi="Arial" w:cs="Arial"/>
        <w:i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BA" w:rsidRDefault="002714BA" w:rsidP="001B28DE">
      <w:r>
        <w:separator/>
      </w:r>
    </w:p>
  </w:footnote>
  <w:footnote w:type="continuationSeparator" w:id="0">
    <w:p w:rsidR="002714BA" w:rsidRDefault="002714BA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6"/>
  </w:num>
  <w:num w:numId="7">
    <w:abstractNumId w:val="10"/>
  </w:num>
  <w:num w:numId="8">
    <w:abstractNumId w:val="0"/>
  </w:num>
  <w:num w:numId="9">
    <w:abstractNumId w:val="2"/>
  </w:num>
  <w:num w:numId="10">
    <w:abstractNumId w:val="20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8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001FE9"/>
    <w:rsid w:val="00014B47"/>
    <w:rsid w:val="000220D7"/>
    <w:rsid w:val="000243F2"/>
    <w:rsid w:val="0003071C"/>
    <w:rsid w:val="00034C18"/>
    <w:rsid w:val="00035C6B"/>
    <w:rsid w:val="00053ABF"/>
    <w:rsid w:val="00063D3B"/>
    <w:rsid w:val="00072EC4"/>
    <w:rsid w:val="000736FF"/>
    <w:rsid w:val="0007776B"/>
    <w:rsid w:val="00083958"/>
    <w:rsid w:val="000C61AC"/>
    <w:rsid w:val="0011226E"/>
    <w:rsid w:val="00123EBB"/>
    <w:rsid w:val="00127D0A"/>
    <w:rsid w:val="00146796"/>
    <w:rsid w:val="001673D6"/>
    <w:rsid w:val="00192AAE"/>
    <w:rsid w:val="00197DD5"/>
    <w:rsid w:val="001A549F"/>
    <w:rsid w:val="001B26AB"/>
    <w:rsid w:val="001B28DE"/>
    <w:rsid w:val="001D3CB7"/>
    <w:rsid w:val="001F0005"/>
    <w:rsid w:val="001F3F64"/>
    <w:rsid w:val="00221A17"/>
    <w:rsid w:val="00222995"/>
    <w:rsid w:val="002237BE"/>
    <w:rsid w:val="002275D4"/>
    <w:rsid w:val="0023228F"/>
    <w:rsid w:val="00244CA3"/>
    <w:rsid w:val="002714BA"/>
    <w:rsid w:val="002941AF"/>
    <w:rsid w:val="002A77EC"/>
    <w:rsid w:val="002B287B"/>
    <w:rsid w:val="002B2983"/>
    <w:rsid w:val="002C1585"/>
    <w:rsid w:val="002D26B5"/>
    <w:rsid w:val="002E70E0"/>
    <w:rsid w:val="002F32F1"/>
    <w:rsid w:val="00324724"/>
    <w:rsid w:val="00325CEF"/>
    <w:rsid w:val="00336E42"/>
    <w:rsid w:val="00355796"/>
    <w:rsid w:val="0037546C"/>
    <w:rsid w:val="00380F1C"/>
    <w:rsid w:val="00387B27"/>
    <w:rsid w:val="003A0CC4"/>
    <w:rsid w:val="003A2EB9"/>
    <w:rsid w:val="003A4627"/>
    <w:rsid w:val="003B6953"/>
    <w:rsid w:val="003E0A04"/>
    <w:rsid w:val="003E350F"/>
    <w:rsid w:val="003E75DD"/>
    <w:rsid w:val="003F119A"/>
    <w:rsid w:val="003F2107"/>
    <w:rsid w:val="003F4BB4"/>
    <w:rsid w:val="00406705"/>
    <w:rsid w:val="0041259C"/>
    <w:rsid w:val="00414C14"/>
    <w:rsid w:val="00416C0C"/>
    <w:rsid w:val="0043452D"/>
    <w:rsid w:val="00446AF4"/>
    <w:rsid w:val="00497A01"/>
    <w:rsid w:val="004A7046"/>
    <w:rsid w:val="004B482B"/>
    <w:rsid w:val="004C38C2"/>
    <w:rsid w:val="004C74B0"/>
    <w:rsid w:val="004E1BAF"/>
    <w:rsid w:val="004E6A12"/>
    <w:rsid w:val="00507030"/>
    <w:rsid w:val="00507A7E"/>
    <w:rsid w:val="00515643"/>
    <w:rsid w:val="00555F3B"/>
    <w:rsid w:val="005703B2"/>
    <w:rsid w:val="00591217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512FF"/>
    <w:rsid w:val="006747C3"/>
    <w:rsid w:val="006846A8"/>
    <w:rsid w:val="006A2582"/>
    <w:rsid w:val="006B0990"/>
    <w:rsid w:val="00706D69"/>
    <w:rsid w:val="00710257"/>
    <w:rsid w:val="00714C7B"/>
    <w:rsid w:val="00715D82"/>
    <w:rsid w:val="00721DE8"/>
    <w:rsid w:val="0075597A"/>
    <w:rsid w:val="007636CC"/>
    <w:rsid w:val="007B56B8"/>
    <w:rsid w:val="007C6B00"/>
    <w:rsid w:val="007C6B20"/>
    <w:rsid w:val="007D04E2"/>
    <w:rsid w:val="00835AD4"/>
    <w:rsid w:val="00843403"/>
    <w:rsid w:val="008510A8"/>
    <w:rsid w:val="00851855"/>
    <w:rsid w:val="00857E37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906210"/>
    <w:rsid w:val="0091088C"/>
    <w:rsid w:val="00910E93"/>
    <w:rsid w:val="009307CC"/>
    <w:rsid w:val="00941907"/>
    <w:rsid w:val="009814DB"/>
    <w:rsid w:val="009824CD"/>
    <w:rsid w:val="009A3FB4"/>
    <w:rsid w:val="009C0DEC"/>
    <w:rsid w:val="009C6A73"/>
    <w:rsid w:val="009C6C1D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B5375"/>
    <w:rsid w:val="00AB5D50"/>
    <w:rsid w:val="00AC436A"/>
    <w:rsid w:val="00AC6961"/>
    <w:rsid w:val="00AD34CF"/>
    <w:rsid w:val="00B051FE"/>
    <w:rsid w:val="00B14EAA"/>
    <w:rsid w:val="00B45048"/>
    <w:rsid w:val="00B57FFE"/>
    <w:rsid w:val="00B656F2"/>
    <w:rsid w:val="00B729F1"/>
    <w:rsid w:val="00B76FA1"/>
    <w:rsid w:val="00B81C04"/>
    <w:rsid w:val="00B834D8"/>
    <w:rsid w:val="00BA0A3E"/>
    <w:rsid w:val="00BB166C"/>
    <w:rsid w:val="00BC7CBB"/>
    <w:rsid w:val="00BD17B5"/>
    <w:rsid w:val="00BF647B"/>
    <w:rsid w:val="00BF768D"/>
    <w:rsid w:val="00C0200A"/>
    <w:rsid w:val="00C025F1"/>
    <w:rsid w:val="00C115F0"/>
    <w:rsid w:val="00C323E2"/>
    <w:rsid w:val="00C64E24"/>
    <w:rsid w:val="00C7649F"/>
    <w:rsid w:val="00C8574C"/>
    <w:rsid w:val="00C93750"/>
    <w:rsid w:val="00C97D3A"/>
    <w:rsid w:val="00CB38A7"/>
    <w:rsid w:val="00CB68F6"/>
    <w:rsid w:val="00CD7E55"/>
    <w:rsid w:val="00CF24CD"/>
    <w:rsid w:val="00D02D5B"/>
    <w:rsid w:val="00D1040C"/>
    <w:rsid w:val="00D24858"/>
    <w:rsid w:val="00D25C43"/>
    <w:rsid w:val="00D31C1E"/>
    <w:rsid w:val="00D37EB7"/>
    <w:rsid w:val="00D41033"/>
    <w:rsid w:val="00D50951"/>
    <w:rsid w:val="00D50D05"/>
    <w:rsid w:val="00D71EA8"/>
    <w:rsid w:val="00D77EBB"/>
    <w:rsid w:val="00D9067E"/>
    <w:rsid w:val="00D908FA"/>
    <w:rsid w:val="00DB3D86"/>
    <w:rsid w:val="00DB5774"/>
    <w:rsid w:val="00DD12AC"/>
    <w:rsid w:val="00DE44A2"/>
    <w:rsid w:val="00DF31EB"/>
    <w:rsid w:val="00DF7788"/>
    <w:rsid w:val="00E21624"/>
    <w:rsid w:val="00E27FB4"/>
    <w:rsid w:val="00E27FE3"/>
    <w:rsid w:val="00E431AC"/>
    <w:rsid w:val="00E57374"/>
    <w:rsid w:val="00E63909"/>
    <w:rsid w:val="00E63FB7"/>
    <w:rsid w:val="00E76EF8"/>
    <w:rsid w:val="00E779CB"/>
    <w:rsid w:val="00E808DE"/>
    <w:rsid w:val="00EA2494"/>
    <w:rsid w:val="00EB13B8"/>
    <w:rsid w:val="00EC77D2"/>
    <w:rsid w:val="00ED48D2"/>
    <w:rsid w:val="00EF35AC"/>
    <w:rsid w:val="00EF4DE6"/>
    <w:rsid w:val="00F00397"/>
    <w:rsid w:val="00F142C7"/>
    <w:rsid w:val="00F16D89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CB29-C90D-46CB-B52C-88EBF700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4</cp:revision>
  <cp:lastPrinted>2016-12-15T10:21:00Z</cp:lastPrinted>
  <dcterms:created xsi:type="dcterms:W3CDTF">2016-12-15T08:31:00Z</dcterms:created>
  <dcterms:modified xsi:type="dcterms:W3CDTF">2016-12-15T10:22:00Z</dcterms:modified>
</cp:coreProperties>
</file>