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985" w:rsidRDefault="00691985" w:rsidP="00D67A4F">
      <w:pPr>
        <w:pStyle w:val="HlavikaZL"/>
      </w:pPr>
      <w:r>
        <w:t xml:space="preserve">Dodatek č. </w:t>
      </w:r>
      <w:r w:rsidR="00CF62B0">
        <w:t>1</w:t>
      </w:r>
      <w:r w:rsidR="009B432F">
        <w:t>1</w:t>
      </w:r>
    </w:p>
    <w:p w:rsidR="00691985" w:rsidRDefault="00691985" w:rsidP="00691985">
      <w:pPr>
        <w:pStyle w:val="HlavikaZL"/>
      </w:pPr>
      <w:r>
        <w:t xml:space="preserve">ke zřizovací listině č. j. </w:t>
      </w:r>
      <w:r>
        <w:rPr>
          <w:noProof/>
        </w:rPr>
        <w:t>940/2001</w:t>
      </w:r>
      <w:r>
        <w:t xml:space="preserve">  ze dne 29. </w:t>
      </w:r>
      <w:r>
        <w:rPr>
          <w:noProof/>
        </w:rPr>
        <w:t>6. 2001</w:t>
      </w:r>
      <w:r w:rsidR="005052F6">
        <w:rPr>
          <w:noProof/>
        </w:rPr>
        <w:t>,</w:t>
      </w:r>
      <w:r>
        <w:t xml:space="preserve"> ve znění dodatku č. 1 č. j. </w:t>
      </w:r>
      <w:r>
        <w:rPr>
          <w:noProof/>
        </w:rPr>
        <w:t>3579/2001</w:t>
      </w:r>
      <w:r>
        <w:t xml:space="preserve"> ze dne 28. </w:t>
      </w:r>
      <w:r>
        <w:rPr>
          <w:noProof/>
        </w:rPr>
        <w:t>9. 2001</w:t>
      </w:r>
      <w:r>
        <w:t xml:space="preserve">, dodatku č. 2 č. j. </w:t>
      </w:r>
      <w:r>
        <w:rPr>
          <w:noProof/>
        </w:rPr>
        <w:t>5781/2001</w:t>
      </w:r>
      <w:r>
        <w:t xml:space="preserve">  ze dne 21. </w:t>
      </w:r>
      <w:r>
        <w:rPr>
          <w:noProof/>
        </w:rPr>
        <w:t>12. 2001</w:t>
      </w:r>
      <w:r>
        <w:t xml:space="preserve">, dodatku č. 3 č. j. </w:t>
      </w:r>
      <w:r>
        <w:rPr>
          <w:noProof/>
        </w:rPr>
        <w:t>10862/2002</w:t>
      </w:r>
      <w:r>
        <w:t xml:space="preserve"> ze dne 29. </w:t>
      </w:r>
      <w:r>
        <w:rPr>
          <w:noProof/>
        </w:rPr>
        <w:t>8. 2002</w:t>
      </w:r>
      <w:r>
        <w:t>, dodatku č. 4 č. j. </w:t>
      </w:r>
      <w:r>
        <w:rPr>
          <w:noProof/>
        </w:rPr>
        <w:t>258/2003</w:t>
      </w:r>
      <w:r>
        <w:t xml:space="preserve"> ze dne 28. </w:t>
      </w:r>
      <w:r>
        <w:rPr>
          <w:noProof/>
        </w:rPr>
        <w:t>11. 2002</w:t>
      </w:r>
      <w:r>
        <w:t xml:space="preserve">, dodatku č. 5 č. j. </w:t>
      </w:r>
      <w:r>
        <w:rPr>
          <w:noProof/>
        </w:rPr>
        <w:t>70/2004</w:t>
      </w:r>
      <w:r>
        <w:t xml:space="preserve"> ze dne 18. </w:t>
      </w:r>
      <w:r>
        <w:rPr>
          <w:noProof/>
        </w:rPr>
        <w:t>12. 2003, dodatku č. 6 č. j. KUOK/23269/05/OŠMT/572 ze dne 24. 6. 2005, dodatku č. 7 č. j. KUOK 123303/2007</w:t>
      </w:r>
      <w:r>
        <w:t xml:space="preserve"> ze dne 10. 12. 2007, dodatku č. 8 č. j. KUOK 66396/2008 ze dne 25. 6. 2008</w:t>
      </w:r>
      <w:r w:rsidR="00CF62B0">
        <w:t>, dodatku č. 9 č. j. KUOK 93852/2009 ze dne 25. 9. 2009</w:t>
      </w:r>
      <w:r w:rsidR="009B432F">
        <w:t>, dodatku č. 10 č. j. KUOK 83037/2012 ze dne 21. 9. 2012</w:t>
      </w:r>
    </w:p>
    <w:p w:rsidR="00691985" w:rsidRDefault="00691985" w:rsidP="00CE3DEB">
      <w:pPr>
        <w:pStyle w:val="Bntext-odsazendole"/>
        <w:spacing w:after="120"/>
      </w:pPr>
      <w:r>
        <w:t>Olomoucký kraj v </w:t>
      </w:r>
      <w:smartTag w:uri="urn:schemas-microsoft-com:office:smarttags" w:element="PersonName">
        <w:r>
          <w:t>sou</w:t>
        </w:r>
      </w:smartTag>
      <w:r>
        <w:t>ladu s ustanovením § 27 zákona č. 250/2000 Sb., o rozpočtových pravidlech územních rozpočtů, v platném znění, a v </w:t>
      </w:r>
      <w:smartTag w:uri="urn:schemas-microsoft-com:office:smarttags" w:element="PersonName">
        <w:r>
          <w:t>sou</w:t>
        </w:r>
      </w:smartTag>
      <w:r>
        <w:t>ladu s ustanovením § 59 odst. 1 písm. i) zákona č. 129/2000 Sb., o krajích (krajské zřízení), v platném znění, vydává dodatek ke zřizovací listině pro příspěvkovou organizaci:</w:t>
      </w:r>
    </w:p>
    <w:tbl>
      <w:tblPr>
        <w:tblW w:w="0" w:type="auto"/>
        <w:tblLook w:val="01E0" w:firstRow="1" w:lastRow="1" w:firstColumn="1" w:lastColumn="1" w:noHBand="0" w:noVBand="0"/>
      </w:tblPr>
      <w:tblGrid>
        <w:gridCol w:w="2808"/>
        <w:gridCol w:w="6404"/>
      </w:tblGrid>
      <w:tr w:rsidR="00691985" w:rsidTr="00691985">
        <w:tc>
          <w:tcPr>
            <w:tcW w:w="2808" w:type="dxa"/>
            <w:shd w:val="clear" w:color="auto" w:fill="auto"/>
          </w:tcPr>
          <w:p w:rsidR="00691985" w:rsidRDefault="00691985" w:rsidP="00691985">
            <w:pPr>
              <w:pStyle w:val="Nzev-tabulka"/>
            </w:pPr>
            <w:r>
              <w:t>Název:</w:t>
            </w:r>
          </w:p>
        </w:tc>
        <w:tc>
          <w:tcPr>
            <w:tcW w:w="6404" w:type="dxa"/>
            <w:shd w:val="clear" w:color="auto" w:fill="auto"/>
          </w:tcPr>
          <w:p w:rsidR="00691985" w:rsidRDefault="00691985" w:rsidP="00691985">
            <w:pPr>
              <w:pStyle w:val="Nzevkoly-tab"/>
            </w:pPr>
            <w:r>
              <w:rPr>
                <w:noProof/>
              </w:rPr>
              <w:t>Základní škola Šternberk, Olomoucká 76</w:t>
            </w:r>
          </w:p>
        </w:tc>
      </w:tr>
      <w:tr w:rsidR="00691985" w:rsidTr="00691985">
        <w:tc>
          <w:tcPr>
            <w:tcW w:w="2808" w:type="dxa"/>
            <w:shd w:val="clear" w:color="auto" w:fill="auto"/>
          </w:tcPr>
          <w:p w:rsidR="00691985" w:rsidRDefault="00691985" w:rsidP="00691985">
            <w:pPr>
              <w:pStyle w:val="Nzev-tabulka"/>
            </w:pPr>
            <w:r>
              <w:t>Sídlo:</w:t>
            </w:r>
          </w:p>
        </w:tc>
        <w:tc>
          <w:tcPr>
            <w:tcW w:w="6404" w:type="dxa"/>
            <w:shd w:val="clear" w:color="auto" w:fill="auto"/>
          </w:tcPr>
          <w:p w:rsidR="00691985" w:rsidRDefault="00691985" w:rsidP="00691985">
            <w:pPr>
              <w:pStyle w:val="Nzevkoly-tab"/>
            </w:pPr>
            <w:r>
              <w:rPr>
                <w:noProof/>
              </w:rPr>
              <w:t>785 01 Šternberk, Olomoucká 76/2098</w:t>
            </w:r>
          </w:p>
        </w:tc>
      </w:tr>
      <w:tr w:rsidR="00691985" w:rsidTr="00691985">
        <w:tc>
          <w:tcPr>
            <w:tcW w:w="2808" w:type="dxa"/>
            <w:shd w:val="clear" w:color="auto" w:fill="auto"/>
          </w:tcPr>
          <w:p w:rsidR="00691985" w:rsidRDefault="00691985" w:rsidP="00691985">
            <w:pPr>
              <w:pStyle w:val="Nzev-tabulka"/>
            </w:pPr>
            <w:r>
              <w:t>Identifikační číslo:</w:t>
            </w:r>
          </w:p>
        </w:tc>
        <w:tc>
          <w:tcPr>
            <w:tcW w:w="6404" w:type="dxa"/>
            <w:shd w:val="clear" w:color="auto" w:fill="auto"/>
          </w:tcPr>
          <w:p w:rsidR="00691985" w:rsidRDefault="00691985" w:rsidP="00691985">
            <w:pPr>
              <w:pStyle w:val="Nzevkoly-tab"/>
            </w:pPr>
            <w:r>
              <w:rPr>
                <w:noProof/>
              </w:rPr>
              <w:t>61989789</w:t>
            </w:r>
          </w:p>
        </w:tc>
      </w:tr>
    </w:tbl>
    <w:p w:rsidR="00691985" w:rsidRDefault="00691985" w:rsidP="00CE3DEB">
      <w:pPr>
        <w:pStyle w:val="Bnstylodsazennahoe"/>
        <w:spacing w:before="120" w:after="120"/>
      </w:pPr>
      <w:r>
        <w:t>v tomto znění:</w:t>
      </w:r>
    </w:p>
    <w:p w:rsidR="00FF6514" w:rsidRDefault="00FF6514" w:rsidP="00FF6514">
      <w:pPr>
        <w:spacing w:after="360"/>
        <w:contextualSpacing/>
        <w:jc w:val="both"/>
        <w:rPr>
          <w:rFonts w:ascii="Arial" w:hAnsi="Arial"/>
        </w:rPr>
      </w:pPr>
      <w:r w:rsidRPr="00FF6514">
        <w:rPr>
          <w:rFonts w:ascii="Arial" w:hAnsi="Arial"/>
        </w:rPr>
        <w:t>Stávající články IV., V., VI. a Příloha č. 1 zřizovací listiny se ruší a nahrazují se novými články IV., V., VI. a novou Přílohou č. 1:</w:t>
      </w:r>
    </w:p>
    <w:p w:rsidR="00FF6514" w:rsidRPr="00FF6514" w:rsidRDefault="00FF6514" w:rsidP="00FF6514">
      <w:pPr>
        <w:spacing w:after="360"/>
        <w:contextualSpacing/>
        <w:jc w:val="both"/>
        <w:rPr>
          <w:rFonts w:ascii="Arial" w:hAnsi="Arial"/>
        </w:rPr>
      </w:pPr>
    </w:p>
    <w:tbl>
      <w:tblPr>
        <w:tblW w:w="13818" w:type="dxa"/>
        <w:tblLook w:val="04A0" w:firstRow="1" w:lastRow="0" w:firstColumn="1" w:lastColumn="0" w:noHBand="0" w:noVBand="1"/>
      </w:tblPr>
      <w:tblGrid>
        <w:gridCol w:w="675"/>
        <w:gridCol w:w="8537"/>
        <w:gridCol w:w="4606"/>
      </w:tblGrid>
      <w:tr w:rsidR="00FF6514" w:rsidRPr="00FF6514" w:rsidTr="00326D12">
        <w:trPr>
          <w:gridAfter w:val="1"/>
          <w:wAfter w:w="4606" w:type="dxa"/>
        </w:trPr>
        <w:tc>
          <w:tcPr>
            <w:tcW w:w="9212" w:type="dxa"/>
            <w:gridSpan w:val="2"/>
            <w:shd w:val="clear" w:color="auto" w:fill="auto"/>
          </w:tcPr>
          <w:p w:rsidR="00FF6514" w:rsidRPr="00FF6514" w:rsidRDefault="00FF6514" w:rsidP="00FF6514">
            <w:pPr>
              <w:jc w:val="center"/>
              <w:rPr>
                <w:rFonts w:ascii="Arial" w:hAnsi="Arial" w:cs="Arial"/>
                <w:b/>
              </w:rPr>
            </w:pPr>
            <w:r w:rsidRPr="00FF6514">
              <w:rPr>
                <w:rFonts w:ascii="Arial" w:hAnsi="Arial" w:cs="Arial"/>
                <w:b/>
              </w:rPr>
              <w:t>IV.</w:t>
            </w:r>
          </w:p>
        </w:tc>
      </w:tr>
      <w:tr w:rsidR="00FF6514" w:rsidRPr="00FF6514" w:rsidTr="00326D12">
        <w:trPr>
          <w:gridAfter w:val="1"/>
          <w:wAfter w:w="4606" w:type="dxa"/>
        </w:trPr>
        <w:tc>
          <w:tcPr>
            <w:tcW w:w="9212" w:type="dxa"/>
            <w:gridSpan w:val="2"/>
            <w:shd w:val="clear" w:color="auto" w:fill="auto"/>
          </w:tcPr>
          <w:p w:rsidR="00FF6514" w:rsidRPr="00FF6514" w:rsidRDefault="00FF6514" w:rsidP="00FF6514">
            <w:pPr>
              <w:jc w:val="center"/>
              <w:rPr>
                <w:rFonts w:ascii="Arial" w:hAnsi="Arial" w:cs="Arial"/>
                <w:b/>
              </w:rPr>
            </w:pPr>
            <w:r w:rsidRPr="00FF6514">
              <w:rPr>
                <w:rFonts w:ascii="Arial" w:hAnsi="Arial" w:cs="Arial"/>
                <w:b/>
              </w:rPr>
              <w:t>Vymezení majetku</w:t>
            </w:r>
          </w:p>
        </w:tc>
      </w:tr>
      <w:tr w:rsidR="00FF6514" w:rsidRPr="00FF6514" w:rsidTr="00326D12">
        <w:trPr>
          <w:gridAfter w:val="1"/>
          <w:wAfter w:w="4606" w:type="dxa"/>
        </w:trPr>
        <w:tc>
          <w:tcPr>
            <w:tcW w:w="9212" w:type="dxa"/>
            <w:gridSpan w:val="2"/>
            <w:shd w:val="clear" w:color="auto" w:fill="auto"/>
          </w:tcPr>
          <w:p w:rsidR="00FF6514" w:rsidRPr="00FF6514" w:rsidRDefault="00FF6514" w:rsidP="00FF6514">
            <w:pPr>
              <w:jc w:val="both"/>
              <w:rPr>
                <w:rFonts w:ascii="Arial" w:hAnsi="Arial" w:cs="Arial"/>
                <w:shd w:val="clear" w:color="auto" w:fill="FFFFFF"/>
              </w:rPr>
            </w:pPr>
          </w:p>
        </w:tc>
      </w:tr>
      <w:tr w:rsidR="00FF6514" w:rsidRPr="00FF6514" w:rsidTr="00326D12">
        <w:trPr>
          <w:gridAfter w:val="1"/>
          <w:wAfter w:w="4606" w:type="dxa"/>
        </w:trPr>
        <w:tc>
          <w:tcPr>
            <w:tcW w:w="675"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 xml:space="preserve">1. </w:t>
            </w:r>
          </w:p>
        </w:tc>
        <w:tc>
          <w:tcPr>
            <w:tcW w:w="8537"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Nemovitý majetek:</w:t>
            </w:r>
          </w:p>
        </w:tc>
      </w:tr>
      <w:tr w:rsidR="00FF6514" w:rsidRPr="00FF6514" w:rsidTr="00326D12">
        <w:tc>
          <w:tcPr>
            <w:tcW w:w="675" w:type="dxa"/>
            <w:shd w:val="clear" w:color="auto" w:fill="auto"/>
          </w:tcPr>
          <w:p w:rsidR="00FF6514" w:rsidRPr="00FF6514" w:rsidRDefault="00FF6514" w:rsidP="00FF6514">
            <w:pPr>
              <w:tabs>
                <w:tab w:val="num" w:pos="680"/>
              </w:tabs>
              <w:spacing w:after="120"/>
              <w:jc w:val="both"/>
              <w:rPr>
                <w:rFonts w:ascii="Arial" w:hAnsi="Arial"/>
              </w:rPr>
            </w:pPr>
          </w:p>
        </w:tc>
        <w:tc>
          <w:tcPr>
            <w:tcW w:w="8537"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 xml:space="preserve">Zřizovatel předává příspěvkové organizaci k hospodaření nemovitý majetek, který je uveden v částech A </w:t>
            </w:r>
            <w:proofErr w:type="spellStart"/>
            <w:r w:rsidRPr="00FF6514">
              <w:rPr>
                <w:rFonts w:ascii="Arial" w:hAnsi="Arial"/>
              </w:rPr>
              <w:t>a</w:t>
            </w:r>
            <w:proofErr w:type="spellEnd"/>
            <w:r w:rsidRPr="00FF6514">
              <w:rPr>
                <w:rFonts w:ascii="Arial" w:hAnsi="Arial"/>
              </w:rPr>
              <w:t xml:space="preserve"> B  Přílohy č. 1 této zřizovací listiny. Majetek příspěvková organizace vede v účetnictví.  </w:t>
            </w:r>
          </w:p>
        </w:tc>
        <w:tc>
          <w:tcPr>
            <w:tcW w:w="4606" w:type="dxa"/>
            <w:shd w:val="clear" w:color="auto" w:fill="auto"/>
          </w:tcPr>
          <w:p w:rsidR="00FF6514" w:rsidRPr="00FF6514" w:rsidRDefault="00FF6514" w:rsidP="00FF6514">
            <w:pPr>
              <w:tabs>
                <w:tab w:val="num" w:pos="680"/>
              </w:tabs>
              <w:spacing w:after="120"/>
              <w:jc w:val="both"/>
              <w:rPr>
                <w:rFonts w:ascii="Arial" w:hAnsi="Arial"/>
              </w:rPr>
            </w:pPr>
          </w:p>
        </w:tc>
      </w:tr>
      <w:tr w:rsidR="00FF6514" w:rsidRPr="00FF6514" w:rsidTr="00326D12">
        <w:trPr>
          <w:gridAfter w:val="1"/>
          <w:wAfter w:w="4606" w:type="dxa"/>
          <w:trHeight w:val="435"/>
        </w:trPr>
        <w:tc>
          <w:tcPr>
            <w:tcW w:w="675" w:type="dxa"/>
            <w:shd w:val="clear" w:color="auto" w:fill="auto"/>
          </w:tcPr>
          <w:p w:rsidR="00FF6514" w:rsidRPr="00FF6514" w:rsidRDefault="00FF6514" w:rsidP="00FF6514">
            <w:pPr>
              <w:jc w:val="both"/>
              <w:rPr>
                <w:rFonts w:ascii="Arial" w:hAnsi="Arial" w:cs="Arial"/>
                <w:shd w:val="clear" w:color="auto" w:fill="FFFFFF"/>
              </w:rPr>
            </w:pPr>
            <w:r w:rsidRPr="00FF6514">
              <w:rPr>
                <w:rFonts w:ascii="Arial" w:hAnsi="Arial" w:cs="Arial"/>
                <w:shd w:val="clear" w:color="auto" w:fill="FFFFFF"/>
              </w:rPr>
              <w:t xml:space="preserve">2. </w:t>
            </w:r>
          </w:p>
        </w:tc>
        <w:tc>
          <w:tcPr>
            <w:tcW w:w="8537" w:type="dxa"/>
            <w:shd w:val="clear" w:color="auto" w:fill="auto"/>
          </w:tcPr>
          <w:p w:rsidR="00FF6514" w:rsidRPr="00FF6514" w:rsidRDefault="00FF6514" w:rsidP="00FF6514">
            <w:pPr>
              <w:jc w:val="both"/>
              <w:rPr>
                <w:rFonts w:ascii="Arial" w:hAnsi="Arial" w:cs="Arial"/>
                <w:shd w:val="clear" w:color="auto" w:fill="FFFFFF"/>
              </w:rPr>
            </w:pPr>
            <w:r w:rsidRPr="00FF6514">
              <w:rPr>
                <w:rFonts w:ascii="Arial" w:hAnsi="Arial" w:cs="Arial"/>
                <w:shd w:val="clear" w:color="auto" w:fill="FFFFFF"/>
              </w:rPr>
              <w:t>Ostatní majetek (veškerý majetek s výjimkou majetku uvedeného v odst. 1.):</w:t>
            </w:r>
          </w:p>
        </w:tc>
      </w:tr>
      <w:tr w:rsidR="00FF6514" w:rsidRPr="00FF6514" w:rsidTr="00326D12">
        <w:trPr>
          <w:trHeight w:val="1531"/>
        </w:trPr>
        <w:tc>
          <w:tcPr>
            <w:tcW w:w="675" w:type="dxa"/>
            <w:shd w:val="clear" w:color="auto" w:fill="auto"/>
          </w:tcPr>
          <w:p w:rsidR="00FF6514" w:rsidRPr="00FF6514" w:rsidRDefault="00FF6514" w:rsidP="00FF6514">
            <w:pPr>
              <w:jc w:val="both"/>
              <w:rPr>
                <w:rFonts w:ascii="Arial" w:hAnsi="Arial" w:cs="Arial"/>
                <w:shd w:val="clear" w:color="auto" w:fill="FFFFFF"/>
              </w:rPr>
            </w:pPr>
          </w:p>
        </w:tc>
        <w:tc>
          <w:tcPr>
            <w:tcW w:w="8537" w:type="dxa"/>
            <w:shd w:val="clear" w:color="auto" w:fill="auto"/>
          </w:tcPr>
          <w:p w:rsidR="00FF6514" w:rsidRPr="00FF6514" w:rsidRDefault="00FF6514" w:rsidP="00FF6514">
            <w:pPr>
              <w:jc w:val="both"/>
              <w:rPr>
                <w:rFonts w:ascii="Arial" w:hAnsi="Arial" w:cs="Arial"/>
                <w:shd w:val="clear" w:color="auto" w:fill="FFFFFF"/>
              </w:rPr>
            </w:pPr>
            <w:r w:rsidRPr="00FF6514">
              <w:rPr>
                <w:rFonts w:ascii="Arial" w:hAnsi="Arial" w:cs="Arial"/>
                <w:shd w:val="clear" w:color="auto" w:fill="FFFFFF"/>
              </w:rPr>
              <w:t xml:space="preserve">Zřizovatel předává příspěvkové organizaci k hospodaření ostatní majetek, uvedený v části C Přílohy č. 1 této zřizovací listiny, a to v rozsahu vymezeném inventarizací majetku ke dni 31. 12. 2013. Ostatní majetek příspěvková organizace vede v účetnictví a ostatní předepsané evidenci. Rozsah tohoto majetku </w:t>
            </w:r>
            <w:proofErr w:type="gramStart"/>
            <w:r w:rsidRPr="00FF6514">
              <w:rPr>
                <w:rFonts w:ascii="Arial" w:hAnsi="Arial" w:cs="Arial"/>
                <w:shd w:val="clear" w:color="auto" w:fill="FFFFFF"/>
              </w:rPr>
              <w:t>se</w:t>
            </w:r>
            <w:proofErr w:type="gramEnd"/>
            <w:r w:rsidRPr="00FF6514">
              <w:rPr>
                <w:rFonts w:ascii="Arial" w:hAnsi="Arial" w:cs="Arial"/>
                <w:shd w:val="clear" w:color="auto" w:fill="FFFFFF"/>
              </w:rPr>
              <w:t>:</w:t>
            </w:r>
          </w:p>
        </w:tc>
        <w:tc>
          <w:tcPr>
            <w:tcW w:w="4606" w:type="dxa"/>
            <w:shd w:val="clear" w:color="auto" w:fill="auto"/>
          </w:tcPr>
          <w:p w:rsidR="00FF6514" w:rsidRPr="00FF6514" w:rsidRDefault="00FF6514" w:rsidP="00FF6514">
            <w:pPr>
              <w:jc w:val="both"/>
              <w:rPr>
                <w:rFonts w:ascii="Arial" w:hAnsi="Arial" w:cs="Arial"/>
                <w:shd w:val="clear" w:color="auto" w:fill="FFFFFF"/>
              </w:rPr>
            </w:pPr>
          </w:p>
        </w:tc>
      </w:tr>
      <w:tr w:rsidR="00FF6514" w:rsidRPr="00FF6514" w:rsidTr="00326D12">
        <w:trPr>
          <w:gridAfter w:val="1"/>
          <w:wAfter w:w="4606" w:type="dxa"/>
          <w:trHeight w:val="680"/>
        </w:trPr>
        <w:tc>
          <w:tcPr>
            <w:tcW w:w="675" w:type="dxa"/>
            <w:shd w:val="clear" w:color="auto" w:fill="auto"/>
          </w:tcPr>
          <w:p w:rsidR="00FF6514" w:rsidRPr="00FF6514" w:rsidRDefault="00FF6514" w:rsidP="00FF6514">
            <w:pPr>
              <w:jc w:val="both"/>
              <w:rPr>
                <w:rFonts w:ascii="Arial" w:hAnsi="Arial" w:cs="Arial"/>
                <w:shd w:val="clear" w:color="auto" w:fill="FFFFFF"/>
              </w:rPr>
            </w:pPr>
            <w:r w:rsidRPr="00FF6514">
              <w:rPr>
                <w:rFonts w:ascii="Arial" w:hAnsi="Arial" w:cs="Arial"/>
                <w:shd w:val="clear" w:color="auto" w:fill="FFFFFF"/>
              </w:rPr>
              <w:t>a)</w:t>
            </w:r>
            <w:r w:rsidRPr="00FF6514">
              <w:rPr>
                <w:rFonts w:ascii="Arial" w:hAnsi="Arial" w:cs="Arial"/>
                <w:sz w:val="14"/>
                <w:szCs w:val="14"/>
                <w:shd w:val="clear" w:color="auto" w:fill="FFFFFF"/>
              </w:rPr>
              <w:t xml:space="preserve"> </w:t>
            </w:r>
          </w:p>
        </w:tc>
        <w:tc>
          <w:tcPr>
            <w:tcW w:w="8537" w:type="dxa"/>
            <w:shd w:val="clear" w:color="auto" w:fill="auto"/>
          </w:tcPr>
          <w:p w:rsidR="00FF6514" w:rsidRPr="00FF6514" w:rsidRDefault="00FF6514" w:rsidP="00FF6514">
            <w:pPr>
              <w:jc w:val="both"/>
              <w:rPr>
                <w:rFonts w:ascii="Arial" w:hAnsi="Arial" w:cs="Arial"/>
                <w:shd w:val="clear" w:color="auto" w:fill="FFFFFF"/>
              </w:rPr>
            </w:pPr>
            <w:r w:rsidRPr="00FF6514">
              <w:rPr>
                <w:rFonts w:ascii="Arial" w:hAnsi="Arial" w:cs="Arial"/>
                <w:shd w:val="clear" w:color="auto" w:fill="FFFFFF"/>
              </w:rPr>
              <w:t>snižuje nebo zvyšuje na základě předávacích nebo aktivačních protokolů mezi zřizovatelem a příspěvkovou organizací, vystavených po dni 31. 12. 2013;</w:t>
            </w:r>
          </w:p>
        </w:tc>
      </w:tr>
      <w:tr w:rsidR="00FF6514" w:rsidRPr="00FF6514" w:rsidTr="00326D12">
        <w:trPr>
          <w:gridAfter w:val="1"/>
          <w:wAfter w:w="4606" w:type="dxa"/>
          <w:trHeight w:val="680"/>
        </w:trPr>
        <w:tc>
          <w:tcPr>
            <w:tcW w:w="675" w:type="dxa"/>
            <w:shd w:val="clear" w:color="auto" w:fill="auto"/>
          </w:tcPr>
          <w:p w:rsidR="00FF6514" w:rsidRPr="00FF6514" w:rsidRDefault="00FF6514" w:rsidP="00FF6514">
            <w:pPr>
              <w:jc w:val="both"/>
              <w:rPr>
                <w:rFonts w:ascii="Arial" w:hAnsi="Arial" w:cs="Arial"/>
                <w:shd w:val="clear" w:color="auto" w:fill="FFFFFF"/>
              </w:rPr>
            </w:pPr>
            <w:r w:rsidRPr="00FF6514">
              <w:rPr>
                <w:rFonts w:ascii="Arial" w:hAnsi="Arial" w:cs="Arial"/>
                <w:shd w:val="clear" w:color="auto" w:fill="FFFFFF"/>
              </w:rPr>
              <w:t>b)</w:t>
            </w:r>
          </w:p>
        </w:tc>
        <w:tc>
          <w:tcPr>
            <w:tcW w:w="8537" w:type="dxa"/>
            <w:shd w:val="clear" w:color="auto" w:fill="auto"/>
          </w:tcPr>
          <w:p w:rsidR="00FF6514" w:rsidRPr="00FF6514" w:rsidRDefault="00FF6514" w:rsidP="00FF6514">
            <w:pPr>
              <w:jc w:val="both"/>
              <w:rPr>
                <w:rFonts w:ascii="Arial" w:hAnsi="Arial" w:cs="Arial"/>
                <w:shd w:val="clear" w:color="auto" w:fill="FFFFFF"/>
              </w:rPr>
            </w:pPr>
            <w:r w:rsidRPr="00FF6514">
              <w:rPr>
                <w:rFonts w:ascii="Arial" w:hAnsi="Arial" w:cs="Arial"/>
                <w:shd w:val="clear" w:color="auto" w:fill="FFFFFF"/>
              </w:rPr>
              <w:t>snižuje o úbytky majetku a majetek spotřebovaný a vyřazený v souladu s příslušnými předpisy, a to k okamžiku jeho úbytku, spotřeby nebo vyřazení;</w:t>
            </w:r>
          </w:p>
        </w:tc>
      </w:tr>
      <w:tr w:rsidR="00FF6514" w:rsidRPr="00FF6514" w:rsidTr="00326D12">
        <w:trPr>
          <w:gridAfter w:val="1"/>
          <w:wAfter w:w="4606" w:type="dxa"/>
          <w:trHeight w:val="907"/>
        </w:trPr>
        <w:tc>
          <w:tcPr>
            <w:tcW w:w="675" w:type="dxa"/>
            <w:shd w:val="clear" w:color="auto" w:fill="auto"/>
          </w:tcPr>
          <w:p w:rsidR="00FF6514" w:rsidRPr="00FF6514" w:rsidRDefault="00FF6514" w:rsidP="00FF6514">
            <w:pPr>
              <w:jc w:val="both"/>
              <w:rPr>
                <w:rFonts w:ascii="Arial" w:hAnsi="Arial" w:cs="Arial"/>
                <w:shd w:val="clear" w:color="auto" w:fill="FFFFFF"/>
              </w:rPr>
            </w:pPr>
            <w:r w:rsidRPr="00FF6514">
              <w:rPr>
                <w:rFonts w:ascii="Arial" w:hAnsi="Arial" w:cs="Arial"/>
                <w:shd w:val="clear" w:color="auto" w:fill="FFFFFF"/>
              </w:rPr>
              <w:t>c)</w:t>
            </w:r>
            <w:r w:rsidRPr="00FF6514">
              <w:rPr>
                <w:rFonts w:ascii="Arial" w:hAnsi="Arial" w:cs="Arial"/>
                <w:sz w:val="14"/>
                <w:szCs w:val="14"/>
                <w:shd w:val="clear" w:color="auto" w:fill="FFFFFF"/>
              </w:rPr>
              <w:t xml:space="preserve"> </w:t>
            </w:r>
          </w:p>
        </w:tc>
        <w:tc>
          <w:tcPr>
            <w:tcW w:w="8537" w:type="dxa"/>
            <w:shd w:val="clear" w:color="auto" w:fill="auto"/>
          </w:tcPr>
          <w:p w:rsidR="00FF6514" w:rsidRPr="00FF6514" w:rsidRDefault="00FF6514" w:rsidP="00FF6514">
            <w:pPr>
              <w:jc w:val="both"/>
              <w:rPr>
                <w:rFonts w:ascii="Arial" w:hAnsi="Arial" w:cs="Arial"/>
                <w:shd w:val="clear" w:color="auto" w:fill="FFFFFF"/>
              </w:rPr>
            </w:pPr>
            <w:r w:rsidRPr="00FF6514">
              <w:rPr>
                <w:rFonts w:ascii="Arial" w:hAnsi="Arial" w:cs="Arial"/>
                <w:shd w:val="clear" w:color="auto" w:fill="FFFFFF"/>
              </w:rPr>
              <w:t>zvyšuje o majetek, který byl této příspěvkové organizaci předán v souladu s příslušnými předpisy z důvodu trvalé nepotřebnosti jinou příspěvkovou organizací zřízenou krajem, a to k okamžiku jeho převzetí;</w:t>
            </w:r>
          </w:p>
        </w:tc>
      </w:tr>
      <w:tr w:rsidR="00FF6514" w:rsidRPr="00FF6514" w:rsidTr="00326D12">
        <w:trPr>
          <w:gridAfter w:val="1"/>
          <w:wAfter w:w="4606" w:type="dxa"/>
        </w:trPr>
        <w:tc>
          <w:tcPr>
            <w:tcW w:w="675" w:type="dxa"/>
            <w:shd w:val="clear" w:color="auto" w:fill="auto"/>
          </w:tcPr>
          <w:p w:rsidR="00FF6514" w:rsidRPr="00FF6514" w:rsidRDefault="00FF6514" w:rsidP="00FF6514">
            <w:pPr>
              <w:jc w:val="both"/>
              <w:rPr>
                <w:rFonts w:ascii="Arial" w:hAnsi="Arial" w:cs="Arial"/>
                <w:shd w:val="clear" w:color="auto" w:fill="FFFFFF"/>
              </w:rPr>
            </w:pPr>
            <w:r w:rsidRPr="00FF6514">
              <w:rPr>
                <w:rFonts w:ascii="Arial" w:hAnsi="Arial" w:cs="Arial"/>
                <w:shd w:val="clear" w:color="auto" w:fill="FFFFFF"/>
              </w:rPr>
              <w:t>d)</w:t>
            </w:r>
            <w:r w:rsidRPr="00FF6514">
              <w:rPr>
                <w:rFonts w:ascii="Arial" w:hAnsi="Arial" w:cs="Arial"/>
                <w:sz w:val="14"/>
                <w:szCs w:val="14"/>
                <w:shd w:val="clear" w:color="auto" w:fill="FFFFFF"/>
              </w:rPr>
              <w:t xml:space="preserve"> </w:t>
            </w:r>
          </w:p>
        </w:tc>
        <w:tc>
          <w:tcPr>
            <w:tcW w:w="8537" w:type="dxa"/>
            <w:shd w:val="clear" w:color="auto" w:fill="auto"/>
          </w:tcPr>
          <w:p w:rsidR="00FF6514" w:rsidRPr="00FF6514" w:rsidRDefault="00FF6514" w:rsidP="00FF6514">
            <w:pPr>
              <w:jc w:val="both"/>
              <w:rPr>
                <w:rFonts w:ascii="Arial" w:hAnsi="Arial" w:cs="Arial"/>
                <w:shd w:val="clear" w:color="auto" w:fill="FFFFFF"/>
              </w:rPr>
            </w:pPr>
            <w:r w:rsidRPr="00FF6514">
              <w:rPr>
                <w:rFonts w:ascii="Arial" w:hAnsi="Arial" w:cs="Arial"/>
                <w:shd w:val="clear" w:color="auto" w:fill="FFFFFF"/>
              </w:rPr>
              <w:t xml:space="preserve">zvyšuje o majetek, který byl touto příspěvkovou organizací nabyt pro svého </w:t>
            </w:r>
            <w:r w:rsidRPr="00FF6514">
              <w:rPr>
                <w:rFonts w:ascii="Arial" w:hAnsi="Arial" w:cs="Arial"/>
                <w:shd w:val="clear" w:color="auto" w:fill="FFFFFF"/>
              </w:rPr>
              <w:lastRenderedPageBreak/>
              <w:t>zřizovatele, a to k okamžiku jeho nabytí.</w:t>
            </w:r>
          </w:p>
        </w:tc>
      </w:tr>
    </w:tbl>
    <w:p w:rsidR="00FF6514" w:rsidRPr="00FF6514" w:rsidRDefault="00FF6514" w:rsidP="00FF6514">
      <w:pPr>
        <w:ind w:left="1080" w:hanging="360"/>
        <w:jc w:val="both"/>
        <w:rPr>
          <w:rFonts w:ascii="Arial" w:hAnsi="Arial" w:cs="Arial"/>
          <w:i/>
          <w:shd w:val="clear" w:color="auto" w:fill="FFFFFF"/>
        </w:rPr>
      </w:pPr>
    </w:p>
    <w:tbl>
      <w:tblPr>
        <w:tblW w:w="0" w:type="auto"/>
        <w:tblInd w:w="-72" w:type="dxa"/>
        <w:tblLook w:val="01E0" w:firstRow="1" w:lastRow="1" w:firstColumn="1" w:lastColumn="1" w:noHBand="0" w:noVBand="0"/>
      </w:tblPr>
      <w:tblGrid>
        <w:gridCol w:w="730"/>
        <w:gridCol w:w="8564"/>
      </w:tblGrid>
      <w:tr w:rsidR="00FF6514" w:rsidRPr="00FF6514" w:rsidTr="00326D12">
        <w:tc>
          <w:tcPr>
            <w:tcW w:w="9294" w:type="dxa"/>
            <w:gridSpan w:val="2"/>
            <w:shd w:val="clear" w:color="auto" w:fill="auto"/>
          </w:tcPr>
          <w:p w:rsidR="00FF6514" w:rsidRPr="00FF6514" w:rsidRDefault="00FF6514" w:rsidP="00FF6514">
            <w:pPr>
              <w:spacing w:after="120"/>
              <w:jc w:val="center"/>
              <w:rPr>
                <w:rFonts w:ascii="Arial" w:hAnsi="Arial" w:cs="Arial"/>
                <w:b/>
                <w:bCs/>
              </w:rPr>
            </w:pPr>
            <w:r w:rsidRPr="00FF6514">
              <w:rPr>
                <w:rFonts w:ascii="Arial" w:hAnsi="Arial" w:cs="Arial"/>
                <w:b/>
                <w:bCs/>
              </w:rPr>
              <w:t>V.</w:t>
            </w:r>
          </w:p>
        </w:tc>
      </w:tr>
      <w:tr w:rsidR="00FF6514" w:rsidRPr="00FF6514" w:rsidTr="00326D12">
        <w:tc>
          <w:tcPr>
            <w:tcW w:w="9294" w:type="dxa"/>
            <w:gridSpan w:val="2"/>
            <w:shd w:val="clear" w:color="auto" w:fill="auto"/>
          </w:tcPr>
          <w:p w:rsidR="00FF6514" w:rsidRPr="00FF6514" w:rsidRDefault="00FF6514" w:rsidP="00FF6514">
            <w:pPr>
              <w:spacing w:after="120"/>
              <w:jc w:val="center"/>
              <w:rPr>
                <w:rFonts w:ascii="Arial" w:hAnsi="Arial" w:cs="Arial"/>
                <w:b/>
                <w:bCs/>
              </w:rPr>
            </w:pPr>
            <w:r w:rsidRPr="00FF6514">
              <w:rPr>
                <w:rFonts w:ascii="Arial" w:hAnsi="Arial" w:cs="Arial"/>
                <w:b/>
                <w:bCs/>
              </w:rPr>
              <w:t>Vymezení majetkových práv a povinností</w:t>
            </w:r>
          </w:p>
        </w:tc>
      </w:tr>
      <w:tr w:rsidR="00FF6514" w:rsidRPr="00FF6514" w:rsidTr="00326D12">
        <w:tc>
          <w:tcPr>
            <w:tcW w:w="730"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1.</w:t>
            </w:r>
          </w:p>
        </w:tc>
        <w:tc>
          <w:tcPr>
            <w:tcW w:w="8564"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Příspěvková organizace se řídí právními předpisy a pokyny zřizovatele, zejména Zásadami řízení příspěvkových organizací zřizovaných Olomouckým krajem. Příspěvková organizace je povinna a oprávněna svěřený majetek, který jí byl předán k hospodaření (dále „svěřený majetek“), včetně majetku získaného vlastní činností spravovat a hospodárně užívat pro plnění hlavního účelu a předmětu činnosti a doplňkové činnosti dle této zřizovací listiny, pečovat o něj, udržovat jej a provádět jeho opravy, dbát o jeho další rozvoj a zvelebení, vést jeho evidenci a vést jej v účetnictví.</w:t>
            </w:r>
          </w:p>
        </w:tc>
      </w:tr>
      <w:tr w:rsidR="00FF6514" w:rsidRPr="00FF6514" w:rsidTr="00326D12">
        <w:tc>
          <w:tcPr>
            <w:tcW w:w="730"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2.</w:t>
            </w:r>
          </w:p>
        </w:tc>
        <w:tc>
          <w:tcPr>
            <w:tcW w:w="8564"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Příspěvková organizace je povinna svěřený majetek chránit před zničením a poškozením, chránit jej před odcizením nebo zneužitím nebo před neoprávněnými zásahy. Je povinna sledovat, zda dlužníci včas a řádně plní své závazky a zabezpečit, aby nedošlo k promlčení nebo zániku práv z těchto závazků vyplývajících, přičemž je povinna včas a řádně vymáhat pohledávky vzniklé z činnosti příspěvkové organizace, je povinna včas uplatňovat právo na náhradu škody a právo na vydání bezdůvodného obohacení, a to vždy včetně vymáhání prostřednictvím soudů nebo jiných orgánů a institucí. Za ochranu majetku užívaného příspěvkovou organizací a výkon práv a povinností při hospodaření s tímto majetkem odpovídá ředitel příspěvkové organizace. Příspěvková organizace není oprávněna bez předchozího písemného souhlasu zřizovatele bezúplatně postoupit pohledávku nebo vzdát se práva a prominout pohledávku.</w:t>
            </w:r>
          </w:p>
        </w:tc>
      </w:tr>
      <w:tr w:rsidR="00FF6514" w:rsidRPr="00FF6514" w:rsidTr="00326D12">
        <w:tc>
          <w:tcPr>
            <w:tcW w:w="730"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3.</w:t>
            </w:r>
          </w:p>
        </w:tc>
        <w:tc>
          <w:tcPr>
            <w:tcW w:w="8564" w:type="dxa"/>
            <w:shd w:val="clear" w:color="auto" w:fill="auto"/>
          </w:tcPr>
          <w:p w:rsidR="00FF6514" w:rsidRPr="00FF6514" w:rsidRDefault="00FF6514" w:rsidP="00FF6514">
            <w:pPr>
              <w:spacing w:after="120"/>
              <w:jc w:val="both"/>
              <w:rPr>
                <w:rFonts w:ascii="Arial" w:hAnsi="Arial" w:cs="Arial"/>
              </w:rPr>
            </w:pPr>
            <w:r w:rsidRPr="00FF6514">
              <w:rPr>
                <w:rFonts w:ascii="Arial" w:hAnsi="Arial" w:cs="Arial"/>
              </w:rPr>
              <w:t>Příspěvková organizace může upustit od vymáhání pohledávky, jejíž vymáhání se důvodně jeví jako neúspěšné nebo neekonomické,  a může také zřizovateli podat návrh na vzdání se práva a prominutí dluhu, to vše za podmínek a s náležitostmi v souladu se  Zásadami řízení příspěvkových organizací Olomouckého kraje.</w:t>
            </w:r>
          </w:p>
        </w:tc>
      </w:tr>
      <w:tr w:rsidR="00FF6514" w:rsidRPr="00FF6514" w:rsidTr="00326D12">
        <w:tc>
          <w:tcPr>
            <w:tcW w:w="730"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4.</w:t>
            </w:r>
          </w:p>
        </w:tc>
        <w:tc>
          <w:tcPr>
            <w:tcW w:w="8564"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Příspěvková organizace je oprávněna uzavírat smlouvy o zápůjčce z fondu kulturních a sociálních potřeb zřizovaného touto organizací za podmínek stanovených vyhláškou Ministerstva financí ČR o fondu kulturních a sociálních potřeb, v platném znění.</w:t>
            </w:r>
            <w:r w:rsidRPr="00FF6514">
              <w:rPr>
                <w:rFonts w:ascii="Arial" w:hAnsi="Arial"/>
                <w:i/>
                <w:color w:val="00CC00"/>
              </w:rPr>
              <w:t xml:space="preserve"> </w:t>
            </w:r>
            <w:r w:rsidRPr="00FF6514">
              <w:rPr>
                <w:rFonts w:ascii="Arial" w:hAnsi="Arial"/>
                <w:i/>
                <w:color w:val="3333FF"/>
              </w:rPr>
              <w:t xml:space="preserve"> </w:t>
            </w:r>
          </w:p>
        </w:tc>
      </w:tr>
      <w:tr w:rsidR="00FF6514" w:rsidRPr="00FF6514" w:rsidTr="00326D12">
        <w:tc>
          <w:tcPr>
            <w:tcW w:w="730"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5.</w:t>
            </w:r>
          </w:p>
        </w:tc>
        <w:tc>
          <w:tcPr>
            <w:tcW w:w="8564" w:type="dxa"/>
            <w:shd w:val="clear" w:color="auto" w:fill="auto"/>
          </w:tcPr>
          <w:p w:rsidR="00FF6514" w:rsidRPr="00FF6514" w:rsidRDefault="00FF6514" w:rsidP="00FF6514">
            <w:pPr>
              <w:tabs>
                <w:tab w:val="num" w:pos="680"/>
              </w:tabs>
              <w:spacing w:after="120"/>
              <w:jc w:val="both"/>
              <w:rPr>
                <w:rFonts w:ascii="Arial" w:hAnsi="Arial"/>
                <w:color w:val="3333FF"/>
              </w:rPr>
            </w:pPr>
            <w:r w:rsidRPr="00FF6514">
              <w:rPr>
                <w:rFonts w:ascii="Arial" w:hAnsi="Arial"/>
              </w:rPr>
              <w:t xml:space="preserve">Nestanoví-li tato zřizovací listina jinak, není příspěvková organizace oprávněna svěřený majetek prodat, směnit, darovat, zatížit zástavním právem ani věcnými břemeny, předat k hospodaření jiné příspěvkové organizaci zřízené Olomouckým krajem, vložit jej do majetku právnických osob nebo jej jinak použít k účasti na podnikání třetích osob. </w:t>
            </w:r>
            <w:r w:rsidRPr="00FF6514">
              <w:rPr>
                <w:rFonts w:ascii="Arial" w:hAnsi="Arial"/>
                <w:color w:val="3333FF"/>
              </w:rPr>
              <w:t xml:space="preserve"> </w:t>
            </w:r>
          </w:p>
        </w:tc>
      </w:tr>
      <w:tr w:rsidR="00FF6514" w:rsidRPr="00FF6514" w:rsidTr="00326D12">
        <w:tc>
          <w:tcPr>
            <w:tcW w:w="730"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6.</w:t>
            </w:r>
          </w:p>
        </w:tc>
        <w:tc>
          <w:tcPr>
            <w:tcW w:w="8564"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Majetek, který příspěvková organizace nabude pro svého zřizovatele, se od okamžiku nabytí do vlastnictví Olomouckého kraje stává majetkem svěřeným příspěvkové organizaci. Příspěvková organizace je oprávněna pro zřizovatele pořizovat nemovitosti pouze po předchozím písemném souhlasu zřizovatele.</w:t>
            </w:r>
          </w:p>
        </w:tc>
      </w:tr>
      <w:tr w:rsidR="00FF6514" w:rsidRPr="00FF6514" w:rsidTr="00326D12">
        <w:tc>
          <w:tcPr>
            <w:tcW w:w="730"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 xml:space="preserve">7. </w:t>
            </w:r>
          </w:p>
        </w:tc>
        <w:tc>
          <w:tcPr>
            <w:tcW w:w="8564"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Investiční činnost a opravy může příspěvková organizace provádět  pouze na základě zřizovatelem schváleného plánu oprav a investic.</w:t>
            </w:r>
          </w:p>
          <w:p w:rsidR="00FF6514" w:rsidRPr="00FF6514" w:rsidRDefault="00FF6514" w:rsidP="00FF6514">
            <w:pPr>
              <w:tabs>
                <w:tab w:val="num" w:pos="680"/>
              </w:tabs>
              <w:spacing w:after="120"/>
              <w:jc w:val="both"/>
              <w:rPr>
                <w:rFonts w:ascii="Arial" w:hAnsi="Arial"/>
              </w:rPr>
            </w:pPr>
            <w:r w:rsidRPr="00FF6514">
              <w:rPr>
                <w:rFonts w:ascii="Arial" w:hAnsi="Arial"/>
              </w:rPr>
              <w:t xml:space="preserve">Příspěvková organizace je oprávněna provádět bez souhlasu zřizovatele </w:t>
            </w:r>
            <w:r w:rsidRPr="00FF6514">
              <w:rPr>
                <w:rFonts w:ascii="Arial" w:hAnsi="Arial"/>
              </w:rPr>
              <w:lastRenderedPageBreak/>
              <w:t>opravy movitého majetku.   </w:t>
            </w:r>
          </w:p>
          <w:p w:rsidR="00FF6514" w:rsidRPr="00FF6514" w:rsidRDefault="00FF6514" w:rsidP="00FF6514">
            <w:pPr>
              <w:tabs>
                <w:tab w:val="num" w:pos="680"/>
              </w:tabs>
              <w:spacing w:after="120"/>
              <w:jc w:val="both"/>
              <w:rPr>
                <w:rFonts w:ascii="Arial" w:hAnsi="Arial"/>
              </w:rPr>
            </w:pPr>
            <w:r w:rsidRPr="00FF6514">
              <w:rPr>
                <w:rFonts w:ascii="Arial" w:hAnsi="Arial"/>
              </w:rPr>
              <w:t>Příspěvková organizace je, není-li ve zřizovací listině uvedeno jinak, oprávněna provádět bez souhlasu zřizovatele opravy nemovitého majetku, pokud výše nákladů na jednotlivou opravu není vyšší než 40 000,- Kč včetně DPH.</w:t>
            </w:r>
          </w:p>
        </w:tc>
      </w:tr>
      <w:tr w:rsidR="00FF6514" w:rsidRPr="00FF6514" w:rsidTr="00326D12">
        <w:tc>
          <w:tcPr>
            <w:tcW w:w="730"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lastRenderedPageBreak/>
              <w:t>8.</w:t>
            </w:r>
          </w:p>
        </w:tc>
        <w:tc>
          <w:tcPr>
            <w:tcW w:w="8564" w:type="dxa"/>
            <w:shd w:val="clear" w:color="auto" w:fill="auto"/>
          </w:tcPr>
          <w:p w:rsidR="00FF6514" w:rsidRPr="00FF6514" w:rsidRDefault="00FF6514" w:rsidP="00FF6514">
            <w:pPr>
              <w:tabs>
                <w:tab w:val="num" w:pos="680"/>
              </w:tabs>
              <w:spacing w:after="120"/>
              <w:jc w:val="both"/>
              <w:rPr>
                <w:rFonts w:ascii="Arial" w:hAnsi="Arial"/>
                <w:color w:val="FF0000"/>
              </w:rPr>
            </w:pPr>
            <w:r w:rsidRPr="00FF6514">
              <w:rPr>
                <w:rFonts w:ascii="Arial" w:hAnsi="Arial"/>
              </w:rPr>
              <w:t xml:space="preserve">Příspěvková organizace je oprávněna hmotný majetek, s výjimkou nemovitostí, v pořizovací ceně do 40 000,- Kč za jednotlivý hmotný inventovaný majetek nebo soubor věcí a nehmotný majetek v pořizovací ceně do 60 000,- Kč za jednotlivý nehmotný inventovaný majetek pořizovat do vlastnictví kraje a do svého hospodaření za cenu obvyklou bez souhlasu zřizovatele.  Při pořizovací ceně za jednotlivý hmotný inventovaný majetek nebo soubor věcí nad 40 000,- Kč a při pořizovací ceně za jednotlivý nehmotný inventovaný majetek nad 60 000,- Kč, mimo plán oprav a investic, může příspěvková organizace pořizovat tento majetek do svého hospodaření pouze po předchozím písemném souhlasu zřizovatele. </w:t>
            </w:r>
            <w:r w:rsidRPr="00FF6514">
              <w:rPr>
                <w:rFonts w:ascii="Arial" w:hAnsi="Arial"/>
                <w:color w:val="FF0000"/>
              </w:rPr>
              <w:t xml:space="preserve"> </w:t>
            </w:r>
          </w:p>
        </w:tc>
      </w:tr>
      <w:tr w:rsidR="00FF6514" w:rsidRPr="00FF6514" w:rsidTr="00326D12">
        <w:tc>
          <w:tcPr>
            <w:tcW w:w="730"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9.</w:t>
            </w:r>
          </w:p>
        </w:tc>
        <w:tc>
          <w:tcPr>
            <w:tcW w:w="8564"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Příspěvková organizace je oprávněna bez souhlasu zřizovatele nabývat peněžité dary do 200 000,- Kč za jednotlivý dar do vlastnictví Olomouckého kraje a do svého hospodaření. Peněžité dary nad 200 000,- Kč za jednotlivý dar je příspěvková organizace oprávněna nabývat do vlastnictví Olomouckého kraje a do svého hospodaření pouze po předchozím písemném souhlasu zřizovatele.</w:t>
            </w:r>
          </w:p>
        </w:tc>
      </w:tr>
      <w:tr w:rsidR="00FF6514" w:rsidRPr="00FF6514" w:rsidTr="00326D12">
        <w:tc>
          <w:tcPr>
            <w:tcW w:w="730"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10.</w:t>
            </w:r>
          </w:p>
        </w:tc>
        <w:tc>
          <w:tcPr>
            <w:tcW w:w="8564" w:type="dxa"/>
            <w:shd w:val="clear" w:color="auto" w:fill="auto"/>
          </w:tcPr>
          <w:p w:rsidR="00FF6514" w:rsidRPr="00FF6514" w:rsidRDefault="00FF6514" w:rsidP="00FF6514">
            <w:pPr>
              <w:tabs>
                <w:tab w:val="num" w:pos="680"/>
              </w:tabs>
              <w:spacing w:after="120"/>
              <w:jc w:val="both"/>
              <w:rPr>
                <w:rFonts w:ascii="Arial" w:hAnsi="Arial"/>
                <w:i/>
                <w:iCs/>
                <w:sz w:val="20"/>
                <w:szCs w:val="20"/>
              </w:rPr>
            </w:pPr>
            <w:r w:rsidRPr="00FF6514">
              <w:rPr>
                <w:rFonts w:ascii="Arial" w:hAnsi="Arial"/>
              </w:rPr>
              <w:t>Příspěvková organizace je oprávněna bez souhlasu zřizovatele svěřený přebytečný nebo neupotřebitelný nehmotný a hmotný majetek, s výjimkou nemovitostí, v pořizovací ceně do 200 000,- Kč za jednotlivý majetek nebo soubor věcí úplatně převést, případně fyzicky zlikvidovat v souladu se Zásadami řízení příspěvkových organizací Olomouckého kraje, pokud o majetek neprojevila zájem jiná příspěvková organizace Olomouckého kraje. Nehmotný a hmotný majetek, s výjimkou nemovitostí, s pořizovací cenou nad 200 000,- Kč vyřazuje příspěvková organizace s písemným souhlasem zřizovatele, v souladu se Zásadami řízení příspěvkových organizací Olomouckého kraje.</w:t>
            </w:r>
            <w:r w:rsidRPr="00FF6514">
              <w:rPr>
                <w:rFonts w:ascii="Arial" w:hAnsi="Arial"/>
                <w:i/>
                <w:iCs/>
                <w:sz w:val="20"/>
                <w:szCs w:val="20"/>
              </w:rPr>
              <w:t xml:space="preserve"> </w:t>
            </w:r>
            <w:r w:rsidRPr="00FF6514">
              <w:rPr>
                <w:rFonts w:ascii="Arial" w:hAnsi="Arial"/>
              </w:rPr>
              <w:t>Příjmy z prodeje svěřeného dlouhodobého hmotného majetku s výjimkou nemovitostí, jsou příjmem příspěvkové organizace dle ustanovení § 31 zákona č. 250/2000 Sb., o rozpočtových pravidlech územních rozpočtů, ve znění pozdějších předpisů.</w:t>
            </w:r>
          </w:p>
        </w:tc>
      </w:tr>
      <w:tr w:rsidR="00FF6514" w:rsidRPr="00FF6514" w:rsidTr="00326D12">
        <w:tc>
          <w:tcPr>
            <w:tcW w:w="730"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11.</w:t>
            </w:r>
          </w:p>
        </w:tc>
        <w:tc>
          <w:tcPr>
            <w:tcW w:w="8564" w:type="dxa"/>
            <w:shd w:val="clear" w:color="auto" w:fill="auto"/>
          </w:tcPr>
          <w:p w:rsidR="00FF6514" w:rsidRPr="00FF6514" w:rsidRDefault="00FF6514" w:rsidP="00FF6514">
            <w:pPr>
              <w:tabs>
                <w:tab w:val="num" w:pos="680"/>
              </w:tabs>
              <w:spacing w:after="120"/>
              <w:jc w:val="both"/>
              <w:rPr>
                <w:rFonts w:ascii="Arial" w:hAnsi="Arial"/>
              </w:rPr>
            </w:pPr>
          </w:p>
        </w:tc>
      </w:tr>
      <w:tr w:rsidR="00FF6514" w:rsidRPr="00FF6514" w:rsidTr="00326D12">
        <w:tc>
          <w:tcPr>
            <w:tcW w:w="730"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a)</w:t>
            </w:r>
          </w:p>
        </w:tc>
        <w:tc>
          <w:tcPr>
            <w:tcW w:w="8564"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 xml:space="preserve">Příspěvková organizace je oprávněna bez souhlasu zřizovatele pronajmout nebo propachtovat, výjimečně přenechat do výpůjčky svěřený nemovitý a movitý majetek na dobu určitou nejdéle na jeden rok nebo na dobu neurčitou s výpovědní dobou nejdéle tříměsíční. Na dobu určitou delší než jeden rok nebo na dobu neurčitou s výpovědní dobou delší než tři měsíce je příspěvková organizace oprávněna pronajmout nebo propachtovat, výjimečně přenechat do výpůjčky svěřený nemovitý a movitý majetek pouze po předchozím souhlasu zřizovatele a v souladu s podmínkami stanovenými zřizovatelem. Při pronájmu a pachtu svěřeného nemovitého a movitého majetku je příspěvková organizace povinna sjednat výši nájemného nebo </w:t>
            </w:r>
            <w:proofErr w:type="spellStart"/>
            <w:r w:rsidRPr="00FF6514">
              <w:rPr>
                <w:rFonts w:ascii="Arial" w:hAnsi="Arial"/>
              </w:rPr>
              <w:t>pachtovného</w:t>
            </w:r>
            <w:proofErr w:type="spellEnd"/>
            <w:r w:rsidRPr="00FF6514">
              <w:rPr>
                <w:rFonts w:ascii="Arial" w:hAnsi="Arial"/>
              </w:rPr>
              <w:t xml:space="preserve"> v místě obvyklou nebo vyšší, v odůvodněných případech nájemné nebo </w:t>
            </w:r>
            <w:proofErr w:type="spellStart"/>
            <w:r w:rsidRPr="00FF6514">
              <w:rPr>
                <w:rFonts w:ascii="Arial" w:hAnsi="Arial"/>
              </w:rPr>
              <w:t>pachtovné</w:t>
            </w:r>
            <w:proofErr w:type="spellEnd"/>
            <w:r w:rsidRPr="00FF6514">
              <w:rPr>
                <w:rFonts w:ascii="Arial" w:hAnsi="Arial"/>
              </w:rPr>
              <w:t xml:space="preserve"> ve výši pokrývající náklady s nájmem nebo pachtem související. Příspěvková organizace je oprávněna poskytnout svěřený nemovitý a movitý majetek jako </w:t>
            </w:r>
            <w:r w:rsidRPr="00FF6514">
              <w:rPr>
                <w:rFonts w:ascii="Arial" w:hAnsi="Arial"/>
              </w:rPr>
              <w:lastRenderedPageBreak/>
              <w:t xml:space="preserve">výprosu pouze po předchozím souhlasu zřizovatele a v souladu s podmínkami stanovenými zřizovatelem. </w:t>
            </w:r>
          </w:p>
        </w:tc>
      </w:tr>
      <w:tr w:rsidR="00FF6514" w:rsidRPr="00FF6514" w:rsidTr="00326D12">
        <w:tc>
          <w:tcPr>
            <w:tcW w:w="730"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lastRenderedPageBreak/>
              <w:t>b)</w:t>
            </w:r>
          </w:p>
        </w:tc>
        <w:tc>
          <w:tcPr>
            <w:tcW w:w="8564"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Příspěvková organizace je i bez souhlasu zřizovatele oprávněna nájem nebo výpůjčku svěřeného majetku, sjednaných i před tím, než se příspěvková organizace stala příspěvkovou organizací Olomouckého kraje, ukončit a je oprávněna vést soudní řízení související s ukončením nájmu nebo výpůjčky.</w:t>
            </w:r>
          </w:p>
        </w:tc>
      </w:tr>
      <w:tr w:rsidR="00FF6514" w:rsidRPr="00FF6514" w:rsidTr="00326D12">
        <w:tc>
          <w:tcPr>
            <w:tcW w:w="730"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c)</w:t>
            </w:r>
          </w:p>
        </w:tc>
        <w:tc>
          <w:tcPr>
            <w:tcW w:w="8564" w:type="dxa"/>
            <w:shd w:val="clear" w:color="auto" w:fill="auto"/>
          </w:tcPr>
          <w:p w:rsidR="00FF6514" w:rsidRPr="00FF6514" w:rsidRDefault="00FF6514" w:rsidP="00FF6514">
            <w:pPr>
              <w:tabs>
                <w:tab w:val="num" w:pos="680"/>
              </w:tabs>
              <w:spacing w:after="120"/>
              <w:jc w:val="both"/>
              <w:rPr>
                <w:rFonts w:ascii="Arial" w:hAnsi="Arial" w:cs="Arial"/>
              </w:rPr>
            </w:pPr>
            <w:r w:rsidRPr="00FF6514">
              <w:rPr>
                <w:rFonts w:ascii="Arial" w:hAnsi="Arial"/>
              </w:rPr>
              <w:t>Příspěvková organizace je oprávněna bez souhlasu zřizovatele pronajmout byt, který je jejím svěřeným majetkem, pouze na dobu určitou, nejdéle však na jeden rok. V ostatních případech může příspěvková organizace byt, který je jejím svěřeným majetkem, pronajmout pouze s předchozím písemným souhlasem zřizovatele. Ve všech případech pronájmu bytů, ať na dobu určitou nebo na dobu neurčitou, sjednaných i před tím, než se příspěvková organizace stala příspěvkovou organizací Olomouckého kraje, je příspěvková organizace oprávněna bez souhlasu zřizovatele pronájem bytu, který je jejím svěřeným majetkem, ukončit, ať již dohodou nebo výpovědí s tím, že příspěvková organizace je současně oprávněna vést u soudu řízení o přivolení soudu k výpovědi z nájmu bytu.</w:t>
            </w:r>
          </w:p>
        </w:tc>
      </w:tr>
      <w:tr w:rsidR="00FF6514" w:rsidRPr="00FF6514" w:rsidTr="00326D12">
        <w:tc>
          <w:tcPr>
            <w:tcW w:w="730"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12.</w:t>
            </w:r>
          </w:p>
        </w:tc>
        <w:tc>
          <w:tcPr>
            <w:tcW w:w="8564" w:type="dxa"/>
            <w:shd w:val="clear" w:color="auto" w:fill="auto"/>
          </w:tcPr>
          <w:p w:rsidR="00FF6514" w:rsidRPr="00FF6514" w:rsidRDefault="00FF6514" w:rsidP="00FF6514">
            <w:pPr>
              <w:tabs>
                <w:tab w:val="num" w:pos="680"/>
              </w:tabs>
              <w:spacing w:after="120"/>
              <w:jc w:val="both"/>
              <w:rPr>
                <w:rFonts w:ascii="Arial" w:hAnsi="Arial"/>
              </w:rPr>
            </w:pPr>
          </w:p>
        </w:tc>
      </w:tr>
      <w:tr w:rsidR="00FF6514" w:rsidRPr="00FF6514" w:rsidTr="00326D12">
        <w:tc>
          <w:tcPr>
            <w:tcW w:w="730"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a)</w:t>
            </w:r>
          </w:p>
        </w:tc>
        <w:tc>
          <w:tcPr>
            <w:tcW w:w="8564"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 xml:space="preserve">Příspěvková organizace je oprávněna si bez souhlasu zřizovatele pronajmout, převzít do pachtu nebo si vypůjčit nemovitý a movitý majetek, který nezbytně potřebuje k zajištění své hlavní činnosti, na dobu určitou, nejdéle na jeden rok nebo na dobu neurčitou s výpovědní dobou nejvýše tříměsíční. Při nájmu a pachtu nemovitého a movitého majetku je příspěvková organizace povinna sjednat nájemné nebo </w:t>
            </w:r>
            <w:proofErr w:type="spellStart"/>
            <w:r w:rsidRPr="00FF6514">
              <w:rPr>
                <w:rFonts w:ascii="Arial" w:hAnsi="Arial"/>
              </w:rPr>
              <w:t>pachtovné</w:t>
            </w:r>
            <w:proofErr w:type="spellEnd"/>
            <w:r w:rsidRPr="00FF6514">
              <w:rPr>
                <w:rFonts w:ascii="Arial" w:hAnsi="Arial"/>
              </w:rPr>
              <w:t xml:space="preserve"> v místě obvyklé nebo nižší. Nájemné nebo </w:t>
            </w:r>
            <w:proofErr w:type="spellStart"/>
            <w:r w:rsidRPr="00FF6514">
              <w:rPr>
                <w:rFonts w:ascii="Arial" w:hAnsi="Arial"/>
              </w:rPr>
              <w:t>pachtovné</w:t>
            </w:r>
            <w:proofErr w:type="spellEnd"/>
            <w:r w:rsidRPr="00FF6514">
              <w:rPr>
                <w:rFonts w:ascii="Arial" w:hAnsi="Arial"/>
              </w:rPr>
              <w:t xml:space="preserve"> vyšší než v místě obvyklé může příspěvková organizace sjednat jen s předchozím písemným souhlasem zřizovatele. Příspěvková organizace je oprávněna i bez souhlasu zřizovatele přijmout nemovitý a movitý majetek, který nezbytně potřebuje k zajištění své hlavní činnosti, do výprosy. </w:t>
            </w:r>
          </w:p>
        </w:tc>
      </w:tr>
      <w:tr w:rsidR="00FF6514" w:rsidRPr="00FF6514" w:rsidTr="00326D12">
        <w:tc>
          <w:tcPr>
            <w:tcW w:w="730"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b)</w:t>
            </w:r>
          </w:p>
        </w:tc>
        <w:tc>
          <w:tcPr>
            <w:tcW w:w="8564" w:type="dxa"/>
            <w:shd w:val="clear" w:color="auto" w:fill="auto"/>
          </w:tcPr>
          <w:p w:rsidR="00FF6514" w:rsidRPr="00FF6514" w:rsidRDefault="00FF6514" w:rsidP="00FF6514">
            <w:pPr>
              <w:tabs>
                <w:tab w:val="num" w:pos="680"/>
              </w:tabs>
              <w:spacing w:after="120"/>
              <w:jc w:val="both"/>
              <w:rPr>
                <w:rFonts w:ascii="Arial" w:hAnsi="Arial"/>
                <w:i/>
              </w:rPr>
            </w:pPr>
            <w:r w:rsidRPr="00FF6514">
              <w:rPr>
                <w:rFonts w:ascii="Arial" w:hAnsi="Arial"/>
              </w:rPr>
              <w:t xml:space="preserve">Na dobu určitou delší než jeden rok nebo na dobu neurčitou s výpovědní dobou delší než tři měsíce je příspěvková organizace oprávněna si pronajmout, převzít do pachtu nebo si vypůjčit nemovitý a movitý majetek, který nezbytně potřebuje k zajištění své hlavní činnosti, pouze po předchozím písemném souhlasu zřizovatele a v souladu s podmínkami stanovenými zřizovatelem. Příspěvková organizace může provádět opravy užívaného majetku pouze na základě zřizovatelem schváleného plánu oprav a investic.   </w:t>
            </w:r>
          </w:p>
        </w:tc>
      </w:tr>
      <w:tr w:rsidR="00FF6514" w:rsidRPr="00FF6514" w:rsidTr="00326D12">
        <w:tc>
          <w:tcPr>
            <w:tcW w:w="730"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13.</w:t>
            </w:r>
          </w:p>
        </w:tc>
        <w:tc>
          <w:tcPr>
            <w:tcW w:w="8564"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Finanční vztah příspěvkové organizace k rozpočtu zřizovatele, zejména výše příspěvku a závazné ukazatele pro hospodaření budou stanovovány zřizovatelem vždy na každý kalendářní rok. Příspěvková organizace je povinna zpracovat a předložit zřizovateli ke schválení plán oprav a investic k čerpání finančních prostředků investičního fondu na příslušný kalendářní rok a k čerpání finančních prostředků na opravy z provozního příspěvku na příslušný kalendářní rok.</w:t>
            </w:r>
          </w:p>
        </w:tc>
      </w:tr>
      <w:tr w:rsidR="00FF6514" w:rsidRPr="00FF6514" w:rsidTr="00326D12">
        <w:tc>
          <w:tcPr>
            <w:tcW w:w="730"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14.</w:t>
            </w:r>
          </w:p>
        </w:tc>
        <w:tc>
          <w:tcPr>
            <w:tcW w:w="8564"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Příspěvková organizace je povinna zřizovateli umožnit provádění kontroly své činnosti a svého hospodaření v rozsahu a způsobem, daným pokyny zřizovatele.</w:t>
            </w:r>
          </w:p>
        </w:tc>
      </w:tr>
      <w:tr w:rsidR="00FF6514" w:rsidRPr="00FF6514" w:rsidTr="00326D12">
        <w:tc>
          <w:tcPr>
            <w:tcW w:w="730"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15.</w:t>
            </w:r>
          </w:p>
        </w:tc>
        <w:tc>
          <w:tcPr>
            <w:tcW w:w="8564" w:type="dxa"/>
            <w:shd w:val="clear" w:color="auto" w:fill="auto"/>
          </w:tcPr>
          <w:p w:rsidR="00FF6514" w:rsidRPr="00FF6514" w:rsidRDefault="00FF6514" w:rsidP="00FF6514">
            <w:pPr>
              <w:tabs>
                <w:tab w:val="num" w:pos="680"/>
              </w:tabs>
              <w:spacing w:after="120"/>
              <w:jc w:val="both"/>
              <w:rPr>
                <w:rFonts w:ascii="Arial" w:hAnsi="Arial"/>
              </w:rPr>
            </w:pPr>
            <w:r w:rsidRPr="00FF6514">
              <w:rPr>
                <w:rFonts w:ascii="Arial" w:hAnsi="Arial"/>
              </w:rPr>
              <w:t xml:space="preserve">Majetková práva nevymezená příspěvkové organizaci touto zřizovací listinou </w:t>
            </w:r>
            <w:r w:rsidRPr="00FF6514">
              <w:rPr>
                <w:rFonts w:ascii="Arial" w:hAnsi="Arial"/>
              </w:rPr>
              <w:lastRenderedPageBreak/>
              <w:t>vykonává zřizovatel.</w:t>
            </w:r>
          </w:p>
        </w:tc>
      </w:tr>
    </w:tbl>
    <w:p w:rsidR="00531648" w:rsidRDefault="00531648" w:rsidP="00531648">
      <w:pPr>
        <w:pStyle w:val="HlavikaZL"/>
        <w:jc w:val="both"/>
        <w:rPr>
          <w:b w:val="0"/>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8"/>
        <w:gridCol w:w="8564"/>
      </w:tblGrid>
      <w:tr w:rsidR="001647B7" w:rsidRPr="005F6087" w:rsidTr="007E0F6F">
        <w:tc>
          <w:tcPr>
            <w:tcW w:w="9212" w:type="dxa"/>
            <w:gridSpan w:val="2"/>
          </w:tcPr>
          <w:p w:rsidR="001647B7" w:rsidRPr="005F6087" w:rsidRDefault="001647B7" w:rsidP="007E0F6F">
            <w:pPr>
              <w:spacing w:after="120"/>
              <w:jc w:val="center"/>
              <w:rPr>
                <w:rFonts w:ascii="Arial" w:hAnsi="Arial" w:cs="Arial"/>
              </w:rPr>
            </w:pPr>
            <w:r w:rsidRPr="005F6087">
              <w:rPr>
                <w:rFonts w:ascii="Arial" w:hAnsi="Arial" w:cs="Arial"/>
                <w:b/>
              </w:rPr>
              <w:t>VI.</w:t>
            </w:r>
          </w:p>
        </w:tc>
      </w:tr>
      <w:tr w:rsidR="001647B7" w:rsidRPr="005F6087" w:rsidTr="007E0F6F">
        <w:tc>
          <w:tcPr>
            <w:tcW w:w="9212" w:type="dxa"/>
            <w:gridSpan w:val="2"/>
          </w:tcPr>
          <w:p w:rsidR="001647B7" w:rsidRPr="005F6087" w:rsidRDefault="001647B7" w:rsidP="007E0F6F">
            <w:pPr>
              <w:pStyle w:val="Zkladntext3"/>
              <w:jc w:val="center"/>
              <w:rPr>
                <w:rFonts w:cs="Arial"/>
                <w:b/>
                <w:szCs w:val="24"/>
              </w:rPr>
            </w:pPr>
            <w:r w:rsidRPr="005F6087">
              <w:rPr>
                <w:b/>
              </w:rPr>
              <w:t>Okruhy doplňkové činnosti</w:t>
            </w:r>
          </w:p>
        </w:tc>
      </w:tr>
      <w:tr w:rsidR="001647B7" w:rsidRPr="005F6087" w:rsidTr="007E0F6F">
        <w:tc>
          <w:tcPr>
            <w:tcW w:w="648" w:type="dxa"/>
          </w:tcPr>
          <w:p w:rsidR="001647B7" w:rsidRPr="005F6087" w:rsidRDefault="001647B7" w:rsidP="007E0F6F">
            <w:pPr>
              <w:spacing w:after="120"/>
              <w:rPr>
                <w:rFonts w:ascii="Arial" w:hAnsi="Arial" w:cs="Arial"/>
              </w:rPr>
            </w:pPr>
            <w:r w:rsidRPr="005F6087">
              <w:rPr>
                <w:rFonts w:ascii="Arial" w:hAnsi="Arial" w:cs="Arial"/>
              </w:rPr>
              <w:t>1.</w:t>
            </w:r>
          </w:p>
        </w:tc>
        <w:tc>
          <w:tcPr>
            <w:tcW w:w="8564" w:type="dxa"/>
          </w:tcPr>
          <w:p w:rsidR="001647B7" w:rsidRPr="005F6087" w:rsidRDefault="001647B7" w:rsidP="007E0F6F">
            <w:pPr>
              <w:spacing w:after="120"/>
              <w:jc w:val="both"/>
              <w:rPr>
                <w:rFonts w:ascii="Arial" w:hAnsi="Arial" w:cs="Arial"/>
              </w:rPr>
            </w:pPr>
            <w:r w:rsidRPr="005F6087">
              <w:rPr>
                <w:rFonts w:ascii="Arial" w:hAnsi="Arial" w:cs="Arial"/>
              </w:rPr>
              <w:t>K lepšímu využití svých hospodářských možností a odborností svých zaměstnanců zřizovatel povoluje vykonávat příspěvkové organizaci tyto doplňkové činnosti:</w:t>
            </w:r>
          </w:p>
        </w:tc>
      </w:tr>
      <w:tr w:rsidR="001647B7" w:rsidRPr="005F6087" w:rsidTr="007E0F6F">
        <w:tc>
          <w:tcPr>
            <w:tcW w:w="648" w:type="dxa"/>
          </w:tcPr>
          <w:p w:rsidR="001647B7" w:rsidRPr="005F6087" w:rsidRDefault="001647B7" w:rsidP="007E0F6F">
            <w:pPr>
              <w:spacing w:after="120"/>
              <w:rPr>
                <w:rFonts w:ascii="Arial" w:hAnsi="Arial" w:cs="Arial"/>
              </w:rPr>
            </w:pPr>
            <w:r w:rsidRPr="005F6087">
              <w:rPr>
                <w:rFonts w:ascii="Arial" w:hAnsi="Arial" w:cs="Arial"/>
              </w:rPr>
              <w:t>2.</w:t>
            </w:r>
          </w:p>
        </w:tc>
        <w:tc>
          <w:tcPr>
            <w:tcW w:w="8564" w:type="dxa"/>
          </w:tcPr>
          <w:p w:rsidR="001647B7" w:rsidRPr="005F6087" w:rsidRDefault="001647B7" w:rsidP="001647B7">
            <w:pPr>
              <w:pStyle w:val="Odrky"/>
              <w:jc w:val="both"/>
              <w:rPr>
                <w:rFonts w:cs="Arial"/>
              </w:rPr>
            </w:pPr>
            <w:r w:rsidRPr="005F6087">
              <w:rPr>
                <w:rFonts w:cs="Arial"/>
              </w:rPr>
              <w:t xml:space="preserve">pronájem nemovitého majetku, včetně poskytování služeb zajišťujících jejich řádný provoz </w:t>
            </w:r>
          </w:p>
          <w:p w:rsidR="001647B7" w:rsidRPr="001647B7" w:rsidRDefault="001647B7" w:rsidP="007E0F6F">
            <w:pPr>
              <w:pStyle w:val="Odrky"/>
              <w:numPr>
                <w:ilvl w:val="0"/>
                <w:numId w:val="0"/>
              </w:numPr>
              <w:ind w:left="680"/>
              <w:rPr>
                <w:rFonts w:cs="Arial"/>
              </w:rPr>
            </w:pPr>
            <w:r w:rsidRPr="001647B7">
              <w:rPr>
                <w:rFonts w:cs="Arial"/>
              </w:rPr>
              <w:t>Výroba, obchod a služby neuvedené v přílohách 1-3 ŽZ</w:t>
            </w:r>
          </w:p>
          <w:p w:rsidR="001647B7" w:rsidRPr="005F6087" w:rsidRDefault="001647B7" w:rsidP="001647B7">
            <w:pPr>
              <w:pStyle w:val="Odrky"/>
              <w:jc w:val="both"/>
              <w:rPr>
                <w:rFonts w:cs="Arial"/>
              </w:rPr>
            </w:pPr>
            <w:r w:rsidRPr="005F6087">
              <w:rPr>
                <w:rFonts w:cs="Arial"/>
              </w:rPr>
              <w:t>mimoškolní výchova a vzdělávání, pořádání kurzů, školení včetně lektorské činnosti</w:t>
            </w:r>
          </w:p>
        </w:tc>
      </w:tr>
    </w:tbl>
    <w:p w:rsidR="00CE3DEB" w:rsidRDefault="00691985" w:rsidP="00CE3DEB">
      <w:pPr>
        <w:pStyle w:val="HlavikaZL"/>
        <w:spacing w:before="240" w:after="240"/>
        <w:jc w:val="both"/>
        <w:rPr>
          <w:b w:val="0"/>
        </w:rPr>
      </w:pPr>
      <w:r>
        <w:rPr>
          <w:b w:val="0"/>
        </w:rPr>
        <w:t>V ostatních částech</w:t>
      </w:r>
      <w:r w:rsidRPr="007B3785">
        <w:rPr>
          <w:b w:val="0"/>
        </w:rPr>
        <w:t xml:space="preserve"> zůstává zřizovací listina </w:t>
      </w:r>
      <w:r w:rsidR="000E3C3B">
        <w:rPr>
          <w:b w:val="0"/>
        </w:rPr>
        <w:t>beze změny.</w:t>
      </w:r>
    </w:p>
    <w:p w:rsidR="00CE3DEB" w:rsidRDefault="00CE3DEB" w:rsidP="00CE3DEB">
      <w:pPr>
        <w:pStyle w:val="HlavikaZL"/>
        <w:spacing w:before="240" w:after="240"/>
        <w:jc w:val="both"/>
        <w:rPr>
          <w:b w:val="0"/>
        </w:rPr>
      </w:pPr>
    </w:p>
    <w:p w:rsidR="00246C41" w:rsidRPr="00D67A4F" w:rsidRDefault="00246C41" w:rsidP="00CE3DEB">
      <w:pPr>
        <w:pStyle w:val="HlavikaZL"/>
        <w:spacing w:before="240" w:after="0"/>
        <w:jc w:val="both"/>
        <w:rPr>
          <w:b w:val="0"/>
        </w:rPr>
      </w:pPr>
      <w:r w:rsidRPr="00D67A4F">
        <w:rPr>
          <w:b w:val="0"/>
        </w:rPr>
        <w:t>Tento dodatek nabývá platnosti dnem jeho schválení Zastupitelstvem Ol</w:t>
      </w:r>
      <w:r w:rsidR="00FF6514">
        <w:rPr>
          <w:b w:val="0"/>
        </w:rPr>
        <w:t>omouckého kraje s účinností od 19</w:t>
      </w:r>
      <w:r w:rsidRPr="00D67A4F">
        <w:rPr>
          <w:b w:val="0"/>
        </w:rPr>
        <w:t xml:space="preserve">. </w:t>
      </w:r>
      <w:r w:rsidR="00FF6514">
        <w:rPr>
          <w:b w:val="0"/>
        </w:rPr>
        <w:t>9</w:t>
      </w:r>
      <w:r w:rsidRPr="00D67A4F">
        <w:rPr>
          <w:b w:val="0"/>
        </w:rPr>
        <w:t>. 201</w:t>
      </w:r>
      <w:r w:rsidR="009B432F">
        <w:rPr>
          <w:b w:val="0"/>
        </w:rPr>
        <w:t>4</w:t>
      </w:r>
      <w:r w:rsidRPr="00D67A4F">
        <w:rPr>
          <w:b w:val="0"/>
        </w:rPr>
        <w:t>.</w:t>
      </w:r>
    </w:p>
    <w:p w:rsidR="00246C41" w:rsidRDefault="00FF6514" w:rsidP="00CE3DEB">
      <w:pPr>
        <w:pStyle w:val="Bntext-odsazendole"/>
        <w:spacing w:before="120" w:after="0"/>
      </w:pPr>
      <w:r>
        <w:t>V Olomouci dne 19</w:t>
      </w:r>
      <w:r w:rsidR="00246C41">
        <w:t xml:space="preserve">. </w:t>
      </w:r>
      <w:r>
        <w:t>9</w:t>
      </w:r>
      <w:r w:rsidR="00246C41">
        <w:t>. 201</w:t>
      </w:r>
      <w:r w:rsidR="009B432F">
        <w:t>4</w:t>
      </w:r>
    </w:p>
    <w:p w:rsidR="00246C41" w:rsidRDefault="00246C41" w:rsidP="00CE3DEB">
      <w:pPr>
        <w:pStyle w:val="Hejtman-podpis"/>
        <w:spacing w:after="0"/>
        <w:jc w:val="center"/>
      </w:pPr>
      <w:r>
        <w:t xml:space="preserve">                         </w:t>
      </w:r>
      <w:r>
        <w:tab/>
      </w:r>
      <w:r>
        <w:tab/>
      </w:r>
      <w:r>
        <w:tab/>
      </w:r>
      <w:r>
        <w:tab/>
      </w:r>
      <w:r>
        <w:tab/>
      </w:r>
      <w:r>
        <w:tab/>
        <w:t xml:space="preserve">  Ing. </w:t>
      </w:r>
      <w:r w:rsidR="009B432F">
        <w:t>Jiří Rozbořil</w:t>
      </w:r>
    </w:p>
    <w:p w:rsidR="00294CFD" w:rsidRDefault="00246C41" w:rsidP="00246C41">
      <w:pPr>
        <w:pStyle w:val="Hejtman-podpis"/>
        <w:spacing w:after="0"/>
      </w:pPr>
      <w:r>
        <w:t>hejtman Olomouckého kraje</w:t>
      </w:r>
    </w:p>
    <w:p w:rsidR="001647B7" w:rsidRDefault="001647B7" w:rsidP="00246C41">
      <w:pPr>
        <w:pStyle w:val="Hejtman-podpis"/>
        <w:spacing w:after="0"/>
        <w:sectPr w:rsidR="001647B7" w:rsidSect="001456A9">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486"/>
          <w:cols w:space="708"/>
          <w:docGrid w:linePitch="360"/>
        </w:sectPr>
      </w:pPr>
    </w:p>
    <w:p w:rsidR="001647B7" w:rsidRPr="00BE4258" w:rsidRDefault="001647B7" w:rsidP="001647B7">
      <w:pPr>
        <w:rPr>
          <w:rFonts w:ascii="Arial" w:hAnsi="Arial" w:cs="Arial"/>
          <w:b/>
        </w:rPr>
      </w:pPr>
      <w:r w:rsidRPr="00597A14">
        <w:rPr>
          <w:rFonts w:ascii="Arial" w:hAnsi="Arial" w:cs="Arial"/>
          <w:b/>
        </w:rPr>
        <w:lastRenderedPageBreak/>
        <w:t>Příloha č. 1 Vymezení majetku v ho</w:t>
      </w:r>
      <w:r w:rsidR="00FF6514">
        <w:rPr>
          <w:rFonts w:ascii="Arial" w:hAnsi="Arial" w:cs="Arial"/>
          <w:b/>
        </w:rPr>
        <w:t>spodaření příspěvkové organizace:</w:t>
      </w:r>
    </w:p>
    <w:p w:rsidR="001647B7" w:rsidRPr="00597A14" w:rsidRDefault="001647B7" w:rsidP="001647B7">
      <w:pPr>
        <w:ind w:left="1068"/>
        <w:rPr>
          <w:rFonts w:ascii="Arial" w:hAnsi="Arial" w:cs="Arial"/>
          <w:b/>
          <w:color w:val="FF0000"/>
        </w:rPr>
      </w:pPr>
    </w:p>
    <w:p w:rsidR="001647B7" w:rsidRPr="00597A14" w:rsidRDefault="001647B7" w:rsidP="001647B7">
      <w:pPr>
        <w:numPr>
          <w:ilvl w:val="0"/>
          <w:numId w:val="3"/>
        </w:numPr>
        <w:rPr>
          <w:rFonts w:ascii="Arial" w:hAnsi="Arial" w:cs="Arial"/>
          <w:b/>
        </w:rPr>
      </w:pPr>
      <w:r w:rsidRPr="00597A14">
        <w:rPr>
          <w:rFonts w:ascii="Arial" w:hAnsi="Arial" w:cs="Arial"/>
          <w:b/>
        </w:rPr>
        <w:t xml:space="preserve">Nemovitý majetek – stavby </w:t>
      </w:r>
    </w:p>
    <w:p w:rsidR="001647B7" w:rsidRDefault="001647B7" w:rsidP="001647B7">
      <w:pPr>
        <w:ind w:firstLine="708"/>
        <w:rPr>
          <w:rFonts w:ascii="Arial" w:hAnsi="Arial" w:cs="Arial"/>
          <w:b/>
        </w:rPr>
      </w:pPr>
    </w:p>
    <w:p w:rsidR="001647B7" w:rsidRPr="001647B7" w:rsidRDefault="001647B7" w:rsidP="001647B7">
      <w:pPr>
        <w:ind w:firstLine="708"/>
        <w:rPr>
          <w:rFonts w:ascii="Arial" w:hAnsi="Arial" w:cs="Arial"/>
          <w:b/>
        </w:rPr>
      </w:pPr>
      <w:r w:rsidRPr="00485CC1">
        <w:rPr>
          <w:rFonts w:ascii="Arial" w:hAnsi="Arial" w:cs="Arial"/>
          <w:b/>
        </w:rPr>
        <w:t>A1) Stavby - budovy</w:t>
      </w:r>
      <w:r>
        <w:rPr>
          <w:rFonts w:ascii="Arial" w:hAnsi="Arial" w:cs="Arial"/>
          <w:b/>
        </w:rPr>
        <w:t xml:space="preserve"> ZAPSANÉ v katastru nemovitostí</w:t>
      </w:r>
    </w:p>
    <w:p w:rsidR="001647B7" w:rsidRPr="00CE22D9" w:rsidRDefault="001647B7" w:rsidP="001647B7">
      <w:pPr>
        <w:rPr>
          <w:rFonts w:ascii="Arial" w:hAnsi="Arial" w:cs="Arial"/>
          <w:b/>
        </w:rPr>
      </w:pPr>
    </w:p>
    <w:tbl>
      <w:tblPr>
        <w:tblStyle w:val="Mkatabulky"/>
        <w:tblW w:w="14748" w:type="dxa"/>
        <w:tblLayout w:type="fixed"/>
        <w:tblLook w:val="01E0" w:firstRow="1" w:lastRow="1" w:firstColumn="1" w:lastColumn="1" w:noHBand="0" w:noVBand="0"/>
      </w:tblPr>
      <w:tblGrid>
        <w:gridCol w:w="2450"/>
        <w:gridCol w:w="2451"/>
        <w:gridCol w:w="3498"/>
        <w:gridCol w:w="1447"/>
        <w:gridCol w:w="2451"/>
        <w:gridCol w:w="2451"/>
      </w:tblGrid>
      <w:tr w:rsidR="001647B7" w:rsidRPr="00173A96" w:rsidTr="007E0F6F">
        <w:trPr>
          <w:trHeight w:val="567"/>
        </w:trPr>
        <w:tc>
          <w:tcPr>
            <w:tcW w:w="2450" w:type="dxa"/>
            <w:tcBorders>
              <w:top w:val="single" w:sz="18" w:space="0" w:color="auto"/>
              <w:left w:val="single" w:sz="18" w:space="0" w:color="auto"/>
              <w:bottom w:val="single" w:sz="18" w:space="0" w:color="auto"/>
              <w:right w:val="single" w:sz="18" w:space="0" w:color="auto"/>
            </w:tcBorders>
            <w:vAlign w:val="center"/>
          </w:tcPr>
          <w:p w:rsidR="001647B7" w:rsidRPr="00173A96" w:rsidRDefault="001647B7" w:rsidP="007E0F6F">
            <w:pPr>
              <w:jc w:val="center"/>
              <w:rPr>
                <w:rFonts w:ascii="Arial" w:hAnsi="Arial" w:cs="Arial"/>
                <w:b/>
              </w:rPr>
            </w:pPr>
            <w:r w:rsidRPr="00173A96">
              <w:rPr>
                <w:rFonts w:ascii="Arial" w:hAnsi="Arial" w:cs="Arial"/>
                <w:b/>
              </w:rPr>
              <w:t>obec</w:t>
            </w:r>
          </w:p>
        </w:tc>
        <w:tc>
          <w:tcPr>
            <w:tcW w:w="2451" w:type="dxa"/>
            <w:tcBorders>
              <w:top w:val="single" w:sz="18" w:space="0" w:color="auto"/>
              <w:left w:val="single" w:sz="18" w:space="0" w:color="auto"/>
              <w:bottom w:val="single" w:sz="18" w:space="0" w:color="auto"/>
              <w:right w:val="single" w:sz="18" w:space="0" w:color="auto"/>
            </w:tcBorders>
            <w:vAlign w:val="center"/>
          </w:tcPr>
          <w:p w:rsidR="001647B7" w:rsidRPr="00D8279C" w:rsidRDefault="001647B7" w:rsidP="007E0F6F">
            <w:pPr>
              <w:jc w:val="center"/>
              <w:rPr>
                <w:rFonts w:ascii="Arial" w:hAnsi="Arial" w:cs="Arial"/>
                <w:b/>
              </w:rPr>
            </w:pPr>
            <w:r w:rsidRPr="00D8279C">
              <w:rPr>
                <w:rFonts w:ascii="Arial" w:hAnsi="Arial" w:cs="Arial"/>
                <w:b/>
              </w:rPr>
              <w:t>část obce</w:t>
            </w:r>
          </w:p>
        </w:tc>
        <w:tc>
          <w:tcPr>
            <w:tcW w:w="3498" w:type="dxa"/>
            <w:tcBorders>
              <w:top w:val="single" w:sz="18" w:space="0" w:color="auto"/>
              <w:left w:val="single" w:sz="18" w:space="0" w:color="auto"/>
              <w:bottom w:val="single" w:sz="18" w:space="0" w:color="auto"/>
              <w:right w:val="single" w:sz="18" w:space="0" w:color="auto"/>
            </w:tcBorders>
            <w:vAlign w:val="center"/>
          </w:tcPr>
          <w:p w:rsidR="001647B7" w:rsidRPr="00173A96" w:rsidRDefault="001647B7" w:rsidP="007E0F6F">
            <w:pPr>
              <w:jc w:val="center"/>
              <w:rPr>
                <w:rFonts w:ascii="Arial" w:hAnsi="Arial" w:cs="Arial"/>
                <w:b/>
              </w:rPr>
            </w:pPr>
            <w:r w:rsidRPr="00173A96">
              <w:rPr>
                <w:rFonts w:ascii="Arial" w:hAnsi="Arial" w:cs="Arial"/>
                <w:b/>
              </w:rPr>
              <w:t>katastrální území</w:t>
            </w:r>
          </w:p>
        </w:tc>
        <w:tc>
          <w:tcPr>
            <w:tcW w:w="1447" w:type="dxa"/>
            <w:tcBorders>
              <w:top w:val="single" w:sz="18" w:space="0" w:color="auto"/>
              <w:left w:val="single" w:sz="18" w:space="0" w:color="auto"/>
              <w:bottom w:val="single" w:sz="18" w:space="0" w:color="auto"/>
              <w:right w:val="single" w:sz="18" w:space="0" w:color="auto"/>
            </w:tcBorders>
            <w:vAlign w:val="center"/>
          </w:tcPr>
          <w:p w:rsidR="001647B7" w:rsidRPr="00173A96" w:rsidRDefault="001647B7" w:rsidP="007E0F6F">
            <w:pPr>
              <w:jc w:val="center"/>
              <w:rPr>
                <w:rFonts w:ascii="Arial" w:hAnsi="Arial" w:cs="Arial"/>
                <w:b/>
              </w:rPr>
            </w:pPr>
            <w:proofErr w:type="gramStart"/>
            <w:r w:rsidRPr="00173A96">
              <w:rPr>
                <w:rFonts w:ascii="Arial" w:hAnsi="Arial" w:cs="Arial"/>
                <w:b/>
              </w:rPr>
              <w:t>č.p.</w:t>
            </w:r>
            <w:proofErr w:type="gramEnd"/>
            <w:r w:rsidRPr="00173A96">
              <w:rPr>
                <w:rFonts w:ascii="Arial" w:hAnsi="Arial" w:cs="Arial"/>
                <w:b/>
              </w:rPr>
              <w:t>/</w:t>
            </w:r>
            <w:proofErr w:type="spellStart"/>
            <w:r w:rsidRPr="00173A96">
              <w:rPr>
                <w:rFonts w:ascii="Arial" w:hAnsi="Arial" w:cs="Arial"/>
                <w:b/>
              </w:rPr>
              <w:t>č.ev</w:t>
            </w:r>
            <w:proofErr w:type="spellEnd"/>
            <w:r w:rsidRPr="00173A96">
              <w:rPr>
                <w:rFonts w:ascii="Arial" w:hAnsi="Arial" w:cs="Arial"/>
                <w:b/>
              </w:rPr>
              <w:t>.</w:t>
            </w:r>
          </w:p>
        </w:tc>
        <w:tc>
          <w:tcPr>
            <w:tcW w:w="2451" w:type="dxa"/>
            <w:tcBorders>
              <w:top w:val="single" w:sz="18" w:space="0" w:color="auto"/>
              <w:left w:val="single" w:sz="18" w:space="0" w:color="auto"/>
              <w:bottom w:val="single" w:sz="18" w:space="0" w:color="auto"/>
              <w:right w:val="single" w:sz="18" w:space="0" w:color="auto"/>
            </w:tcBorders>
            <w:vAlign w:val="center"/>
          </w:tcPr>
          <w:p w:rsidR="001647B7" w:rsidRPr="00173A96" w:rsidRDefault="001647B7" w:rsidP="007E0F6F">
            <w:pPr>
              <w:jc w:val="center"/>
              <w:rPr>
                <w:rFonts w:ascii="Arial" w:hAnsi="Arial" w:cs="Arial"/>
                <w:b/>
              </w:rPr>
            </w:pPr>
            <w:r>
              <w:rPr>
                <w:rFonts w:ascii="Arial" w:hAnsi="Arial" w:cs="Arial"/>
                <w:b/>
              </w:rPr>
              <w:t>způsob využití</w:t>
            </w:r>
          </w:p>
        </w:tc>
        <w:tc>
          <w:tcPr>
            <w:tcW w:w="2451" w:type="dxa"/>
            <w:tcBorders>
              <w:top w:val="single" w:sz="18" w:space="0" w:color="auto"/>
              <w:left w:val="single" w:sz="18" w:space="0" w:color="auto"/>
              <w:bottom w:val="single" w:sz="18" w:space="0" w:color="auto"/>
              <w:right w:val="single" w:sz="18" w:space="0" w:color="auto"/>
            </w:tcBorders>
            <w:vAlign w:val="center"/>
          </w:tcPr>
          <w:p w:rsidR="001647B7" w:rsidRPr="00173A96" w:rsidRDefault="001647B7" w:rsidP="007E0F6F">
            <w:pPr>
              <w:jc w:val="center"/>
              <w:rPr>
                <w:rFonts w:ascii="Arial" w:hAnsi="Arial" w:cs="Arial"/>
                <w:b/>
              </w:rPr>
            </w:pPr>
            <w:r w:rsidRPr="00173A96">
              <w:rPr>
                <w:rFonts w:ascii="Arial" w:hAnsi="Arial" w:cs="Arial"/>
                <w:b/>
              </w:rPr>
              <w:t>na parcele č.</w:t>
            </w:r>
          </w:p>
        </w:tc>
      </w:tr>
      <w:tr w:rsidR="001647B7" w:rsidRPr="00173A96" w:rsidTr="007E0F6F">
        <w:trPr>
          <w:trHeight w:val="340"/>
        </w:trPr>
        <w:tc>
          <w:tcPr>
            <w:tcW w:w="2450" w:type="dxa"/>
            <w:tcBorders>
              <w:top w:val="single" w:sz="18" w:space="0" w:color="auto"/>
              <w:left w:val="single" w:sz="12" w:space="0" w:color="auto"/>
              <w:bottom w:val="single" w:sz="12" w:space="0" w:color="auto"/>
              <w:right w:val="single" w:sz="12" w:space="0" w:color="auto"/>
            </w:tcBorders>
            <w:vAlign w:val="center"/>
          </w:tcPr>
          <w:p w:rsidR="001647B7" w:rsidRPr="00173A96" w:rsidRDefault="001647B7" w:rsidP="007E0F6F">
            <w:pPr>
              <w:jc w:val="center"/>
              <w:rPr>
                <w:rFonts w:ascii="Arial" w:hAnsi="Arial" w:cs="Arial"/>
              </w:rPr>
            </w:pPr>
            <w:r>
              <w:rPr>
                <w:rFonts w:ascii="Arial" w:hAnsi="Arial" w:cs="Arial"/>
              </w:rPr>
              <w:t>Šternberk</w:t>
            </w:r>
          </w:p>
        </w:tc>
        <w:tc>
          <w:tcPr>
            <w:tcW w:w="2451" w:type="dxa"/>
            <w:tcBorders>
              <w:top w:val="single" w:sz="18" w:space="0" w:color="auto"/>
              <w:left w:val="single" w:sz="12" w:space="0" w:color="auto"/>
              <w:bottom w:val="single" w:sz="12" w:space="0" w:color="auto"/>
              <w:right w:val="single" w:sz="12" w:space="0" w:color="auto"/>
            </w:tcBorders>
            <w:vAlign w:val="center"/>
          </w:tcPr>
          <w:p w:rsidR="001647B7" w:rsidRPr="00173A96" w:rsidRDefault="001647B7" w:rsidP="007E0F6F">
            <w:pPr>
              <w:jc w:val="center"/>
              <w:rPr>
                <w:rFonts w:ascii="Arial" w:hAnsi="Arial" w:cs="Arial"/>
              </w:rPr>
            </w:pPr>
            <w:r>
              <w:rPr>
                <w:rFonts w:ascii="Arial" w:hAnsi="Arial" w:cs="Arial"/>
              </w:rPr>
              <w:t>Šternberk</w:t>
            </w:r>
          </w:p>
        </w:tc>
        <w:tc>
          <w:tcPr>
            <w:tcW w:w="3498" w:type="dxa"/>
            <w:tcBorders>
              <w:top w:val="single" w:sz="18" w:space="0" w:color="auto"/>
              <w:left w:val="single" w:sz="12" w:space="0" w:color="auto"/>
              <w:bottom w:val="single" w:sz="12" w:space="0" w:color="auto"/>
              <w:right w:val="single" w:sz="12" w:space="0" w:color="auto"/>
            </w:tcBorders>
            <w:vAlign w:val="center"/>
          </w:tcPr>
          <w:p w:rsidR="001647B7" w:rsidRPr="00173A96" w:rsidRDefault="001647B7" w:rsidP="007E0F6F">
            <w:pPr>
              <w:jc w:val="center"/>
              <w:rPr>
                <w:rFonts w:ascii="Arial" w:hAnsi="Arial" w:cs="Arial"/>
              </w:rPr>
            </w:pPr>
            <w:r>
              <w:rPr>
                <w:rFonts w:ascii="Arial" w:hAnsi="Arial" w:cs="Arial"/>
              </w:rPr>
              <w:t>Šternberk</w:t>
            </w:r>
          </w:p>
        </w:tc>
        <w:tc>
          <w:tcPr>
            <w:tcW w:w="1447" w:type="dxa"/>
            <w:tcBorders>
              <w:top w:val="single" w:sz="18" w:space="0" w:color="auto"/>
              <w:left w:val="single" w:sz="12" w:space="0" w:color="auto"/>
              <w:bottom w:val="single" w:sz="12" w:space="0" w:color="auto"/>
              <w:right w:val="single" w:sz="12" w:space="0" w:color="auto"/>
            </w:tcBorders>
            <w:vAlign w:val="center"/>
          </w:tcPr>
          <w:p w:rsidR="001647B7" w:rsidRPr="00173A96" w:rsidRDefault="001647B7" w:rsidP="007E0F6F">
            <w:pPr>
              <w:jc w:val="center"/>
              <w:rPr>
                <w:rFonts w:ascii="Arial" w:hAnsi="Arial" w:cs="Arial"/>
              </w:rPr>
            </w:pPr>
            <w:r>
              <w:rPr>
                <w:rFonts w:ascii="Arial" w:hAnsi="Arial" w:cs="Arial"/>
              </w:rPr>
              <w:t>2098/--</w:t>
            </w:r>
          </w:p>
        </w:tc>
        <w:tc>
          <w:tcPr>
            <w:tcW w:w="2451" w:type="dxa"/>
            <w:tcBorders>
              <w:top w:val="single" w:sz="18" w:space="0" w:color="auto"/>
              <w:left w:val="single" w:sz="12" w:space="0" w:color="auto"/>
              <w:bottom w:val="single" w:sz="12" w:space="0" w:color="auto"/>
              <w:right w:val="single" w:sz="12" w:space="0" w:color="auto"/>
            </w:tcBorders>
            <w:vAlign w:val="center"/>
          </w:tcPr>
          <w:p w:rsidR="001647B7" w:rsidRPr="00173A96" w:rsidRDefault="001647B7" w:rsidP="007E0F6F">
            <w:pPr>
              <w:jc w:val="center"/>
              <w:rPr>
                <w:rFonts w:ascii="Arial" w:hAnsi="Arial" w:cs="Arial"/>
              </w:rPr>
            </w:pPr>
            <w:proofErr w:type="spellStart"/>
            <w:r>
              <w:rPr>
                <w:rFonts w:ascii="Arial" w:hAnsi="Arial" w:cs="Arial"/>
              </w:rPr>
              <w:t>obč</w:t>
            </w:r>
            <w:proofErr w:type="spellEnd"/>
            <w:r>
              <w:rPr>
                <w:rFonts w:ascii="Arial" w:hAnsi="Arial" w:cs="Arial"/>
              </w:rPr>
              <w:t xml:space="preserve">. </w:t>
            </w:r>
            <w:proofErr w:type="spellStart"/>
            <w:r>
              <w:rPr>
                <w:rFonts w:ascii="Arial" w:hAnsi="Arial" w:cs="Arial"/>
              </w:rPr>
              <w:t>vyb</w:t>
            </w:r>
            <w:proofErr w:type="spellEnd"/>
            <w:r>
              <w:rPr>
                <w:rFonts w:ascii="Arial" w:hAnsi="Arial" w:cs="Arial"/>
              </w:rPr>
              <w:t>.</w:t>
            </w:r>
          </w:p>
        </w:tc>
        <w:tc>
          <w:tcPr>
            <w:tcW w:w="2451" w:type="dxa"/>
            <w:tcBorders>
              <w:top w:val="single" w:sz="18" w:space="0" w:color="auto"/>
              <w:left w:val="single" w:sz="12" w:space="0" w:color="auto"/>
              <w:bottom w:val="single" w:sz="12" w:space="0" w:color="auto"/>
              <w:right w:val="single" w:sz="12" w:space="0" w:color="auto"/>
            </w:tcBorders>
            <w:vAlign w:val="center"/>
          </w:tcPr>
          <w:p w:rsidR="001647B7" w:rsidRPr="00173A96" w:rsidRDefault="001647B7" w:rsidP="007E0F6F">
            <w:pPr>
              <w:jc w:val="center"/>
              <w:rPr>
                <w:rFonts w:ascii="Arial" w:hAnsi="Arial" w:cs="Arial"/>
              </w:rPr>
            </w:pPr>
            <w:r>
              <w:rPr>
                <w:rFonts w:ascii="Arial" w:hAnsi="Arial" w:cs="Arial"/>
              </w:rPr>
              <w:t>2156/2</w:t>
            </w:r>
          </w:p>
        </w:tc>
      </w:tr>
    </w:tbl>
    <w:p w:rsidR="001647B7" w:rsidRDefault="001647B7" w:rsidP="001647B7">
      <w:pPr>
        <w:tabs>
          <w:tab w:val="left" w:pos="0"/>
        </w:tabs>
        <w:jc w:val="both"/>
        <w:rPr>
          <w:rFonts w:ascii="Arial" w:hAnsi="Arial" w:cs="Arial"/>
          <w:b/>
        </w:rPr>
      </w:pPr>
    </w:p>
    <w:p w:rsidR="001647B7" w:rsidRDefault="001647B7" w:rsidP="001647B7">
      <w:pPr>
        <w:tabs>
          <w:tab w:val="left" w:pos="0"/>
        </w:tabs>
        <w:jc w:val="both"/>
        <w:rPr>
          <w:rFonts w:ascii="Arial" w:hAnsi="Arial" w:cs="Arial"/>
          <w:b/>
        </w:rPr>
      </w:pPr>
    </w:p>
    <w:p w:rsidR="001647B7" w:rsidRPr="00485CC1" w:rsidRDefault="001647B7" w:rsidP="001647B7">
      <w:pPr>
        <w:ind w:firstLine="708"/>
        <w:jc w:val="both"/>
        <w:rPr>
          <w:rFonts w:ascii="Arial" w:hAnsi="Arial" w:cs="Arial"/>
          <w:b/>
        </w:rPr>
      </w:pPr>
      <w:r w:rsidRPr="00485CC1">
        <w:rPr>
          <w:rFonts w:ascii="Arial" w:hAnsi="Arial" w:cs="Arial"/>
          <w:b/>
        </w:rPr>
        <w:t xml:space="preserve">B) </w:t>
      </w:r>
      <w:r>
        <w:rPr>
          <w:rFonts w:ascii="Arial" w:hAnsi="Arial" w:cs="Arial"/>
          <w:b/>
        </w:rPr>
        <w:t>Nemovitý majetek -p</w:t>
      </w:r>
      <w:r w:rsidRPr="00485CC1">
        <w:rPr>
          <w:rFonts w:ascii="Arial" w:hAnsi="Arial" w:cs="Arial"/>
          <w:b/>
        </w:rPr>
        <w:t>ozemky</w:t>
      </w:r>
    </w:p>
    <w:p w:rsidR="001647B7" w:rsidRPr="00173A96" w:rsidRDefault="001647B7" w:rsidP="001647B7">
      <w:pPr>
        <w:jc w:val="both"/>
        <w:rPr>
          <w:rFonts w:ascii="Arial" w:hAnsi="Arial" w:cs="Arial"/>
          <w:b/>
        </w:rPr>
      </w:pPr>
    </w:p>
    <w:tbl>
      <w:tblPr>
        <w:tblStyle w:val="Mkatabulky"/>
        <w:tblW w:w="14748" w:type="dxa"/>
        <w:tblLayout w:type="fixed"/>
        <w:tblLook w:val="01E0" w:firstRow="1" w:lastRow="1" w:firstColumn="1" w:lastColumn="1" w:noHBand="0" w:noVBand="0"/>
      </w:tblPr>
      <w:tblGrid>
        <w:gridCol w:w="4906"/>
        <w:gridCol w:w="8"/>
        <w:gridCol w:w="4915"/>
        <w:gridCol w:w="4919"/>
      </w:tblGrid>
      <w:tr w:rsidR="001647B7" w:rsidRPr="00173A96" w:rsidTr="007E0F6F">
        <w:trPr>
          <w:trHeight w:val="567"/>
        </w:trPr>
        <w:tc>
          <w:tcPr>
            <w:tcW w:w="4914" w:type="dxa"/>
            <w:gridSpan w:val="2"/>
            <w:tcBorders>
              <w:top w:val="single" w:sz="18" w:space="0" w:color="auto"/>
              <w:left w:val="single" w:sz="18" w:space="0" w:color="auto"/>
              <w:bottom w:val="single" w:sz="18" w:space="0" w:color="auto"/>
              <w:right w:val="single" w:sz="18" w:space="0" w:color="auto"/>
            </w:tcBorders>
            <w:vAlign w:val="center"/>
          </w:tcPr>
          <w:p w:rsidR="001647B7" w:rsidRPr="00173A96" w:rsidRDefault="001647B7" w:rsidP="007E0F6F">
            <w:pPr>
              <w:jc w:val="center"/>
              <w:rPr>
                <w:rFonts w:ascii="Arial" w:hAnsi="Arial" w:cs="Arial"/>
                <w:b/>
              </w:rPr>
            </w:pPr>
            <w:r w:rsidRPr="00173A96">
              <w:rPr>
                <w:rFonts w:ascii="Arial" w:hAnsi="Arial" w:cs="Arial"/>
                <w:b/>
              </w:rPr>
              <w:t>obec</w:t>
            </w:r>
          </w:p>
        </w:tc>
        <w:tc>
          <w:tcPr>
            <w:tcW w:w="4915" w:type="dxa"/>
            <w:tcBorders>
              <w:top w:val="single" w:sz="18" w:space="0" w:color="auto"/>
              <w:left w:val="single" w:sz="18" w:space="0" w:color="auto"/>
              <w:bottom w:val="single" w:sz="18" w:space="0" w:color="auto"/>
              <w:right w:val="single" w:sz="18" w:space="0" w:color="auto"/>
            </w:tcBorders>
            <w:vAlign w:val="center"/>
          </w:tcPr>
          <w:p w:rsidR="001647B7" w:rsidRPr="00173A96" w:rsidRDefault="001647B7" w:rsidP="007E0F6F">
            <w:pPr>
              <w:jc w:val="center"/>
              <w:rPr>
                <w:rFonts w:ascii="Arial" w:hAnsi="Arial" w:cs="Arial"/>
                <w:b/>
              </w:rPr>
            </w:pPr>
            <w:r w:rsidRPr="00173A96">
              <w:rPr>
                <w:rFonts w:ascii="Arial" w:hAnsi="Arial" w:cs="Arial"/>
                <w:b/>
              </w:rPr>
              <w:t>katastrální území</w:t>
            </w:r>
          </w:p>
        </w:tc>
        <w:tc>
          <w:tcPr>
            <w:tcW w:w="4919" w:type="dxa"/>
            <w:tcBorders>
              <w:top w:val="single" w:sz="18" w:space="0" w:color="auto"/>
              <w:left w:val="single" w:sz="18" w:space="0" w:color="auto"/>
              <w:bottom w:val="single" w:sz="18" w:space="0" w:color="auto"/>
              <w:right w:val="single" w:sz="18" w:space="0" w:color="auto"/>
            </w:tcBorders>
            <w:vAlign w:val="center"/>
          </w:tcPr>
          <w:p w:rsidR="001647B7" w:rsidRPr="00173A96" w:rsidRDefault="001647B7" w:rsidP="007E0F6F">
            <w:pPr>
              <w:jc w:val="center"/>
              <w:rPr>
                <w:rFonts w:ascii="Arial" w:hAnsi="Arial" w:cs="Arial"/>
                <w:b/>
              </w:rPr>
            </w:pPr>
            <w:r>
              <w:rPr>
                <w:rFonts w:ascii="Arial" w:hAnsi="Arial" w:cs="Arial"/>
                <w:b/>
              </w:rPr>
              <w:t>parcela č.</w:t>
            </w:r>
          </w:p>
        </w:tc>
      </w:tr>
      <w:tr w:rsidR="001647B7" w:rsidRPr="00173A96" w:rsidTr="007E0F6F">
        <w:trPr>
          <w:trHeight w:val="340"/>
        </w:trPr>
        <w:tc>
          <w:tcPr>
            <w:tcW w:w="4906" w:type="dxa"/>
            <w:tcBorders>
              <w:top w:val="single" w:sz="18" w:space="0" w:color="auto"/>
              <w:left w:val="single" w:sz="12" w:space="0" w:color="auto"/>
              <w:bottom w:val="single" w:sz="12" w:space="0" w:color="auto"/>
              <w:right w:val="single" w:sz="12" w:space="0" w:color="auto"/>
            </w:tcBorders>
            <w:vAlign w:val="center"/>
          </w:tcPr>
          <w:p w:rsidR="001647B7" w:rsidRPr="00173A96" w:rsidRDefault="001647B7" w:rsidP="007E0F6F">
            <w:pPr>
              <w:jc w:val="center"/>
              <w:rPr>
                <w:rFonts w:ascii="Arial" w:hAnsi="Arial" w:cs="Arial"/>
              </w:rPr>
            </w:pPr>
            <w:r>
              <w:rPr>
                <w:rFonts w:ascii="Arial" w:hAnsi="Arial" w:cs="Arial"/>
              </w:rPr>
              <w:t>Šternberk</w:t>
            </w:r>
          </w:p>
        </w:tc>
        <w:tc>
          <w:tcPr>
            <w:tcW w:w="4923" w:type="dxa"/>
            <w:gridSpan w:val="2"/>
            <w:tcBorders>
              <w:top w:val="single" w:sz="18" w:space="0" w:color="auto"/>
              <w:left w:val="single" w:sz="12" w:space="0" w:color="auto"/>
              <w:bottom w:val="single" w:sz="12" w:space="0" w:color="auto"/>
              <w:right w:val="single" w:sz="12" w:space="0" w:color="auto"/>
            </w:tcBorders>
            <w:vAlign w:val="center"/>
          </w:tcPr>
          <w:p w:rsidR="001647B7" w:rsidRPr="00173A96" w:rsidRDefault="001647B7" w:rsidP="007E0F6F">
            <w:pPr>
              <w:jc w:val="center"/>
              <w:rPr>
                <w:rFonts w:ascii="Arial" w:hAnsi="Arial" w:cs="Arial"/>
              </w:rPr>
            </w:pPr>
            <w:r>
              <w:rPr>
                <w:rFonts w:ascii="Arial" w:hAnsi="Arial" w:cs="Arial"/>
              </w:rPr>
              <w:t>Šternberk</w:t>
            </w:r>
          </w:p>
        </w:tc>
        <w:tc>
          <w:tcPr>
            <w:tcW w:w="4919" w:type="dxa"/>
            <w:tcBorders>
              <w:top w:val="single" w:sz="18" w:space="0" w:color="auto"/>
              <w:left w:val="single" w:sz="12" w:space="0" w:color="auto"/>
              <w:bottom w:val="single" w:sz="12" w:space="0" w:color="auto"/>
              <w:right w:val="single" w:sz="12" w:space="0" w:color="auto"/>
            </w:tcBorders>
            <w:vAlign w:val="center"/>
          </w:tcPr>
          <w:p w:rsidR="001647B7" w:rsidRPr="00173A96" w:rsidRDefault="001647B7" w:rsidP="007E0F6F">
            <w:pPr>
              <w:jc w:val="center"/>
              <w:rPr>
                <w:rFonts w:ascii="Arial" w:hAnsi="Arial" w:cs="Arial"/>
              </w:rPr>
            </w:pPr>
            <w:r>
              <w:rPr>
                <w:rFonts w:ascii="Arial" w:hAnsi="Arial" w:cs="Arial"/>
              </w:rPr>
              <w:t>2156/2</w:t>
            </w:r>
          </w:p>
        </w:tc>
      </w:tr>
    </w:tbl>
    <w:p w:rsidR="001647B7" w:rsidRDefault="001647B7" w:rsidP="001647B7">
      <w:pPr>
        <w:rPr>
          <w:rFonts w:ascii="Arial" w:hAnsi="Arial" w:cs="Arial"/>
          <w:b/>
        </w:rPr>
      </w:pPr>
    </w:p>
    <w:p w:rsidR="001647B7" w:rsidRDefault="001647B7" w:rsidP="001647B7">
      <w:pPr>
        <w:rPr>
          <w:rFonts w:ascii="Arial" w:hAnsi="Arial" w:cs="Arial"/>
          <w:b/>
        </w:rPr>
      </w:pPr>
    </w:p>
    <w:p w:rsidR="001647B7" w:rsidRDefault="001647B7" w:rsidP="001647B7">
      <w:pPr>
        <w:rPr>
          <w:rFonts w:ascii="Arial" w:hAnsi="Arial" w:cs="Arial"/>
          <w:b/>
        </w:rPr>
      </w:pPr>
      <w:r>
        <w:rPr>
          <w:rFonts w:ascii="Arial" w:hAnsi="Arial" w:cs="Arial"/>
          <w:b/>
        </w:rPr>
        <w:t xml:space="preserve">C) Ostatní majetek </w:t>
      </w:r>
    </w:p>
    <w:p w:rsidR="001647B7" w:rsidRDefault="001647B7" w:rsidP="001647B7">
      <w:pPr>
        <w:jc w:val="both"/>
        <w:rPr>
          <w:rFonts w:ascii="Arial" w:hAnsi="Arial" w:cs="Arial"/>
          <w:i/>
          <w:color w:val="3333FF"/>
          <w:shd w:val="clear" w:color="auto" w:fill="FFFFFF"/>
        </w:rPr>
      </w:pPr>
    </w:p>
    <w:p w:rsidR="001647B7" w:rsidRDefault="001647B7" w:rsidP="001647B7">
      <w:pPr>
        <w:jc w:val="both"/>
        <w:rPr>
          <w:rFonts w:ascii="Arial" w:hAnsi="Arial" w:cs="Arial"/>
          <w:shd w:val="clear" w:color="auto" w:fill="FFFFFF"/>
        </w:rPr>
      </w:pPr>
      <w:r>
        <w:rPr>
          <w:rFonts w:ascii="Arial" w:hAnsi="Arial" w:cs="Arial"/>
          <w:shd w:val="clear" w:color="auto" w:fill="FFFFFF"/>
        </w:rPr>
        <w:t>Zřizovatel předává příspěvkové organizaci k hospodaření ostatní majetek, a to v rozsahu vymezeném inventarizací majetku ke dni 31. 12. 2013, který je definován v inventurních soupisech.</w:t>
      </w:r>
    </w:p>
    <w:p w:rsidR="001647B7" w:rsidRDefault="001647B7" w:rsidP="00246C41">
      <w:pPr>
        <w:pStyle w:val="Hejtman-podpis"/>
        <w:spacing w:after="0"/>
      </w:pPr>
    </w:p>
    <w:sectPr w:rsidR="001647B7" w:rsidSect="001456A9">
      <w:footerReference w:type="defaul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E8C" w:rsidRDefault="00730E8C">
      <w:r>
        <w:separator/>
      </w:r>
    </w:p>
  </w:endnote>
  <w:endnote w:type="continuationSeparator" w:id="0">
    <w:p w:rsidR="00730E8C" w:rsidRDefault="00730E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A9" w:rsidRDefault="001456A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4F" w:rsidRPr="002619C7" w:rsidRDefault="00CC0BD5" w:rsidP="009842E3">
    <w:pPr>
      <w:pStyle w:val="Zpat"/>
      <w:pBdr>
        <w:top w:val="single" w:sz="4" w:space="1" w:color="auto"/>
      </w:pBdr>
      <w:rPr>
        <w:rFonts w:ascii="Arial" w:hAnsi="Arial" w:cs="Arial"/>
        <w:i/>
        <w:sz w:val="20"/>
        <w:szCs w:val="20"/>
      </w:rPr>
    </w:pPr>
    <w:r>
      <w:rPr>
        <w:rFonts w:ascii="Arial" w:hAnsi="Arial" w:cs="Arial"/>
        <w:i/>
        <w:sz w:val="20"/>
        <w:szCs w:val="20"/>
      </w:rPr>
      <w:t>Zastupitelstvo</w:t>
    </w:r>
    <w:r w:rsidR="00FF6514">
      <w:rPr>
        <w:rFonts w:ascii="Arial" w:hAnsi="Arial" w:cs="Arial"/>
        <w:i/>
        <w:sz w:val="20"/>
        <w:szCs w:val="20"/>
      </w:rPr>
      <w:t xml:space="preserve"> Olomouckého kraje 19. </w:t>
    </w:r>
    <w:r>
      <w:rPr>
        <w:rFonts w:ascii="Arial" w:hAnsi="Arial" w:cs="Arial"/>
        <w:i/>
        <w:sz w:val="20"/>
        <w:szCs w:val="20"/>
      </w:rPr>
      <w:t>9</w:t>
    </w:r>
    <w:r w:rsidR="00FF6514">
      <w:rPr>
        <w:rFonts w:ascii="Arial" w:hAnsi="Arial" w:cs="Arial"/>
        <w:i/>
        <w:sz w:val="20"/>
        <w:szCs w:val="20"/>
      </w:rPr>
      <w:t>. 2014</w:t>
    </w:r>
    <w:r w:rsidR="00D67A4F" w:rsidRPr="002619C7">
      <w:rPr>
        <w:rFonts w:ascii="Arial" w:hAnsi="Arial" w:cs="Arial"/>
        <w:i/>
        <w:sz w:val="20"/>
        <w:szCs w:val="20"/>
      </w:rPr>
      <w:tab/>
    </w:r>
    <w:r w:rsidR="00D67A4F" w:rsidRPr="002619C7">
      <w:rPr>
        <w:rFonts w:ascii="Arial" w:hAnsi="Arial" w:cs="Arial"/>
        <w:i/>
        <w:sz w:val="20"/>
        <w:szCs w:val="20"/>
      </w:rPr>
      <w:ptab w:relativeTo="margin" w:alignment="right" w:leader="none"/>
    </w:r>
    <w:r w:rsidR="00D67A4F" w:rsidRPr="002619C7">
      <w:rPr>
        <w:rFonts w:ascii="Arial" w:hAnsi="Arial" w:cs="Arial"/>
        <w:i/>
        <w:sz w:val="20"/>
        <w:szCs w:val="20"/>
      </w:rPr>
      <w:t>strana</w:t>
    </w:r>
    <w:r w:rsidR="00D67A4F">
      <w:rPr>
        <w:rFonts w:ascii="Arial" w:hAnsi="Arial" w:cs="Arial"/>
        <w:i/>
        <w:sz w:val="20"/>
        <w:szCs w:val="20"/>
      </w:rPr>
      <w:t xml:space="preserve"> </w:t>
    </w:r>
    <w:r w:rsidR="00144B84">
      <w:rPr>
        <w:rStyle w:val="slostrnky"/>
        <w:rFonts w:ascii="Arial" w:hAnsi="Arial" w:cs="Arial"/>
        <w:i/>
        <w:sz w:val="20"/>
        <w:szCs w:val="20"/>
      </w:rPr>
      <w:fldChar w:fldCharType="begin"/>
    </w:r>
    <w:r w:rsidR="00144B84">
      <w:rPr>
        <w:rStyle w:val="slostrnky"/>
        <w:rFonts w:ascii="Arial" w:hAnsi="Arial" w:cs="Arial"/>
        <w:i/>
        <w:sz w:val="20"/>
        <w:szCs w:val="20"/>
      </w:rPr>
      <w:instrText xml:space="preserve"> PAGE   \* MERGEFORMAT </w:instrText>
    </w:r>
    <w:r w:rsidR="00144B84">
      <w:rPr>
        <w:rStyle w:val="slostrnky"/>
        <w:rFonts w:ascii="Arial" w:hAnsi="Arial" w:cs="Arial"/>
        <w:i/>
        <w:sz w:val="20"/>
        <w:szCs w:val="20"/>
      </w:rPr>
      <w:fldChar w:fldCharType="separate"/>
    </w:r>
    <w:r w:rsidR="005A3B9B">
      <w:rPr>
        <w:rStyle w:val="slostrnky"/>
        <w:rFonts w:ascii="Arial" w:hAnsi="Arial" w:cs="Arial"/>
        <w:i/>
        <w:noProof/>
        <w:sz w:val="20"/>
        <w:szCs w:val="20"/>
      </w:rPr>
      <w:t>486</w:t>
    </w:r>
    <w:r w:rsidR="00144B84">
      <w:rPr>
        <w:rStyle w:val="slostrnky"/>
        <w:rFonts w:ascii="Arial" w:hAnsi="Arial" w:cs="Arial"/>
        <w:i/>
        <w:sz w:val="20"/>
        <w:szCs w:val="20"/>
      </w:rPr>
      <w:fldChar w:fldCharType="end"/>
    </w:r>
    <w:r w:rsidR="00D67A4F">
      <w:rPr>
        <w:rStyle w:val="slostrnky"/>
        <w:rFonts w:ascii="Arial" w:hAnsi="Arial" w:cs="Arial"/>
        <w:i/>
        <w:sz w:val="20"/>
        <w:szCs w:val="20"/>
      </w:rPr>
      <w:t xml:space="preserve"> (celkem </w:t>
    </w:r>
    <w:r w:rsidR="00355387">
      <w:rPr>
        <w:rStyle w:val="slostrnky"/>
        <w:rFonts w:ascii="Arial" w:hAnsi="Arial" w:cs="Arial"/>
        <w:i/>
        <w:sz w:val="20"/>
        <w:szCs w:val="20"/>
      </w:rPr>
      <w:t>803</w:t>
    </w:r>
    <w:r w:rsidR="00D67A4F" w:rsidRPr="002619C7">
      <w:rPr>
        <w:rStyle w:val="slostrnky"/>
        <w:rFonts w:ascii="Arial" w:hAnsi="Arial" w:cs="Arial"/>
        <w:i/>
        <w:sz w:val="20"/>
        <w:szCs w:val="20"/>
      </w:rPr>
      <w:t>)</w:t>
    </w:r>
  </w:p>
  <w:p w:rsidR="00D67A4F" w:rsidRPr="002619C7" w:rsidRDefault="00FF6514" w:rsidP="009842E3">
    <w:pPr>
      <w:pStyle w:val="Zpat"/>
      <w:rPr>
        <w:rFonts w:ascii="Arial" w:hAnsi="Arial" w:cs="Arial"/>
        <w:i/>
        <w:sz w:val="20"/>
        <w:szCs w:val="20"/>
      </w:rPr>
    </w:pPr>
    <w:r>
      <w:rPr>
        <w:rFonts w:ascii="Arial" w:hAnsi="Arial" w:cs="Arial"/>
        <w:i/>
        <w:sz w:val="20"/>
        <w:szCs w:val="20"/>
      </w:rPr>
      <w:t>4.2</w:t>
    </w:r>
    <w:r w:rsidR="00D67A4F" w:rsidRPr="002619C7">
      <w:rPr>
        <w:rFonts w:ascii="Arial" w:hAnsi="Arial" w:cs="Arial"/>
        <w:i/>
        <w:sz w:val="20"/>
        <w:szCs w:val="20"/>
      </w:rPr>
      <w:t xml:space="preserve"> – Dodatky zřizovacích listin školských příspěvkových organizací</w:t>
    </w:r>
  </w:p>
  <w:p w:rsidR="00D67A4F" w:rsidRPr="0051669C" w:rsidRDefault="00D67A4F">
    <w:pPr>
      <w:pStyle w:val="Zpat"/>
      <w:rPr>
        <w:rFonts w:ascii="Arial" w:hAnsi="Arial" w:cs="Arial"/>
        <w:i/>
        <w:sz w:val="20"/>
        <w:szCs w:val="20"/>
      </w:rPr>
    </w:pPr>
    <w:r>
      <w:rPr>
        <w:rFonts w:ascii="Arial" w:hAnsi="Arial" w:cs="Arial"/>
        <w:i/>
        <w:sz w:val="20"/>
        <w:szCs w:val="20"/>
      </w:rPr>
      <w:t>Příloha č. 6</w:t>
    </w:r>
    <w:r w:rsidR="001647B7">
      <w:rPr>
        <w:rFonts w:ascii="Arial" w:hAnsi="Arial" w:cs="Arial"/>
        <w:i/>
        <w:sz w:val="20"/>
        <w:szCs w:val="20"/>
      </w:rPr>
      <w:t>7</w:t>
    </w:r>
    <w:r w:rsidRPr="002619C7">
      <w:rPr>
        <w:rFonts w:ascii="Arial" w:hAnsi="Arial" w:cs="Arial"/>
        <w:i/>
        <w:sz w:val="20"/>
        <w:szCs w:val="20"/>
      </w:rPr>
      <w:t xml:space="preserve"> – Dodatek č.</w:t>
    </w:r>
    <w:r w:rsidR="003A0C7E">
      <w:rPr>
        <w:rFonts w:ascii="Arial" w:hAnsi="Arial" w:cs="Arial"/>
        <w:i/>
        <w:sz w:val="20"/>
        <w:szCs w:val="20"/>
      </w:rPr>
      <w:t xml:space="preserve"> </w:t>
    </w:r>
    <w:r>
      <w:rPr>
        <w:rFonts w:ascii="Arial" w:hAnsi="Arial" w:cs="Arial"/>
        <w:i/>
        <w:sz w:val="20"/>
        <w:szCs w:val="20"/>
      </w:rPr>
      <w:t>1</w:t>
    </w:r>
    <w:r w:rsidR="00531648">
      <w:rPr>
        <w:rFonts w:ascii="Arial" w:hAnsi="Arial" w:cs="Arial"/>
        <w:i/>
        <w:sz w:val="20"/>
        <w:szCs w:val="20"/>
      </w:rPr>
      <w:t>1</w:t>
    </w:r>
    <w:r w:rsidRPr="002619C7">
      <w:rPr>
        <w:rFonts w:ascii="Arial" w:hAnsi="Arial" w:cs="Arial"/>
        <w:i/>
        <w:sz w:val="20"/>
        <w:szCs w:val="20"/>
      </w:rPr>
      <w:t xml:space="preserve"> ke zřizovací listině </w:t>
    </w:r>
    <w:r>
      <w:rPr>
        <w:rFonts w:ascii="Arial" w:hAnsi="Arial" w:cs="Arial"/>
        <w:i/>
        <w:sz w:val="20"/>
        <w:szCs w:val="20"/>
      </w:rPr>
      <w:t>Základní školy Šternberk, Olomoucká 76</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A9" w:rsidRDefault="001456A9">
    <w:pPr>
      <w:pStyle w:val="Zp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A9" w:rsidRPr="002619C7" w:rsidRDefault="001456A9" w:rsidP="009842E3">
    <w:pPr>
      <w:pStyle w:val="Zpat"/>
      <w:pBdr>
        <w:top w:val="single" w:sz="4" w:space="1" w:color="auto"/>
      </w:pBdr>
      <w:rPr>
        <w:rFonts w:ascii="Arial" w:hAnsi="Arial" w:cs="Arial"/>
        <w:i/>
        <w:sz w:val="20"/>
        <w:szCs w:val="20"/>
      </w:rPr>
    </w:pPr>
    <w:r>
      <w:rPr>
        <w:rFonts w:ascii="Arial" w:hAnsi="Arial" w:cs="Arial"/>
        <w:i/>
        <w:sz w:val="20"/>
        <w:szCs w:val="20"/>
      </w:rPr>
      <w:t>Zastupitelstvo Olomouckého kraje 19. 9. 2014</w:t>
    </w:r>
    <w:r w:rsidRPr="002619C7">
      <w:rPr>
        <w:rFonts w:ascii="Arial" w:hAnsi="Arial" w:cs="Arial"/>
        <w:i/>
        <w:sz w:val="20"/>
        <w:szCs w:val="20"/>
      </w:rPr>
      <w:tab/>
    </w:r>
    <w:r w:rsidRPr="002619C7">
      <w:rPr>
        <w:rFonts w:ascii="Arial" w:hAnsi="Arial" w:cs="Arial"/>
        <w:i/>
        <w:sz w:val="20"/>
        <w:szCs w:val="20"/>
      </w:rPr>
      <w:ptab w:relativeTo="margin" w:alignment="right" w:leader="none"/>
    </w:r>
    <w:r w:rsidRPr="002619C7">
      <w:rPr>
        <w:rFonts w:ascii="Arial" w:hAnsi="Arial" w:cs="Arial"/>
        <w:i/>
        <w:sz w:val="20"/>
        <w:szCs w:val="20"/>
      </w:rPr>
      <w:t>strana</w:t>
    </w:r>
    <w:r>
      <w:rPr>
        <w:rFonts w:ascii="Arial" w:hAnsi="Arial" w:cs="Arial"/>
        <w:i/>
        <w:sz w:val="20"/>
        <w:szCs w:val="20"/>
      </w:rPr>
      <w:t xml:space="preserve"> </w:t>
    </w:r>
    <w:r>
      <w:rPr>
        <w:rStyle w:val="slostrnky"/>
        <w:rFonts w:ascii="Arial" w:hAnsi="Arial" w:cs="Arial"/>
        <w:i/>
        <w:sz w:val="20"/>
        <w:szCs w:val="20"/>
      </w:rPr>
      <w:fldChar w:fldCharType="begin"/>
    </w:r>
    <w:r>
      <w:rPr>
        <w:rStyle w:val="slostrnky"/>
        <w:rFonts w:ascii="Arial" w:hAnsi="Arial" w:cs="Arial"/>
        <w:i/>
        <w:sz w:val="20"/>
        <w:szCs w:val="20"/>
      </w:rPr>
      <w:instrText xml:space="preserve"> PAGE   \* MERGEFORMAT </w:instrText>
    </w:r>
    <w:r>
      <w:rPr>
        <w:rStyle w:val="slostrnky"/>
        <w:rFonts w:ascii="Arial" w:hAnsi="Arial" w:cs="Arial"/>
        <w:i/>
        <w:sz w:val="20"/>
        <w:szCs w:val="20"/>
      </w:rPr>
      <w:fldChar w:fldCharType="separate"/>
    </w:r>
    <w:r w:rsidR="005A3B9B">
      <w:rPr>
        <w:rStyle w:val="slostrnky"/>
        <w:rFonts w:ascii="Arial" w:hAnsi="Arial" w:cs="Arial"/>
        <w:i/>
        <w:noProof/>
        <w:sz w:val="20"/>
        <w:szCs w:val="20"/>
      </w:rPr>
      <w:t>491</w:t>
    </w:r>
    <w:r>
      <w:rPr>
        <w:rStyle w:val="slostrnky"/>
        <w:rFonts w:ascii="Arial" w:hAnsi="Arial" w:cs="Arial"/>
        <w:i/>
        <w:sz w:val="20"/>
        <w:szCs w:val="20"/>
      </w:rPr>
      <w:fldChar w:fldCharType="end"/>
    </w:r>
    <w:r w:rsidR="00355387">
      <w:rPr>
        <w:rStyle w:val="slostrnky"/>
        <w:rFonts w:ascii="Arial" w:hAnsi="Arial" w:cs="Arial"/>
        <w:i/>
        <w:sz w:val="20"/>
        <w:szCs w:val="20"/>
      </w:rPr>
      <w:t xml:space="preserve"> (celkem 803</w:t>
    </w:r>
    <w:r w:rsidRPr="002619C7">
      <w:rPr>
        <w:rStyle w:val="slostrnky"/>
        <w:rFonts w:ascii="Arial" w:hAnsi="Arial" w:cs="Arial"/>
        <w:i/>
        <w:sz w:val="20"/>
        <w:szCs w:val="20"/>
      </w:rPr>
      <w:t>)</w:t>
    </w:r>
  </w:p>
  <w:p w:rsidR="001456A9" w:rsidRPr="002619C7" w:rsidRDefault="001456A9" w:rsidP="009842E3">
    <w:pPr>
      <w:pStyle w:val="Zpat"/>
      <w:rPr>
        <w:rFonts w:ascii="Arial" w:hAnsi="Arial" w:cs="Arial"/>
        <w:i/>
        <w:sz w:val="20"/>
        <w:szCs w:val="20"/>
      </w:rPr>
    </w:pPr>
    <w:r>
      <w:rPr>
        <w:rFonts w:ascii="Arial" w:hAnsi="Arial" w:cs="Arial"/>
        <w:i/>
        <w:sz w:val="20"/>
        <w:szCs w:val="20"/>
      </w:rPr>
      <w:t>4.2</w:t>
    </w:r>
    <w:r w:rsidRPr="002619C7">
      <w:rPr>
        <w:rFonts w:ascii="Arial" w:hAnsi="Arial" w:cs="Arial"/>
        <w:i/>
        <w:sz w:val="20"/>
        <w:szCs w:val="20"/>
      </w:rPr>
      <w:t xml:space="preserve"> – Dodatky zřizovacích listin školských příspěvkových organizací</w:t>
    </w:r>
  </w:p>
  <w:p w:rsidR="001456A9" w:rsidRPr="0051669C" w:rsidRDefault="001456A9">
    <w:pPr>
      <w:pStyle w:val="Zpat"/>
      <w:rPr>
        <w:rFonts w:ascii="Arial" w:hAnsi="Arial" w:cs="Arial"/>
        <w:i/>
        <w:sz w:val="20"/>
        <w:szCs w:val="20"/>
      </w:rPr>
    </w:pPr>
    <w:r>
      <w:rPr>
        <w:rFonts w:ascii="Arial" w:hAnsi="Arial" w:cs="Arial"/>
        <w:i/>
        <w:sz w:val="20"/>
        <w:szCs w:val="20"/>
      </w:rPr>
      <w:t>Příloha č. 67</w:t>
    </w:r>
    <w:r w:rsidRPr="002619C7">
      <w:rPr>
        <w:rFonts w:ascii="Arial" w:hAnsi="Arial" w:cs="Arial"/>
        <w:i/>
        <w:sz w:val="20"/>
        <w:szCs w:val="20"/>
      </w:rPr>
      <w:t xml:space="preserve"> – Dodatek č.</w:t>
    </w:r>
    <w:r>
      <w:rPr>
        <w:rFonts w:ascii="Arial" w:hAnsi="Arial" w:cs="Arial"/>
        <w:i/>
        <w:sz w:val="20"/>
        <w:szCs w:val="20"/>
      </w:rPr>
      <w:t xml:space="preserve"> 11</w:t>
    </w:r>
    <w:r w:rsidRPr="002619C7">
      <w:rPr>
        <w:rFonts w:ascii="Arial" w:hAnsi="Arial" w:cs="Arial"/>
        <w:i/>
        <w:sz w:val="20"/>
        <w:szCs w:val="20"/>
      </w:rPr>
      <w:t xml:space="preserve"> ke zřizovací listině </w:t>
    </w:r>
    <w:r>
      <w:rPr>
        <w:rFonts w:ascii="Arial" w:hAnsi="Arial" w:cs="Arial"/>
        <w:i/>
        <w:sz w:val="20"/>
        <w:szCs w:val="20"/>
      </w:rPr>
      <w:t>Základní školy Šternberk, Olomoucká 76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E8C" w:rsidRDefault="00730E8C">
      <w:r>
        <w:separator/>
      </w:r>
    </w:p>
  </w:footnote>
  <w:footnote w:type="continuationSeparator" w:id="0">
    <w:p w:rsidR="00730E8C" w:rsidRDefault="00730E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A9" w:rsidRDefault="001456A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A4F" w:rsidRPr="00722144" w:rsidRDefault="00D67A4F" w:rsidP="009842E3">
    <w:pPr>
      <w:pStyle w:val="Zhlav"/>
      <w:jc w:val="center"/>
      <w:rPr>
        <w:rFonts w:ascii="Arial" w:hAnsi="Arial" w:cs="Arial"/>
        <w:i/>
      </w:rPr>
    </w:pPr>
    <w:bookmarkStart w:id="0" w:name="_GoBack"/>
    <w:r w:rsidRPr="0046583F">
      <w:rPr>
        <w:rFonts w:ascii="Arial" w:hAnsi="Arial" w:cs="Arial"/>
        <w:i/>
      </w:rPr>
      <w:t xml:space="preserve">Příloha č. </w:t>
    </w:r>
    <w:r w:rsidR="00531648">
      <w:rPr>
        <w:rFonts w:ascii="Arial" w:hAnsi="Arial" w:cs="Arial"/>
        <w:i/>
      </w:rPr>
      <w:t>6</w:t>
    </w:r>
    <w:r w:rsidR="001647B7">
      <w:rPr>
        <w:rFonts w:ascii="Arial" w:hAnsi="Arial" w:cs="Arial"/>
        <w:i/>
      </w:rPr>
      <w:t>7</w:t>
    </w:r>
    <w:r w:rsidRPr="0046583F">
      <w:rPr>
        <w:rFonts w:ascii="Arial" w:hAnsi="Arial" w:cs="Arial"/>
        <w:i/>
      </w:rPr>
      <w:t xml:space="preserve"> – Dodatek č. </w:t>
    </w:r>
    <w:r>
      <w:rPr>
        <w:rFonts w:ascii="Arial" w:hAnsi="Arial" w:cs="Arial"/>
        <w:i/>
      </w:rPr>
      <w:t>1</w:t>
    </w:r>
    <w:r w:rsidR="00531648">
      <w:rPr>
        <w:rFonts w:ascii="Arial" w:hAnsi="Arial" w:cs="Arial"/>
        <w:i/>
      </w:rPr>
      <w:t>1</w:t>
    </w:r>
    <w:r w:rsidRPr="0046583F">
      <w:rPr>
        <w:rFonts w:ascii="Arial" w:hAnsi="Arial" w:cs="Arial"/>
        <w:i/>
      </w:rPr>
      <w:t xml:space="preserve"> ke zřizovací listině </w:t>
    </w:r>
    <w:r>
      <w:rPr>
        <w:rFonts w:ascii="Arial" w:hAnsi="Arial" w:cs="Arial"/>
        <w:i/>
      </w:rPr>
      <w:t>Zákl</w:t>
    </w:r>
    <w:r w:rsidR="00E14A4C">
      <w:rPr>
        <w:rFonts w:ascii="Arial" w:hAnsi="Arial" w:cs="Arial"/>
        <w:i/>
      </w:rPr>
      <w:t>adní školy Šternberk, Olomoucká </w:t>
    </w:r>
    <w:r>
      <w:rPr>
        <w:rFonts w:ascii="Arial" w:hAnsi="Arial" w:cs="Arial"/>
        <w:i/>
      </w:rPr>
      <w:t>76</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6A9" w:rsidRDefault="001456A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72107"/>
    <w:multiLevelType w:val="hybridMultilevel"/>
    <w:tmpl w:val="09066888"/>
    <w:lvl w:ilvl="0" w:tplc="2E20E1FA">
      <w:start w:val="1"/>
      <w:numFmt w:val="bullet"/>
      <w:pStyle w:val="Odrky"/>
      <w:lvlText w:val=""/>
      <w:lvlJc w:val="left"/>
      <w:pPr>
        <w:tabs>
          <w:tab w:val="num" w:pos="964"/>
        </w:tabs>
        <w:ind w:left="964" w:hanging="284"/>
      </w:pPr>
      <w:rPr>
        <w:rFonts w:ascii="Symbol" w:hAnsi="Symbol" w:hint="default"/>
        <w:sz w:val="16"/>
      </w:rPr>
    </w:lvl>
    <w:lvl w:ilvl="1" w:tplc="04050003">
      <w:start w:val="1"/>
      <w:numFmt w:val="bullet"/>
      <w:lvlText w:val="o"/>
      <w:lvlJc w:val="left"/>
      <w:pPr>
        <w:tabs>
          <w:tab w:val="num" w:pos="2120"/>
        </w:tabs>
        <w:ind w:left="2120" w:hanging="360"/>
      </w:pPr>
      <w:rPr>
        <w:rFonts w:ascii="Courier New" w:hAnsi="Courier New" w:cs="Courier New" w:hint="default"/>
      </w:rPr>
    </w:lvl>
    <w:lvl w:ilvl="2" w:tplc="04050005">
      <w:start w:val="1"/>
      <w:numFmt w:val="bullet"/>
      <w:lvlText w:val=""/>
      <w:lvlJc w:val="left"/>
      <w:pPr>
        <w:tabs>
          <w:tab w:val="num" w:pos="2840"/>
        </w:tabs>
        <w:ind w:left="2840" w:hanging="360"/>
      </w:pPr>
      <w:rPr>
        <w:rFonts w:ascii="Wingdings" w:hAnsi="Wingdings" w:hint="default"/>
      </w:rPr>
    </w:lvl>
    <w:lvl w:ilvl="3" w:tplc="04050001">
      <w:start w:val="1"/>
      <w:numFmt w:val="bullet"/>
      <w:lvlText w:val=""/>
      <w:lvlJc w:val="left"/>
      <w:pPr>
        <w:tabs>
          <w:tab w:val="num" w:pos="3560"/>
        </w:tabs>
        <w:ind w:left="3560" w:hanging="360"/>
      </w:pPr>
      <w:rPr>
        <w:rFonts w:ascii="Symbol" w:hAnsi="Symbol" w:hint="default"/>
      </w:rPr>
    </w:lvl>
    <w:lvl w:ilvl="4" w:tplc="04050003">
      <w:start w:val="1"/>
      <w:numFmt w:val="bullet"/>
      <w:lvlText w:val="o"/>
      <w:lvlJc w:val="left"/>
      <w:pPr>
        <w:tabs>
          <w:tab w:val="num" w:pos="4280"/>
        </w:tabs>
        <w:ind w:left="4280" w:hanging="360"/>
      </w:pPr>
      <w:rPr>
        <w:rFonts w:ascii="Courier New" w:hAnsi="Courier New" w:cs="Courier New" w:hint="default"/>
      </w:rPr>
    </w:lvl>
    <w:lvl w:ilvl="5" w:tplc="04050005">
      <w:start w:val="1"/>
      <w:numFmt w:val="bullet"/>
      <w:lvlText w:val=""/>
      <w:lvlJc w:val="left"/>
      <w:pPr>
        <w:tabs>
          <w:tab w:val="num" w:pos="5000"/>
        </w:tabs>
        <w:ind w:left="5000" w:hanging="360"/>
      </w:pPr>
      <w:rPr>
        <w:rFonts w:ascii="Wingdings" w:hAnsi="Wingdings" w:hint="default"/>
      </w:rPr>
    </w:lvl>
    <w:lvl w:ilvl="6" w:tplc="04050001">
      <w:start w:val="1"/>
      <w:numFmt w:val="bullet"/>
      <w:lvlText w:val=""/>
      <w:lvlJc w:val="left"/>
      <w:pPr>
        <w:tabs>
          <w:tab w:val="num" w:pos="5720"/>
        </w:tabs>
        <w:ind w:left="5720" w:hanging="360"/>
      </w:pPr>
      <w:rPr>
        <w:rFonts w:ascii="Symbol" w:hAnsi="Symbol" w:hint="default"/>
      </w:rPr>
    </w:lvl>
    <w:lvl w:ilvl="7" w:tplc="04050003">
      <w:start w:val="1"/>
      <w:numFmt w:val="bullet"/>
      <w:lvlText w:val="o"/>
      <w:lvlJc w:val="left"/>
      <w:pPr>
        <w:tabs>
          <w:tab w:val="num" w:pos="6440"/>
        </w:tabs>
        <w:ind w:left="6440" w:hanging="360"/>
      </w:pPr>
      <w:rPr>
        <w:rFonts w:ascii="Courier New" w:hAnsi="Courier New" w:cs="Courier New" w:hint="default"/>
      </w:rPr>
    </w:lvl>
    <w:lvl w:ilvl="8" w:tplc="04050005">
      <w:start w:val="1"/>
      <w:numFmt w:val="bullet"/>
      <w:lvlText w:val=""/>
      <w:lvlJc w:val="left"/>
      <w:pPr>
        <w:tabs>
          <w:tab w:val="num" w:pos="7160"/>
        </w:tabs>
        <w:ind w:left="7160" w:hanging="360"/>
      </w:pPr>
      <w:rPr>
        <w:rFonts w:ascii="Wingdings" w:hAnsi="Wingdings" w:hint="default"/>
      </w:rPr>
    </w:lvl>
  </w:abstractNum>
  <w:abstractNum w:abstractNumId="1">
    <w:nsid w:val="1B2E6B4E"/>
    <w:multiLevelType w:val="hybridMultilevel"/>
    <w:tmpl w:val="1F324A90"/>
    <w:lvl w:ilvl="0" w:tplc="F75E62A0">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71CF692C"/>
    <w:multiLevelType w:val="hybridMultilevel"/>
    <w:tmpl w:val="6E203A76"/>
    <w:lvl w:ilvl="0" w:tplc="99AE2194">
      <w:start w:val="1"/>
      <w:numFmt w:val="upp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C41"/>
    <w:rsid w:val="00041986"/>
    <w:rsid w:val="000E3C3B"/>
    <w:rsid w:val="00144B84"/>
    <w:rsid w:val="001456A9"/>
    <w:rsid w:val="001647B7"/>
    <w:rsid w:val="001E3B54"/>
    <w:rsid w:val="00246C41"/>
    <w:rsid w:val="00294CFD"/>
    <w:rsid w:val="00355387"/>
    <w:rsid w:val="003A0C7E"/>
    <w:rsid w:val="004A0D69"/>
    <w:rsid w:val="004B7933"/>
    <w:rsid w:val="005052F6"/>
    <w:rsid w:val="00531648"/>
    <w:rsid w:val="005A3B9B"/>
    <w:rsid w:val="00691985"/>
    <w:rsid w:val="00721183"/>
    <w:rsid w:val="00730E8C"/>
    <w:rsid w:val="007760CA"/>
    <w:rsid w:val="00861DE3"/>
    <w:rsid w:val="009842E3"/>
    <w:rsid w:val="009B432F"/>
    <w:rsid w:val="00A41CF6"/>
    <w:rsid w:val="00AC479E"/>
    <w:rsid w:val="00C06C0C"/>
    <w:rsid w:val="00CC0BD5"/>
    <w:rsid w:val="00CE3DEB"/>
    <w:rsid w:val="00CF62B0"/>
    <w:rsid w:val="00D31885"/>
    <w:rsid w:val="00D67A4F"/>
    <w:rsid w:val="00E14A4C"/>
    <w:rsid w:val="00EE789B"/>
    <w:rsid w:val="00EF7F24"/>
    <w:rsid w:val="00F64F13"/>
    <w:rsid w:val="00F734C2"/>
    <w:rsid w:val="00FF65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6C4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nhideWhenUsed/>
    <w:rsid w:val="00246C41"/>
    <w:pPr>
      <w:spacing w:after="120"/>
      <w:jc w:val="both"/>
    </w:pPr>
    <w:rPr>
      <w:rFonts w:ascii="Arial" w:hAnsi="Arial"/>
      <w:szCs w:val="16"/>
    </w:rPr>
  </w:style>
  <w:style w:type="character" w:customStyle="1" w:styleId="Zkladntext3Char">
    <w:name w:val="Základní text 3 Char"/>
    <w:basedOn w:val="Standardnpsmoodstavce"/>
    <w:link w:val="Zkladntext3"/>
    <w:rsid w:val="00246C41"/>
    <w:rPr>
      <w:rFonts w:ascii="Arial" w:eastAsia="Times New Roman" w:hAnsi="Arial" w:cs="Times New Roman"/>
      <w:sz w:val="24"/>
      <w:szCs w:val="16"/>
      <w:lang w:eastAsia="cs-CZ"/>
    </w:rPr>
  </w:style>
  <w:style w:type="paragraph" w:customStyle="1" w:styleId="HlavikaZL">
    <w:name w:val="Hlavička ZL"/>
    <w:basedOn w:val="Normln"/>
    <w:rsid w:val="00246C41"/>
    <w:pPr>
      <w:spacing w:after="360"/>
      <w:contextualSpacing/>
      <w:jc w:val="center"/>
    </w:pPr>
    <w:rPr>
      <w:rFonts w:ascii="Arial" w:hAnsi="Arial"/>
      <w:b/>
    </w:rPr>
  </w:style>
  <w:style w:type="paragraph" w:customStyle="1" w:styleId="Nzev-tabulka">
    <w:name w:val="Název-tabulka"/>
    <w:basedOn w:val="Normln"/>
    <w:rsid w:val="00246C41"/>
    <w:pPr>
      <w:spacing w:before="120" w:after="120"/>
      <w:jc w:val="both"/>
    </w:pPr>
    <w:rPr>
      <w:rFonts w:ascii="Arial" w:hAnsi="Arial"/>
    </w:rPr>
  </w:style>
  <w:style w:type="paragraph" w:customStyle="1" w:styleId="Nzevkoly-tab">
    <w:name w:val="Název školy-tab."/>
    <w:basedOn w:val="HlavikaZL"/>
    <w:rsid w:val="00246C41"/>
    <w:pPr>
      <w:spacing w:before="120" w:after="120"/>
      <w:contextualSpacing w:val="0"/>
      <w:jc w:val="both"/>
    </w:pPr>
    <w:rPr>
      <w:bCs/>
      <w:szCs w:val="20"/>
    </w:rPr>
  </w:style>
  <w:style w:type="paragraph" w:customStyle="1" w:styleId="Hejtman-podpis">
    <w:name w:val="Hejtman-podpis"/>
    <w:basedOn w:val="Normln"/>
    <w:rsid w:val="00246C41"/>
    <w:pPr>
      <w:spacing w:after="360"/>
      <w:jc w:val="right"/>
    </w:pPr>
    <w:rPr>
      <w:rFonts w:ascii="Arial" w:hAnsi="Arial"/>
    </w:rPr>
  </w:style>
  <w:style w:type="paragraph" w:customStyle="1" w:styleId="Bnstylodsazennahoe">
    <w:name w:val="Běžný styl odsazený nahoře"/>
    <w:basedOn w:val="Normln"/>
    <w:autoRedefine/>
    <w:rsid w:val="00246C41"/>
    <w:pPr>
      <w:spacing w:before="240" w:after="240"/>
      <w:jc w:val="both"/>
    </w:pPr>
    <w:rPr>
      <w:rFonts w:ascii="Arial" w:hAnsi="Arial"/>
    </w:rPr>
  </w:style>
  <w:style w:type="paragraph" w:customStyle="1" w:styleId="Bntext-odsazendole">
    <w:name w:val="Běžný text-odsazený dole"/>
    <w:basedOn w:val="Normln"/>
    <w:link w:val="Bntext-odsazendoleChar"/>
    <w:rsid w:val="00246C41"/>
    <w:pPr>
      <w:spacing w:after="240"/>
      <w:jc w:val="both"/>
    </w:pPr>
    <w:rPr>
      <w:rFonts w:ascii="Arial" w:hAnsi="Arial"/>
    </w:rPr>
  </w:style>
  <w:style w:type="table" w:styleId="Mkatabulky">
    <w:name w:val="Table Grid"/>
    <w:basedOn w:val="Normlntabulka"/>
    <w:rsid w:val="00246C4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YY">
    <w:name w:val="YYY"/>
    <w:basedOn w:val="Zkladntext3"/>
    <w:autoRedefine/>
    <w:rsid w:val="00246C41"/>
    <w:pPr>
      <w:spacing w:after="0"/>
      <w:jc w:val="center"/>
    </w:pPr>
    <w:rPr>
      <w:rFonts w:cs="Arial"/>
      <w:b/>
      <w:szCs w:val="24"/>
    </w:rPr>
  </w:style>
  <w:style w:type="paragraph" w:customStyle="1" w:styleId="YXY">
    <w:name w:val="YXY"/>
    <w:basedOn w:val="Normln"/>
    <w:rsid w:val="00246C41"/>
    <w:pPr>
      <w:spacing w:before="120"/>
      <w:jc w:val="both"/>
    </w:pPr>
    <w:rPr>
      <w:rFonts w:ascii="Arial" w:hAnsi="Arial"/>
    </w:rPr>
  </w:style>
  <w:style w:type="paragraph" w:styleId="Zhlav">
    <w:name w:val="header"/>
    <w:basedOn w:val="Normln"/>
    <w:link w:val="ZhlavChar"/>
    <w:uiPriority w:val="99"/>
    <w:unhideWhenUsed/>
    <w:rsid w:val="00246C41"/>
    <w:pPr>
      <w:tabs>
        <w:tab w:val="center" w:pos="4536"/>
        <w:tab w:val="right" w:pos="9072"/>
      </w:tabs>
    </w:pPr>
  </w:style>
  <w:style w:type="character" w:customStyle="1" w:styleId="ZhlavChar">
    <w:name w:val="Záhlaví Char"/>
    <w:basedOn w:val="Standardnpsmoodstavce"/>
    <w:link w:val="Zhlav"/>
    <w:uiPriority w:val="99"/>
    <w:rsid w:val="00246C4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46C41"/>
    <w:pPr>
      <w:tabs>
        <w:tab w:val="center" w:pos="4536"/>
        <w:tab w:val="right" w:pos="9072"/>
      </w:tabs>
    </w:pPr>
  </w:style>
  <w:style w:type="character" w:customStyle="1" w:styleId="ZpatChar">
    <w:name w:val="Zápatí Char"/>
    <w:basedOn w:val="Standardnpsmoodstavce"/>
    <w:link w:val="Zpat"/>
    <w:uiPriority w:val="99"/>
    <w:rsid w:val="00246C41"/>
    <w:rPr>
      <w:rFonts w:ascii="Times New Roman" w:eastAsia="Times New Roman" w:hAnsi="Times New Roman" w:cs="Times New Roman"/>
      <w:sz w:val="24"/>
      <w:szCs w:val="24"/>
      <w:lang w:eastAsia="cs-CZ"/>
    </w:rPr>
  </w:style>
  <w:style w:type="character" w:styleId="slostrnky">
    <w:name w:val="page number"/>
    <w:basedOn w:val="Standardnpsmoodstavce"/>
    <w:unhideWhenUsed/>
    <w:rsid w:val="00246C41"/>
  </w:style>
  <w:style w:type="character" w:customStyle="1" w:styleId="Bntext-odsazendoleChar">
    <w:name w:val="Běžný text-odsazený dole Char"/>
    <w:basedOn w:val="Standardnpsmoodstavce"/>
    <w:link w:val="Bntext-odsazendole"/>
    <w:locked/>
    <w:rsid w:val="00246C41"/>
    <w:rPr>
      <w:rFonts w:ascii="Arial" w:eastAsia="Times New Roman" w:hAnsi="Arial" w:cs="Times New Roman"/>
      <w:sz w:val="24"/>
      <w:szCs w:val="24"/>
      <w:lang w:eastAsia="cs-CZ"/>
    </w:rPr>
  </w:style>
  <w:style w:type="paragraph" w:customStyle="1" w:styleId="Msto">
    <w:name w:val="Místo"/>
    <w:aliases w:val="datum"/>
    <w:basedOn w:val="Normln"/>
    <w:rsid w:val="00721183"/>
    <w:pPr>
      <w:spacing w:before="360"/>
      <w:jc w:val="both"/>
    </w:pPr>
    <w:rPr>
      <w:rFonts w:ascii="Arial" w:hAnsi="Arial"/>
    </w:rPr>
  </w:style>
  <w:style w:type="paragraph" w:customStyle="1" w:styleId="Odrky">
    <w:name w:val="Odrážky"/>
    <w:basedOn w:val="Normln"/>
    <w:rsid w:val="00721183"/>
    <w:pPr>
      <w:numPr>
        <w:numId w:val="1"/>
      </w:numPr>
    </w:pPr>
    <w:rPr>
      <w:rFonts w:ascii="Arial" w:hAnsi="Arial"/>
    </w:rPr>
  </w:style>
  <w:style w:type="paragraph" w:customStyle="1" w:styleId="XXX">
    <w:name w:val="XXX"/>
    <w:basedOn w:val="Normln"/>
    <w:autoRedefine/>
    <w:rsid w:val="00721183"/>
    <w:pPr>
      <w:tabs>
        <w:tab w:val="num" w:pos="680"/>
      </w:tabs>
      <w:spacing w:after="120"/>
      <w:jc w:val="both"/>
    </w:pPr>
    <w:rPr>
      <w:rFonts w:ascii="Arial" w:hAnsi="Arial"/>
    </w:rPr>
  </w:style>
  <w:style w:type="paragraph" w:styleId="Odstavecseseznamem">
    <w:name w:val="List Paragraph"/>
    <w:basedOn w:val="Normln"/>
    <w:uiPriority w:val="34"/>
    <w:qFormat/>
    <w:rsid w:val="001647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6C41"/>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link w:val="Zkladntext3Char"/>
    <w:unhideWhenUsed/>
    <w:rsid w:val="00246C41"/>
    <w:pPr>
      <w:spacing w:after="120"/>
      <w:jc w:val="both"/>
    </w:pPr>
    <w:rPr>
      <w:rFonts w:ascii="Arial" w:hAnsi="Arial"/>
      <w:szCs w:val="16"/>
    </w:rPr>
  </w:style>
  <w:style w:type="character" w:customStyle="1" w:styleId="Zkladntext3Char">
    <w:name w:val="Základní text 3 Char"/>
    <w:basedOn w:val="Standardnpsmoodstavce"/>
    <w:link w:val="Zkladntext3"/>
    <w:rsid w:val="00246C41"/>
    <w:rPr>
      <w:rFonts w:ascii="Arial" w:eastAsia="Times New Roman" w:hAnsi="Arial" w:cs="Times New Roman"/>
      <w:sz w:val="24"/>
      <w:szCs w:val="16"/>
      <w:lang w:eastAsia="cs-CZ"/>
    </w:rPr>
  </w:style>
  <w:style w:type="paragraph" w:customStyle="1" w:styleId="HlavikaZL">
    <w:name w:val="Hlavička ZL"/>
    <w:basedOn w:val="Normln"/>
    <w:rsid w:val="00246C41"/>
    <w:pPr>
      <w:spacing w:after="360"/>
      <w:contextualSpacing/>
      <w:jc w:val="center"/>
    </w:pPr>
    <w:rPr>
      <w:rFonts w:ascii="Arial" w:hAnsi="Arial"/>
      <w:b/>
    </w:rPr>
  </w:style>
  <w:style w:type="paragraph" w:customStyle="1" w:styleId="Nzev-tabulka">
    <w:name w:val="Název-tabulka"/>
    <w:basedOn w:val="Normln"/>
    <w:rsid w:val="00246C41"/>
    <w:pPr>
      <w:spacing w:before="120" w:after="120"/>
      <w:jc w:val="both"/>
    </w:pPr>
    <w:rPr>
      <w:rFonts w:ascii="Arial" w:hAnsi="Arial"/>
    </w:rPr>
  </w:style>
  <w:style w:type="paragraph" w:customStyle="1" w:styleId="Nzevkoly-tab">
    <w:name w:val="Název školy-tab."/>
    <w:basedOn w:val="HlavikaZL"/>
    <w:rsid w:val="00246C41"/>
    <w:pPr>
      <w:spacing w:before="120" w:after="120"/>
      <w:contextualSpacing w:val="0"/>
      <w:jc w:val="both"/>
    </w:pPr>
    <w:rPr>
      <w:bCs/>
      <w:szCs w:val="20"/>
    </w:rPr>
  </w:style>
  <w:style w:type="paragraph" w:customStyle="1" w:styleId="Hejtman-podpis">
    <w:name w:val="Hejtman-podpis"/>
    <w:basedOn w:val="Normln"/>
    <w:rsid w:val="00246C41"/>
    <w:pPr>
      <w:spacing w:after="360"/>
      <w:jc w:val="right"/>
    </w:pPr>
    <w:rPr>
      <w:rFonts w:ascii="Arial" w:hAnsi="Arial"/>
    </w:rPr>
  </w:style>
  <w:style w:type="paragraph" w:customStyle="1" w:styleId="Bnstylodsazennahoe">
    <w:name w:val="Běžný styl odsazený nahoře"/>
    <w:basedOn w:val="Normln"/>
    <w:autoRedefine/>
    <w:rsid w:val="00246C41"/>
    <w:pPr>
      <w:spacing w:before="240" w:after="240"/>
      <w:jc w:val="both"/>
    </w:pPr>
    <w:rPr>
      <w:rFonts w:ascii="Arial" w:hAnsi="Arial"/>
    </w:rPr>
  </w:style>
  <w:style w:type="paragraph" w:customStyle="1" w:styleId="Bntext-odsazendole">
    <w:name w:val="Běžný text-odsazený dole"/>
    <w:basedOn w:val="Normln"/>
    <w:link w:val="Bntext-odsazendoleChar"/>
    <w:rsid w:val="00246C41"/>
    <w:pPr>
      <w:spacing w:after="240"/>
      <w:jc w:val="both"/>
    </w:pPr>
    <w:rPr>
      <w:rFonts w:ascii="Arial" w:hAnsi="Arial"/>
    </w:rPr>
  </w:style>
  <w:style w:type="table" w:styleId="Mkatabulky">
    <w:name w:val="Table Grid"/>
    <w:basedOn w:val="Normlntabulka"/>
    <w:rsid w:val="00246C41"/>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YY">
    <w:name w:val="YYY"/>
    <w:basedOn w:val="Zkladntext3"/>
    <w:autoRedefine/>
    <w:rsid w:val="00246C41"/>
    <w:pPr>
      <w:spacing w:after="0"/>
      <w:jc w:val="center"/>
    </w:pPr>
    <w:rPr>
      <w:rFonts w:cs="Arial"/>
      <w:b/>
      <w:szCs w:val="24"/>
    </w:rPr>
  </w:style>
  <w:style w:type="paragraph" w:customStyle="1" w:styleId="YXY">
    <w:name w:val="YXY"/>
    <w:basedOn w:val="Normln"/>
    <w:rsid w:val="00246C41"/>
    <w:pPr>
      <w:spacing w:before="120"/>
      <w:jc w:val="both"/>
    </w:pPr>
    <w:rPr>
      <w:rFonts w:ascii="Arial" w:hAnsi="Arial"/>
    </w:rPr>
  </w:style>
  <w:style w:type="paragraph" w:styleId="Zhlav">
    <w:name w:val="header"/>
    <w:basedOn w:val="Normln"/>
    <w:link w:val="ZhlavChar"/>
    <w:uiPriority w:val="99"/>
    <w:unhideWhenUsed/>
    <w:rsid w:val="00246C41"/>
    <w:pPr>
      <w:tabs>
        <w:tab w:val="center" w:pos="4536"/>
        <w:tab w:val="right" w:pos="9072"/>
      </w:tabs>
    </w:pPr>
  </w:style>
  <w:style w:type="character" w:customStyle="1" w:styleId="ZhlavChar">
    <w:name w:val="Záhlaví Char"/>
    <w:basedOn w:val="Standardnpsmoodstavce"/>
    <w:link w:val="Zhlav"/>
    <w:uiPriority w:val="99"/>
    <w:rsid w:val="00246C41"/>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46C41"/>
    <w:pPr>
      <w:tabs>
        <w:tab w:val="center" w:pos="4536"/>
        <w:tab w:val="right" w:pos="9072"/>
      </w:tabs>
    </w:pPr>
  </w:style>
  <w:style w:type="character" w:customStyle="1" w:styleId="ZpatChar">
    <w:name w:val="Zápatí Char"/>
    <w:basedOn w:val="Standardnpsmoodstavce"/>
    <w:link w:val="Zpat"/>
    <w:uiPriority w:val="99"/>
    <w:rsid w:val="00246C41"/>
    <w:rPr>
      <w:rFonts w:ascii="Times New Roman" w:eastAsia="Times New Roman" w:hAnsi="Times New Roman" w:cs="Times New Roman"/>
      <w:sz w:val="24"/>
      <w:szCs w:val="24"/>
      <w:lang w:eastAsia="cs-CZ"/>
    </w:rPr>
  </w:style>
  <w:style w:type="character" w:styleId="slostrnky">
    <w:name w:val="page number"/>
    <w:basedOn w:val="Standardnpsmoodstavce"/>
    <w:unhideWhenUsed/>
    <w:rsid w:val="00246C41"/>
  </w:style>
  <w:style w:type="character" w:customStyle="1" w:styleId="Bntext-odsazendoleChar">
    <w:name w:val="Běžný text-odsazený dole Char"/>
    <w:basedOn w:val="Standardnpsmoodstavce"/>
    <w:link w:val="Bntext-odsazendole"/>
    <w:locked/>
    <w:rsid w:val="00246C41"/>
    <w:rPr>
      <w:rFonts w:ascii="Arial" w:eastAsia="Times New Roman" w:hAnsi="Arial" w:cs="Times New Roman"/>
      <w:sz w:val="24"/>
      <w:szCs w:val="24"/>
      <w:lang w:eastAsia="cs-CZ"/>
    </w:rPr>
  </w:style>
  <w:style w:type="paragraph" w:customStyle="1" w:styleId="Msto">
    <w:name w:val="Místo"/>
    <w:aliases w:val="datum"/>
    <w:basedOn w:val="Normln"/>
    <w:rsid w:val="00721183"/>
    <w:pPr>
      <w:spacing w:before="360"/>
      <w:jc w:val="both"/>
    </w:pPr>
    <w:rPr>
      <w:rFonts w:ascii="Arial" w:hAnsi="Arial"/>
    </w:rPr>
  </w:style>
  <w:style w:type="paragraph" w:customStyle="1" w:styleId="Odrky">
    <w:name w:val="Odrážky"/>
    <w:basedOn w:val="Normln"/>
    <w:rsid w:val="00721183"/>
    <w:pPr>
      <w:numPr>
        <w:numId w:val="1"/>
      </w:numPr>
    </w:pPr>
    <w:rPr>
      <w:rFonts w:ascii="Arial" w:hAnsi="Arial"/>
    </w:rPr>
  </w:style>
  <w:style w:type="paragraph" w:customStyle="1" w:styleId="XXX">
    <w:name w:val="XXX"/>
    <w:basedOn w:val="Normln"/>
    <w:autoRedefine/>
    <w:rsid w:val="00721183"/>
    <w:pPr>
      <w:tabs>
        <w:tab w:val="num" w:pos="680"/>
      </w:tabs>
      <w:spacing w:after="120"/>
      <w:jc w:val="both"/>
    </w:pPr>
    <w:rPr>
      <w:rFonts w:ascii="Arial" w:hAnsi="Arial"/>
    </w:rPr>
  </w:style>
  <w:style w:type="paragraph" w:styleId="Odstavecseseznamem">
    <w:name w:val="List Paragraph"/>
    <w:basedOn w:val="Normln"/>
    <w:uiPriority w:val="34"/>
    <w:qFormat/>
    <w:rsid w:val="00164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98369">
      <w:bodyDiv w:val="1"/>
      <w:marLeft w:val="0"/>
      <w:marRight w:val="0"/>
      <w:marTop w:val="0"/>
      <w:marBottom w:val="0"/>
      <w:divBdr>
        <w:top w:val="none" w:sz="0" w:space="0" w:color="auto"/>
        <w:left w:val="none" w:sz="0" w:space="0" w:color="auto"/>
        <w:bottom w:val="none" w:sz="0" w:space="0" w:color="auto"/>
        <w:right w:val="none" w:sz="0" w:space="0" w:color="auto"/>
      </w:divBdr>
    </w:div>
    <w:div w:id="208541250">
      <w:bodyDiv w:val="1"/>
      <w:marLeft w:val="0"/>
      <w:marRight w:val="0"/>
      <w:marTop w:val="0"/>
      <w:marBottom w:val="0"/>
      <w:divBdr>
        <w:top w:val="none" w:sz="0" w:space="0" w:color="auto"/>
        <w:left w:val="none" w:sz="0" w:space="0" w:color="auto"/>
        <w:bottom w:val="none" w:sz="0" w:space="0" w:color="auto"/>
        <w:right w:val="none" w:sz="0" w:space="0" w:color="auto"/>
      </w:divBdr>
    </w:div>
    <w:div w:id="682241299">
      <w:bodyDiv w:val="1"/>
      <w:marLeft w:val="0"/>
      <w:marRight w:val="0"/>
      <w:marTop w:val="0"/>
      <w:marBottom w:val="0"/>
      <w:divBdr>
        <w:top w:val="none" w:sz="0" w:space="0" w:color="auto"/>
        <w:left w:val="none" w:sz="0" w:space="0" w:color="auto"/>
        <w:bottom w:val="none" w:sz="0" w:space="0" w:color="auto"/>
        <w:right w:val="none" w:sz="0" w:space="0" w:color="auto"/>
      </w:divBdr>
    </w:div>
    <w:div w:id="1191841850">
      <w:bodyDiv w:val="1"/>
      <w:marLeft w:val="0"/>
      <w:marRight w:val="0"/>
      <w:marTop w:val="0"/>
      <w:marBottom w:val="0"/>
      <w:divBdr>
        <w:top w:val="none" w:sz="0" w:space="0" w:color="auto"/>
        <w:left w:val="none" w:sz="0" w:space="0" w:color="auto"/>
        <w:bottom w:val="none" w:sz="0" w:space="0" w:color="auto"/>
        <w:right w:val="none" w:sz="0" w:space="0" w:color="auto"/>
      </w:divBdr>
    </w:div>
    <w:div w:id="1319110991">
      <w:bodyDiv w:val="1"/>
      <w:marLeft w:val="0"/>
      <w:marRight w:val="0"/>
      <w:marTop w:val="0"/>
      <w:marBottom w:val="0"/>
      <w:divBdr>
        <w:top w:val="none" w:sz="0" w:space="0" w:color="auto"/>
        <w:left w:val="none" w:sz="0" w:space="0" w:color="auto"/>
        <w:bottom w:val="none" w:sz="0" w:space="0" w:color="auto"/>
        <w:right w:val="none" w:sz="0" w:space="0" w:color="auto"/>
      </w:divBdr>
    </w:div>
    <w:div w:id="181189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AE26E-2986-4A44-8F68-5351D1290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1884</Words>
  <Characters>11116</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KUOK</Company>
  <LinksUpToDate>false</LinksUpToDate>
  <CharactersWithSpaces>12975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Pavelková Jarmila</dc:creator>
  <cp:lastModifiedBy>Konečná Marie</cp:lastModifiedBy>
  <cp:revision>2</cp:revision>
  <cp:lastPrinted>2012-08-30T08:50:00Z</cp:lastPrinted>
  <dcterms:created xsi:type="dcterms:W3CDTF">2014-08-14T10:09:00Z</dcterms:created>
  <dcterms:modified xsi:type="dcterms:W3CDTF">2014-08-14T10:09:00Z</dcterms:modified>
</cp:coreProperties>
</file>