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4CD7409C" w14:textId="77777777" w:rsidR="00250DC9" w:rsidRPr="00E62519" w:rsidRDefault="00250DC9" w:rsidP="00250DC9">
      <w:pPr>
        <w:spacing w:after="12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D68C31" w14:textId="77777777" w:rsidR="00250DC9" w:rsidRPr="00E6251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59CD26BD" w14:textId="77777777" w:rsidR="00250DC9" w:rsidRPr="00E6251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E541314" w14:textId="77777777" w:rsidR="00250DC9" w:rsidRPr="00E6251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6A6CA7C0" w14:textId="77777777" w:rsidR="00250DC9" w:rsidRPr="006675EF" w:rsidRDefault="00250DC9" w:rsidP="00250DC9">
      <w:pPr>
        <w:tabs>
          <w:tab w:val="left" w:pos="2127"/>
        </w:tabs>
        <w:spacing w:after="8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ab/>
        <w:t>Mgr. Ivem Slavotínkem, 1. náměstkem hejtmana, na základě pověření ze dne 30. 10. 2020</w:t>
      </w:r>
    </w:p>
    <w:p w14:paraId="656C6782" w14:textId="7EC76EAC" w:rsidR="00250DC9" w:rsidRPr="006675EF" w:rsidRDefault="00250DC9" w:rsidP="00250DC9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č. ú.: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27–</w:t>
      </w:r>
      <w:r w:rsidR="00431743">
        <w:rPr>
          <w:rFonts w:ascii="Arial" w:eastAsia="Times New Roman" w:hAnsi="Arial" w:cs="Arial"/>
          <w:sz w:val="24"/>
          <w:szCs w:val="24"/>
          <w:lang w:eastAsia="cs-CZ"/>
        </w:rPr>
        <w:t>4228120277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/0100</w:t>
      </w:r>
    </w:p>
    <w:p w14:paraId="0ACBE29C" w14:textId="77777777" w:rsidR="00250DC9" w:rsidRPr="00E62519" w:rsidRDefault="00250DC9" w:rsidP="00250DC9">
      <w:pPr>
        <w:tabs>
          <w:tab w:val="left" w:pos="2127"/>
        </w:tabs>
        <w:spacing w:before="24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AC1423A" w14:textId="77777777" w:rsidR="00250DC9" w:rsidRPr="00E62519" w:rsidRDefault="00250DC9" w:rsidP="00250DC9">
      <w:pPr>
        <w:tabs>
          <w:tab w:val="left" w:pos="2127"/>
        </w:tabs>
        <w:spacing w:before="240" w:after="24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31696D0" w14:textId="77777777" w:rsidR="00250DC9" w:rsidRDefault="00250DC9" w:rsidP="00250DC9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seniorů České republiky, Krajská rada seniorů Olomouckého kraje - pobočný spolek</w:t>
      </w:r>
    </w:p>
    <w:p w14:paraId="44A4B168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Hodolany, 779 00 Olomouc</w:t>
      </w:r>
    </w:p>
    <w:p w14:paraId="7D36C8C1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04577850</w:t>
      </w:r>
    </w:p>
    <w:p w14:paraId="39C09C7C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Milenou Hesovou, předsedkyní</w:t>
      </w:r>
    </w:p>
    <w:p w14:paraId="2D400B01" w14:textId="77777777" w:rsidR="00250DC9" w:rsidRDefault="00250DC9" w:rsidP="00250DC9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rejstříku: Spolkový rejstřík, sp. zn.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 64081 vedená u Městského soudu v Praze </w:t>
      </w:r>
    </w:p>
    <w:p w14:paraId="0CF2E38F" w14:textId="77777777" w:rsidR="00250DC9" w:rsidRDefault="00250DC9" w:rsidP="00250DC9">
      <w:pPr>
        <w:tabs>
          <w:tab w:val="left" w:pos="2127"/>
        </w:tabs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Fio banka, a.s.; Č.ú.: 2900931192/2010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4842C5" w14:textId="5D108F48" w:rsidR="00057D73" w:rsidRPr="00471537" w:rsidRDefault="00250DC9" w:rsidP="00250DC9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057D73"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057D73"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59DAFC92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250DC9" w:rsidRPr="00250DC9">
        <w:rPr>
          <w:rFonts w:ascii="Arial" w:eastAsia="Times New Roman" w:hAnsi="Arial" w:cs="Arial"/>
          <w:b/>
          <w:sz w:val="24"/>
          <w:szCs w:val="24"/>
          <w:lang w:eastAsia="cs-CZ"/>
        </w:rPr>
        <w:t>891 000</w:t>
      </w:r>
      <w:r w:rsidRPr="00250D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250DC9">
        <w:rPr>
          <w:rFonts w:ascii="Arial" w:eastAsia="Times New Roman" w:hAnsi="Arial" w:cs="Arial"/>
          <w:sz w:val="24"/>
          <w:szCs w:val="24"/>
          <w:lang w:eastAsia="cs-CZ"/>
        </w:rPr>
        <w:t>osmsetdevades</w:t>
      </w:r>
      <w:r w:rsidR="00D7582E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="00250DC9">
        <w:rPr>
          <w:rFonts w:ascii="Arial" w:eastAsia="Times New Roman" w:hAnsi="Arial" w:cs="Arial"/>
          <w:sz w:val="24"/>
          <w:szCs w:val="24"/>
          <w:lang w:eastAsia="cs-CZ"/>
        </w:rPr>
        <w:t>tjed</w:t>
      </w:r>
      <w:r w:rsidR="00D758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50DC9">
        <w:rPr>
          <w:rFonts w:ascii="Arial" w:eastAsia="Times New Roman" w:hAnsi="Arial" w:cs="Arial"/>
          <w:sz w:val="24"/>
          <w:szCs w:val="24"/>
          <w:lang w:eastAsia="cs-CZ"/>
        </w:rPr>
        <w:t>ntisíc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 xml:space="preserve">a v souladu se Zásadami pro poskytování finanční podpory </w:t>
      </w:r>
      <w:r w:rsidR="004A483B" w:rsidRPr="00822ACD">
        <w:rPr>
          <w:rFonts w:ascii="Arial" w:hAnsi="Arial" w:cs="Arial"/>
          <w:sz w:val="24"/>
          <w:szCs w:val="24"/>
        </w:rPr>
        <w:lastRenderedPageBreak/>
        <w:t>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432BD41F" w:rsidR="008D1D11" w:rsidRPr="00ED34CF" w:rsidRDefault="008D1D11" w:rsidP="00C3694C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D34CF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 w:rsidRPr="00ED34CF">
        <w:rPr>
          <w:rFonts w:ascii="Arial" w:hAnsi="Arial" w:cs="Arial"/>
          <w:sz w:val="24"/>
          <w:szCs w:val="24"/>
        </w:rPr>
        <w:t xml:space="preserve"> </w:t>
      </w:r>
      <w:r w:rsidR="00BC08E1" w:rsidRPr="00ED34CF">
        <w:rPr>
          <w:rFonts w:ascii="Arial" w:hAnsi="Arial" w:cs="Arial"/>
          <w:b/>
          <w:sz w:val="24"/>
          <w:szCs w:val="24"/>
        </w:rPr>
        <w:t>„Seniorské projekty česko-polské přeshraniční spolupráce</w:t>
      </w:r>
      <w:r w:rsidR="00ED34CF" w:rsidRPr="00ED34CF">
        <w:rPr>
          <w:rFonts w:ascii="Arial" w:hAnsi="Arial" w:cs="Arial"/>
          <w:b/>
          <w:sz w:val="24"/>
          <w:szCs w:val="24"/>
        </w:rPr>
        <w:t xml:space="preserve">“: </w:t>
      </w:r>
      <w:r w:rsidR="00BC08E1" w:rsidRPr="00ED34CF">
        <w:rPr>
          <w:rFonts w:ascii="Arial" w:hAnsi="Arial" w:cs="Arial"/>
          <w:b/>
          <w:sz w:val="24"/>
          <w:szCs w:val="24"/>
        </w:rPr>
        <w:t>Za k</w:t>
      </w:r>
      <w:r w:rsidR="00ED34CF" w:rsidRPr="00ED34CF">
        <w:rPr>
          <w:rFonts w:ascii="Arial" w:hAnsi="Arial" w:cs="Arial"/>
          <w:b/>
          <w:sz w:val="24"/>
          <w:szCs w:val="24"/>
        </w:rPr>
        <w:t xml:space="preserve">rásami česko-polského pohraničí a </w:t>
      </w:r>
      <w:r w:rsidR="00BC08E1" w:rsidRPr="00ED34CF">
        <w:rPr>
          <w:rFonts w:ascii="Arial" w:hAnsi="Arial" w:cs="Arial"/>
          <w:b/>
          <w:sz w:val="24"/>
          <w:szCs w:val="24"/>
        </w:rPr>
        <w:t>Kra</w:t>
      </w:r>
      <w:r w:rsidR="00ED34CF" w:rsidRPr="00ED34CF">
        <w:rPr>
          <w:rFonts w:ascii="Arial" w:hAnsi="Arial" w:cs="Arial"/>
          <w:b/>
          <w:sz w:val="24"/>
          <w:szCs w:val="24"/>
        </w:rPr>
        <w:t xml:space="preserve">jské sportovní hry seniorů 2022 </w:t>
      </w:r>
      <w:r w:rsidR="00D464F4" w:rsidRPr="00ED34CF">
        <w:rPr>
          <w:rFonts w:ascii="Arial" w:hAnsi="Arial" w:cs="Arial"/>
          <w:sz w:val="24"/>
          <w:szCs w:val="24"/>
        </w:rPr>
        <w:t>(dále jako „podporovaná aktivita“)</w:t>
      </w:r>
      <w:r w:rsidR="0034660E" w:rsidRPr="00ED34CF">
        <w:rPr>
          <w:rFonts w:ascii="Arial" w:hAnsi="Arial" w:cs="Arial"/>
          <w:sz w:val="24"/>
          <w:szCs w:val="24"/>
        </w:rPr>
        <w:t>.</w:t>
      </w:r>
    </w:p>
    <w:p w14:paraId="70A7BEF5" w14:textId="6D340E6C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</w:t>
      </w:r>
      <w:r w:rsidR="004F57A8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>NFV</w:t>
      </w:r>
      <w:r w:rsidR="0079255B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považuje den, kdy tato smlouva nabyde účinnosti.</w:t>
      </w:r>
    </w:p>
    <w:p w14:paraId="6E55A441" w14:textId="4A0A496E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neinvestiční. </w:t>
      </w:r>
    </w:p>
    <w:p w14:paraId="05CF3EB7" w14:textId="38815A39" w:rsidR="00F429D0" w:rsidRPr="00471537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neinvestiční NFV rozumí výpomoc, která musí být použita na úhradu jiných výdajů než: </w:t>
      </w:r>
    </w:p>
    <w:p w14:paraId="7AA5B5C3" w14:textId="0DD917FA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</w:pPr>
      <w:r w:rsidRPr="00471537">
        <w:t xml:space="preserve">výdajů spojených s pořízením hmotného majetku dle § 26 odst. 2 zákona č. 586/1992 Sb., o daních z příjmů, ve znění pozdějších předpisů (dále jen „cit. zákona“), </w:t>
      </w:r>
    </w:p>
    <w:p w14:paraId="423AFE63" w14:textId="6B761FA2" w:rsidR="00F429D0" w:rsidRPr="00471537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pořízením nehmotného majetku, </w:t>
      </w:r>
    </w:p>
    <w:p w14:paraId="6C3E023D" w14:textId="277867F5" w:rsidR="00F429D0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</w:pPr>
      <w:r w:rsidRPr="00471537">
        <w:t xml:space="preserve">výdajů spojených s technickým zhodnocením, rekonstrukcí a modernizací ve smyslu § 33 cit. zákona. </w:t>
      </w:r>
    </w:p>
    <w:p w14:paraId="0FA9FB98" w14:textId="34DF3EBA" w:rsidR="00233049" w:rsidRPr="00233049" w:rsidRDefault="00233049" w:rsidP="00233049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7903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3049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DDCB6EF" w14:textId="77777777" w:rsidR="00233049" w:rsidRPr="00233049" w:rsidRDefault="00233049" w:rsidP="00233049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NFV rozumí výpomoc, která musí být použita na úhradu jiných výdajů než:</w:t>
      </w:r>
    </w:p>
    <w:p w14:paraId="3762B4CF" w14:textId="77777777" w:rsidR="00233049" w:rsidRPr="00233049" w:rsidRDefault="00233049" w:rsidP="00233049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</w:t>
      </w:r>
    </w:p>
    <w:p w14:paraId="60BF35B3" w14:textId="77777777" w:rsidR="00233049" w:rsidRPr="00233049" w:rsidRDefault="00233049" w:rsidP="00233049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vyhlášky,</w:t>
      </w:r>
    </w:p>
    <w:p w14:paraId="227BFF54" w14:textId="77777777" w:rsidR="00233049" w:rsidRPr="00233049" w:rsidRDefault="00233049" w:rsidP="00233049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33049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5138EB5C" w14:textId="77777777" w:rsidR="00233049" w:rsidRPr="00471537" w:rsidRDefault="00233049" w:rsidP="00233049">
      <w:pPr>
        <w:pStyle w:val="Default"/>
        <w:spacing w:after="120"/>
        <w:ind w:left="862"/>
        <w:jc w:val="both"/>
      </w:pPr>
    </w:p>
    <w:p w14:paraId="0DEC60C5" w14:textId="4F9B7452" w:rsidR="0046288A" w:rsidRPr="00BC08E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lastRenderedPageBreak/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BC08E1">
        <w:rPr>
          <w:rFonts w:ascii="Arial" w:hAnsi="Arial" w:cs="Arial"/>
          <w:b/>
          <w:sz w:val="24"/>
          <w:szCs w:val="24"/>
        </w:rPr>
        <w:t>pouze</w:t>
      </w:r>
      <w:r w:rsidRPr="00BC08E1">
        <w:rPr>
          <w:rFonts w:ascii="Arial" w:hAnsi="Arial" w:cs="Arial"/>
          <w:b/>
          <w:sz w:val="24"/>
          <w:szCs w:val="24"/>
        </w:rPr>
        <w:t xml:space="preserve"> na:</w:t>
      </w:r>
      <w:r w:rsidR="00BC08E1" w:rsidRPr="00BC08E1">
        <w:rPr>
          <w:rFonts w:ascii="Arial" w:hAnsi="Arial" w:cs="Arial"/>
          <w:b/>
          <w:sz w:val="24"/>
          <w:szCs w:val="24"/>
        </w:rPr>
        <w:t xml:space="preserve"> propagační materiály</w:t>
      </w:r>
      <w:r w:rsidR="00BC08E1">
        <w:rPr>
          <w:rFonts w:ascii="Arial" w:hAnsi="Arial" w:cs="Arial"/>
          <w:b/>
          <w:sz w:val="24"/>
          <w:szCs w:val="24"/>
        </w:rPr>
        <w:t xml:space="preserve"> a předměty, zajištění ubytování, dopravu, </w:t>
      </w:r>
      <w:r w:rsidR="00ED34CF">
        <w:rPr>
          <w:rFonts w:ascii="Arial" w:hAnsi="Arial" w:cs="Arial"/>
          <w:b/>
          <w:sz w:val="24"/>
          <w:szCs w:val="24"/>
        </w:rPr>
        <w:t xml:space="preserve">cestovní </w:t>
      </w:r>
      <w:r w:rsidR="00BC08E1" w:rsidRPr="00431743">
        <w:rPr>
          <w:rFonts w:ascii="Arial" w:hAnsi="Arial" w:cs="Arial"/>
          <w:b/>
          <w:sz w:val="24"/>
          <w:szCs w:val="24"/>
        </w:rPr>
        <w:t>pojištění</w:t>
      </w:r>
      <w:r w:rsidR="00431743">
        <w:rPr>
          <w:rFonts w:ascii="Arial" w:hAnsi="Arial" w:cs="Arial"/>
          <w:b/>
          <w:sz w:val="24"/>
          <w:szCs w:val="24"/>
        </w:rPr>
        <w:t xml:space="preserve"> účastníků</w:t>
      </w:r>
      <w:r w:rsidR="00BC08E1">
        <w:rPr>
          <w:rFonts w:ascii="Arial" w:hAnsi="Arial" w:cs="Arial"/>
          <w:b/>
          <w:sz w:val="24"/>
          <w:szCs w:val="24"/>
        </w:rPr>
        <w:t xml:space="preserve">, pronájmy sportovišť, občerstvení, moderátor akcí, tlumočnické služby, dárky pro účastníky. </w:t>
      </w:r>
    </w:p>
    <w:p w14:paraId="7D4E4B76" w14:textId="6A737FA4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BC08E1" w:rsidRPr="00BC08E1">
        <w:rPr>
          <w:rFonts w:ascii="Arial" w:hAnsi="Arial" w:cs="Arial"/>
          <w:b/>
          <w:sz w:val="24"/>
          <w:szCs w:val="24"/>
        </w:rPr>
        <w:t>01.07.2022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BC08E1" w:rsidRPr="00BC08E1">
        <w:rPr>
          <w:rFonts w:ascii="Arial" w:hAnsi="Arial" w:cs="Arial"/>
          <w:b/>
          <w:sz w:val="24"/>
          <w:szCs w:val="24"/>
        </w:rPr>
        <w:t>30.06.2023</w:t>
      </w:r>
      <w:r w:rsidR="00BC08E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828FACB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 xml:space="preserve">Příjemce je povinen vrátit poskytovateli NFV nejpozději do </w:t>
      </w:r>
      <w:r w:rsidR="00BC08E1" w:rsidRPr="00431743">
        <w:rPr>
          <w:rFonts w:ascii="Arial" w:hAnsi="Arial" w:cs="Arial"/>
          <w:b/>
          <w:sz w:val="24"/>
          <w:szCs w:val="24"/>
        </w:rPr>
        <w:t>31.07.2023</w:t>
      </w:r>
      <w:r w:rsidRPr="001B2B12">
        <w:rPr>
          <w:rFonts w:ascii="Arial" w:hAnsi="Arial" w:cs="Arial"/>
          <w:sz w:val="24"/>
          <w:szCs w:val="24"/>
        </w:rPr>
        <w:t xml:space="preserve">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94002BB" w14:textId="3ED5FCB2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lastRenderedPageBreak/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</w:t>
      </w:r>
      <w:r w:rsidR="00431743" w:rsidRPr="00431743">
        <w:rPr>
          <w:rFonts w:ascii="Arial" w:hAnsi="Arial" w:cs="Arial"/>
          <w:b/>
          <w:sz w:val="24"/>
          <w:szCs w:val="24"/>
        </w:rPr>
        <w:t>31.08.2023</w:t>
      </w:r>
      <w:r w:rsidR="00DF43CD">
        <w:rPr>
          <w:rFonts w:ascii="Arial" w:hAnsi="Arial" w:cs="Arial"/>
          <w:sz w:val="24"/>
          <w:szCs w:val="24"/>
        </w:rPr>
        <w:t xml:space="preserve">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21A8FA5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2C3227BE" w:rsidR="00404539" w:rsidRDefault="00431743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>
        <w:t>I</w:t>
      </w:r>
      <w:r w:rsidR="00404539">
        <w:t>nformace</w:t>
      </w:r>
      <w:r w:rsidR="00244DC9" w:rsidRPr="00471537">
        <w:t xml:space="preserve"> o vrácení NVF poskytovatel</w:t>
      </w:r>
      <w:r w:rsidR="003549DC">
        <w:t>i</w:t>
      </w:r>
      <w:r w:rsidR="00D464F4" w:rsidRPr="00471537">
        <w:t>.</w:t>
      </w:r>
      <w:r w:rsidR="00404539">
        <w:t xml:space="preserve"> 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A6E5B25" w14:textId="4965D40F" w:rsidR="006F70D6" w:rsidRPr="00471537" w:rsidRDefault="00431743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0" w:name="_GoBack"/>
      <w:bookmarkEnd w:id="0"/>
      <w:r w:rsidRPr="00431743">
        <w:rPr>
          <w:rFonts w:ascii="Arial" w:hAnsi="Arial" w:cs="Arial"/>
          <w:sz w:val="24"/>
          <w:szCs w:val="24"/>
        </w:rPr>
        <w:t>Společně s finančním vypořádáním NFV příjemce předloží poskytovateli také závěrečnou zprávu. Závěrečná zpráva musí obsahovat popis využití poskytnuté návratné finanční výpomoci (roz</w:t>
      </w:r>
      <w:r w:rsidR="00790341">
        <w:rPr>
          <w:rFonts w:ascii="Arial" w:hAnsi="Arial" w:cs="Arial"/>
          <w:sz w:val="24"/>
          <w:szCs w:val="24"/>
        </w:rPr>
        <w:t>sah je jedna strana formátu A4)</w:t>
      </w:r>
      <w:r w:rsidRPr="00431743">
        <w:rPr>
          <w:rFonts w:ascii="Arial" w:hAnsi="Arial" w:cs="Arial"/>
          <w:sz w:val="24"/>
          <w:szCs w:val="24"/>
        </w:rPr>
        <w:t>. Závěrečná zpráva bude dále obsahovat název akce a specifikaci příjemce. V příloze závěrečné zprávy je příjemce povinen předložit poskytovateli fotodokumentaci z průběhu akce.</w:t>
      </w:r>
    </w:p>
    <w:p w14:paraId="5EB918D7" w14:textId="25DBB2E0" w:rsidR="004D1EAC" w:rsidRPr="00431743" w:rsidRDefault="00992244" w:rsidP="00431743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v termínu stanoveném v předcházejícím odstavci, ale tyto nebudou obsahovat všechny náležitosti shora uvedené, dopustí se příjemce porušení rozpočtové kázně až v případě, že nedoplní nebo neopraví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406E50D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431743">
        <w:rPr>
          <w:rFonts w:ascii="Arial" w:hAnsi="Arial" w:cs="Arial"/>
          <w:sz w:val="24"/>
          <w:szCs w:val="24"/>
        </w:rPr>
        <w:t>o </w:t>
      </w:r>
      <w:r w:rsidR="00B75065" w:rsidRPr="00F37E62">
        <w:rPr>
          <w:rFonts w:ascii="Arial" w:hAnsi="Arial" w:cs="Arial"/>
          <w:sz w:val="24"/>
          <w:szCs w:val="24"/>
        </w:rPr>
        <w:t>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726ABF83" w:rsidR="00316A9C" w:rsidRPr="00E45864" w:rsidRDefault="00C11B8F" w:rsidP="00431743">
      <w:pPr>
        <w:numPr>
          <w:ilvl w:val="0"/>
          <w:numId w:val="18"/>
        </w:numPr>
        <w:spacing w:after="120" w:line="240" w:lineRule="auto"/>
        <w:ind w:left="426" w:hanging="422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431743" w:rsidRPr="00431743">
        <w:rPr>
          <w:rFonts w:ascii="Arial" w:hAnsi="Arial" w:cs="Arial"/>
          <w:sz w:val="24"/>
          <w:szCs w:val="24"/>
        </w:rPr>
        <w:t>27-4228320287/0100</w:t>
      </w:r>
      <w:r w:rsidR="00431743">
        <w:rPr>
          <w:rFonts w:ascii="Arial" w:hAnsi="Arial" w:cs="Arial"/>
          <w:sz w:val="24"/>
          <w:szCs w:val="24"/>
        </w:rPr>
        <w:t>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185AF50D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</w:t>
      </w:r>
      <w:r w:rsidRPr="007903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čl. 1 odst. 13 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03FA1290" w14:textId="77777777" w:rsidR="00B37D48" w:rsidRPr="00AD2AC2" w:rsidRDefault="00B37D48" w:rsidP="00790341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AD2AC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NFV je na základě této smlouvy poskytována za splnění podmínek Nařízení Komise (EU) č. 1407/2013 ze dne 18. prosince 2013 o použití článků 107 a 108 Smlouvy o fungování Evropské unie na podporu de minimis, které bylo zveřejněno v Úředním </w:t>
      </w:r>
      <w:r w:rsidRPr="00AD2AC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věstníku Evropské unie č. L 352/1 dne 24. prosince 2013. Výše podpory de minimis zadávaná do Centrálního registru podpor malého rozsahu dle této smlouvy se rovná výši úroků vypočtených v souladu se Sdělením Komise o revizi metody stanovování referenčních a diskontních sazeb ze dne 19. 1. 2008 (publikováno v Úředním věstníku Evropské unie dne 19. ledna 2008 v částce C 14/6). Pro výpočet výše úroků (výše podpory de minimis) dle předchozí věty se použije Evropskou komisí vždy poslední upravená základní sazba pro výpočet referenční a diskontní sazby v České republice zvýšena o 100 základních bodů, platná ke dni účinnosti této smlouvy.</w:t>
      </w:r>
    </w:p>
    <w:p w14:paraId="71A9D1CB" w14:textId="70338CEF" w:rsidR="00790341" w:rsidRPr="00F7697C" w:rsidDel="00B37D48" w:rsidRDefault="00B37D48" w:rsidP="00790341">
      <w:pPr>
        <w:numPr>
          <w:ilvl w:val="0"/>
          <w:numId w:val="2"/>
        </w:numPr>
        <w:tabs>
          <w:tab w:val="clear" w:pos="567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790341">
        <w:rPr>
          <w:rFonts w:ascii="Arial" w:hAnsi="Arial" w:cs="Arial"/>
          <w:b/>
          <w:bCs/>
          <w:color w:val="0000FF"/>
          <w:sz w:val="24"/>
          <w:szCs w:val="24"/>
          <w:highlight w:val="yellow"/>
        </w:rPr>
        <w:t>…………….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Skutečná 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bude poskytovatelem vypočtena na základě předloženého finančního vypořádání za dobu poskytnuté návratné finanční výpomoci.</w:t>
      </w:r>
      <w:r>
        <w:rPr>
          <w:rFonts w:ascii="Arial" w:hAnsi="Arial" w:cs="Arial"/>
          <w:color w:val="000000"/>
          <w:sz w:val="24"/>
          <w:szCs w:val="24"/>
        </w:rPr>
        <w:t xml:space="preserve"> Na případnou úpravu konečné výše podpory de minimis v Centrálním registru podpor malého rozsahu dle předchozí věty bude příjemce </w:t>
      </w:r>
      <w:r w:rsidRPr="00790341">
        <w:rPr>
          <w:rFonts w:ascii="Arial" w:hAnsi="Arial" w:cs="Arial"/>
          <w:sz w:val="24"/>
          <w:szCs w:val="24"/>
        </w:rPr>
        <w:t xml:space="preserve">bez zbytečného odkladu písemně </w:t>
      </w:r>
      <w:r>
        <w:rPr>
          <w:rFonts w:ascii="Arial" w:hAnsi="Arial" w:cs="Arial"/>
          <w:color w:val="000000"/>
          <w:sz w:val="24"/>
          <w:szCs w:val="24"/>
        </w:rPr>
        <w:t>upozorněn.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66A4B47" w14:textId="5B703431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v příjemcem užívaném účetním období,</w:t>
      </w:r>
      <w:r w:rsidR="00790341">
        <w:rPr>
          <w:rFonts w:ascii="Arial" w:eastAsia="Times New Roman" w:hAnsi="Arial" w:cs="Arial"/>
          <w:sz w:val="24"/>
          <w:szCs w:val="24"/>
          <w:lang w:eastAsia="cs-CZ"/>
        </w:rPr>
        <w:t xml:space="preserve"> ve kterém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tato smlouva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547F33D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0F306871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</w:t>
      </w:r>
      <w:r w:rsidR="00823F3D"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případě rozdělení příjemce na dva samostatné podniky či více samostatných </w:t>
      </w:r>
      <w:r w:rsidR="00823F3D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</w:t>
      </w:r>
      <w:r w:rsidR="00823F3D" w:rsidRPr="0079034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podnik kontaktovat poskytovatele za účelem sdělení informace, jak podporu de minimis poskytnutou dle této smlouvy upravit v Centrální</w:t>
      </w:r>
      <w:r w:rsidR="00823F3D"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>m registru podpor malého rozsahu.</w:t>
      </w:r>
    </w:p>
    <w:p w14:paraId="365AC497" w14:textId="6145275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275D0C35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6B138FF2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431743">
        <w:rPr>
          <w:rFonts w:ascii="Arial" w:hAnsi="Arial" w:cs="Arial"/>
          <w:b/>
          <w:sz w:val="24"/>
          <w:szCs w:val="24"/>
          <w:lang w:eastAsia="cs-CZ"/>
        </w:rPr>
        <w:t>Zastupitelstva Olomouckého kraje č</w:t>
      </w:r>
      <w:r w:rsidR="00BA585D" w:rsidRPr="00431743">
        <w:rPr>
          <w:rFonts w:ascii="Arial" w:hAnsi="Arial" w:cs="Arial"/>
          <w:b/>
          <w:sz w:val="24"/>
          <w:szCs w:val="24"/>
          <w:lang w:eastAsia="cs-CZ"/>
        </w:rPr>
        <w:t>.</w:t>
      </w:r>
      <w:r w:rsidRPr="00431743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431743" w:rsidRPr="00431743">
        <w:rPr>
          <w:rFonts w:ascii="Arial" w:hAnsi="Arial" w:cs="Arial"/>
          <w:b/>
          <w:sz w:val="24"/>
          <w:szCs w:val="24"/>
          <w:highlight w:val="yellow"/>
          <w:lang w:eastAsia="cs-CZ"/>
        </w:rPr>
        <w:t>UZ/00/00/2022</w:t>
      </w:r>
      <w:r w:rsidRPr="00431743">
        <w:rPr>
          <w:rFonts w:ascii="Arial" w:hAnsi="Arial" w:cs="Arial"/>
          <w:b/>
          <w:sz w:val="24"/>
          <w:szCs w:val="24"/>
          <w:lang w:eastAsia="cs-CZ"/>
        </w:rPr>
        <w:t xml:space="preserve"> ze dne </w:t>
      </w:r>
      <w:r w:rsidR="00431743">
        <w:rPr>
          <w:rFonts w:ascii="Arial" w:hAnsi="Arial" w:cs="Arial"/>
          <w:b/>
          <w:sz w:val="24"/>
          <w:szCs w:val="24"/>
          <w:lang w:eastAsia="cs-CZ"/>
        </w:rPr>
        <w:t>12.12.2022.</w:t>
      </w:r>
    </w:p>
    <w:p w14:paraId="1467A1F4" w14:textId="5E49BDA5" w:rsidR="007A1C7B" w:rsidRPr="00895269" w:rsidRDefault="003A2C75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color w:val="0000FF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431743">
        <w:rPr>
          <w:rFonts w:ascii="Arial" w:hAnsi="Arial" w:cs="Arial"/>
          <w:sz w:val="24"/>
          <w:szCs w:val="24"/>
          <w:lang w:eastAsia="cs-CZ"/>
        </w:rPr>
        <w:t>dvou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 xml:space="preserve">na obdrží </w:t>
      </w:r>
      <w:r w:rsidR="00431743">
        <w:rPr>
          <w:rFonts w:ascii="Arial" w:hAnsi="Arial" w:cs="Arial"/>
          <w:sz w:val="24"/>
          <w:szCs w:val="24"/>
          <w:lang w:eastAsia="cs-CZ"/>
        </w:rPr>
        <w:t>jedno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9633CB" w14:textId="71F17D62" w:rsidR="003A2C75" w:rsidRPr="007A1C7B" w:rsidRDefault="003A2C75" w:rsidP="007A1C7B">
      <w:pPr>
        <w:spacing w:after="120" w:line="240" w:lineRule="auto"/>
        <w:ind w:left="1"/>
        <w:jc w:val="both"/>
        <w:rPr>
          <w:rFonts w:ascii="Arial" w:hAnsi="Arial" w:cs="Arial"/>
          <w:sz w:val="24"/>
          <w:szCs w:val="24"/>
          <w:lang w:eastAsia="cs-CZ"/>
        </w:rPr>
      </w:pPr>
      <w:r w:rsidRPr="007A1C7B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FD1B59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C84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84DE1CA" w14:textId="37DE0F7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8E3E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4B5FBB4" w14:textId="44C1CFA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D5EA4A3" w14:textId="11C7DA30" w:rsidR="00431743" w:rsidRDefault="00431743" w:rsidP="00431743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31CAB87F" w14:textId="6A369B61" w:rsidR="003A2C75" w:rsidRPr="00431743" w:rsidRDefault="00431743" w:rsidP="00431743">
            <w:pPr>
              <w:spacing w:after="12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6675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6675E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583C4" w14:textId="77777777" w:rsidR="003A2C75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5AF53EE3" w14:textId="77777777" w:rsidR="00431743" w:rsidRDefault="00431743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Milena Hesová</w:t>
            </w:r>
          </w:p>
          <w:p w14:paraId="4914B927" w14:textId="6248231C" w:rsidR="00431743" w:rsidRPr="00471537" w:rsidRDefault="00431743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předsedkyně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726B7D">
      <w:footerReference w:type="default" r:id="rId9"/>
      <w:pgSz w:w="11906" w:h="16838"/>
      <w:pgMar w:top="1417" w:right="1417" w:bottom="1417" w:left="1418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4122" w14:textId="77777777" w:rsidR="004C1CF0" w:rsidRDefault="004C1CF0" w:rsidP="00A74BCC">
      <w:pPr>
        <w:spacing w:after="0" w:line="240" w:lineRule="auto"/>
      </w:pPr>
      <w:r>
        <w:separator/>
      </w:r>
    </w:p>
  </w:endnote>
  <w:endnote w:type="continuationSeparator" w:id="0">
    <w:p w14:paraId="145E0CF5" w14:textId="77777777" w:rsidR="004C1CF0" w:rsidRDefault="004C1CF0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1E28E369" w:rsidR="00431743" w:rsidRDefault="00431743" w:rsidP="00431743">
        <w:pPr>
          <w:pStyle w:val="Zpat"/>
          <w:tabs>
            <w:tab w:val="left" w:pos="4962"/>
          </w:tabs>
        </w:pPr>
      </w:p>
      <w:p w14:paraId="574241FB" w14:textId="43FF4157" w:rsidR="00102390" w:rsidRPr="00A0383F" w:rsidRDefault="00790341" w:rsidP="00685672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FCCB" w14:textId="77777777" w:rsidR="004C1CF0" w:rsidRDefault="004C1CF0" w:rsidP="00A74BCC">
      <w:pPr>
        <w:spacing w:after="0" w:line="240" w:lineRule="auto"/>
      </w:pPr>
      <w:r>
        <w:separator/>
      </w:r>
    </w:p>
  </w:footnote>
  <w:footnote w:type="continuationSeparator" w:id="0">
    <w:p w14:paraId="3002E649" w14:textId="77777777" w:rsidR="004C1CF0" w:rsidRDefault="004C1CF0" w:rsidP="00A7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02C"/>
    <w:multiLevelType w:val="hybridMultilevel"/>
    <w:tmpl w:val="0CDA4D3E"/>
    <w:lvl w:ilvl="0" w:tplc="C9A8E916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845"/>
    <w:multiLevelType w:val="hybridMultilevel"/>
    <w:tmpl w:val="E6EA2D10"/>
    <w:lvl w:ilvl="0" w:tplc="375066D8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3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5605D"/>
    <w:rsid w:val="00057D73"/>
    <w:rsid w:val="00073696"/>
    <w:rsid w:val="00084D1E"/>
    <w:rsid w:val="00087456"/>
    <w:rsid w:val="00090A4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13933"/>
    <w:rsid w:val="00233049"/>
    <w:rsid w:val="00244DC9"/>
    <w:rsid w:val="00250DC9"/>
    <w:rsid w:val="00252885"/>
    <w:rsid w:val="00253533"/>
    <w:rsid w:val="00263573"/>
    <w:rsid w:val="00271A95"/>
    <w:rsid w:val="00291800"/>
    <w:rsid w:val="002B5AE5"/>
    <w:rsid w:val="002E37DE"/>
    <w:rsid w:val="002E719D"/>
    <w:rsid w:val="002F6847"/>
    <w:rsid w:val="00316A9C"/>
    <w:rsid w:val="00341EE4"/>
    <w:rsid w:val="00342B6A"/>
    <w:rsid w:val="00344686"/>
    <w:rsid w:val="0034660E"/>
    <w:rsid w:val="00352973"/>
    <w:rsid w:val="003549DC"/>
    <w:rsid w:val="00355735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C2C7C"/>
    <w:rsid w:val="003C5B28"/>
    <w:rsid w:val="003D0872"/>
    <w:rsid w:val="003D0E4A"/>
    <w:rsid w:val="003D508C"/>
    <w:rsid w:val="003E5BCD"/>
    <w:rsid w:val="00404539"/>
    <w:rsid w:val="00411BC9"/>
    <w:rsid w:val="00413D22"/>
    <w:rsid w:val="00413DB7"/>
    <w:rsid w:val="004141E4"/>
    <w:rsid w:val="00421951"/>
    <w:rsid w:val="00431743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250C"/>
    <w:rsid w:val="00494C87"/>
    <w:rsid w:val="0049680D"/>
    <w:rsid w:val="004A483B"/>
    <w:rsid w:val="004A556F"/>
    <w:rsid w:val="004A61A6"/>
    <w:rsid w:val="004A6ADE"/>
    <w:rsid w:val="004C0934"/>
    <w:rsid w:val="004C1CF0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5AAC"/>
    <w:rsid w:val="00626050"/>
    <w:rsid w:val="00626096"/>
    <w:rsid w:val="0063254D"/>
    <w:rsid w:val="00634590"/>
    <w:rsid w:val="00636CFC"/>
    <w:rsid w:val="00643F57"/>
    <w:rsid w:val="00646665"/>
    <w:rsid w:val="00664AAE"/>
    <w:rsid w:val="00672F9F"/>
    <w:rsid w:val="00685672"/>
    <w:rsid w:val="006A434F"/>
    <w:rsid w:val="006B0049"/>
    <w:rsid w:val="006C480E"/>
    <w:rsid w:val="006F1440"/>
    <w:rsid w:val="006F70D6"/>
    <w:rsid w:val="00721370"/>
    <w:rsid w:val="00725A80"/>
    <w:rsid w:val="00726B7D"/>
    <w:rsid w:val="007307C5"/>
    <w:rsid w:val="00771239"/>
    <w:rsid w:val="00790341"/>
    <w:rsid w:val="0079255B"/>
    <w:rsid w:val="007A1C7B"/>
    <w:rsid w:val="007C6BC7"/>
    <w:rsid w:val="007E16CE"/>
    <w:rsid w:val="007E28DF"/>
    <w:rsid w:val="007E4A1E"/>
    <w:rsid w:val="007E4C25"/>
    <w:rsid w:val="007E70D2"/>
    <w:rsid w:val="007F7F5A"/>
    <w:rsid w:val="00801965"/>
    <w:rsid w:val="008027AA"/>
    <w:rsid w:val="0081411D"/>
    <w:rsid w:val="00815A0D"/>
    <w:rsid w:val="00822ACD"/>
    <w:rsid w:val="00823F3D"/>
    <w:rsid w:val="00830071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92244"/>
    <w:rsid w:val="009A33AF"/>
    <w:rsid w:val="009B6221"/>
    <w:rsid w:val="009C05C0"/>
    <w:rsid w:val="009D1131"/>
    <w:rsid w:val="009D5E3B"/>
    <w:rsid w:val="009E0268"/>
    <w:rsid w:val="009E26D0"/>
    <w:rsid w:val="009E3605"/>
    <w:rsid w:val="009F1F59"/>
    <w:rsid w:val="00A0383F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E56E8"/>
    <w:rsid w:val="00AF18F6"/>
    <w:rsid w:val="00AF31BB"/>
    <w:rsid w:val="00B108C7"/>
    <w:rsid w:val="00B37D48"/>
    <w:rsid w:val="00B75065"/>
    <w:rsid w:val="00B815D3"/>
    <w:rsid w:val="00BA460B"/>
    <w:rsid w:val="00BA585D"/>
    <w:rsid w:val="00BA63AE"/>
    <w:rsid w:val="00BC08E1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2D03"/>
    <w:rsid w:val="00C648BD"/>
    <w:rsid w:val="00C770C0"/>
    <w:rsid w:val="00C8288F"/>
    <w:rsid w:val="00C85089"/>
    <w:rsid w:val="00C85EE4"/>
    <w:rsid w:val="00CA2586"/>
    <w:rsid w:val="00CA49F6"/>
    <w:rsid w:val="00CA4FBF"/>
    <w:rsid w:val="00CB23A8"/>
    <w:rsid w:val="00CE0155"/>
    <w:rsid w:val="00D100F7"/>
    <w:rsid w:val="00D21213"/>
    <w:rsid w:val="00D36150"/>
    <w:rsid w:val="00D464F4"/>
    <w:rsid w:val="00D4774D"/>
    <w:rsid w:val="00D640D8"/>
    <w:rsid w:val="00D6423B"/>
    <w:rsid w:val="00D65930"/>
    <w:rsid w:val="00D71520"/>
    <w:rsid w:val="00D719A3"/>
    <w:rsid w:val="00D7582E"/>
    <w:rsid w:val="00D75D35"/>
    <w:rsid w:val="00D76EAB"/>
    <w:rsid w:val="00D87EA6"/>
    <w:rsid w:val="00D9633C"/>
    <w:rsid w:val="00DA4001"/>
    <w:rsid w:val="00DB4432"/>
    <w:rsid w:val="00DC3E32"/>
    <w:rsid w:val="00DC71B5"/>
    <w:rsid w:val="00DC7C82"/>
    <w:rsid w:val="00DC7D4D"/>
    <w:rsid w:val="00DD7474"/>
    <w:rsid w:val="00DE0F0E"/>
    <w:rsid w:val="00DF43CD"/>
    <w:rsid w:val="00E137D4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D34CF"/>
    <w:rsid w:val="00EF3046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97C"/>
    <w:rsid w:val="00F862F2"/>
    <w:rsid w:val="00F8742B"/>
    <w:rsid w:val="00F94B54"/>
    <w:rsid w:val="00FA2A06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9315-228D-4FDA-9536-E01DF9D2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2101</Words>
  <Characters>12402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Kubisová Adéla</cp:lastModifiedBy>
  <cp:revision>2</cp:revision>
  <cp:lastPrinted>2019-09-05T06:35:00Z</cp:lastPrinted>
  <dcterms:created xsi:type="dcterms:W3CDTF">2022-11-14T09:28:00Z</dcterms:created>
  <dcterms:modified xsi:type="dcterms:W3CDTF">2022-11-14T09:28:00Z</dcterms:modified>
</cp:coreProperties>
</file>