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333"/>
        <w:gridCol w:w="4428"/>
        <w:gridCol w:w="609"/>
      </w:tblGrid>
      <w:tr w:rsidR="004E1377" w:rsidRPr="00570AA0" w:rsidTr="00E37A12">
        <w:trPr>
          <w:gridBefore w:val="1"/>
          <w:wBefore w:w="80" w:type="dxa"/>
          <w:trHeight w:val="3394"/>
        </w:trPr>
        <w:tc>
          <w:tcPr>
            <w:tcW w:w="9639" w:type="dxa"/>
            <w:gridSpan w:val="4"/>
          </w:tcPr>
          <w:p w:rsidR="004E1377" w:rsidRPr="00570AA0" w:rsidRDefault="004E1377" w:rsidP="00110075">
            <w:pPr>
              <w:pStyle w:val="Vbornadpis"/>
              <w:rPr>
                <w:rFonts w:cs="Arial"/>
              </w:rPr>
            </w:pPr>
          </w:p>
          <w:p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Zápis č. </w:t>
            </w:r>
            <w:r w:rsidR="005177F8" w:rsidRPr="005177F8">
              <w:rPr>
                <w:rFonts w:cs="Arial"/>
              </w:rPr>
              <w:t>1</w:t>
            </w:r>
            <w:r w:rsidR="00E37A12">
              <w:rPr>
                <w:rFonts w:cs="Arial"/>
              </w:rPr>
              <w:t>3</w:t>
            </w:r>
          </w:p>
          <w:p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ze zasedání Výboru </w:t>
            </w:r>
            <w:r w:rsidR="005177F8" w:rsidRPr="005177F8">
              <w:rPr>
                <w:rFonts w:cs="Arial"/>
              </w:rPr>
              <w:t>pro regionální rozvoj</w:t>
            </w:r>
          </w:p>
          <w:p w:rsidR="004E1377" w:rsidRPr="005177F8" w:rsidRDefault="004E1377" w:rsidP="00110075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>Zastupitelstva Olomouckého kraje</w:t>
            </w:r>
          </w:p>
          <w:p w:rsidR="004E1377" w:rsidRPr="005177F8" w:rsidRDefault="004E1377" w:rsidP="0011007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177F8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177F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E37A12">
              <w:rPr>
                <w:rFonts w:ascii="Arial" w:hAnsi="Arial" w:cs="Arial"/>
                <w:b/>
                <w:sz w:val="32"/>
                <w:szCs w:val="32"/>
              </w:rPr>
              <w:t>5. 4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177F8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5C664E" w:rsidRPr="00570AA0" w:rsidRDefault="005C664E" w:rsidP="00110075">
            <w:pPr>
              <w:pStyle w:val="Vbornadpis"/>
              <w:rPr>
                <w:rFonts w:cs="Arial"/>
              </w:rPr>
            </w:pPr>
          </w:p>
        </w:tc>
      </w:tr>
      <w:tr w:rsidR="005C664E" w:rsidRPr="003E4042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110075">
            <w:pPr>
              <w:pStyle w:val="Vborptomni"/>
            </w:pPr>
            <w:r w:rsidRPr="003E4042">
              <w:t>Přítomni: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110075">
            <w:pPr>
              <w:pStyle w:val="Vborptomni"/>
            </w:pPr>
            <w:r w:rsidRPr="003E4042">
              <w:t xml:space="preserve">Nepřítomni: </w:t>
            </w:r>
          </w:p>
        </w:tc>
      </w:tr>
      <w:tr w:rsidR="005C664E" w:rsidRPr="003E4042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12" w:rsidRPr="003E4042" w:rsidRDefault="00E37A12" w:rsidP="005C664E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Čech Martin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Hons Martin, Ing.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3E4042">
              <w:rPr>
                <w:sz w:val="22"/>
                <w:szCs w:val="24"/>
              </w:rPr>
              <w:t>Jüngling</w:t>
            </w:r>
            <w:proofErr w:type="spellEnd"/>
            <w:r w:rsidRPr="003E4042">
              <w:rPr>
                <w:sz w:val="22"/>
                <w:szCs w:val="24"/>
              </w:rPr>
              <w:t xml:space="preserve"> Lenka, Ing.</w:t>
            </w:r>
          </w:p>
          <w:p w:rsidR="00E37A12" w:rsidRPr="003E4042" w:rsidRDefault="00E37A12" w:rsidP="005C664E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Kouba Petr, Mgr.</w:t>
            </w:r>
          </w:p>
          <w:p w:rsidR="005C664E" w:rsidRDefault="005C664E" w:rsidP="005C664E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Kryl Václav</w:t>
            </w:r>
          </w:p>
          <w:p w:rsidR="0019639C" w:rsidRDefault="0019639C" w:rsidP="00E37A12">
            <w:pPr>
              <w:pStyle w:val="Vborobdr"/>
              <w:tabs>
                <w:tab w:val="center" w:pos="2066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  <w:r w:rsidR="00E37A12">
              <w:rPr>
                <w:sz w:val="22"/>
                <w:szCs w:val="24"/>
              </w:rPr>
              <w:tab/>
            </w:r>
          </w:p>
          <w:p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Procházka Michal, Ing.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Rakušan Milan</w:t>
            </w:r>
          </w:p>
          <w:p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3E4042">
              <w:rPr>
                <w:sz w:val="22"/>
                <w:szCs w:val="24"/>
              </w:rPr>
              <w:t>Roubínek</w:t>
            </w:r>
            <w:proofErr w:type="spellEnd"/>
            <w:r w:rsidRPr="003E4042">
              <w:rPr>
                <w:sz w:val="22"/>
                <w:szCs w:val="24"/>
              </w:rPr>
              <w:t xml:space="preserve"> Pavel, Mgr.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 xml:space="preserve">Šťastný Roman, Mgr. 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3E4042">
              <w:rPr>
                <w:sz w:val="22"/>
                <w:szCs w:val="24"/>
              </w:rPr>
              <w:t>Vlazlo</w:t>
            </w:r>
            <w:proofErr w:type="spellEnd"/>
            <w:r w:rsidRPr="003E4042">
              <w:rPr>
                <w:sz w:val="22"/>
                <w:szCs w:val="24"/>
              </w:rPr>
              <w:t xml:space="preserve"> Tomáš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Vogel Jiří, Bc.</w:t>
            </w:r>
          </w:p>
          <w:p w:rsidR="005C664E" w:rsidRPr="00E37A12" w:rsidRDefault="005C664E" w:rsidP="00E37A12">
            <w:pPr>
              <w:pStyle w:val="Vborobdr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9D" w:rsidRPr="003E4042" w:rsidRDefault="000D409D" w:rsidP="000D409D">
            <w:pPr>
              <w:pStyle w:val="Vborobdr"/>
              <w:tabs>
                <w:tab w:val="center" w:pos="2066"/>
              </w:tabs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Pejpek</w:t>
            </w:r>
            <w:proofErr w:type="spellEnd"/>
            <w:r>
              <w:rPr>
                <w:sz w:val="22"/>
                <w:szCs w:val="24"/>
              </w:rPr>
              <w:t xml:space="preserve"> Tomáš, Ing. arch.</w:t>
            </w:r>
          </w:p>
          <w:p w:rsidR="000D409D" w:rsidRPr="003E4042" w:rsidRDefault="000D409D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Sršeň Radim, Ing., </w:t>
            </w:r>
            <w:proofErr w:type="spellStart"/>
            <w:r>
              <w:rPr>
                <w:sz w:val="22"/>
                <w:szCs w:val="24"/>
              </w:rPr>
              <w:t>Ph.D</w:t>
            </w:r>
            <w:proofErr w:type="spellEnd"/>
          </w:p>
          <w:p w:rsidR="005C664E" w:rsidRDefault="005C664E" w:rsidP="005C664E">
            <w:pPr>
              <w:pStyle w:val="Vborptomni"/>
              <w:rPr>
                <w:b w:val="0"/>
              </w:rPr>
            </w:pPr>
          </w:p>
          <w:p w:rsidR="00E37A12" w:rsidRPr="003E4042" w:rsidRDefault="00E37A12" w:rsidP="005C664E">
            <w:pPr>
              <w:pStyle w:val="Vborptomni"/>
              <w:rPr>
                <w:b w:val="0"/>
              </w:rPr>
            </w:pPr>
          </w:p>
          <w:p w:rsidR="005C664E" w:rsidRPr="003E4042" w:rsidRDefault="005C664E" w:rsidP="00110075">
            <w:pPr>
              <w:pStyle w:val="Vborptomni"/>
              <w:rPr>
                <w:b w:val="0"/>
              </w:rPr>
            </w:pPr>
            <w:r w:rsidRPr="003E4042">
              <w:t>Omluveni:</w:t>
            </w:r>
            <w:r w:rsidRPr="003E4042">
              <w:rPr>
                <w:b w:val="0"/>
              </w:rPr>
              <w:t xml:space="preserve"> </w:t>
            </w:r>
          </w:p>
          <w:p w:rsidR="00A5136B" w:rsidRDefault="00A5136B" w:rsidP="00A5136B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Blišťanová Zdeňka, Mgr. Bc.</w:t>
            </w:r>
          </w:p>
          <w:p w:rsidR="00A5136B" w:rsidRDefault="00A5136B" w:rsidP="00A5136B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Kocián Miroslav, Ing.</w:t>
            </w:r>
          </w:p>
          <w:p w:rsidR="000D409D" w:rsidRDefault="000D409D" w:rsidP="000D409D">
            <w:pPr>
              <w:pStyle w:val="Vborobdr"/>
              <w:rPr>
                <w:sz w:val="22"/>
                <w:szCs w:val="24"/>
              </w:rPr>
            </w:pPr>
            <w:proofErr w:type="spellStart"/>
            <w:r w:rsidRPr="00A5136B">
              <w:rPr>
                <w:sz w:val="22"/>
                <w:szCs w:val="24"/>
              </w:rPr>
              <w:t>Stawaritschová</w:t>
            </w:r>
            <w:proofErr w:type="spellEnd"/>
            <w:r w:rsidRPr="00A5136B">
              <w:rPr>
                <w:sz w:val="22"/>
                <w:szCs w:val="24"/>
              </w:rPr>
              <w:t xml:space="preserve"> Jarmila, Bc.</w:t>
            </w:r>
          </w:p>
          <w:p w:rsidR="000D409D" w:rsidRPr="003E4042" w:rsidRDefault="000D409D" w:rsidP="000D409D">
            <w:pPr>
              <w:pStyle w:val="Vborobdr"/>
              <w:ind w:left="0" w:firstLine="0"/>
              <w:rPr>
                <w:sz w:val="22"/>
                <w:szCs w:val="24"/>
              </w:rPr>
            </w:pPr>
            <w:proofErr w:type="spellStart"/>
            <w:r w:rsidRPr="003E4042">
              <w:rPr>
                <w:sz w:val="22"/>
                <w:szCs w:val="24"/>
              </w:rPr>
              <w:t>Vitonský</w:t>
            </w:r>
            <w:proofErr w:type="spellEnd"/>
            <w:r w:rsidRPr="003E4042">
              <w:rPr>
                <w:sz w:val="22"/>
                <w:szCs w:val="24"/>
              </w:rPr>
              <w:t xml:space="preserve"> Daniel</w:t>
            </w:r>
          </w:p>
          <w:p w:rsidR="000D409D" w:rsidRDefault="000D409D" w:rsidP="000D409D">
            <w:pPr>
              <w:pStyle w:val="Vborobdr"/>
              <w:ind w:left="0" w:firstLine="0"/>
            </w:pPr>
            <w:r w:rsidRPr="00D0686A">
              <w:rPr>
                <w:sz w:val="22"/>
                <w:szCs w:val="24"/>
              </w:rPr>
              <w:t>Zatloukal Ivo, Ing.</w:t>
            </w:r>
            <w:r w:rsidRPr="00EB1A48">
              <w:t xml:space="preserve"> </w:t>
            </w:r>
          </w:p>
          <w:p w:rsidR="005C664E" w:rsidRPr="005C664E" w:rsidRDefault="000D409D" w:rsidP="000D409D">
            <w:pPr>
              <w:pStyle w:val="Vborobdr"/>
              <w:ind w:left="0" w:firstLine="0"/>
              <w:rPr>
                <w:b/>
              </w:rPr>
            </w:pPr>
            <w:r w:rsidRPr="000D409D">
              <w:rPr>
                <w:sz w:val="22"/>
                <w:szCs w:val="24"/>
              </w:rPr>
              <w:t>Šafařík Jan, Ing., MBA</w:t>
            </w:r>
          </w:p>
        </w:tc>
      </w:tr>
      <w:tr w:rsidR="005C664E" w:rsidRPr="003E4042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3E4042" w:rsidRDefault="005C664E" w:rsidP="00110075">
            <w:pPr>
              <w:pStyle w:val="Vborptomnitext"/>
            </w:pP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3E4042" w:rsidRDefault="005C664E" w:rsidP="00110075">
            <w:pPr>
              <w:pStyle w:val="Vborptomni"/>
              <w:rPr>
                <w:b w:val="0"/>
              </w:rPr>
            </w:pPr>
          </w:p>
        </w:tc>
      </w:tr>
      <w:tr w:rsidR="005C664E" w:rsidRPr="003E4042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110075">
            <w:pPr>
              <w:pStyle w:val="Vborptomnitext"/>
            </w:pPr>
            <w:r w:rsidRPr="003E4042">
              <w:rPr>
                <w:b/>
              </w:rPr>
              <w:t>Tajemník: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110075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Hosté:</w:t>
            </w:r>
          </w:p>
        </w:tc>
      </w:tr>
      <w:tr w:rsidR="005C664E" w:rsidRPr="003E4042" w:rsidTr="00E37A12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110075">
            <w:pPr>
              <w:pStyle w:val="Vborptomnitext"/>
            </w:pPr>
            <w:r w:rsidRPr="003E4042">
              <w:t>Novotná Marta, Ing.</w:t>
            </w:r>
          </w:p>
        </w:tc>
        <w:tc>
          <w:tcPr>
            <w:tcW w:w="47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A12" w:rsidRDefault="00E37A12" w:rsidP="00110075">
            <w:pPr>
              <w:pStyle w:val="Vborptomnitext"/>
            </w:pPr>
            <w:r>
              <w:t>Juránek Jiří, RNDr., Ph.D.</w:t>
            </w:r>
          </w:p>
          <w:p w:rsidR="00E37A12" w:rsidRDefault="00E37A12" w:rsidP="00110075">
            <w:pPr>
              <w:pStyle w:val="Vborptomnitext"/>
            </w:pPr>
            <w:r>
              <w:t>Kubín Miroslav, Ing.</w:t>
            </w:r>
          </w:p>
          <w:p w:rsidR="00E37A12" w:rsidRDefault="00E37A12" w:rsidP="00110075">
            <w:pPr>
              <w:pStyle w:val="Vborptomnitext"/>
            </w:pPr>
            <w:r>
              <w:t>Melo Roman, Ing.</w:t>
            </w:r>
          </w:p>
          <w:p w:rsidR="00C105C6" w:rsidRDefault="00C105C6" w:rsidP="00110075">
            <w:pPr>
              <w:pStyle w:val="Vborptomnitext"/>
            </w:pPr>
          </w:p>
          <w:p w:rsidR="005C664E" w:rsidRPr="003E4042" w:rsidRDefault="005C664E" w:rsidP="00110075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Garant za Radu Olomouckého kraje:</w:t>
            </w:r>
          </w:p>
          <w:p w:rsidR="005C664E" w:rsidRPr="003E4042" w:rsidRDefault="005D51DB" w:rsidP="00110075">
            <w:pPr>
              <w:pStyle w:val="Vborptomnitext"/>
            </w:pPr>
            <w:r w:rsidRPr="000D409D">
              <w:rPr>
                <w:szCs w:val="24"/>
              </w:rPr>
              <w:t>Šafařík Jan, Ing., MBA</w:t>
            </w:r>
          </w:p>
        </w:tc>
      </w:tr>
      <w:tr w:rsidR="00975D37" w:rsidRPr="00570AA0" w:rsidTr="00E37A12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4602" w:type="dxa"/>
            <w:gridSpan w:val="2"/>
          </w:tcPr>
          <w:p w:rsidR="00376EF0" w:rsidRPr="00570AA0" w:rsidRDefault="00376EF0">
            <w:pPr>
              <w:pStyle w:val="Vborptomni"/>
            </w:pPr>
          </w:p>
        </w:tc>
        <w:tc>
          <w:tcPr>
            <w:tcW w:w="5036" w:type="dxa"/>
            <w:gridSpan w:val="2"/>
          </w:tcPr>
          <w:p w:rsidR="00975D37" w:rsidRPr="00570AA0" w:rsidRDefault="00975D37">
            <w:pPr>
              <w:pStyle w:val="Vborptomni"/>
            </w:pPr>
          </w:p>
        </w:tc>
      </w:tr>
    </w:tbl>
    <w:p w:rsidR="00A5136B" w:rsidRDefault="00A5136B">
      <w:pPr>
        <w:pStyle w:val="slo1text"/>
        <w:rPr>
          <w:rFonts w:cs="Arial"/>
          <w:b/>
        </w:rPr>
      </w:pPr>
    </w:p>
    <w:p w:rsidR="005D51DB" w:rsidRDefault="005D51DB">
      <w:pPr>
        <w:pStyle w:val="slo1text"/>
        <w:rPr>
          <w:rFonts w:cs="Arial"/>
          <w:b/>
        </w:rPr>
      </w:pPr>
    </w:p>
    <w:p w:rsidR="005D51DB" w:rsidRDefault="005D51DB">
      <w:pPr>
        <w:pStyle w:val="slo1text"/>
        <w:rPr>
          <w:rFonts w:cs="Arial"/>
          <w:b/>
        </w:rPr>
      </w:pPr>
    </w:p>
    <w:p w:rsidR="005D51DB" w:rsidRDefault="005D51DB">
      <w:pPr>
        <w:pStyle w:val="slo1text"/>
        <w:rPr>
          <w:rFonts w:cs="Arial"/>
          <w:b/>
        </w:rPr>
      </w:pPr>
    </w:p>
    <w:p w:rsidR="00C105C6" w:rsidRDefault="00C105C6">
      <w:pPr>
        <w:pStyle w:val="slo1text"/>
        <w:rPr>
          <w:rFonts w:cs="Arial"/>
          <w:b/>
        </w:rPr>
      </w:pPr>
    </w:p>
    <w:p w:rsidR="005D51DB" w:rsidRDefault="005D51DB">
      <w:pPr>
        <w:pStyle w:val="slo1text"/>
        <w:rPr>
          <w:rFonts w:cs="Arial"/>
          <w:b/>
        </w:rPr>
      </w:pPr>
    </w:p>
    <w:p w:rsidR="00975D37" w:rsidRPr="00B870E6" w:rsidRDefault="005C664E">
      <w:pPr>
        <w:pStyle w:val="slo1text"/>
        <w:rPr>
          <w:rFonts w:cs="Arial"/>
          <w:b/>
        </w:rPr>
      </w:pPr>
      <w:r w:rsidRPr="00B870E6">
        <w:rPr>
          <w:rFonts w:cs="Arial"/>
          <w:b/>
        </w:rPr>
        <w:lastRenderedPageBreak/>
        <w:t>Program:</w:t>
      </w:r>
    </w:p>
    <w:p w:rsidR="00975D37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Kontrola usnesení z minulého zasedání, schválení programu zasedání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Informace z jednání orgánů kraje</w:t>
      </w:r>
    </w:p>
    <w:p w:rsidR="005C664E" w:rsidRPr="005C664E" w:rsidRDefault="004E490F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Strategie rozvoje územního obvodu Olomouckého kraje – vyhodnocení za rok 2022 a plnění monitorovacích indikátorů pro hodnocení strategie</w:t>
      </w:r>
    </w:p>
    <w:p w:rsidR="005C664E" w:rsidRPr="005C664E" w:rsidRDefault="004E490F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Plán činností v oblasti energetiky na rok 2023</w:t>
      </w:r>
    </w:p>
    <w:p w:rsidR="005C664E" w:rsidRPr="005C664E" w:rsidRDefault="004E490F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>
        <w:rPr>
          <w:rFonts w:cs="Arial"/>
        </w:rPr>
        <w:t>Příprava projektů Olomouckého kraje v oblasti dopravy v Operačním programu Přeshraniční spolupráce ČR-PL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Různé</w:t>
      </w:r>
    </w:p>
    <w:p w:rsidR="005C664E" w:rsidRDefault="005C664E" w:rsidP="005C664E">
      <w:pPr>
        <w:pStyle w:val="slo1text"/>
        <w:tabs>
          <w:tab w:val="clear" w:pos="567"/>
        </w:tabs>
        <w:rPr>
          <w:rFonts w:cs="Arial"/>
        </w:rPr>
      </w:pPr>
    </w:p>
    <w:p w:rsidR="005C664E" w:rsidRDefault="005C664E" w:rsidP="005C664E">
      <w:pPr>
        <w:pStyle w:val="slo1text"/>
        <w:tabs>
          <w:tab w:val="clear" w:pos="567"/>
        </w:tabs>
        <w:rPr>
          <w:rFonts w:cs="Arial"/>
          <w:b/>
          <w:u w:val="single"/>
        </w:rPr>
      </w:pPr>
      <w:r w:rsidRPr="005C664E">
        <w:rPr>
          <w:rFonts w:cs="Arial"/>
          <w:b/>
          <w:u w:val="single"/>
        </w:rPr>
        <w:t>Zápis</w:t>
      </w:r>
      <w:r>
        <w:rPr>
          <w:rFonts w:cs="Arial"/>
          <w:b/>
          <w:u w:val="single"/>
        </w:rPr>
        <w:t>:</w:t>
      </w:r>
    </w:p>
    <w:p w:rsidR="005C664E" w:rsidRPr="002D5585" w:rsidRDefault="005C664E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Kontrola usnesení z minulého zasedání, schválení programu zasedání</w:t>
      </w:r>
    </w:p>
    <w:p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Zasedání zahájil předseda V</w:t>
      </w:r>
      <w:r w:rsidR="008A2F08">
        <w:rPr>
          <w:rFonts w:cs="Arial"/>
        </w:rPr>
        <w:t>ýboru Mgr. Roman Šťastný, přivít</w:t>
      </w:r>
      <w:r>
        <w:rPr>
          <w:rFonts w:cs="Arial"/>
        </w:rPr>
        <w:t>al členy Výboru a hosty.</w:t>
      </w:r>
      <w:r w:rsidR="00883EBE">
        <w:rPr>
          <w:rFonts w:cs="Arial"/>
        </w:rPr>
        <w:t xml:space="preserve"> O</w:t>
      </w:r>
      <w:r w:rsidR="00A5136B">
        <w:rPr>
          <w:rFonts w:cs="Arial"/>
        </w:rPr>
        <w:t>m</w:t>
      </w:r>
      <w:r w:rsidR="00883EBE">
        <w:rPr>
          <w:rFonts w:cs="Arial"/>
        </w:rPr>
        <w:t>l</w:t>
      </w:r>
      <w:r w:rsidR="00A5136B">
        <w:rPr>
          <w:rFonts w:cs="Arial"/>
        </w:rPr>
        <w:t>uvil účast resortního náměstka Ing. Jana Šafaříka, MBA, garanta Výboru</w:t>
      </w:r>
      <w:r w:rsidR="00883EBE">
        <w:rPr>
          <w:rFonts w:cs="Arial"/>
        </w:rPr>
        <w:t xml:space="preserve">. </w:t>
      </w:r>
      <w:r>
        <w:rPr>
          <w:rFonts w:cs="Arial"/>
        </w:rPr>
        <w:t>Po přivítání členů a hostů konstatova</w:t>
      </w:r>
      <w:r w:rsidR="00B921F5">
        <w:rPr>
          <w:rFonts w:cs="Arial"/>
        </w:rPr>
        <w:t>l</w:t>
      </w:r>
      <w:r>
        <w:rPr>
          <w:rFonts w:cs="Arial"/>
        </w:rPr>
        <w:t>, že Výbor je s ohledem na přítomnost nadpoloviční většiny členů usnášeníschopn</w:t>
      </w:r>
      <w:r w:rsidR="002F563B">
        <w:rPr>
          <w:rFonts w:cs="Arial"/>
        </w:rPr>
        <w:t>ý</w:t>
      </w:r>
      <w:r>
        <w:rPr>
          <w:rFonts w:cs="Arial"/>
        </w:rPr>
        <w:t>. Dále uvedl, že členům byla předem zaslána pozvánka s programem zasedání a podkladové materiály. Předseda Výboru následně vyzval členy k případným připomínkám či doplnění programu. S ohledem na to, že nevzešly žádné podněty, byl program jednohlasně přijat.</w:t>
      </w:r>
    </w:p>
    <w:p w:rsidR="00883EBE" w:rsidRPr="00883EBE" w:rsidRDefault="00883EBE" w:rsidP="00883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Výboru </w:t>
      </w:r>
      <w:r w:rsidRPr="00883EBE">
        <w:rPr>
          <w:rFonts w:ascii="Arial" w:hAnsi="Arial" w:cs="Arial"/>
        </w:rPr>
        <w:t>informova</w:t>
      </w:r>
      <w:r w:rsidR="00C105C6">
        <w:rPr>
          <w:rFonts w:ascii="Arial" w:hAnsi="Arial" w:cs="Arial"/>
        </w:rPr>
        <w:t>l</w:t>
      </w:r>
      <w:r w:rsidR="002B0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personální změně ve Výboru</w:t>
      </w:r>
      <w:r w:rsidR="00C105C6">
        <w:rPr>
          <w:rFonts w:ascii="Arial" w:hAnsi="Arial" w:cs="Arial"/>
        </w:rPr>
        <w:t xml:space="preserve">, kdy </w:t>
      </w:r>
      <w:r w:rsidRPr="00883EBE">
        <w:rPr>
          <w:rFonts w:ascii="Arial" w:hAnsi="Arial" w:cs="Arial"/>
        </w:rPr>
        <w:t>R</w:t>
      </w:r>
      <w:r>
        <w:rPr>
          <w:rFonts w:ascii="Arial" w:hAnsi="Arial" w:cs="Arial"/>
        </w:rPr>
        <w:t>ada Olomouckého kraje</w:t>
      </w:r>
      <w:r w:rsidRPr="00883EBE">
        <w:rPr>
          <w:rFonts w:ascii="Arial" w:hAnsi="Arial" w:cs="Arial"/>
        </w:rPr>
        <w:t xml:space="preserve"> dne 27.</w:t>
      </w:r>
      <w:r>
        <w:rPr>
          <w:rFonts w:ascii="Arial" w:hAnsi="Arial" w:cs="Arial"/>
        </w:rPr>
        <w:t> 3. </w:t>
      </w:r>
      <w:r w:rsidRPr="00883EBE">
        <w:rPr>
          <w:rFonts w:ascii="Arial" w:hAnsi="Arial" w:cs="Arial"/>
        </w:rPr>
        <w:t xml:space="preserve">2023 vzala na vědomí návrh na odvolání člena Výboru pro regionální rozvoj </w:t>
      </w:r>
      <w:r w:rsidR="00C105C6">
        <w:rPr>
          <w:rFonts w:ascii="Arial" w:hAnsi="Arial" w:cs="Arial"/>
        </w:rPr>
        <w:t>Zastupitelstva Olomouckého kraje</w:t>
      </w:r>
      <w:r w:rsidRPr="00883EBE">
        <w:rPr>
          <w:rFonts w:ascii="Arial" w:hAnsi="Arial" w:cs="Arial"/>
        </w:rPr>
        <w:t xml:space="preserve">, ukládá předložit materiál na zasedání </w:t>
      </w:r>
      <w:r w:rsidR="00C105C6">
        <w:rPr>
          <w:rFonts w:ascii="Arial" w:hAnsi="Arial" w:cs="Arial"/>
        </w:rPr>
        <w:t>Zastupitelstva Olomouckého kraje</w:t>
      </w:r>
      <w:r w:rsidRPr="00883EBE">
        <w:rPr>
          <w:rFonts w:ascii="Arial" w:hAnsi="Arial" w:cs="Arial"/>
        </w:rPr>
        <w:t xml:space="preserve"> a doporučuje </w:t>
      </w:r>
      <w:r w:rsidR="00C105C6">
        <w:rPr>
          <w:rFonts w:ascii="Arial" w:hAnsi="Arial" w:cs="Arial"/>
        </w:rPr>
        <w:t>Zastupitelstvu Olomouckého kraje odvolat pana Ing. arch. </w:t>
      </w:r>
      <w:r w:rsidRPr="00883EBE">
        <w:rPr>
          <w:rFonts w:ascii="Arial" w:hAnsi="Arial" w:cs="Arial"/>
        </w:rPr>
        <w:t xml:space="preserve">Tomáše </w:t>
      </w:r>
      <w:proofErr w:type="spellStart"/>
      <w:r w:rsidRPr="00883EBE">
        <w:rPr>
          <w:rFonts w:ascii="Arial" w:hAnsi="Arial" w:cs="Arial"/>
        </w:rPr>
        <w:t>Pejpka</w:t>
      </w:r>
      <w:proofErr w:type="spellEnd"/>
      <w:r w:rsidRPr="00883EBE">
        <w:rPr>
          <w:rFonts w:ascii="Arial" w:hAnsi="Arial" w:cs="Arial"/>
        </w:rPr>
        <w:t xml:space="preserve"> z funkce člena Výboru pro regionální rozvoj </w:t>
      </w:r>
      <w:r w:rsidR="00C105C6">
        <w:rPr>
          <w:rFonts w:ascii="Arial" w:hAnsi="Arial" w:cs="Arial"/>
        </w:rPr>
        <w:t>Zastupitelstva Olomouckého kraje</w:t>
      </w:r>
      <w:r w:rsidRPr="00883EBE">
        <w:rPr>
          <w:rFonts w:ascii="Arial" w:hAnsi="Arial" w:cs="Arial"/>
        </w:rPr>
        <w:t xml:space="preserve"> ke dni 24. 4. 2023 a zvolit novou členkou Výboru pro regionální rozvoj paní Mgr. Evu Lebedovou, </w:t>
      </w:r>
      <w:proofErr w:type="spellStart"/>
      <w:r w:rsidRPr="00883EBE">
        <w:rPr>
          <w:rFonts w:ascii="Arial" w:hAnsi="Arial" w:cs="Arial"/>
        </w:rPr>
        <w:t>Ph</w:t>
      </w:r>
      <w:proofErr w:type="spellEnd"/>
      <w:r w:rsidRPr="00883EBE">
        <w:rPr>
          <w:rFonts w:ascii="Arial" w:hAnsi="Arial" w:cs="Arial"/>
        </w:rPr>
        <w:t>. D., s účinností od 25. 4. 2023.</w:t>
      </w:r>
    </w:p>
    <w:p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5C664E" w:rsidRDefault="009B3968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Na zasedání Výboru dne 1. 2. 2023 bylo přijato následující usnesení, z nichž byly na zasedání podány informace o stavu plnění:</w:t>
      </w:r>
    </w:p>
    <w:p w:rsidR="009B3968" w:rsidRPr="00C67E7B" w:rsidRDefault="009B3968" w:rsidP="005C664E">
      <w:pPr>
        <w:pStyle w:val="slo1text"/>
        <w:tabs>
          <w:tab w:val="clear" w:pos="567"/>
        </w:tabs>
        <w:ind w:left="0" w:firstLine="0"/>
        <w:rPr>
          <w:rFonts w:cs="Arial"/>
          <w:b/>
        </w:rPr>
      </w:pPr>
      <w:r w:rsidRPr="00C67E7B">
        <w:rPr>
          <w:rFonts w:cs="Arial"/>
          <w:b/>
        </w:rPr>
        <w:t>UVR/12/4/2023 Dotační program Smart region Olomoucký kraj 2023</w:t>
      </w:r>
    </w:p>
    <w:p w:rsidR="009B3968" w:rsidRDefault="009B3968" w:rsidP="00C67E7B">
      <w:pPr>
        <w:pStyle w:val="slo1text"/>
        <w:tabs>
          <w:tab w:val="clear" w:pos="567"/>
        </w:tabs>
        <w:ind w:left="340" w:firstLine="0"/>
        <w:rPr>
          <w:rFonts w:cs="Arial"/>
        </w:rPr>
      </w:pPr>
      <w:r w:rsidRPr="00C67E7B">
        <w:rPr>
          <w:rFonts w:cs="Arial"/>
          <w:b/>
        </w:rPr>
        <w:t>Bere na vědomí</w:t>
      </w:r>
      <w:r>
        <w:rPr>
          <w:rFonts w:cs="Arial"/>
        </w:rPr>
        <w:t xml:space="preserve"> informace o dotačním programu Smart region Olomoucký kraj 2023.</w:t>
      </w:r>
    </w:p>
    <w:p w:rsidR="009B3968" w:rsidRDefault="009B3968" w:rsidP="00C67E7B">
      <w:pPr>
        <w:pStyle w:val="slo1text"/>
        <w:tabs>
          <w:tab w:val="clear" w:pos="567"/>
        </w:tabs>
        <w:ind w:left="340" w:firstLine="0"/>
        <w:rPr>
          <w:rFonts w:cs="Arial"/>
        </w:rPr>
      </w:pPr>
      <w:r w:rsidRPr="00C67E7B">
        <w:rPr>
          <w:rFonts w:cs="Arial"/>
          <w:b/>
        </w:rPr>
        <w:t>Doporučuje</w:t>
      </w:r>
      <w:r>
        <w:rPr>
          <w:rFonts w:cs="Arial"/>
        </w:rPr>
        <w:t xml:space="preserve"> </w:t>
      </w:r>
      <w:r w:rsidR="00C67E7B">
        <w:rPr>
          <w:rFonts w:cs="Arial"/>
        </w:rPr>
        <w:t>Zastupitelstvu Olomouckého kraje schválit dotační program Smart region Olomoucký kraj 2023</w:t>
      </w:r>
    </w:p>
    <w:p w:rsidR="004E490F" w:rsidRPr="00C67E7B" w:rsidRDefault="004E490F" w:rsidP="00C67E7B">
      <w:pPr>
        <w:pStyle w:val="slo1text"/>
        <w:tabs>
          <w:tab w:val="clear" w:pos="567"/>
        </w:tabs>
        <w:ind w:left="340" w:firstLine="0"/>
        <w:rPr>
          <w:rFonts w:cs="Arial"/>
          <w:b/>
        </w:rPr>
      </w:pPr>
      <w:r w:rsidRPr="00C67E7B">
        <w:rPr>
          <w:rFonts w:cs="Arial"/>
          <w:b/>
        </w:rPr>
        <w:t xml:space="preserve">Výsledek: Zastupitelstvo Olomouckého kraje projednalo dne 20. 2. 2023 na svém zasedání dotační program Smart region Olomoucký kraj 2023 a usnesením č. UZ/13/50/2023 </w:t>
      </w:r>
    </w:p>
    <w:p w:rsidR="002D5585" w:rsidRPr="00C67E7B" w:rsidRDefault="004E490F" w:rsidP="004E490F">
      <w:pPr>
        <w:pStyle w:val="slo1text"/>
        <w:numPr>
          <w:ilvl w:val="0"/>
          <w:numId w:val="30"/>
        </w:numPr>
        <w:rPr>
          <w:rFonts w:cs="Arial"/>
          <w:b/>
        </w:rPr>
      </w:pPr>
      <w:r w:rsidRPr="00C67E7B">
        <w:rPr>
          <w:rFonts w:cs="Arial"/>
          <w:b/>
        </w:rPr>
        <w:t>schválilo pravidla dotačního programu Olomouckého kraje 15_01 Program Smart region Olomoucký kraj 2023;</w:t>
      </w:r>
    </w:p>
    <w:p w:rsidR="004E490F" w:rsidRPr="00C67E7B" w:rsidRDefault="004E490F" w:rsidP="004E490F">
      <w:pPr>
        <w:pStyle w:val="slo1text"/>
        <w:numPr>
          <w:ilvl w:val="0"/>
          <w:numId w:val="30"/>
        </w:numPr>
        <w:rPr>
          <w:rFonts w:cs="Arial"/>
          <w:b/>
        </w:rPr>
      </w:pPr>
      <w:r w:rsidRPr="00C67E7B">
        <w:rPr>
          <w:rFonts w:cs="Arial"/>
          <w:b/>
        </w:rPr>
        <w:t>uložilo vyhlásit 21. 2. 2023 dotační program Olomouckého kraje 15_01 Program Smart region Olomoucký kraj 2023;</w:t>
      </w:r>
    </w:p>
    <w:p w:rsidR="004E490F" w:rsidRPr="00C67E7B" w:rsidRDefault="004E490F" w:rsidP="004E490F">
      <w:pPr>
        <w:pStyle w:val="slo1text"/>
        <w:numPr>
          <w:ilvl w:val="0"/>
          <w:numId w:val="30"/>
        </w:numPr>
        <w:rPr>
          <w:rFonts w:cs="Arial"/>
          <w:b/>
        </w:rPr>
      </w:pPr>
      <w:r w:rsidRPr="00C67E7B">
        <w:rPr>
          <w:rFonts w:cs="Arial"/>
          <w:b/>
        </w:rPr>
        <w:t xml:space="preserve">uložilo předložit vyhodnocení žádostí o dotaci </w:t>
      </w:r>
      <w:r w:rsidR="00EF7DDC" w:rsidRPr="00C67E7B">
        <w:rPr>
          <w:rFonts w:cs="Arial"/>
          <w:b/>
        </w:rPr>
        <w:t>Zastupitelstvu Olomouckého kraje, a to včetně návrhu na uzavření veřejnoprávních smluv o poskytnutí dotace s</w:t>
      </w:r>
      <w:r w:rsidR="00C67E7B">
        <w:rPr>
          <w:rFonts w:cs="Arial"/>
          <w:b/>
        </w:rPr>
        <w:t> </w:t>
      </w:r>
      <w:r w:rsidR="00EF7DDC" w:rsidRPr="00C67E7B">
        <w:rPr>
          <w:rFonts w:cs="Arial"/>
          <w:b/>
        </w:rPr>
        <w:t>příjemci</w:t>
      </w:r>
      <w:r w:rsidR="00C67E7B">
        <w:rPr>
          <w:rFonts w:cs="Arial"/>
          <w:b/>
        </w:rPr>
        <w:t>.</w:t>
      </w:r>
    </w:p>
    <w:p w:rsidR="004E490F" w:rsidRDefault="004E490F" w:rsidP="00EF7DDC">
      <w:pPr>
        <w:pStyle w:val="slo1text"/>
        <w:tabs>
          <w:tab w:val="clear" w:pos="567"/>
        </w:tabs>
        <w:ind w:left="720" w:firstLine="0"/>
        <w:rPr>
          <w:rFonts w:cs="Arial"/>
        </w:rPr>
      </w:pPr>
    </w:p>
    <w:p w:rsidR="002D5585" w:rsidRPr="002D5585" w:rsidRDefault="002D5585" w:rsidP="002D5585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lastRenderedPageBreak/>
        <w:t>Informace z jednání orgánů kraje</w:t>
      </w:r>
    </w:p>
    <w:p w:rsidR="005C664E" w:rsidRDefault="002D5585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představila materiály projednané Radou Olomouckého kraje a Zastupitelstvem Olomouckého kraje, které byly předloženy Odborem strategického rozvoje kraje KÚOK, a to za období od zasedání Výboru dne </w:t>
      </w:r>
      <w:r w:rsidR="00EF7DDC">
        <w:rPr>
          <w:rFonts w:cs="Arial"/>
        </w:rPr>
        <w:t>1. 2. 2023</w:t>
      </w:r>
      <w:r>
        <w:rPr>
          <w:rFonts w:cs="Arial"/>
        </w:rPr>
        <w:t xml:space="preserve">. </w:t>
      </w:r>
    </w:p>
    <w:p w:rsidR="00B870E6" w:rsidRDefault="00B870E6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Seznam předložených materiálů je přílohou č. 1 zápisu.</w:t>
      </w:r>
    </w:p>
    <w:p w:rsidR="00E66878" w:rsidRDefault="00E66878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C56872" w:rsidRDefault="00DC50E8" w:rsidP="00C56872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Strategie rozvoje územního obvodu Olomouckého kraje – vyhodnocení za rok 2022</w:t>
      </w:r>
      <w:r w:rsidR="00EE20AD">
        <w:rPr>
          <w:rFonts w:cs="Arial"/>
          <w:b/>
        </w:rPr>
        <w:t xml:space="preserve"> a plnění monitorovacích indikát</w:t>
      </w:r>
      <w:r>
        <w:rPr>
          <w:rFonts w:cs="Arial"/>
          <w:b/>
        </w:rPr>
        <w:t>orů pro hodnocení strategie</w:t>
      </w:r>
    </w:p>
    <w:p w:rsidR="00C56872" w:rsidRDefault="00C56872" w:rsidP="00C56872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C56872">
        <w:rPr>
          <w:rFonts w:cs="Arial"/>
        </w:rPr>
        <w:t>S</w:t>
      </w:r>
      <w:r>
        <w:rPr>
          <w:rFonts w:cs="Arial"/>
        </w:rPr>
        <w:t> </w:t>
      </w:r>
      <w:r w:rsidRPr="00C56872">
        <w:rPr>
          <w:rFonts w:cs="Arial"/>
        </w:rPr>
        <w:t>pre</w:t>
      </w:r>
      <w:r>
        <w:rPr>
          <w:rFonts w:cs="Arial"/>
        </w:rPr>
        <w:t xml:space="preserve">zentací vystoupil RNDr. Juránek, Ph.D. z oddělení regionálního rozvoje. Nejprve představil Strategii rozvoje Olomouckého kraje, </w:t>
      </w:r>
      <w:r w:rsidR="002B09DB">
        <w:rPr>
          <w:rFonts w:cs="Arial"/>
        </w:rPr>
        <w:t>která byla schválena v září 202</w:t>
      </w:r>
      <w:r w:rsidR="00573C16">
        <w:rPr>
          <w:rFonts w:cs="Arial"/>
        </w:rPr>
        <w:t>0 a zaměřil se na vyhodnocení monitorovacích indikátorů a vlajkové projekty.</w:t>
      </w:r>
      <w:r w:rsidR="002B09DB">
        <w:rPr>
          <w:rFonts w:cs="Arial"/>
        </w:rPr>
        <w:t xml:space="preserve"> </w:t>
      </w:r>
      <w:r w:rsidR="00573C16">
        <w:rPr>
          <w:rFonts w:cs="Arial"/>
        </w:rPr>
        <w:t>Přednášející představil vyhodnocení monitorovacích indikátorů za jednotlivé oblasti, a to za ekonomiku a inovace, vzdělání a zaměstnanost</w:t>
      </w:r>
      <w:r>
        <w:rPr>
          <w:rFonts w:cs="Arial"/>
        </w:rPr>
        <w:t>, životní</w:t>
      </w:r>
      <w:r w:rsidR="00573C16">
        <w:rPr>
          <w:rFonts w:cs="Arial"/>
        </w:rPr>
        <w:t xml:space="preserve"> prostředí a technickou</w:t>
      </w:r>
      <w:r>
        <w:rPr>
          <w:rFonts w:cs="Arial"/>
        </w:rPr>
        <w:t xml:space="preserve"> infrastruktur</w:t>
      </w:r>
      <w:r w:rsidR="00573C16">
        <w:rPr>
          <w:rFonts w:cs="Arial"/>
        </w:rPr>
        <w:t>u</w:t>
      </w:r>
      <w:r>
        <w:rPr>
          <w:rFonts w:cs="Arial"/>
        </w:rPr>
        <w:t>, zdravotnictví</w:t>
      </w:r>
      <w:r w:rsidR="00573C16">
        <w:rPr>
          <w:rFonts w:cs="Arial"/>
        </w:rPr>
        <w:t xml:space="preserve"> a služby</w:t>
      </w:r>
      <w:r>
        <w:rPr>
          <w:rFonts w:cs="Arial"/>
        </w:rPr>
        <w:t>, udržiteln</w:t>
      </w:r>
      <w:r w:rsidR="00573C16">
        <w:rPr>
          <w:rFonts w:cs="Arial"/>
        </w:rPr>
        <w:t xml:space="preserve">á mobilita a dopravní infrastruktura, sport, kultura a cestovní ruch a </w:t>
      </w:r>
      <w:r>
        <w:rPr>
          <w:rFonts w:cs="Arial"/>
        </w:rPr>
        <w:t>veřejn</w:t>
      </w:r>
      <w:r w:rsidR="00573C16">
        <w:rPr>
          <w:rFonts w:cs="Arial"/>
        </w:rPr>
        <w:t>á správa</w:t>
      </w:r>
      <w:r>
        <w:rPr>
          <w:rFonts w:cs="Arial"/>
        </w:rPr>
        <w:t>, řízení rozvoje a bezpečnosti</w:t>
      </w:r>
      <w:r w:rsidR="00744BDF">
        <w:rPr>
          <w:rFonts w:cs="Arial"/>
        </w:rPr>
        <w:t>.</w:t>
      </w:r>
      <w:r w:rsidR="00573C16">
        <w:rPr>
          <w:rFonts w:cs="Arial"/>
        </w:rPr>
        <w:t xml:space="preserve"> Největší posun byl sledován v oblasti školství, kde bylo ukončeno několik investičních projektů. </w:t>
      </w:r>
    </w:p>
    <w:p w:rsidR="00C105C6" w:rsidRDefault="002B09DB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Následně se přesunul </w:t>
      </w:r>
      <w:r w:rsidR="00573C16">
        <w:rPr>
          <w:rFonts w:cs="Arial"/>
        </w:rPr>
        <w:t>k</w:t>
      </w:r>
      <w:r>
        <w:rPr>
          <w:rFonts w:cs="Arial"/>
        </w:rPr>
        <w:t xml:space="preserve"> </w:t>
      </w:r>
      <w:r w:rsidR="00573C16">
        <w:rPr>
          <w:rFonts w:cs="Arial"/>
        </w:rPr>
        <w:t>vlajkovým</w:t>
      </w:r>
      <w:r>
        <w:rPr>
          <w:rFonts w:cs="Arial"/>
        </w:rPr>
        <w:t xml:space="preserve"> projektů</w:t>
      </w:r>
      <w:r w:rsidR="00573C16">
        <w:rPr>
          <w:rFonts w:cs="Arial"/>
        </w:rPr>
        <w:t>m</w:t>
      </w:r>
      <w:r>
        <w:rPr>
          <w:rFonts w:cs="Arial"/>
        </w:rPr>
        <w:t xml:space="preserve">. Nejprve se věnoval projektu Lepší image </w:t>
      </w:r>
      <w:r w:rsidR="007D3003">
        <w:rPr>
          <w:rFonts w:cs="Arial"/>
        </w:rPr>
        <w:t>Olomouckého kraje, kde došlo k analýze asociací značky „Olomoucký kraj“, nyní se zpracovává identita Olomouckého kraje a výstupy by měly být ještě v dubnu letošního roku. Navazovat by měla příprava marketingové strategie Olomouckého kraje. Olomoucký kraj spolupracuje na marketingových aktivitách s</w:t>
      </w:r>
      <w:r w:rsidR="00A37D6E">
        <w:rPr>
          <w:rFonts w:cs="Arial"/>
        </w:rPr>
        <w:t> Inovačním centrem Olomouckého kraje (ICOK)</w:t>
      </w:r>
      <w:r w:rsidR="007D3003">
        <w:rPr>
          <w:rFonts w:cs="Arial"/>
        </w:rPr>
        <w:t xml:space="preserve">. </w:t>
      </w:r>
    </w:p>
    <w:p w:rsidR="003B0C9D" w:rsidRDefault="007D3003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Další projekt, který RNDr. Juránek, Ph.D. představil byl Restart Jesenicka a Šumperska, se kterým se začínalo v okamžiku zpracování Strategie rozvoje Olomouckého kraje v roce 2020, kdy již bylo známo, že tyto oblasti jsou nejslabší v rámci kraje. Mezitím došlo ke schválení Strategie územního rozvoje České republiky, kde byly definovány hospodářsky a sociálně ohrožená území (HSOÚ). Za Jesenicko a Šumpersko bylo prosazeno, aby součástí materiálu byla  případová studie o možných projektech rozvoje tohoto území. </w:t>
      </w:r>
      <w:r w:rsidR="00C105C6">
        <w:rPr>
          <w:rFonts w:cs="Arial"/>
        </w:rPr>
        <w:t>Bylo zjištěno, že n</w:t>
      </w:r>
      <w:r>
        <w:rPr>
          <w:rFonts w:cs="Arial"/>
        </w:rPr>
        <w:t>elze prosadit individuální podporu na národní úrovni pro Jesenicko a Šumpersko a je tedy sna</w:t>
      </w:r>
      <w:r w:rsidR="000D26F3">
        <w:rPr>
          <w:rFonts w:cs="Arial"/>
        </w:rPr>
        <w:t>h</w:t>
      </w:r>
      <w:r>
        <w:rPr>
          <w:rFonts w:cs="Arial"/>
        </w:rPr>
        <w:t xml:space="preserve">a </w:t>
      </w:r>
      <w:r w:rsidR="000D26F3">
        <w:rPr>
          <w:rFonts w:cs="Arial"/>
        </w:rPr>
        <w:t xml:space="preserve">společně s dalšími kraji </w:t>
      </w:r>
      <w:r>
        <w:rPr>
          <w:rFonts w:cs="Arial"/>
        </w:rPr>
        <w:t>dosáhnout podporu pro všechna HSOÚ.</w:t>
      </w:r>
      <w:r w:rsidR="000D26F3">
        <w:rPr>
          <w:rFonts w:cs="Arial"/>
        </w:rPr>
        <w:t xml:space="preserve"> Další projekt, který byl představen je Rozvoj inovačního ekosystému a chytrého regionu, kde jsou dvě</w:t>
      </w:r>
      <w:r w:rsidR="003B0C9D">
        <w:rPr>
          <w:rFonts w:cs="Arial"/>
        </w:rPr>
        <w:t xml:space="preserve"> hlavní</w:t>
      </w:r>
      <w:r w:rsidR="000D26F3">
        <w:rPr>
          <w:rFonts w:cs="Arial"/>
        </w:rPr>
        <w:t xml:space="preserve"> části, a to </w:t>
      </w:r>
      <w:r w:rsidR="00C105C6">
        <w:rPr>
          <w:rFonts w:cs="Arial"/>
        </w:rPr>
        <w:t>Inovační centrum Olomouckého kraje (ICOK)</w:t>
      </w:r>
      <w:r w:rsidR="000D26F3">
        <w:rPr>
          <w:rFonts w:cs="Arial"/>
        </w:rPr>
        <w:t xml:space="preserve"> a </w:t>
      </w:r>
      <w:r w:rsidR="00C105C6">
        <w:rPr>
          <w:rFonts w:cs="Arial"/>
        </w:rPr>
        <w:t>K</w:t>
      </w:r>
      <w:r w:rsidR="000D26F3">
        <w:rPr>
          <w:rFonts w:cs="Arial"/>
        </w:rPr>
        <w:t>rajská rada pro inovace</w:t>
      </w:r>
      <w:r w:rsidR="00C105C6">
        <w:rPr>
          <w:rFonts w:cs="Arial"/>
        </w:rPr>
        <w:t xml:space="preserve"> Olomouckého kraje</w:t>
      </w:r>
      <w:r w:rsidR="000D26F3">
        <w:rPr>
          <w:rFonts w:cs="Arial"/>
        </w:rPr>
        <w:t xml:space="preserve">. Poukázal na to, že Zastupitelstvo Olomouckého kraje se rozhodlo podpořit ICOK </w:t>
      </w:r>
      <w:r w:rsidR="003B0C9D">
        <w:rPr>
          <w:rFonts w:cs="Arial"/>
        </w:rPr>
        <w:t>a došlo k uzavření smlouvy a poskytování služeb obecného hospodářského zájmu v oblasti inovací. Zastupitelstvo se zavázalo podporovat ICOK 12 mil. Kč ročně. Nadále pokračují projekty Smart akcelerátor, v loňském roce proběhla aktualizace RIS3 strategie. Dále přednášející informoval o plánovaném otevření inovačního hubu v Přerově a dalších aktivitách. Následně přednášející sdělil, že v loňském roce byl vyhláše dotační program SMART region a došlo k podpoře několika projektů, a to dva v oblasti dopravy, pět v oblasti eHealth a 2 v oblasti e-Governmentu. V rámci projektu Rozvoj inovačního ekosystému a chytrého regionu je v plánu pokračovat v nastavených aktivitác ICOK a SMART region.</w:t>
      </w:r>
    </w:p>
    <w:p w:rsidR="007D3003" w:rsidRDefault="003B0C9D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Na závěr představil přednášející monitorovací indikátory, a to HDP, přírůstek obyvatel, podíl dlouhodobě nezaměstnaných, disponibilní příjmy domácností, osoby pracující ve výzkumu a vývoji, celkové výdaje na výzkum a vývoj, dostupnost primární lékařské péče a dostupnost sociálních služeb.</w:t>
      </w:r>
      <w:r w:rsidR="000D26F3">
        <w:rPr>
          <w:rFonts w:cs="Arial"/>
        </w:rPr>
        <w:t xml:space="preserve"> </w:t>
      </w:r>
    </w:p>
    <w:p w:rsidR="00897C2D" w:rsidRDefault="00EF7DDC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Prezentace </w:t>
      </w:r>
      <w:r w:rsidR="00897C2D" w:rsidRPr="00065C3A">
        <w:rPr>
          <w:rFonts w:cs="Arial"/>
        </w:rPr>
        <w:t>je přílohou č. 2 zápisu.</w:t>
      </w:r>
    </w:p>
    <w:p w:rsidR="00E418DD" w:rsidRPr="00E418DD" w:rsidRDefault="00E418DD" w:rsidP="00B870E6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E418DD">
        <w:rPr>
          <w:rFonts w:cs="Arial"/>
          <w:u w:val="single"/>
        </w:rPr>
        <w:t>Výstupy z diskuze:</w:t>
      </w:r>
    </w:p>
    <w:p w:rsidR="003707C8" w:rsidRDefault="003B0C9D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>Ing. J</w:t>
      </w:r>
      <w:r w:rsidR="003707C8">
        <w:rPr>
          <w:rFonts w:cs="Arial"/>
        </w:rPr>
        <w:t>ü</w:t>
      </w:r>
      <w:r>
        <w:rPr>
          <w:rFonts w:cs="Arial"/>
        </w:rPr>
        <w:t>ngling</w:t>
      </w:r>
      <w:r w:rsidR="003707C8">
        <w:rPr>
          <w:rFonts w:cs="Arial"/>
        </w:rPr>
        <w:t xml:space="preserve"> sdělila, že by pozvala ICOK na jedno z příštích zasedání Výboru pro regionální rozvoj ZOK. Ing. Novotná sdělila, že jak RIS3 strategie, tak projekt Smart Akcelerátor byly představeny na Výboru v minulém roce. Následně bylo s Ing. Jüngling dohodnuto, že zástupci ICOK budou pozváni na zasedání Výboru v době, kdy budou mít k dispozici zhodnocení fungování přerovského inovačního </w:t>
      </w:r>
      <w:r w:rsidR="00690BB6">
        <w:rPr>
          <w:rFonts w:cs="Arial"/>
        </w:rPr>
        <w:t>hubu</w:t>
      </w:r>
      <w:r w:rsidR="003707C8">
        <w:rPr>
          <w:rFonts w:cs="Arial"/>
        </w:rPr>
        <w:t>, např. za první rok.</w:t>
      </w:r>
    </w:p>
    <w:p w:rsidR="00897C2D" w:rsidRDefault="003B0C9D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 </w:t>
      </w:r>
    </w:p>
    <w:p w:rsidR="00B870E6" w:rsidRDefault="00DC50E8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Plán činností v oblasti energetiky na rok 2023</w:t>
      </w:r>
    </w:p>
    <w:p w:rsidR="00DC50E8" w:rsidRDefault="00A37D6E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Ing. Melo z oddělení regionálního rozvoje vystoupil s prezentací, kde nejprve představil Územní energetickou koncepci Olomouckého kraje, která stanovuje cíle a zásady nakládání s energií na území kraje na období 25 let, zpřesňuje a rozvíjí cíle státní energetické koncepce. Územní energetická koncepce je podkladem pro zpracování zásad územního rozvoje nebo územního plánu. Olomoucký kraj má povinnost jednou za 5 let zpracovat Zprávu o uplatňování Územní energetické k</w:t>
      </w:r>
      <w:r w:rsidR="00C105C6">
        <w:rPr>
          <w:rFonts w:cs="Arial"/>
        </w:rPr>
        <w:t>oncepce. Tato Zpráva byla v Olo</w:t>
      </w:r>
      <w:r>
        <w:rPr>
          <w:rFonts w:cs="Arial"/>
        </w:rPr>
        <w:t>m</w:t>
      </w:r>
      <w:r w:rsidR="00C105C6">
        <w:rPr>
          <w:rFonts w:cs="Arial"/>
        </w:rPr>
        <w:t>o</w:t>
      </w:r>
      <w:r>
        <w:rPr>
          <w:rFonts w:cs="Arial"/>
        </w:rPr>
        <w:t>uckém kraji vypracována v roce 2022 a zaslána na Ministerstvo průmyslu a obchodu. Zpracovatelem bylo doporučeno vyčkat s aktualizací stávající Územní energetické koncepce Olomouckého kraje až na schválení novely zákona č. 458/2000 Sb. (energetický zákon) a provedení aktualizace Státní energetické koncepce. Následně posoudit potřebu aktualizace Územní energetické koncepce Olomouckého kraje.</w:t>
      </w:r>
    </w:p>
    <w:p w:rsidR="00A37D6E" w:rsidRDefault="00A37D6E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Další povinností kraje jsou dle zákona č. 406/2000 Sb. o hospodaření energií jsou kontroly systémů vytápění a systému klimatizací po novel</w:t>
      </w:r>
      <w:r w:rsidR="00112C2C">
        <w:rPr>
          <w:rFonts w:cs="Arial"/>
        </w:rPr>
        <w:t>e zákona. Dříve se jednalo o kontroly kotle nebo kontroly klimatizace. Po novele je podstatně větší rozsah kontrol, protože se započítává vše, co hřeje nebo chladí. Dále přednášející informoval o nedostatku energe</w:t>
      </w:r>
      <w:r w:rsidR="00C105C6">
        <w:rPr>
          <w:rFonts w:cs="Arial"/>
        </w:rPr>
        <w:t>tických specialistů, problematice</w:t>
      </w:r>
      <w:r w:rsidR="00112C2C">
        <w:rPr>
          <w:rFonts w:cs="Arial"/>
        </w:rPr>
        <w:t xml:space="preserve"> provádění kontrol pouze v době topné sezóny a možnosti uložení sankce v případě neplnění povinnosti.</w:t>
      </w:r>
    </w:p>
    <w:p w:rsidR="006B50C5" w:rsidRDefault="00112C2C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Další povinnosti, které musí kraj zpracovávat jsou průkazy energetické náročnosti budovy, energetick</w:t>
      </w:r>
      <w:r w:rsidR="0039124B">
        <w:rPr>
          <w:rFonts w:cs="Arial"/>
        </w:rPr>
        <w:t>é posudky, zpracovávat závěrečné</w:t>
      </w:r>
      <w:r>
        <w:rPr>
          <w:rFonts w:cs="Arial"/>
        </w:rPr>
        <w:t xml:space="preserve"> vyhodnocení akce, příprav</w:t>
      </w:r>
      <w:r w:rsidR="0039124B">
        <w:rPr>
          <w:rFonts w:cs="Arial"/>
        </w:rPr>
        <w:t>ovat</w:t>
      </w:r>
      <w:r>
        <w:rPr>
          <w:rFonts w:cs="Arial"/>
        </w:rPr>
        <w:t xml:space="preserve"> podklad</w:t>
      </w:r>
      <w:r w:rsidR="0039124B">
        <w:rPr>
          <w:rFonts w:cs="Arial"/>
        </w:rPr>
        <w:t>y</w:t>
      </w:r>
      <w:r>
        <w:rPr>
          <w:rFonts w:cs="Arial"/>
        </w:rPr>
        <w:t xml:space="preserve"> pro investice, </w:t>
      </w:r>
      <w:r w:rsidR="0039124B">
        <w:rPr>
          <w:rFonts w:cs="Arial"/>
        </w:rPr>
        <w:t xml:space="preserve">poskytovat </w:t>
      </w:r>
      <w:r>
        <w:rPr>
          <w:rFonts w:cs="Arial"/>
        </w:rPr>
        <w:t xml:space="preserve">odborné poradenství, konzultace, apod. </w:t>
      </w:r>
      <w:r w:rsidR="006B50C5">
        <w:rPr>
          <w:rFonts w:cs="Arial"/>
        </w:rPr>
        <w:t xml:space="preserve">Mezi další služby zajišťované </w:t>
      </w:r>
      <w:r w:rsidR="0039124B">
        <w:rPr>
          <w:rFonts w:cs="Arial"/>
        </w:rPr>
        <w:t xml:space="preserve">Olomouckým krajem </w:t>
      </w:r>
      <w:r w:rsidR="006B50C5">
        <w:rPr>
          <w:rFonts w:cs="Arial"/>
        </w:rPr>
        <w:t>v oblasti energetiky patří provoz trafostanic v majetku Olomouckého kraje, zpracování koncepce využití obnovitelných zdrojů energie na budovách v majetku Olomouckého kraje, příprava realizace projektů EPC, výroba elektrické energie na budovách v majetku Olomouckého kraje, systém energetického managementu dle ISO 50001 v roce 2023, snižování emisí znečišťujících látek a skleníkových plynů na území Olomouckého kraje a poskytování příspěvku organizacím Olomouckého kraje na energeticky úsporná opatření.</w:t>
      </w:r>
    </w:p>
    <w:p w:rsidR="0040165F" w:rsidRDefault="007E2955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V roce 2023 plánuje Olomoucký kraj školení k problematice provádění systému managementu hospodaření s energií na Krajském úřadě Olomouckého kraje a příspěvkových organizacích Olomouckého kraje. Jedná se o blíže nespecifikovaný počet školení osob, kteří se aktivně podílejí na provozu systému managementu hospodaření s energií dle normy ISO 50001. Dále </w:t>
      </w:r>
      <w:r w:rsidR="0039124B">
        <w:rPr>
          <w:rFonts w:cs="Arial"/>
        </w:rPr>
        <w:t xml:space="preserve">připravuje </w:t>
      </w:r>
      <w:r>
        <w:rPr>
          <w:rFonts w:cs="Arial"/>
        </w:rPr>
        <w:t xml:space="preserve">školení zaměřená na práci s aplikací Energy Broker, která slouží např. ke sběru dat o spotřebách energií. </w:t>
      </w:r>
      <w:r w:rsidR="0039124B">
        <w:rPr>
          <w:rFonts w:cs="Arial"/>
        </w:rPr>
        <w:t>A v neposlední řadě</w:t>
      </w:r>
      <w:r>
        <w:rPr>
          <w:rFonts w:cs="Arial"/>
        </w:rPr>
        <w:t xml:space="preserve"> Olomoucký kraj chystá školení pro pracovníky příspěvkových organizací, kteří obsluhují systémy vytápění a chlazení. </w:t>
      </w:r>
    </w:p>
    <w:p w:rsidR="006B50C5" w:rsidRDefault="0040165F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Na závěr Ing. Melo zmínil dotační příležitosti v letech 2021-2027, kd</w:t>
      </w:r>
      <w:r w:rsidR="0039124B">
        <w:rPr>
          <w:rFonts w:cs="Arial"/>
        </w:rPr>
        <w:t>e</w:t>
      </w:r>
      <w:r>
        <w:rPr>
          <w:rFonts w:cs="Arial"/>
        </w:rPr>
        <w:t xml:space="preserve"> je možné žádat o finanční prostředky z Operačního prostředí Životní prostředí na zateplení, výměny oken, kotlíkové dotace, dále z Modernizačního fondu EU na instalaci fotovoltaických elektráren, zateplení, využití dešťové vody nebo zelené střechy</w:t>
      </w:r>
      <w:r w:rsidR="0039124B">
        <w:rPr>
          <w:rFonts w:cs="Arial"/>
        </w:rPr>
        <w:t xml:space="preserve"> a komunitní energetiku</w:t>
      </w:r>
      <w:r>
        <w:rPr>
          <w:rFonts w:cs="Arial"/>
        </w:rPr>
        <w:t xml:space="preserve"> a Národního plánu obnovy, kde je možné čerpat na fotovoltaické elektrárny s/bez akumulace, úspor</w:t>
      </w:r>
      <w:r w:rsidR="0039124B">
        <w:rPr>
          <w:rFonts w:cs="Arial"/>
        </w:rPr>
        <w:t>u</w:t>
      </w:r>
      <w:r>
        <w:rPr>
          <w:rFonts w:cs="Arial"/>
        </w:rPr>
        <w:t xml:space="preserve"> vody v podnicích, cirkulární řešení v podnicích.</w:t>
      </w:r>
    </w:p>
    <w:p w:rsidR="00897C2D" w:rsidRDefault="00897C2D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Prezentace je přílohou č. 3 zápisu.</w:t>
      </w:r>
    </w:p>
    <w:p w:rsidR="00B870E6" w:rsidRPr="001B55D6" w:rsidRDefault="001B55D6" w:rsidP="00B870E6">
      <w:pPr>
        <w:pStyle w:val="slo1text"/>
        <w:tabs>
          <w:tab w:val="clear" w:pos="567"/>
        </w:tabs>
        <w:rPr>
          <w:rFonts w:cs="Arial"/>
          <w:u w:val="single"/>
        </w:rPr>
      </w:pPr>
      <w:r w:rsidRPr="001B55D6">
        <w:rPr>
          <w:rFonts w:cs="Arial"/>
          <w:u w:val="single"/>
        </w:rPr>
        <w:lastRenderedPageBreak/>
        <w:t>Výstupy z diskuze:</w:t>
      </w:r>
    </w:p>
    <w:p w:rsidR="00AD06B5" w:rsidRDefault="00C50AD3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Ing. Hons se doptal, jak může být přínosné školení pro obsluhu kotlů, co děl</w:t>
      </w:r>
      <w:r w:rsidR="0039124B">
        <w:rPr>
          <w:rFonts w:cs="Arial"/>
        </w:rPr>
        <w:t>á obsluha</w:t>
      </w:r>
      <w:r>
        <w:rPr>
          <w:rFonts w:cs="Arial"/>
        </w:rPr>
        <w:t xml:space="preserve"> špatně. Ing. M</w:t>
      </w:r>
      <w:r w:rsidR="0039124B">
        <w:rPr>
          <w:rFonts w:cs="Arial"/>
        </w:rPr>
        <w:t>e</w:t>
      </w:r>
      <w:r>
        <w:rPr>
          <w:rFonts w:cs="Arial"/>
        </w:rPr>
        <w:t>lo reagoval, že kotle se nastavují tak, aby běžely při nějaké optimální teplotě, tzn. když kotel běží na 100 °C tak se nejspíš nedosáhne toho, aby výstupní páry a zplodiny kondenzovaly. Kondenzační kotel je určen k tomu, aby byl</w:t>
      </w:r>
      <w:r w:rsidR="0039124B">
        <w:rPr>
          <w:rFonts w:cs="Arial"/>
        </w:rPr>
        <w:t xml:space="preserve"> </w:t>
      </w:r>
      <w:r>
        <w:rPr>
          <w:rFonts w:cs="Arial"/>
        </w:rPr>
        <w:t>převážně na potenciálu nižším</w:t>
      </w:r>
      <w:r w:rsidR="0039124B">
        <w:rPr>
          <w:rFonts w:cs="Arial"/>
        </w:rPr>
        <w:t>. Problém je to</w:t>
      </w:r>
      <w:r>
        <w:rPr>
          <w:rFonts w:cs="Arial"/>
        </w:rPr>
        <w:t xml:space="preserve">, že obsluha kotle nastaví tak, aby měli požadovanou teplotu v místnostech, ovšem již neřeší optimální spalování. Obsluha mnohdy nevyužívá kotel tak, jak by bylo optimální. </w:t>
      </w:r>
    </w:p>
    <w:p w:rsidR="00C50AD3" w:rsidRDefault="00C50AD3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z pléna vzešel dotaz, zda by bylo možné vyjmenovat některé z budov, které byly vytipovány jako vhodné k instalaci fotovoltaických elektráren. Ing. Melo odpověděl, že smluvní partner doporučil Olomouckému kraji, že se má nejprve zaměřit na budovy, kde je provoz nepřetržitý. Jedná se tedy o domovy důchodců, ústavy sociální péče a zdravotnické zařízení. Jedná se o uzavření smlouvy na vyhledávací studie, kdy přijde do objektu příspěvkové organizace odborník a vyhodnotí vhodnost</w:t>
      </w:r>
      <w:r w:rsidR="0039124B">
        <w:rPr>
          <w:rFonts w:cs="Arial"/>
        </w:rPr>
        <w:t xml:space="preserve"> instalace fotovoltaických elektráren</w:t>
      </w:r>
      <w:r>
        <w:rPr>
          <w:rFonts w:cs="Arial"/>
        </w:rPr>
        <w:t xml:space="preserve">. Poté se </w:t>
      </w:r>
      <w:r w:rsidR="00117D2E">
        <w:rPr>
          <w:rFonts w:cs="Arial"/>
        </w:rPr>
        <w:t>vytvoří veřejná zakázka</w:t>
      </w:r>
      <w:r w:rsidR="0039124B">
        <w:rPr>
          <w:rFonts w:cs="Arial"/>
        </w:rPr>
        <w:t xml:space="preserve"> a</w:t>
      </w:r>
      <w:r w:rsidR="00117D2E">
        <w:rPr>
          <w:rFonts w:cs="Arial"/>
        </w:rPr>
        <w:t xml:space="preserve"> bude </w:t>
      </w:r>
      <w:r w:rsidR="0039124B">
        <w:rPr>
          <w:rFonts w:cs="Arial"/>
        </w:rPr>
        <w:t xml:space="preserve">se </w:t>
      </w:r>
      <w:r w:rsidR="00117D2E">
        <w:rPr>
          <w:rFonts w:cs="Arial"/>
        </w:rPr>
        <w:t>vybírat dodavatel.</w:t>
      </w:r>
    </w:p>
    <w:p w:rsidR="00526048" w:rsidRDefault="00117D2E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Mgr. Šťastný se doptal, zda u těch budov příspěvkových organizací, které byly vytipovány jako vhodné pro instalaci fotovoltaických elektráren bude Olomoucký kraj žádat o dotace a pokud by se stalo, že dotace nebude přiznána, tak zda bude kraj nakupovat fotovoltaické elektrárny i ze svých zdrojů. Ing. Melo odpověděl, že kr</w:t>
      </w:r>
      <w:r w:rsidR="0039124B">
        <w:rPr>
          <w:rFonts w:cs="Arial"/>
        </w:rPr>
        <w:t>aj bude žádat o dotace, ovšem o </w:t>
      </w:r>
      <w:r>
        <w:rPr>
          <w:rFonts w:cs="Arial"/>
        </w:rPr>
        <w:t>financování fotovoltaických elektráren v případě nedosáhnutí na dotaci nebylo ještě rozhodnuto.</w:t>
      </w:r>
      <w:r w:rsidR="00110075">
        <w:rPr>
          <w:rFonts w:cs="Arial"/>
        </w:rPr>
        <w:t xml:space="preserve"> Je možné, že studie ukážou, že budovy, které se zdály jako potenciálně vhodné </w:t>
      </w:r>
      <w:r w:rsidR="0039124B">
        <w:rPr>
          <w:rFonts w:cs="Arial"/>
        </w:rPr>
        <w:t xml:space="preserve">k instalaci fotovoltaických elektráren </w:t>
      </w:r>
      <w:r w:rsidR="00110075">
        <w:rPr>
          <w:rFonts w:cs="Arial"/>
        </w:rPr>
        <w:t>budou shledány jako nevhodné, tedy seznam budov se bude nejspíš ještě měnit.</w:t>
      </w:r>
    </w:p>
    <w:p w:rsidR="00117D2E" w:rsidRDefault="00526048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Další dotaz </w:t>
      </w:r>
      <w:r w:rsidR="00110075">
        <w:rPr>
          <w:rFonts w:cs="Arial"/>
        </w:rPr>
        <w:t xml:space="preserve">se týkal sdílení elektřiny, zda o tom Olomoucký kraj uvažuje a jak je to s připojením </w:t>
      </w:r>
      <w:r w:rsidR="0039124B">
        <w:rPr>
          <w:rFonts w:cs="Arial"/>
        </w:rPr>
        <w:t xml:space="preserve">fotovoltaických elektráren </w:t>
      </w:r>
      <w:r w:rsidR="00110075">
        <w:rPr>
          <w:rFonts w:cs="Arial"/>
        </w:rPr>
        <w:t xml:space="preserve">na distribuční síť. Ing. Melo informoval, že v Olomouckém kraji část území má na starosti ČEZ Distribuce a část území má EG.D. Koncem dubna je plánována schůzka se zástupci distributorů k problematice připojování. Ing. </w:t>
      </w:r>
      <w:r w:rsidR="0039124B">
        <w:rPr>
          <w:rFonts w:cs="Arial"/>
        </w:rPr>
        <w:t>Mělo dodal</w:t>
      </w:r>
      <w:r w:rsidR="00110075">
        <w:rPr>
          <w:rFonts w:cs="Arial"/>
        </w:rPr>
        <w:t>, že sítě nejsou na připojování připraveny a extrémně přibývá fotovoltaických elektráren. RNDr. Juránek, Ph.D. doplnil, že právě z tohoto důvodu se vybíraly jako vhodné pro instalaci fotovoltaických elektráren příspěvkové organizace s nepřetržitým provozem, a to aby byl zajištěn potenciál vlastní spotřeby.</w:t>
      </w:r>
    </w:p>
    <w:p w:rsidR="00D97D5D" w:rsidRPr="00A1021D" w:rsidRDefault="00D97D5D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Default="00DC50E8" w:rsidP="00DC50E8">
      <w:pPr>
        <w:pStyle w:val="slo1text"/>
        <w:numPr>
          <w:ilvl w:val="0"/>
          <w:numId w:val="28"/>
        </w:numPr>
        <w:rPr>
          <w:rFonts w:cs="Arial"/>
          <w:b/>
        </w:rPr>
      </w:pPr>
      <w:r w:rsidRPr="00DC50E8">
        <w:rPr>
          <w:rFonts w:cs="Arial"/>
          <w:b/>
        </w:rPr>
        <w:t>Příprava projektů Olomouckého kraje v oblasti dopravy v Operačním programu Přeshraniční spolupráce ČR-PL</w:t>
      </w:r>
    </w:p>
    <w:p w:rsidR="00D7401A" w:rsidRDefault="00D7401A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D7401A">
        <w:rPr>
          <w:rFonts w:cs="Arial"/>
        </w:rPr>
        <w:t xml:space="preserve">Ing. Kubín, vedoucí odboru investic </w:t>
      </w:r>
      <w:r>
        <w:rPr>
          <w:rFonts w:cs="Arial"/>
        </w:rPr>
        <w:t>vystoupil s </w:t>
      </w:r>
      <w:r w:rsidR="00164C6F">
        <w:rPr>
          <w:rFonts w:cs="Arial"/>
        </w:rPr>
        <w:t>materiálem</w:t>
      </w:r>
      <w:r>
        <w:rPr>
          <w:rFonts w:cs="Arial"/>
        </w:rPr>
        <w:t xml:space="preserve"> týkající</w:t>
      </w:r>
      <w:r w:rsidR="0039124B">
        <w:rPr>
          <w:rFonts w:cs="Arial"/>
        </w:rPr>
        <w:t>m</w:t>
      </w:r>
      <w:r>
        <w:rPr>
          <w:rFonts w:cs="Arial"/>
        </w:rPr>
        <w:t xml:space="preserve"> se přípravy projektů Olomouckého kraje v oblasti dopravy v Operačním programu Přeshraniční spolupráce ČR-PL. Nejprve představil výzvu č. 11 programu INTERREG Česko – Polsko pro cíl 3.1 Zvýšení přeshraniční mobility v česko-polském pohraničí (silnice). Tato výzva byla vyhlášena 15. 2. 2023 s projektové záměry se mohou podávat do 24. 5. 2023. Financování podpory z EFRR je max. 80 %, podíl ostatního financování min. 20 %.</w:t>
      </w:r>
      <w:r w:rsidRPr="00D7401A">
        <w:rPr>
          <w:rFonts w:cs="Arial"/>
        </w:rPr>
        <w:t xml:space="preserve"> Informoval, že čeští partneři si v případě projektů, které budou doporučeny k financování, budou moci následně p</w:t>
      </w:r>
      <w:r w:rsidR="00EE4A7C">
        <w:rPr>
          <w:rFonts w:cs="Arial"/>
        </w:rPr>
        <w:t>ožádat v rámci samostatné výzvy</w:t>
      </w:r>
      <w:r w:rsidRPr="00D7401A">
        <w:rPr>
          <w:rFonts w:cs="Arial"/>
        </w:rPr>
        <w:t xml:space="preserve"> o příspěvek ze státního rozpočtu České republiky na spolufinancování.</w:t>
      </w:r>
    </w:p>
    <w:p w:rsidR="00D7401A" w:rsidRPr="00D7401A" w:rsidRDefault="00D7401A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Následně Ing. Kubín představil akci „Silnice II/457 hr. s Polskem – Javorník, kř. s I/60H“, jedná se o silnic</w:t>
      </w:r>
      <w:r w:rsidR="0039124B">
        <w:rPr>
          <w:rFonts w:cs="Arial"/>
        </w:rPr>
        <w:t>i</w:t>
      </w:r>
      <w:r>
        <w:rPr>
          <w:rFonts w:cs="Arial"/>
        </w:rPr>
        <w:t xml:space="preserve"> v délce asi 9 km. </w:t>
      </w:r>
      <w:r w:rsidR="0039124B">
        <w:rPr>
          <w:rFonts w:cs="Arial"/>
        </w:rPr>
        <w:t>Sdělil, že v minulosti již na této silnici</w:t>
      </w:r>
      <w:r>
        <w:rPr>
          <w:rFonts w:cs="Arial"/>
        </w:rPr>
        <w:t xml:space="preserve"> proběhly nějaké dílčí rekonstrukce. Nicméně stav této silnice není optimální, takže různé úseky této silnice budou řešeny různou opravou. Projekt má tři partnery, a to Dolnoslezské vojvodství, </w:t>
      </w:r>
      <w:r w:rsidR="0039124B">
        <w:rPr>
          <w:rFonts w:cs="Arial"/>
        </w:rPr>
        <w:t>o</w:t>
      </w:r>
      <w:r>
        <w:rPr>
          <w:rFonts w:cs="Arial"/>
        </w:rPr>
        <w:t>kres Kladsko a Olomoucký kraj.</w:t>
      </w:r>
      <w:r w:rsidR="00EE4A7C">
        <w:rPr>
          <w:rFonts w:cs="Arial"/>
        </w:rPr>
        <w:t xml:space="preserve"> </w:t>
      </w:r>
      <w:r w:rsidR="000604BD">
        <w:rPr>
          <w:rFonts w:cs="Arial"/>
        </w:rPr>
        <w:t>Dále sdělil, že v</w:t>
      </w:r>
      <w:r w:rsidR="00EE4A7C">
        <w:rPr>
          <w:rFonts w:cs="Arial"/>
        </w:rPr>
        <w:t> loňském r</w:t>
      </w:r>
      <w:r w:rsidR="000604BD">
        <w:rPr>
          <w:rFonts w:cs="Arial"/>
        </w:rPr>
        <w:t>oce se zpracovávala diagnostika</w:t>
      </w:r>
      <w:r w:rsidR="0039124B">
        <w:rPr>
          <w:rFonts w:cs="Arial"/>
        </w:rPr>
        <w:t xml:space="preserve"> silnic a</w:t>
      </w:r>
      <w:r w:rsidR="000604BD">
        <w:rPr>
          <w:rFonts w:cs="Arial"/>
        </w:rPr>
        <w:t xml:space="preserve"> následovalo zadání projektové dokumentace, kter</w:t>
      </w:r>
      <w:r w:rsidR="0039124B">
        <w:rPr>
          <w:rFonts w:cs="Arial"/>
        </w:rPr>
        <w:t>á</w:t>
      </w:r>
      <w:r w:rsidR="000604BD">
        <w:rPr>
          <w:rFonts w:cs="Arial"/>
        </w:rPr>
        <w:t xml:space="preserve"> se nyní zpracovává. Celkové náklady </w:t>
      </w:r>
      <w:r w:rsidR="000604BD">
        <w:rPr>
          <w:rFonts w:cs="Arial"/>
        </w:rPr>
        <w:lastRenderedPageBreak/>
        <w:t>projektu jsou cca 110,9 mil. Kč bez DPH</w:t>
      </w:r>
      <w:r w:rsidR="0039124B">
        <w:rPr>
          <w:rFonts w:cs="Arial"/>
        </w:rPr>
        <w:t>.</w:t>
      </w:r>
    </w:p>
    <w:p w:rsidR="00D7401A" w:rsidRDefault="000604BD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Další projekt, který byl představen je „II/445 Zlaté Hory – hranice kraje OK/MSK“, původně mělo být do projektu zapojeno pět partnerů, </w:t>
      </w:r>
      <w:r w:rsidR="00FC7379">
        <w:rPr>
          <w:rFonts w:cs="Arial"/>
        </w:rPr>
        <w:t xml:space="preserve">nakonec byl zájem </w:t>
      </w:r>
      <w:r w:rsidR="005060CA">
        <w:rPr>
          <w:rFonts w:cs="Arial"/>
        </w:rPr>
        <w:t xml:space="preserve">o realizaci projektu pouze </w:t>
      </w:r>
      <w:r w:rsidR="00FC7379">
        <w:rPr>
          <w:rFonts w:cs="Arial"/>
        </w:rPr>
        <w:t xml:space="preserve">tří partnerů, a to Olomouckého kraje, okresu Nysa a obce Glucholazy. Tento projekt je problematický, protože nepokračuje přímo přes hranici a navíc v červnu loňského roku okres Nysa z projektu odstoupil. V návaznosti na tyto skutečnosti bylo vyhodnoceno, že projekt nemá smysl. </w:t>
      </w:r>
    </w:p>
    <w:p w:rsidR="00C2361B" w:rsidRPr="00D7401A" w:rsidRDefault="00164C6F" w:rsidP="00D7401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Materiál</w:t>
      </w:r>
      <w:r w:rsidR="00C2361B">
        <w:rPr>
          <w:rFonts w:cs="Arial"/>
        </w:rPr>
        <w:t xml:space="preserve"> je přílohou č. 4 zápisu.</w:t>
      </w:r>
    </w:p>
    <w:p w:rsidR="0079208F" w:rsidRDefault="0079208F" w:rsidP="00A06C9D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79208F">
        <w:rPr>
          <w:rFonts w:cs="Arial"/>
          <w:u w:val="single"/>
        </w:rPr>
        <w:t>Výstupy z diskuze:</w:t>
      </w:r>
    </w:p>
    <w:p w:rsidR="00FC7379" w:rsidRDefault="00FC7379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Mgr. Šťastný se dotázal k projektu „II/445 Zlaté Hory</w:t>
      </w:r>
      <w:r w:rsidR="005060CA">
        <w:rPr>
          <w:rFonts w:cs="Arial"/>
        </w:rPr>
        <w:t xml:space="preserve"> </w:t>
      </w:r>
      <w:r>
        <w:rPr>
          <w:rFonts w:cs="Arial"/>
        </w:rPr>
        <w:t>- hranice kraje OK/MSK“, jestli byly Zlaté Hory od června loňského roku vyrozuměny, že Olomoucký kraj s projektem dále nepokračuje. Ing. Kubín reagoval, že s </w:t>
      </w:r>
      <w:r w:rsidR="005060CA">
        <w:rPr>
          <w:rFonts w:cs="Arial"/>
        </w:rPr>
        <w:t>nimi</w:t>
      </w:r>
      <w:r>
        <w:rPr>
          <w:rFonts w:cs="Arial"/>
        </w:rPr>
        <w:t xml:space="preserve"> proběhla jednání a byli o této skutečnosti informováni.</w:t>
      </w:r>
    </w:p>
    <w:p w:rsidR="00C2361B" w:rsidRDefault="00C2361B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Další dotaz směřoval k projektu tunelu pod Červenohorským sedlem, zda kraj v této věci něco připravuje. Ing. Kubín reagoval, že k tomuto Olomoucký kraj nyní nic nepřipravuje. I</w:t>
      </w:r>
      <w:r w:rsidR="005060CA">
        <w:rPr>
          <w:rFonts w:cs="Arial"/>
        </w:rPr>
        <w:t>ng. </w:t>
      </w:r>
      <w:r>
        <w:rPr>
          <w:rFonts w:cs="Arial"/>
        </w:rPr>
        <w:t>Novotná dodala, že Olomoucký kraj nyní zpracovává územní studii, jak by železniční trať v tunelu mohla vypadat, ale jedná se pouze pro podklad pro zásady územního rozvoje, nejedná se o investiční studii. Pan Vlazlo reagoval, že by bylo vhodné se dotázat samospráv, zda o tento tunel chtějí.</w:t>
      </w:r>
    </w:p>
    <w:p w:rsidR="001B7E25" w:rsidRPr="007761A8" w:rsidRDefault="001B7E25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P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Různé</w:t>
      </w:r>
    </w:p>
    <w:p w:rsidR="00F74237" w:rsidRDefault="00164C6F" w:rsidP="005060CA">
      <w:pPr>
        <w:spacing w:after="120"/>
        <w:jc w:val="both"/>
        <w:rPr>
          <w:rFonts w:cs="Arial"/>
        </w:rPr>
      </w:pPr>
      <w:r w:rsidRPr="005060CA">
        <w:rPr>
          <w:rFonts w:ascii="Arial" w:hAnsi="Arial" w:cs="Arial"/>
          <w:noProof/>
          <w:szCs w:val="20"/>
        </w:rPr>
        <w:t xml:space="preserve">Ing. Novotná sdělila, že v rámci tohoto bodu </w:t>
      </w:r>
      <w:r w:rsidR="006B69CB" w:rsidRPr="005060CA">
        <w:rPr>
          <w:rFonts w:ascii="Arial" w:hAnsi="Arial" w:cs="Arial"/>
          <w:noProof/>
          <w:szCs w:val="20"/>
        </w:rPr>
        <w:t>budou prezentovány žádosti o poskytnutí individuální dotace v oblasti strategického rozvoje. Nejprve prezentovala žádost, která bude předložena Zastupitelstvu Olomouckého kraje</w:t>
      </w:r>
      <w:r w:rsidR="00EE20AD" w:rsidRPr="005060CA">
        <w:rPr>
          <w:rFonts w:ascii="Arial" w:hAnsi="Arial" w:cs="Arial"/>
          <w:noProof/>
          <w:szCs w:val="20"/>
        </w:rPr>
        <w:t xml:space="preserve"> na dubnovém zasedání. Jednalo se o žádost</w:t>
      </w:r>
      <w:r w:rsidR="006B69CB" w:rsidRPr="005060CA">
        <w:rPr>
          <w:rFonts w:ascii="Arial" w:hAnsi="Arial" w:cs="Arial"/>
          <w:noProof/>
          <w:szCs w:val="20"/>
        </w:rPr>
        <w:t xml:space="preserve"> o poskytnutí individuální dotace na založení reklamní agentury a pořízení vyšívacího stroje od fyzické osoby</w:t>
      </w:r>
      <w:r w:rsidR="00C66D5B" w:rsidRPr="005060CA">
        <w:rPr>
          <w:rFonts w:ascii="Arial" w:hAnsi="Arial" w:cs="Arial"/>
          <w:noProof/>
          <w:szCs w:val="20"/>
        </w:rPr>
        <w:t xml:space="preserve"> ve výši 300 000 Kč</w:t>
      </w:r>
      <w:r w:rsidR="006B69CB" w:rsidRPr="005060CA">
        <w:rPr>
          <w:rFonts w:ascii="Arial" w:hAnsi="Arial" w:cs="Arial"/>
          <w:noProof/>
          <w:szCs w:val="20"/>
        </w:rPr>
        <w:t xml:space="preserve">. </w:t>
      </w:r>
      <w:r w:rsidR="005060CA" w:rsidRPr="005060CA">
        <w:rPr>
          <w:rFonts w:ascii="Arial" w:hAnsi="Arial" w:cs="Arial"/>
          <w:noProof/>
          <w:szCs w:val="20"/>
        </w:rPr>
        <w:t>Žádost byla projednána Radou Olomouckého kraje, která doporučila nevyhovět žádosti o individuální dotaci žadateli Vendula Patalová.</w:t>
      </w:r>
      <w:r w:rsidR="005060CA">
        <w:rPr>
          <w:rFonts w:ascii="Arial" w:hAnsi="Arial" w:cs="Arial"/>
          <w:noProof/>
          <w:szCs w:val="20"/>
        </w:rPr>
        <w:t xml:space="preserve"> R</w:t>
      </w:r>
      <w:r w:rsidR="005060CA" w:rsidRPr="005060CA">
        <w:rPr>
          <w:rFonts w:ascii="Arial" w:hAnsi="Arial" w:cs="Arial"/>
          <w:noProof/>
          <w:szCs w:val="20"/>
        </w:rPr>
        <w:t>ozhodnutí o poskytnutí, či neposkytnutí dotace dle zákona č. 129/2000 Sb., o krajích (krajské zřízení), v kompetenci Zastupitelstva Olomouckého kraje.</w:t>
      </w:r>
    </w:p>
    <w:p w:rsidR="006B69CB" w:rsidRDefault="006B69CB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Dále Rada Olomouckého kraje schválila poskytnutí individuální dotace ve výši 60 000 Kč</w:t>
      </w:r>
      <w:r w:rsidR="00C66D5B">
        <w:rPr>
          <w:rFonts w:cs="Arial"/>
        </w:rPr>
        <w:t xml:space="preserve"> od spolku Česká zavináč, z.s.</w:t>
      </w:r>
      <w:r>
        <w:rPr>
          <w:rFonts w:cs="Arial"/>
        </w:rPr>
        <w:t xml:space="preserve"> na pořádání akce Den</w:t>
      </w:r>
      <w:r w:rsidR="00C66D5B">
        <w:rPr>
          <w:rFonts w:cs="Arial"/>
        </w:rPr>
        <w:t xml:space="preserve"> malých obcí, což je odborná konference určená starostkám, starostům a ostatním zástupcům nejen malých obcí. Konference přináší aktuální informace z oblasti rozvoje venkova, dotační politiky nebo financování, reaguje na nejnovější problémy a jejich řešení v rozsáhlé oblasti činnosti veřejné správy. Rozhodnutí o poskytnutí, či neposkytnutí dotace dle zákona č. 129/2000 Sb., o krajích (krajské zřízení), je v kompetenci Rady Olomouckého kraje.</w:t>
      </w:r>
    </w:p>
    <w:p w:rsidR="000B7615" w:rsidRDefault="00C66D5B" w:rsidP="005060CA">
      <w:pPr>
        <w:pStyle w:val="Bezmezer"/>
        <w:spacing w:before="120" w:after="120"/>
        <w:jc w:val="both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>Poslední žádost, která je již projednaná vedením, ale bude předložena</w:t>
      </w:r>
      <w:r w:rsidR="00EE20AD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až na červnovém </w:t>
      </w:r>
      <w:r w:rsidR="005060CA">
        <w:rPr>
          <w:rFonts w:ascii="Arial" w:eastAsia="Times New Roman" w:hAnsi="Arial" w:cs="Arial"/>
          <w:noProof/>
          <w:sz w:val="24"/>
          <w:szCs w:val="20"/>
          <w:lang w:eastAsia="cs-CZ"/>
        </w:rPr>
        <w:t>jednání Zastupitelstva Olomouckého kraje</w:t>
      </w:r>
      <w:r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je žádost o poskytnutí individuální dotace obce Měrotín na obnovení zaniklé prodejny potravin v obci formou bezobslužného systému včetně potřebného vybavení</w:t>
      </w:r>
      <w:r w:rsidR="000B7615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ve výši cca 410 tis. Kč</w:t>
      </w:r>
      <w:r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>.</w:t>
      </w:r>
      <w:r w:rsidR="000B7615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="005060CA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>Jelikož se jedná o „pilotní“ projekt v Olomouckém kraji, odbor strategického rozvoje kraje doporučuje žádosti vyhovět v plné výši.</w:t>
      </w:r>
      <w:r w:rsidR="005060CA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="005060CA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>Žádost byla projednána na poradě vedení dne 3. 4. 2023 a byla postoupena do „zásobníku“ pro poskytování individuálních dotací z rozpočtu Olomouckého kraje s návrhem na vyhovění žádosti.</w:t>
      </w:r>
      <w:r w:rsidR="005060CA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="000B7615" w:rsidRPr="005060CA">
        <w:rPr>
          <w:rFonts w:ascii="Arial" w:eastAsia="Times New Roman" w:hAnsi="Arial" w:cs="Arial"/>
          <w:noProof/>
          <w:sz w:val="24"/>
          <w:szCs w:val="20"/>
          <w:lang w:eastAsia="cs-CZ"/>
        </w:rPr>
        <w:t>V případě žádosti je rozhodnutí o poskytnutí, či neposkytnutí dotace dle zákona č. 129/2000 Sb., o krajích (krajské zřízení), v kompetenci Zastupitelstva Olomouckého kraje.</w:t>
      </w:r>
    </w:p>
    <w:p w:rsidR="005060CA" w:rsidRPr="005060CA" w:rsidRDefault="005060CA" w:rsidP="005060CA">
      <w:pPr>
        <w:pStyle w:val="Bezmezer"/>
        <w:spacing w:before="120" w:after="120"/>
        <w:jc w:val="both"/>
        <w:rPr>
          <w:rFonts w:ascii="Arial" w:eastAsia="Times New Roman" w:hAnsi="Arial" w:cs="Arial"/>
          <w:noProof/>
          <w:sz w:val="24"/>
          <w:szCs w:val="20"/>
          <w:lang w:eastAsia="cs-CZ"/>
        </w:rPr>
      </w:pPr>
    </w:p>
    <w:p w:rsidR="00164C6F" w:rsidRDefault="000B7615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>Materiály k</w:t>
      </w:r>
      <w:r w:rsidR="005060CA">
        <w:rPr>
          <w:rFonts w:cs="Arial"/>
        </w:rPr>
        <w:t xml:space="preserve"> žádostem o poskytnutí </w:t>
      </w:r>
      <w:r>
        <w:rPr>
          <w:rFonts w:cs="Arial"/>
        </w:rPr>
        <w:t>individuální</w:t>
      </w:r>
      <w:r w:rsidR="005060CA">
        <w:rPr>
          <w:rFonts w:cs="Arial"/>
        </w:rPr>
        <w:t>ch</w:t>
      </w:r>
      <w:r>
        <w:rPr>
          <w:rFonts w:cs="Arial"/>
        </w:rPr>
        <w:t xml:space="preserve"> dotací jsou přílohami č. 5 a 6.</w:t>
      </w:r>
    </w:p>
    <w:p w:rsidR="000B7615" w:rsidRDefault="000B7615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5060CA" w:rsidRDefault="005060CA" w:rsidP="005060CA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Mgr. Šťastný informoval, že další zasedání Výboru proběhne </w:t>
      </w:r>
      <w:r>
        <w:rPr>
          <w:rFonts w:cs="Arial"/>
        </w:rPr>
        <w:t>7. června 2023</w:t>
      </w:r>
      <w:r w:rsidR="00623CD9">
        <w:rPr>
          <w:rFonts w:cs="Arial"/>
        </w:rPr>
        <w:t xml:space="preserve"> od 13:00</w:t>
      </w:r>
      <w:bookmarkStart w:id="0" w:name="_GoBack"/>
      <w:bookmarkEnd w:id="0"/>
      <w:r>
        <w:rPr>
          <w:rFonts w:cs="Arial"/>
        </w:rPr>
        <w:t xml:space="preserve"> v zasedací místnosti č. 320 Krajského úřadu Olomouckého kraje. Dle plánu práce Výboru bude mezi probíranými tématy</w:t>
      </w:r>
      <w:r>
        <w:rPr>
          <w:rFonts w:cs="Arial"/>
        </w:rPr>
        <w:t xml:space="preserve">: </w:t>
      </w:r>
    </w:p>
    <w:p w:rsidR="005060CA" w:rsidRDefault="005060CA" w:rsidP="005060CA">
      <w:pPr>
        <w:pStyle w:val="slo1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Aktuální informace z územního plánování;</w:t>
      </w:r>
    </w:p>
    <w:p w:rsidR="005060CA" w:rsidRDefault="005060CA" w:rsidP="005060CA">
      <w:pPr>
        <w:pStyle w:val="slo1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t>Aktivity na podporu podnikání a investic v roce 2023.</w:t>
      </w:r>
      <w:r>
        <w:rPr>
          <w:rFonts w:cs="Arial"/>
        </w:rPr>
        <w:t xml:space="preserve"> </w:t>
      </w:r>
    </w:p>
    <w:p w:rsidR="005060CA" w:rsidRDefault="005060CA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7F2BF4" w:rsidRDefault="007F2BF4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975D37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F74237">
        <w:rPr>
          <w:rFonts w:cs="Arial"/>
        </w:rPr>
        <w:t xml:space="preserve">V Olomouci dne </w:t>
      </w:r>
      <w:r w:rsidR="00DC50E8">
        <w:rPr>
          <w:rFonts w:cs="Arial"/>
        </w:rPr>
        <w:t>5. 4</w:t>
      </w:r>
      <w:r w:rsidR="00206160" w:rsidRPr="00F74237">
        <w:rPr>
          <w:rFonts w:cs="Arial"/>
        </w:rPr>
        <w:t>. 2023</w:t>
      </w:r>
    </w:p>
    <w:p w:rsid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F74237" w:rsidRP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975D37" w:rsidRPr="00ED3B94" w:rsidRDefault="00975D37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……………………………….</w:t>
      </w:r>
    </w:p>
    <w:p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Mgr. Roman Šťastný</w:t>
      </w:r>
    </w:p>
    <w:p w:rsidR="00975D37" w:rsidRPr="00ED3B94" w:rsidRDefault="00900A46">
      <w:pPr>
        <w:pStyle w:val="Podpis"/>
        <w:rPr>
          <w:rFonts w:cs="Arial"/>
          <w:szCs w:val="24"/>
        </w:rPr>
      </w:pPr>
      <w:r w:rsidRPr="00ED3B94">
        <w:rPr>
          <w:rFonts w:cs="Arial"/>
          <w:szCs w:val="24"/>
        </w:rPr>
        <w:t>předseda Vý</w:t>
      </w:r>
      <w:r w:rsidR="00975D37" w:rsidRPr="00ED3B94">
        <w:rPr>
          <w:rFonts w:cs="Arial"/>
          <w:szCs w:val="24"/>
        </w:rPr>
        <w:t>boru</w:t>
      </w:r>
    </w:p>
    <w:p w:rsidR="005060CA" w:rsidRDefault="005060CA" w:rsidP="00ED3B94">
      <w:pPr>
        <w:pStyle w:val="Vborplohy"/>
        <w:jc w:val="both"/>
        <w:rPr>
          <w:b/>
          <w:szCs w:val="22"/>
        </w:rPr>
      </w:pPr>
    </w:p>
    <w:p w:rsidR="0019639C" w:rsidRDefault="00975D37" w:rsidP="00ED3B94">
      <w:pPr>
        <w:pStyle w:val="Vborplohy"/>
        <w:jc w:val="both"/>
        <w:rPr>
          <w:szCs w:val="22"/>
        </w:rPr>
      </w:pPr>
      <w:r w:rsidRPr="0019639C">
        <w:rPr>
          <w:b/>
          <w:szCs w:val="22"/>
        </w:rPr>
        <w:t>Přílohy</w:t>
      </w:r>
      <w:r w:rsidRPr="00570AA0">
        <w:rPr>
          <w:szCs w:val="22"/>
        </w:rPr>
        <w:t xml:space="preserve">: </w:t>
      </w:r>
      <w:r w:rsidR="00897C2D">
        <w:rPr>
          <w:szCs w:val="22"/>
        </w:rPr>
        <w:tab/>
      </w:r>
    </w:p>
    <w:p w:rsidR="00975D37" w:rsidRPr="00EE20AD" w:rsidRDefault="0019639C" w:rsidP="00ED3B94">
      <w:pPr>
        <w:pStyle w:val="Vborplohy"/>
        <w:jc w:val="both"/>
        <w:rPr>
          <w:sz w:val="24"/>
          <w:szCs w:val="24"/>
        </w:rPr>
      </w:pPr>
      <w:r w:rsidRPr="00EE20AD">
        <w:rPr>
          <w:sz w:val="24"/>
          <w:szCs w:val="24"/>
        </w:rPr>
        <w:t xml:space="preserve">Příloha č. 1 </w:t>
      </w:r>
      <w:r w:rsidR="00ED3B94">
        <w:rPr>
          <w:szCs w:val="24"/>
        </w:rPr>
        <w:t>–</w:t>
      </w:r>
      <w:r w:rsidRPr="00ED3B94">
        <w:rPr>
          <w:rFonts w:cs="Times New Roman"/>
          <w:noProof/>
          <w:sz w:val="24"/>
          <w:szCs w:val="24"/>
        </w:rPr>
        <w:t xml:space="preserve"> </w:t>
      </w:r>
      <w:r w:rsidR="00897C2D" w:rsidRPr="00EE20AD">
        <w:rPr>
          <w:sz w:val="24"/>
          <w:szCs w:val="24"/>
        </w:rPr>
        <w:t>Informace z jednání orgánů kraje</w:t>
      </w:r>
    </w:p>
    <w:p w:rsidR="00EE20AD" w:rsidRPr="00EE20AD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b/>
          <w:szCs w:val="24"/>
        </w:rPr>
      </w:pPr>
      <w:r w:rsidRPr="00EE20AD">
        <w:rPr>
          <w:szCs w:val="24"/>
        </w:rPr>
        <w:t xml:space="preserve">Příloha č. 2 </w:t>
      </w:r>
      <w:r w:rsidR="00ED3B94">
        <w:rPr>
          <w:szCs w:val="24"/>
        </w:rPr>
        <w:t>–</w:t>
      </w:r>
      <w:r w:rsidRPr="00EE20AD">
        <w:rPr>
          <w:szCs w:val="24"/>
        </w:rPr>
        <w:t xml:space="preserve"> </w:t>
      </w:r>
      <w:r w:rsidR="00ED3B94">
        <w:rPr>
          <w:szCs w:val="24"/>
        </w:rPr>
        <w:t>Prezentace S</w:t>
      </w:r>
      <w:proofErr w:type="spellStart"/>
      <w:r w:rsidR="00EE20AD" w:rsidRPr="00EE20AD">
        <w:rPr>
          <w:rFonts w:cs="Arial"/>
          <w:noProof w:val="0"/>
          <w:szCs w:val="24"/>
        </w:rPr>
        <w:t>trategie</w:t>
      </w:r>
      <w:proofErr w:type="spellEnd"/>
      <w:r w:rsidR="00EE20AD" w:rsidRPr="00EE20AD">
        <w:rPr>
          <w:rFonts w:cs="Arial"/>
          <w:noProof w:val="0"/>
          <w:szCs w:val="24"/>
        </w:rPr>
        <w:t xml:space="preserve"> rozvoje územního obvodu Olomouckého kraje – vyhodnocení za rok 2022 a plnění monitorovacích indikátorů pro hodnocení strategie</w:t>
      </w:r>
    </w:p>
    <w:p w:rsidR="00EE20AD" w:rsidRDefault="0019639C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EE20AD">
        <w:rPr>
          <w:szCs w:val="24"/>
        </w:rPr>
        <w:t xml:space="preserve">Příloha č. 3 </w:t>
      </w:r>
      <w:r w:rsidR="00ED3B94">
        <w:rPr>
          <w:szCs w:val="24"/>
        </w:rPr>
        <w:t>–</w:t>
      </w:r>
      <w:r w:rsidRPr="00EE20AD">
        <w:rPr>
          <w:szCs w:val="24"/>
        </w:rPr>
        <w:t xml:space="preserve"> </w:t>
      </w:r>
      <w:r w:rsidR="00ED3B94">
        <w:rPr>
          <w:szCs w:val="24"/>
        </w:rPr>
        <w:t>Prezentace p</w:t>
      </w:r>
      <w:r w:rsidR="00EE20AD" w:rsidRPr="00EE20AD">
        <w:rPr>
          <w:rFonts w:cs="Arial"/>
          <w:szCs w:val="24"/>
        </w:rPr>
        <w:t>lán činností v oblasti energetiky na rok 2023</w:t>
      </w:r>
    </w:p>
    <w:p w:rsidR="00897C2D" w:rsidRPr="00EE20AD" w:rsidRDefault="00164C6F" w:rsidP="00ED3B94">
      <w:pPr>
        <w:pStyle w:val="slo1text"/>
        <w:tabs>
          <w:tab w:val="clear" w:pos="567"/>
        </w:tabs>
        <w:ind w:left="0" w:firstLine="0"/>
        <w:rPr>
          <w:rFonts w:cs="Arial"/>
          <w:szCs w:val="24"/>
        </w:rPr>
      </w:pPr>
      <w:r w:rsidRPr="00EE20AD">
        <w:rPr>
          <w:szCs w:val="24"/>
        </w:rPr>
        <w:t xml:space="preserve">Příloha č. 4 </w:t>
      </w:r>
      <w:r w:rsidR="00ED3B94">
        <w:rPr>
          <w:szCs w:val="24"/>
        </w:rPr>
        <w:t>–</w:t>
      </w:r>
      <w:r w:rsidR="00ED3B94">
        <w:rPr>
          <w:rFonts w:cs="Arial"/>
          <w:szCs w:val="24"/>
        </w:rPr>
        <w:t xml:space="preserve"> Materiál</w:t>
      </w:r>
      <w:r w:rsidR="00EE20AD" w:rsidRPr="00EE20AD">
        <w:rPr>
          <w:rFonts w:cs="Arial"/>
          <w:szCs w:val="24"/>
        </w:rPr>
        <w:t xml:space="preserve"> </w:t>
      </w:r>
      <w:r w:rsidR="00ED3B94">
        <w:rPr>
          <w:rFonts w:cs="Arial"/>
          <w:szCs w:val="24"/>
        </w:rPr>
        <w:t>k přípravě</w:t>
      </w:r>
      <w:r w:rsidR="00EE20AD" w:rsidRPr="00EE20AD">
        <w:rPr>
          <w:rFonts w:cs="Arial"/>
          <w:szCs w:val="24"/>
        </w:rPr>
        <w:t xml:space="preserve"> projektů Olomouckého kraje v oblasti dopravy v Operačním programu Přeshraniční spolupráce ČR-PL</w:t>
      </w:r>
    </w:p>
    <w:p w:rsidR="00897C2D" w:rsidRPr="00ED3B94" w:rsidRDefault="0019639C" w:rsidP="00ED3B94">
      <w:pPr>
        <w:pStyle w:val="slo1text"/>
        <w:tabs>
          <w:tab w:val="clear" w:pos="567"/>
        </w:tabs>
        <w:ind w:left="0" w:firstLine="0"/>
        <w:rPr>
          <w:szCs w:val="24"/>
        </w:rPr>
      </w:pPr>
      <w:r w:rsidRPr="00EE20AD">
        <w:rPr>
          <w:szCs w:val="24"/>
        </w:rPr>
        <w:t>Příloha č. 5</w:t>
      </w:r>
      <w:r w:rsidR="00EE20AD">
        <w:rPr>
          <w:szCs w:val="24"/>
        </w:rPr>
        <w:t xml:space="preserve"> a 6 – </w:t>
      </w:r>
      <w:r w:rsidR="00ED3B94">
        <w:rPr>
          <w:szCs w:val="24"/>
        </w:rPr>
        <w:t>Materiály k žádostem</w:t>
      </w:r>
      <w:r w:rsidR="00EE20AD">
        <w:rPr>
          <w:szCs w:val="24"/>
        </w:rPr>
        <w:t xml:space="preserve"> o poskytnutí individuálních dotací v</w:t>
      </w:r>
      <w:r w:rsidR="00ED3B94">
        <w:rPr>
          <w:szCs w:val="24"/>
        </w:rPr>
        <w:t xml:space="preserve"> oblasti </w:t>
      </w:r>
      <w:r w:rsidR="00EE20AD">
        <w:rPr>
          <w:szCs w:val="24"/>
        </w:rPr>
        <w:t xml:space="preserve">strategického rozvoje </w:t>
      </w:r>
      <w:r w:rsidR="00164C6F" w:rsidRPr="00ED3B94">
        <w:rPr>
          <w:szCs w:val="24"/>
        </w:rPr>
        <w:t xml:space="preserve"> </w:t>
      </w:r>
    </w:p>
    <w:p w:rsidR="00897C2D" w:rsidRPr="00570AA0" w:rsidRDefault="00897C2D">
      <w:pPr>
        <w:pStyle w:val="Vborplohy"/>
        <w:rPr>
          <w:szCs w:val="22"/>
        </w:rPr>
      </w:pPr>
    </w:p>
    <w:p w:rsidR="00975D37" w:rsidRPr="00570AA0" w:rsidRDefault="00975D37">
      <w:pPr>
        <w:pStyle w:val="Zkladntext"/>
        <w:rPr>
          <w:rFonts w:cs="Arial"/>
        </w:rPr>
      </w:pPr>
    </w:p>
    <w:sectPr w:rsidR="00975D37" w:rsidRPr="00570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0E" w:rsidRDefault="002C720E">
      <w:r>
        <w:separator/>
      </w:r>
    </w:p>
  </w:endnote>
  <w:endnote w:type="continuationSeparator" w:id="0">
    <w:p w:rsidR="002C720E" w:rsidRDefault="002C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Default="00110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Pr="00FD67F2" w:rsidRDefault="00110075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23CD9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623CD9">
      <w:rPr>
        <w:rFonts w:ascii="Arial" w:hAnsi="Arial" w:cs="Arial"/>
        <w:i/>
        <w:noProof/>
        <w:sz w:val="20"/>
        <w:szCs w:val="20"/>
      </w:rPr>
      <w:t>7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Default="00110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0E" w:rsidRDefault="002C720E">
      <w:r>
        <w:separator/>
      </w:r>
    </w:p>
  </w:footnote>
  <w:footnote w:type="continuationSeparator" w:id="0">
    <w:p w:rsidR="002C720E" w:rsidRDefault="002C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Default="00110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Default="00110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75" w:rsidRDefault="00110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202F8"/>
    <w:multiLevelType w:val="hybridMultilevel"/>
    <w:tmpl w:val="C07A8F24"/>
    <w:lvl w:ilvl="0" w:tplc="430C9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433E7"/>
    <w:multiLevelType w:val="hybridMultilevel"/>
    <w:tmpl w:val="ACE20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37127"/>
    <w:multiLevelType w:val="hybridMultilevel"/>
    <w:tmpl w:val="F1E46BA4"/>
    <w:lvl w:ilvl="0" w:tplc="763C3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7A6"/>
    <w:multiLevelType w:val="hybridMultilevel"/>
    <w:tmpl w:val="C97E840E"/>
    <w:lvl w:ilvl="0" w:tplc="551C8F7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15"/>
  </w:num>
  <w:num w:numId="5">
    <w:abstractNumId w:val="10"/>
  </w:num>
  <w:num w:numId="6">
    <w:abstractNumId w:val="26"/>
  </w:num>
  <w:num w:numId="7">
    <w:abstractNumId w:val="5"/>
  </w:num>
  <w:num w:numId="8">
    <w:abstractNumId w:val="14"/>
  </w:num>
  <w:num w:numId="9">
    <w:abstractNumId w:val="22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8"/>
  </w:num>
  <w:num w:numId="16">
    <w:abstractNumId w:val="16"/>
  </w:num>
  <w:num w:numId="17">
    <w:abstractNumId w:val="19"/>
  </w:num>
  <w:num w:numId="18">
    <w:abstractNumId w:val="18"/>
  </w:num>
  <w:num w:numId="19">
    <w:abstractNumId w:val="13"/>
  </w:num>
  <w:num w:numId="20">
    <w:abstractNumId w:val="4"/>
  </w:num>
  <w:num w:numId="21">
    <w:abstractNumId w:val="21"/>
  </w:num>
  <w:num w:numId="22">
    <w:abstractNumId w:val="0"/>
  </w:num>
  <w:num w:numId="23">
    <w:abstractNumId w:val="6"/>
  </w:num>
  <w:num w:numId="24">
    <w:abstractNumId w:val="17"/>
  </w:num>
  <w:num w:numId="25">
    <w:abstractNumId w:val="1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 w:numId="29">
    <w:abstractNumId w:val="9"/>
  </w:num>
  <w:num w:numId="30">
    <w:abstractNumId w:val="1"/>
  </w:num>
  <w:num w:numId="31">
    <w:abstractNumId w:val="29"/>
  </w:num>
  <w:num w:numId="3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B9"/>
    <w:rsid w:val="00052E94"/>
    <w:rsid w:val="000604BD"/>
    <w:rsid w:val="00065C3A"/>
    <w:rsid w:val="00073E5E"/>
    <w:rsid w:val="000B7615"/>
    <w:rsid w:val="000D26F3"/>
    <w:rsid w:val="000D409D"/>
    <w:rsid w:val="00110075"/>
    <w:rsid w:val="00112C2C"/>
    <w:rsid w:val="00117D2E"/>
    <w:rsid w:val="00130BC6"/>
    <w:rsid w:val="00161D08"/>
    <w:rsid w:val="00164C6F"/>
    <w:rsid w:val="0019639C"/>
    <w:rsid w:val="001B1E5D"/>
    <w:rsid w:val="001B55D6"/>
    <w:rsid w:val="001B7E25"/>
    <w:rsid w:val="001C1EFD"/>
    <w:rsid w:val="001C334D"/>
    <w:rsid w:val="001D6F43"/>
    <w:rsid w:val="001F6056"/>
    <w:rsid w:val="001F6C25"/>
    <w:rsid w:val="00206160"/>
    <w:rsid w:val="00285CF5"/>
    <w:rsid w:val="002B09DB"/>
    <w:rsid w:val="002C720E"/>
    <w:rsid w:val="002D5585"/>
    <w:rsid w:val="002D7DAD"/>
    <w:rsid w:val="002F563B"/>
    <w:rsid w:val="00320BA1"/>
    <w:rsid w:val="003510F6"/>
    <w:rsid w:val="003707C8"/>
    <w:rsid w:val="00376EF0"/>
    <w:rsid w:val="00383E57"/>
    <w:rsid w:val="00386403"/>
    <w:rsid w:val="0039124B"/>
    <w:rsid w:val="003B0C9D"/>
    <w:rsid w:val="003D34A9"/>
    <w:rsid w:val="0040165F"/>
    <w:rsid w:val="0043546D"/>
    <w:rsid w:val="00457712"/>
    <w:rsid w:val="004E1377"/>
    <w:rsid w:val="004E490F"/>
    <w:rsid w:val="004F399F"/>
    <w:rsid w:val="005060CA"/>
    <w:rsid w:val="005177F8"/>
    <w:rsid w:val="00523988"/>
    <w:rsid w:val="00526048"/>
    <w:rsid w:val="00526B0B"/>
    <w:rsid w:val="005330E3"/>
    <w:rsid w:val="00570AA0"/>
    <w:rsid w:val="005736D6"/>
    <w:rsid w:val="00573C16"/>
    <w:rsid w:val="005C664E"/>
    <w:rsid w:val="005D51DB"/>
    <w:rsid w:val="00623CD9"/>
    <w:rsid w:val="006626C4"/>
    <w:rsid w:val="00687835"/>
    <w:rsid w:val="00690BB6"/>
    <w:rsid w:val="00695D83"/>
    <w:rsid w:val="006B50C5"/>
    <w:rsid w:val="006B69CB"/>
    <w:rsid w:val="007123B2"/>
    <w:rsid w:val="00714167"/>
    <w:rsid w:val="00722786"/>
    <w:rsid w:val="00744BDF"/>
    <w:rsid w:val="00775B3B"/>
    <w:rsid w:val="007761A8"/>
    <w:rsid w:val="0079208F"/>
    <w:rsid w:val="007D3003"/>
    <w:rsid w:val="007D45D6"/>
    <w:rsid w:val="007E2955"/>
    <w:rsid w:val="007F2BF4"/>
    <w:rsid w:val="00882ED9"/>
    <w:rsid w:val="00883EBE"/>
    <w:rsid w:val="00895CDE"/>
    <w:rsid w:val="00897C2D"/>
    <w:rsid w:val="008A0C12"/>
    <w:rsid w:val="008A2F08"/>
    <w:rsid w:val="00900A46"/>
    <w:rsid w:val="009338B9"/>
    <w:rsid w:val="00975D37"/>
    <w:rsid w:val="009A046B"/>
    <w:rsid w:val="009B3968"/>
    <w:rsid w:val="00A06C9D"/>
    <w:rsid w:val="00A1021D"/>
    <w:rsid w:val="00A264FD"/>
    <w:rsid w:val="00A37D6E"/>
    <w:rsid w:val="00A5136B"/>
    <w:rsid w:val="00A76F6F"/>
    <w:rsid w:val="00AC58AB"/>
    <w:rsid w:val="00AD06B5"/>
    <w:rsid w:val="00AD5092"/>
    <w:rsid w:val="00B2719B"/>
    <w:rsid w:val="00B51654"/>
    <w:rsid w:val="00B870E6"/>
    <w:rsid w:val="00B921F5"/>
    <w:rsid w:val="00BC3349"/>
    <w:rsid w:val="00BE422F"/>
    <w:rsid w:val="00C01844"/>
    <w:rsid w:val="00C06141"/>
    <w:rsid w:val="00C105C6"/>
    <w:rsid w:val="00C2361B"/>
    <w:rsid w:val="00C50AD3"/>
    <w:rsid w:val="00C52DF4"/>
    <w:rsid w:val="00C56872"/>
    <w:rsid w:val="00C66D5B"/>
    <w:rsid w:val="00C67E7B"/>
    <w:rsid w:val="00C90E96"/>
    <w:rsid w:val="00CC0E5B"/>
    <w:rsid w:val="00CF3AC8"/>
    <w:rsid w:val="00D0686A"/>
    <w:rsid w:val="00D1513D"/>
    <w:rsid w:val="00D318DA"/>
    <w:rsid w:val="00D466B9"/>
    <w:rsid w:val="00D7401A"/>
    <w:rsid w:val="00D97D5D"/>
    <w:rsid w:val="00DC50E8"/>
    <w:rsid w:val="00E37A12"/>
    <w:rsid w:val="00E418DD"/>
    <w:rsid w:val="00E66878"/>
    <w:rsid w:val="00EB1A48"/>
    <w:rsid w:val="00EB34A5"/>
    <w:rsid w:val="00ED3B94"/>
    <w:rsid w:val="00EE20AD"/>
    <w:rsid w:val="00EE4A7C"/>
    <w:rsid w:val="00EF7DDC"/>
    <w:rsid w:val="00F026EE"/>
    <w:rsid w:val="00F74237"/>
    <w:rsid w:val="00FC3657"/>
    <w:rsid w:val="00FC7379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2EA3E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Podtrennad">
    <w:name w:val="Podtržení nad"/>
    <w:basedOn w:val="Normln"/>
    <w:rsid w:val="00DC50E8"/>
    <w:pPr>
      <w:widowControl w:val="0"/>
      <w:pBdr>
        <w:top w:val="single" w:sz="4" w:space="1" w:color="auto"/>
      </w:pBdr>
      <w:tabs>
        <w:tab w:val="num" w:pos="567"/>
      </w:tabs>
      <w:jc w:val="both"/>
    </w:pPr>
    <w:rPr>
      <w:rFonts w:ascii="Arial" w:hAnsi="Arial"/>
      <w:noProof/>
      <w:sz w:val="16"/>
      <w:szCs w:val="20"/>
    </w:rPr>
  </w:style>
  <w:style w:type="paragraph" w:styleId="Odstavecseseznamem">
    <w:name w:val="List Paragraph"/>
    <w:basedOn w:val="Normln"/>
    <w:uiPriority w:val="34"/>
    <w:qFormat/>
    <w:rsid w:val="00883E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5060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807E-9707-4CC2-9AA8-101A7C62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2713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Švehlíková Barbora</cp:lastModifiedBy>
  <cp:revision>10</cp:revision>
  <cp:lastPrinted>2003-04-01T06:44:00Z</cp:lastPrinted>
  <dcterms:created xsi:type="dcterms:W3CDTF">2023-04-11T13:20:00Z</dcterms:created>
  <dcterms:modified xsi:type="dcterms:W3CDTF">2023-04-12T07:45:00Z</dcterms:modified>
</cp:coreProperties>
</file>