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1FF9" w14:textId="0C282ECC"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14:paraId="5A7B6966" w14:textId="77777777"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14:paraId="4B875501" w14:textId="77777777"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21D4F73C" w14:textId="77777777"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14:paraId="021D738B" w14:textId="77777777" w:rsidR="00FD08EF" w:rsidRPr="008B32BE" w:rsidRDefault="00FD08EF" w:rsidP="00E602B6">
      <w:pPr>
        <w:jc w:val="center"/>
        <w:rPr>
          <w:rFonts w:cs="Arial"/>
          <w:b/>
          <w:szCs w:val="22"/>
        </w:rPr>
      </w:pPr>
    </w:p>
    <w:p w14:paraId="3EE65E8F" w14:textId="77777777"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14:paraId="26C65D3C" w14:textId="77777777"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14:paraId="22F383A4" w14:textId="77777777" w:rsidR="00F47DC5" w:rsidRPr="002B14C2" w:rsidRDefault="00F47DC5" w:rsidP="00F47DC5">
      <w:pPr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730DF0EF" w14:textId="77777777" w:rsidR="00F47DC5" w:rsidRPr="002B14C2" w:rsidRDefault="00F47DC5" w:rsidP="00F47DC5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sídlo:                      </w:t>
      </w:r>
      <w:r w:rsidRPr="002B14C2">
        <w:rPr>
          <w:rFonts w:cs="Arial"/>
          <w:szCs w:val="22"/>
        </w:rPr>
        <w:tab/>
        <w:t>Jeremenkova 40a, 779 11 Olomouc</w:t>
      </w:r>
    </w:p>
    <w:p w14:paraId="78E0F02A" w14:textId="77777777" w:rsidR="00F47DC5" w:rsidRPr="002B14C2" w:rsidRDefault="00F47DC5" w:rsidP="00F47DC5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686A7876" w14:textId="77777777" w:rsidR="00F47DC5" w:rsidRPr="002B14C2" w:rsidRDefault="00F47DC5" w:rsidP="00F47DC5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IČ:                   </w:t>
      </w:r>
      <w:r w:rsidRPr="002B14C2">
        <w:rPr>
          <w:rFonts w:cs="Arial"/>
          <w:szCs w:val="22"/>
        </w:rPr>
        <w:tab/>
        <w:t>60609460</w:t>
      </w:r>
    </w:p>
    <w:p w14:paraId="579C34C9" w14:textId="77777777" w:rsidR="00F47DC5" w:rsidRPr="002B14C2" w:rsidRDefault="00F47DC5" w:rsidP="00F47DC5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1EA1EEC5" w14:textId="77777777" w:rsidR="00F47DC5" w:rsidRPr="002B14C2" w:rsidRDefault="00F47DC5" w:rsidP="00F47DC5">
      <w:pPr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>
        <w:t>Ladislav Okleštěk, hejtman</w:t>
      </w:r>
    </w:p>
    <w:p w14:paraId="4551B6AF" w14:textId="77777777" w:rsidR="00F47DC5" w:rsidRPr="002B14C2" w:rsidRDefault="00F47DC5" w:rsidP="00F47DC5">
      <w:pPr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  <w:t>Komerční banka, a.s., pobočka Olomouc</w:t>
      </w:r>
    </w:p>
    <w:p w14:paraId="6ADA3D79" w14:textId="77777777" w:rsidR="00F47DC5" w:rsidRPr="002B14C2" w:rsidRDefault="00F47DC5" w:rsidP="00F47DC5">
      <w:pPr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27 – 4228330207/0100</w:t>
      </w:r>
    </w:p>
    <w:p w14:paraId="51754C5C" w14:textId="77777777" w:rsidR="00E602B6" w:rsidRPr="008B32BE" w:rsidRDefault="00E602B6" w:rsidP="008A6D0B">
      <w:pPr>
        <w:rPr>
          <w:rFonts w:cs="Arial"/>
          <w:szCs w:val="22"/>
        </w:rPr>
      </w:pPr>
    </w:p>
    <w:p w14:paraId="1BFF3393" w14:textId="77777777"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14:paraId="286A5330" w14:textId="77777777" w:rsidR="008A6D0B" w:rsidRPr="008B32BE" w:rsidRDefault="008A6D0B" w:rsidP="008A6D0B">
      <w:pPr>
        <w:rPr>
          <w:rFonts w:cs="Arial"/>
          <w:szCs w:val="22"/>
        </w:rPr>
      </w:pPr>
    </w:p>
    <w:p w14:paraId="1206288A" w14:textId="77777777"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14:paraId="114DF048" w14:textId="77777777" w:rsidR="008A6D0B" w:rsidRPr="008B32BE" w:rsidRDefault="008A6D0B" w:rsidP="008A6D0B">
      <w:pPr>
        <w:rPr>
          <w:rFonts w:cs="Arial"/>
          <w:szCs w:val="22"/>
        </w:rPr>
      </w:pPr>
    </w:p>
    <w:p w14:paraId="7607ABD5" w14:textId="77777777" w:rsidR="008A6D0B" w:rsidRPr="008B32BE" w:rsidRDefault="008A6D0B" w:rsidP="008A6D0B">
      <w:pPr>
        <w:ind w:left="2124" w:hanging="2124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Příjemce:</w:t>
      </w:r>
      <w:r w:rsidR="00CA411C" w:rsidRPr="008B32BE">
        <w:rPr>
          <w:rFonts w:cs="Arial"/>
          <w:b/>
          <w:szCs w:val="22"/>
        </w:rPr>
        <w:t xml:space="preserve"> </w:t>
      </w:r>
      <w:r w:rsidR="00CA411C" w:rsidRPr="008B32BE">
        <w:rPr>
          <w:rFonts w:cs="Arial"/>
          <w:i/>
          <w:szCs w:val="22"/>
        </w:rPr>
        <w:t>(tj.</w:t>
      </w:r>
      <w:r w:rsidR="009239A0">
        <w:rPr>
          <w:rFonts w:cs="Arial"/>
          <w:i/>
          <w:szCs w:val="22"/>
        </w:rPr>
        <w:t xml:space="preserve"> NNO</w:t>
      </w:r>
      <w:r w:rsidR="00CA411C" w:rsidRPr="008B32BE">
        <w:rPr>
          <w:rFonts w:cs="Arial"/>
          <w:i/>
          <w:szCs w:val="22"/>
        </w:rPr>
        <w:t>)</w:t>
      </w:r>
      <w:r w:rsidRPr="008B32BE">
        <w:rPr>
          <w:rFonts w:cs="Arial"/>
          <w:b/>
          <w:szCs w:val="22"/>
        </w:rPr>
        <w:t xml:space="preserve">      </w:t>
      </w:r>
    </w:p>
    <w:p w14:paraId="1F57F4A1" w14:textId="77777777" w:rsidR="008A6D0B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</w:t>
      </w:r>
      <w:r w:rsidR="008A6D0B" w:rsidRPr="008B32BE">
        <w:rPr>
          <w:rFonts w:cs="Arial"/>
          <w:szCs w:val="22"/>
        </w:rPr>
        <w:t>:</w:t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</w:p>
    <w:p w14:paraId="0C508DD9" w14:textId="77777777"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IČ: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</w:p>
    <w:p w14:paraId="095E6AA5" w14:textId="77777777" w:rsidR="00DE5331" w:rsidRPr="008B32BE" w:rsidRDefault="008A6D0B" w:rsidP="00DE5331">
      <w:pPr>
        <w:rPr>
          <w:rFonts w:cs="Arial"/>
          <w:szCs w:val="22"/>
        </w:rPr>
      </w:pPr>
      <w:r w:rsidRPr="008B32BE">
        <w:rPr>
          <w:rFonts w:cs="Arial"/>
          <w:szCs w:val="22"/>
        </w:rPr>
        <w:t>DIČ:</w:t>
      </w:r>
      <w:r w:rsidRPr="008B32BE">
        <w:rPr>
          <w:rFonts w:cs="Arial"/>
          <w:szCs w:val="22"/>
        </w:rPr>
        <w:tab/>
      </w:r>
    </w:p>
    <w:p w14:paraId="062DE0E3" w14:textId="77777777" w:rsidR="009F0135" w:rsidRPr="008B32BE" w:rsidRDefault="00670002" w:rsidP="00670002">
      <w:pPr>
        <w:ind w:left="360" w:hanging="360"/>
        <w:jc w:val="both"/>
        <w:rPr>
          <w:rFonts w:cs="Arial"/>
          <w:i/>
          <w:szCs w:val="22"/>
        </w:rPr>
      </w:pPr>
      <w:r w:rsidRPr="008B32BE">
        <w:rPr>
          <w:rFonts w:cs="Arial"/>
          <w:szCs w:val="22"/>
        </w:rPr>
        <w:t xml:space="preserve">zápis </w:t>
      </w:r>
      <w:r w:rsidR="00055689" w:rsidRPr="008B32BE">
        <w:rPr>
          <w:rFonts w:cs="Arial"/>
          <w:szCs w:val="22"/>
        </w:rPr>
        <w:t>ve veřejném rejstříku</w:t>
      </w:r>
      <w:r w:rsidRPr="008B32BE">
        <w:rPr>
          <w:rFonts w:cs="Arial"/>
          <w:i/>
          <w:szCs w:val="22"/>
        </w:rPr>
        <w:t>:</w:t>
      </w:r>
      <w:r w:rsidR="00AC1DFC" w:rsidRPr="008B32BE">
        <w:rPr>
          <w:rFonts w:cs="Arial"/>
          <w:i/>
          <w:szCs w:val="22"/>
        </w:rPr>
        <w:t xml:space="preserve"> </w:t>
      </w:r>
    </w:p>
    <w:p w14:paraId="291906A2" w14:textId="77777777" w:rsidR="00E602B6" w:rsidRPr="008B32BE" w:rsidRDefault="00972A81" w:rsidP="00670002">
      <w:pPr>
        <w:ind w:left="360" w:hanging="360"/>
        <w:jc w:val="both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>zastoupení</w:t>
      </w:r>
      <w:r w:rsidR="00E602B6" w:rsidRPr="008B32BE">
        <w:rPr>
          <w:rFonts w:cs="Arial"/>
          <w:szCs w:val="22"/>
        </w:rPr>
        <w:t>:</w:t>
      </w:r>
      <w:r w:rsidR="00E602B6"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ab/>
      </w:r>
    </w:p>
    <w:p w14:paraId="40204819" w14:textId="77777777"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  <w:t xml:space="preserve"> </w:t>
      </w:r>
    </w:p>
    <w:p w14:paraId="317AB95B" w14:textId="77777777"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</w:p>
    <w:p w14:paraId="4C259C78" w14:textId="77777777" w:rsidR="00E602B6" w:rsidRPr="008B32BE" w:rsidRDefault="00E602B6" w:rsidP="008A6D0B">
      <w:pPr>
        <w:rPr>
          <w:rFonts w:cs="Arial"/>
          <w:szCs w:val="22"/>
        </w:rPr>
      </w:pPr>
    </w:p>
    <w:p w14:paraId="59F07B36" w14:textId="77777777" w:rsidR="008A6D0B" w:rsidRPr="008B32BE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(dále jen „</w:t>
      </w:r>
      <w:r w:rsidRPr="008B32BE">
        <w:rPr>
          <w:rFonts w:cs="Arial"/>
          <w:b/>
          <w:bCs/>
          <w:szCs w:val="22"/>
        </w:rPr>
        <w:t>příjemce</w:t>
      </w:r>
      <w:r w:rsidRPr="008B32BE">
        <w:rPr>
          <w:rFonts w:cs="Arial"/>
          <w:bCs/>
          <w:szCs w:val="22"/>
        </w:rPr>
        <w:t>“) na straně druhé</w:t>
      </w:r>
      <w:r w:rsidRPr="008B32BE">
        <w:rPr>
          <w:rFonts w:cs="Arial"/>
          <w:bCs/>
          <w:szCs w:val="22"/>
        </w:rPr>
        <w:tab/>
      </w:r>
    </w:p>
    <w:p w14:paraId="79B3BBBA" w14:textId="77777777" w:rsidR="008A6D0B" w:rsidRPr="008B32BE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</w:p>
    <w:p w14:paraId="7F35CB19" w14:textId="77777777"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14:paraId="4DBD7A16" w14:textId="77777777"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14:paraId="79018F81" w14:textId="77777777"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14:paraId="4BEB4F2F" w14:textId="5832F5A4" w:rsidR="00441AB8" w:rsidRPr="002B14C2" w:rsidRDefault="0022019C" w:rsidP="006318B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</w:t>
      </w:r>
      <w:r w:rsidR="00441AB8" w:rsidRPr="008B32BE">
        <w:t>201</w:t>
      </w:r>
      <w:r w:rsidR="00441AB8">
        <w:t>7</w:t>
      </w:r>
      <w:r w:rsidR="00441AB8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441AB8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 xml:space="preserve">n „činnost“ </w:t>
      </w:r>
      <w:r w:rsidR="00DB096E">
        <w:br/>
      </w:r>
      <w:r w:rsidR="00E076BA" w:rsidRPr="004C2D7A">
        <w:t>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441AB8">
        <w:rPr>
          <w:bCs/>
        </w:rPr>
        <w:t>Programem finanční podpory poskytování sociálních služeb v Olomouckém kraji (dále jen „dotační program“)</w:t>
      </w:r>
      <w:r w:rsidR="00EF1DFE" w:rsidRPr="00441AB8">
        <w:rPr>
          <w:bCs/>
        </w:rPr>
        <w:t xml:space="preserve"> a jeho Podprogramem č. 2</w:t>
      </w:r>
      <w:r w:rsidR="00481029" w:rsidRPr="008B5B09">
        <w:rPr>
          <w:bCs/>
        </w:rPr>
        <w:t xml:space="preserve"> – </w:t>
      </w:r>
      <w:r w:rsidR="00EF1DFE" w:rsidRPr="008B5B09">
        <w:rPr>
          <w:bCs/>
        </w:rPr>
        <w:t xml:space="preserve">Dotace z rozpočtu Olomouckého kraje určená </w:t>
      </w:r>
      <w:r w:rsidR="002C2B98" w:rsidRPr="008B5B09">
        <w:rPr>
          <w:bCs/>
        </w:rPr>
        <w:br/>
      </w:r>
      <w:r w:rsidR="00EF1DFE" w:rsidRPr="00441AB8">
        <w:rPr>
          <w:bCs/>
        </w:rPr>
        <w:t xml:space="preserve">na poskytování sociálních služeb nestátními neziskovými </w:t>
      </w:r>
      <w:r w:rsidR="00EF1DFE" w:rsidRPr="00DA6790">
        <w:rPr>
          <w:bCs/>
        </w:rPr>
        <w:t>organiza</w:t>
      </w:r>
      <w:r w:rsidR="00241834" w:rsidRPr="00DA6790">
        <w:rPr>
          <w:bCs/>
        </w:rPr>
        <w:t>cemi</w:t>
      </w:r>
      <w:r w:rsidR="00FB19F1" w:rsidRPr="00DA6790">
        <w:rPr>
          <w:bCs/>
        </w:rPr>
        <w:t xml:space="preserve">, </w:t>
      </w:r>
      <w:r w:rsidR="00F358A0" w:rsidRPr="00DA6790">
        <w:rPr>
          <w:bCs/>
        </w:rPr>
        <w:t xml:space="preserve">kterými je příjemce povinen se řídit a </w:t>
      </w:r>
      <w:r w:rsidR="00441AB8" w:rsidRPr="00DA6790">
        <w:rPr>
          <w:bCs/>
        </w:rPr>
        <w:t>kter</w:t>
      </w:r>
      <w:r w:rsidR="00F358A0" w:rsidRPr="00DA6790">
        <w:rPr>
          <w:bCs/>
        </w:rPr>
        <w:t xml:space="preserve">é </w:t>
      </w:r>
      <w:r w:rsidR="00441AB8" w:rsidRPr="00441AB8">
        <w:rPr>
          <w:bCs/>
        </w:rPr>
        <w:t xml:space="preserve">schválilo Zastupitelstvo Olomouckého kraje svým usnesením č. </w:t>
      </w:r>
      <w:r w:rsidR="00441AB8" w:rsidRPr="002B14C2">
        <w:t>UZ/22/33/2016</w:t>
      </w:r>
      <w:r w:rsidR="00441AB8" w:rsidRPr="00441AB8">
        <w:rPr>
          <w:rFonts w:ascii="Roboto Condensed" w:hAnsi="Roboto Condensed"/>
        </w:rPr>
        <w:t xml:space="preserve"> </w:t>
      </w:r>
      <w:r w:rsidR="00441AB8" w:rsidRPr="00441AB8">
        <w:rPr>
          <w:bCs/>
        </w:rPr>
        <w:t xml:space="preserve">ze dne 24. 6. 2016 ve znění změn schválených usnesením Zastupitelstva Olomouckého kraje č. </w:t>
      </w:r>
      <w:r w:rsidR="00441AB8" w:rsidRPr="008B5B09">
        <w:rPr>
          <w:bCs/>
        </w:rPr>
        <w:t>UZ/2/41/2016 ze dne 19. 12. 2016</w:t>
      </w:r>
      <w:r w:rsidR="00441AB8" w:rsidRPr="00921867">
        <w:t>.</w:t>
      </w:r>
    </w:p>
    <w:p w14:paraId="1D4999B7" w14:textId="77777777" w:rsidR="008A6D0B" w:rsidRPr="008B32BE" w:rsidRDefault="00241834" w:rsidP="006318BD">
      <w:pPr>
        <w:pStyle w:val="Smlouva-slovn1"/>
      </w:pPr>
      <w:r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14:paraId="2B9ABA94" w14:textId="0EE7DE06" w:rsidR="00330E75" w:rsidRDefault="00BF73CE" w:rsidP="00BF73CE">
      <w:pPr>
        <w:pStyle w:val="Smlouva-slovn1"/>
        <w:numPr>
          <w:ilvl w:val="0"/>
          <w:numId w:val="0"/>
        </w:numPr>
        <w:tabs>
          <w:tab w:val="left" w:pos="7776"/>
        </w:tabs>
        <w:ind w:left="360"/>
      </w:pPr>
      <w:r>
        <w:tab/>
      </w:r>
    </w:p>
    <w:p w14:paraId="69F482F9" w14:textId="77777777" w:rsidR="00241834" w:rsidRPr="008B32BE" w:rsidRDefault="000D1ADE" w:rsidP="00241834">
      <w:pPr>
        <w:pStyle w:val="Nadpis2"/>
      </w:pPr>
      <w:r w:rsidRPr="00BB2B31">
        <w:lastRenderedPageBreak/>
        <w:t>II.</w:t>
      </w:r>
      <w:r w:rsidRPr="008B32BE">
        <w:rPr>
          <w:b w:val="0"/>
        </w:rPr>
        <w:t xml:space="preserve"> </w:t>
      </w:r>
      <w:r w:rsidR="00241834" w:rsidRPr="008B32BE">
        <w:t xml:space="preserve">Výše </w:t>
      </w:r>
      <w:r w:rsidR="00180A86" w:rsidRPr="00DA6790">
        <w:t xml:space="preserve">a účel </w:t>
      </w:r>
      <w:r w:rsidR="00241834" w:rsidRPr="008B32BE">
        <w:t>dotace</w:t>
      </w:r>
    </w:p>
    <w:p w14:paraId="64518809" w14:textId="77777777"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14:paraId="26DCAB98" w14:textId="77777777"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14:paraId="08B0073D" w14:textId="77777777" w:rsidTr="001C7BF9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AFB664" w14:textId="77777777"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14:paraId="41F501CE" w14:textId="77777777"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530FD4" w14:textId="77777777"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93299B" w14:textId="77777777"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241834" w14:paraId="4C2AA798" w14:textId="77777777" w:rsidTr="00270EBF">
        <w:trPr>
          <w:trHeight w:val="501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6029" w14:textId="77777777" w:rsidR="00241834" w:rsidRDefault="00241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FD28" w14:textId="77777777" w:rsidR="00241834" w:rsidRDefault="00241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AF77" w14:textId="77777777" w:rsidR="00241834" w:rsidRDefault="00241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2A18" w14:textId="77777777" w:rsidR="00241834" w:rsidRDefault="00241834">
            <w:pPr>
              <w:rPr>
                <w:rFonts w:cs="Arial"/>
                <w:sz w:val="20"/>
              </w:rPr>
            </w:pPr>
          </w:p>
        </w:tc>
      </w:tr>
    </w:tbl>
    <w:p w14:paraId="1B6C59FF" w14:textId="77777777"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14:paraId="26C55511" w14:textId="77777777"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14:paraId="7B5D4750" w14:textId="77777777"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zákona“),</w:t>
      </w:r>
    </w:p>
    <w:p w14:paraId="4485B59C" w14:textId="77777777"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pořízením nehmotného majetku dle § 32a odst. 1 a 2 cit. zákona,</w:t>
      </w:r>
    </w:p>
    <w:p w14:paraId="5894EABA" w14:textId="77777777"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technickým zhodnocením, rekonstrukcí a modernizací ve smyslu § 33 cit. zákona.</w:t>
      </w:r>
    </w:p>
    <w:p w14:paraId="63FDBF3B" w14:textId="74E5114B" w:rsidR="00004E7D" w:rsidRPr="0005417B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  <w:color w:val="00B050"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 xml:space="preserve">převodem na bankovní účet příjemce uvedený v záhlaví této smlouvy </w:t>
      </w:r>
      <w:r w:rsidRPr="003E258A">
        <w:t>d</w:t>
      </w:r>
      <w:r w:rsidR="00EE22C1" w:rsidRPr="003E258A">
        <w:t>o 30</w:t>
      </w:r>
      <w:r w:rsidRPr="003E258A">
        <w:t xml:space="preserve"> dnů ode dne </w:t>
      </w:r>
      <w:r w:rsidR="00EE22C1" w:rsidRPr="003E258A">
        <w:t>uzavření</w:t>
      </w:r>
      <w:r w:rsidR="00123BF2" w:rsidRPr="003E258A">
        <w:rPr>
          <w:color w:val="FF0000"/>
        </w:rPr>
        <w:t xml:space="preserve"> </w:t>
      </w:r>
      <w:r w:rsidRPr="003E258A">
        <w:t>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</w:p>
    <w:p w14:paraId="189E1639" w14:textId="77777777"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14:paraId="03C74FBE" w14:textId="77777777"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14:paraId="104AE6FF" w14:textId="77777777"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14:paraId="248C763E" w14:textId="77777777"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</w:t>
      </w:r>
      <w:r w:rsidR="00441AB8" w:rsidRPr="00AA4BE5">
        <w:rPr>
          <w:b/>
        </w:rPr>
        <w:t>201</w:t>
      </w:r>
      <w:r w:rsidR="00441AB8">
        <w:rPr>
          <w:b/>
        </w:rPr>
        <w:t>7</w:t>
      </w:r>
      <w:r w:rsidRPr="007C251C">
        <w:t>),</w:t>
      </w:r>
    </w:p>
    <w:p w14:paraId="3BA0E571" w14:textId="5A0595D1"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</w:t>
      </w:r>
      <w:r w:rsidR="00091EBD" w:rsidRPr="00091EBD">
        <w:rPr>
          <w:color w:val="FF0000"/>
        </w:rPr>
        <w:t xml:space="preserve"> </w:t>
      </w:r>
      <w:r w:rsidR="00091EBD" w:rsidRPr="00DA6790">
        <w:t>a</w:t>
      </w:r>
    </w:p>
    <w:p w14:paraId="268EED61" w14:textId="77777777"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</w:t>
      </w:r>
      <w:r w:rsidR="00441AB8" w:rsidRPr="0096573F">
        <w:t>201</w:t>
      </w:r>
      <w:r w:rsidR="00441AB8">
        <w:t>7</w:t>
      </w:r>
      <w:r w:rsidR="00441AB8" w:rsidRPr="0096573F">
        <w:t xml:space="preserve"> </w:t>
      </w:r>
      <w:r w:rsidRPr="0096573F">
        <w:t xml:space="preserve">do 31. 12. </w:t>
      </w:r>
      <w:r w:rsidR="00441AB8" w:rsidRPr="0096573F">
        <w:t>201</w:t>
      </w:r>
      <w:r w:rsidR="00441AB8">
        <w:t>7</w:t>
      </w:r>
      <w:r w:rsidRPr="0096573F">
        <w:t xml:space="preserve">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</w:t>
      </w:r>
      <w:r w:rsidR="005849BF">
        <w:t>8</w:t>
      </w:r>
      <w:r w:rsidRPr="0096573F">
        <w:t xml:space="preserve">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14:paraId="3DCB5154" w14:textId="2BBBA3E9" w:rsidR="002C25A5" w:rsidRPr="003E258A" w:rsidRDefault="002C25A5" w:rsidP="003E258A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3E258A">
        <w:rPr>
          <w:u w:val="single"/>
        </w:rPr>
        <w:t>Finanční prostředky z dotace nelze</w:t>
      </w:r>
      <w:r w:rsidRPr="003E258A">
        <w:t xml:space="preserve">, dle Nařízení vlády ze dne 22. dubna 2015 </w:t>
      </w:r>
      <w:r w:rsidRPr="003E258A">
        <w:br/>
        <w:t xml:space="preserve">o provedení § 101a zákona o sociálních službách, </w:t>
      </w:r>
      <w:r w:rsidRPr="003E258A">
        <w:rPr>
          <w:u w:val="single"/>
        </w:rPr>
        <w:t>čerpat na</w:t>
      </w:r>
      <w:r w:rsidRPr="003E258A">
        <w:t xml:space="preserve">: </w:t>
      </w:r>
    </w:p>
    <w:p w14:paraId="3BFBE1ED" w14:textId="5E504A61" w:rsidR="002C25A5" w:rsidRPr="003E258A" w:rsidRDefault="002C25A5" w:rsidP="002C25A5">
      <w:pPr>
        <w:pStyle w:val="Smlouva-slovn2"/>
      </w:pPr>
      <w:r w:rsidRPr="003E258A">
        <w:t>výdaje (náklady) nesouvisející s poskytováním základních činností u jednotlivých druhů sociálních služeb,</w:t>
      </w:r>
    </w:p>
    <w:p w14:paraId="491715D7" w14:textId="241DFDBA" w:rsidR="002C25A5" w:rsidRPr="003E258A" w:rsidRDefault="002C25A5" w:rsidP="002C25A5">
      <w:pPr>
        <w:pStyle w:val="Smlouva-slovn2"/>
      </w:pPr>
      <w:r w:rsidRPr="003E258A">
        <w:t>výdaje (náklady) na zdravotní péči poskytovanou podle § 36 zákona o sociálních službách,</w:t>
      </w:r>
    </w:p>
    <w:p w14:paraId="15ADC3A8" w14:textId="5B0B42E2" w:rsidR="002C25A5" w:rsidRPr="003E258A" w:rsidRDefault="002C25A5" w:rsidP="002C25A5">
      <w:pPr>
        <w:pStyle w:val="Smlouva-slovn2"/>
      </w:pPr>
      <w:r w:rsidRPr="003E258A"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</w:t>
      </w:r>
      <w:r w:rsidRPr="003E258A">
        <w:br/>
        <w:t xml:space="preserve">je delší než jeden rok a vstupní cena vyšší než 60 000 Kč, </w:t>
      </w:r>
    </w:p>
    <w:p w14:paraId="4637C2BF" w14:textId="45367601" w:rsidR="002C25A5" w:rsidRPr="003E258A" w:rsidRDefault="002C25A5" w:rsidP="002C25A5">
      <w:pPr>
        <w:pStyle w:val="Smlouva-slovn2"/>
      </w:pPr>
      <w:r w:rsidRPr="003E258A">
        <w:lastRenderedPageBreak/>
        <w:t xml:space="preserve">odpisy dlouhodobého hmotného a nehmotného majetku, rezervy, náklady příštích období a opravné položky provozních nákladů, </w:t>
      </w:r>
    </w:p>
    <w:p w14:paraId="6436F47F" w14:textId="54845826" w:rsidR="002C25A5" w:rsidRPr="003E258A" w:rsidRDefault="002C25A5" w:rsidP="002C25A5">
      <w:pPr>
        <w:pStyle w:val="Smlouva-slovn2"/>
      </w:pPr>
      <w:r w:rsidRPr="003E258A"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2B4EA78C" w14:textId="18B34E81" w:rsidR="002C25A5" w:rsidRPr="003E258A" w:rsidRDefault="002C25A5" w:rsidP="002C25A5">
      <w:pPr>
        <w:pStyle w:val="Smlouva-slovn2"/>
      </w:pPr>
      <w:r w:rsidRPr="003E258A">
        <w:t xml:space="preserve">výdaje (náklady) na finanční leasing, s výjimkou finančního leasingu motorového vozidla využívaného v rámci poskytování sociální služby, </w:t>
      </w:r>
    </w:p>
    <w:p w14:paraId="037E5F8F" w14:textId="704F9699" w:rsidR="002C25A5" w:rsidRPr="003E258A" w:rsidRDefault="002C25A5" w:rsidP="002C25A5">
      <w:pPr>
        <w:pStyle w:val="Smlouva-slovn2"/>
      </w:pPr>
      <w:r w:rsidRPr="003E258A">
        <w:t xml:space="preserve">daně a poplatky nesouvisející s poskytováním základních činností u jednotlivých druhů sociálních služeb, </w:t>
      </w:r>
    </w:p>
    <w:p w14:paraId="22249F2F" w14:textId="29430804" w:rsidR="002C25A5" w:rsidRPr="003E258A" w:rsidRDefault="002C25A5" w:rsidP="002C25A5">
      <w:pPr>
        <w:pStyle w:val="Smlouva-slovn2"/>
      </w:pPr>
      <w:r w:rsidRPr="003E258A">
        <w:t>daň z přidané hodnoty, o jejíž vrácení lze podle jiného právního předpisu</w:t>
      </w:r>
      <w:r w:rsidRPr="003E258A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1)</w:t>
      </w:r>
      <w:r w:rsidRPr="003E258A">
        <w:t xml:space="preserve"> požádat,</w:t>
      </w:r>
    </w:p>
    <w:p w14:paraId="71FB8452" w14:textId="01A20EE5" w:rsidR="002C25A5" w:rsidRPr="003E258A" w:rsidRDefault="002C25A5" w:rsidP="002C25A5">
      <w:pPr>
        <w:pStyle w:val="Smlouva-slovn2"/>
      </w:pPr>
      <w:r w:rsidRPr="003E258A"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59102B1C" w14:textId="463DE077" w:rsidR="002C25A5" w:rsidRPr="003E258A" w:rsidRDefault="002C25A5" w:rsidP="002C25A5">
      <w:pPr>
        <w:pStyle w:val="Smlouva-slovn2"/>
      </w:pPr>
      <w:r w:rsidRPr="003E258A">
        <w:t>výdaje (náklady), které nelze účetně doložit, a</w:t>
      </w:r>
    </w:p>
    <w:p w14:paraId="5C52AB9C" w14:textId="7C5E3B15" w:rsidR="002C25A5" w:rsidRPr="003E258A" w:rsidRDefault="002C25A5" w:rsidP="002C25A5">
      <w:pPr>
        <w:pStyle w:val="Smlouva-slovn2"/>
      </w:pPr>
      <w:r w:rsidRPr="003E258A">
        <w:t>výdaje (náklady) překračující limitní částky, které kraj může stanovit pro jednotlivé položky uznatelných výdajů (nákladů).</w:t>
      </w:r>
    </w:p>
    <w:p w14:paraId="1C5F4F78" w14:textId="77777777"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14:paraId="0F786CA3" w14:textId="77777777"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14:paraId="19EC6BFB" w14:textId="04555750"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="00441AB8" w:rsidRPr="00E125AC">
        <w:rPr>
          <w:b/>
        </w:rPr>
        <w:t>201</w:t>
      </w:r>
      <w:r w:rsidR="00441AB8">
        <w:rPr>
          <w:b/>
        </w:rPr>
        <w:t>8</w:t>
      </w:r>
      <w:r w:rsidR="00441AB8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 xml:space="preserve">(dále jen „vyúčtování“). Lhůta je zachována, je-li posledního dne lhůty podána poštovní zásilka adresovaná poskytovateli, která obsahuje </w:t>
      </w:r>
      <w:r w:rsidR="003204AE">
        <w:t>vyúčtování poskytnuté</w:t>
      </w:r>
      <w:r w:rsidR="00997D25">
        <w:rPr>
          <w:color w:val="FF0000"/>
        </w:rPr>
        <w:t xml:space="preserve"> </w:t>
      </w:r>
      <w:r w:rsidR="00997D25" w:rsidRPr="003204AE">
        <w:t>dotace</w:t>
      </w:r>
      <w:r w:rsidRPr="003204AE">
        <w:t>,</w:t>
      </w:r>
      <w:r w:rsidRPr="00710662">
        <w:t xml:space="preserve"> držiteli poštovní licence.</w:t>
      </w:r>
      <w:r w:rsidR="0053020F">
        <w:t xml:space="preserve"> </w:t>
      </w:r>
    </w:p>
    <w:p w14:paraId="2E03628B" w14:textId="77777777"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14:paraId="52E83C6C" w14:textId="0E606D23"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 w:rsidRPr="005D3719">
        <w:t>s</w:t>
      </w:r>
      <w:r w:rsidR="00102270" w:rsidRPr="005D3719">
        <w:t xml:space="preserve">oupis </w:t>
      </w:r>
      <w:r w:rsidR="00102270" w:rsidRPr="00D74011">
        <w:t xml:space="preserve">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6A7BCD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 xml:space="preserve">dotace poskytnuté v roce </w:t>
      </w:r>
      <w:r w:rsidR="00441AB8" w:rsidRPr="005E1C21">
        <w:t>201</w:t>
      </w:r>
      <w:r w:rsidR="00441AB8">
        <w:t>7</w:t>
      </w:r>
      <w:r w:rsidR="00102270" w:rsidRPr="00D74011">
        <w:t>“, doložený:</w:t>
      </w:r>
    </w:p>
    <w:p w14:paraId="3262D17A" w14:textId="77777777"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14:paraId="140B11C9" w14:textId="77777777"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r w:rsidR="005849BF" w:rsidRPr="005849BF">
        <w:rPr>
          <w:rFonts w:cs="Arial"/>
          <w:color w:val="000000" w:themeColor="text1"/>
          <w:szCs w:val="22"/>
          <w:u w:val="single"/>
        </w:rPr>
        <w:t>https://www.kr-olomoucky.cz/vyuctovani-prispevku-dotace-cl-3802.html</w:t>
      </w:r>
      <w:r w:rsidR="005849BF" w:rsidDel="005849BF">
        <w:t xml:space="preserve"> </w:t>
      </w:r>
      <w:r w:rsidRPr="000B225E">
        <w:rPr>
          <w:rFonts w:cs="Arial"/>
        </w:rPr>
        <w:t>;</w:t>
      </w:r>
    </w:p>
    <w:p w14:paraId="07B6050B" w14:textId="77777777"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14:paraId="6CEC333C" w14:textId="77777777" w:rsidR="00102270" w:rsidRPr="004E7D20" w:rsidRDefault="00441AB8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informaci o realizaci projektu</w:t>
      </w:r>
      <w:r w:rsidR="00102270">
        <w:t>.</w:t>
      </w:r>
      <w:r w:rsidR="00102270" w:rsidRPr="00E11261">
        <w:t xml:space="preserve"> </w:t>
      </w:r>
    </w:p>
    <w:p w14:paraId="3C768680" w14:textId="77777777" w:rsidR="00102270" w:rsidRDefault="00441AB8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>
        <w:rPr>
          <w:rFonts w:cs="Arial"/>
        </w:rPr>
        <w:t xml:space="preserve">Informace o realizaci projektu </w:t>
      </w:r>
      <w:r w:rsidR="00102270" w:rsidRPr="00E11261">
        <w:rPr>
          <w:rFonts w:cs="Arial"/>
        </w:rPr>
        <w:t>musí být v písemné formě</w:t>
      </w:r>
      <w:r w:rsidR="004C5F82">
        <w:rPr>
          <w:rFonts w:cs="Arial"/>
        </w:rPr>
        <w:t xml:space="preserve"> </w:t>
      </w:r>
      <w:r w:rsidR="00102270" w:rsidRPr="00E11261">
        <w:rPr>
          <w:rFonts w:cs="Arial"/>
        </w:rPr>
        <w:t>na předepsaném formuláři 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="00102270"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 xml:space="preserve">Součástí </w:t>
      </w:r>
      <w:r>
        <w:rPr>
          <w:rFonts w:cs="Arial"/>
        </w:rPr>
        <w:t xml:space="preserve">informace </w:t>
      </w:r>
      <w:r w:rsidR="00DB096E">
        <w:rPr>
          <w:rFonts w:cs="Arial"/>
        </w:rPr>
        <w:br/>
      </w:r>
      <w:r>
        <w:rPr>
          <w:rFonts w:cs="Arial"/>
        </w:rPr>
        <w:t xml:space="preserve">o realizaci projektu </w:t>
      </w:r>
      <w:r w:rsidR="009A0595" w:rsidRPr="007C251C">
        <w:rPr>
          <w:rFonts w:cs="Arial"/>
          <w:iCs/>
        </w:rPr>
        <w:t xml:space="preserve">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 xml:space="preserve">fotodokumentace propagace Olomouckého kraje </w:t>
      </w:r>
      <w:r>
        <w:rPr>
          <w:rFonts w:cs="Arial"/>
          <w:iCs/>
        </w:rPr>
        <w:t xml:space="preserve">dle čl. VI. odst. </w:t>
      </w:r>
      <w:r w:rsidR="008B5B09">
        <w:rPr>
          <w:rFonts w:cs="Arial"/>
          <w:iCs/>
        </w:rPr>
        <w:t>3</w:t>
      </w:r>
      <w:r w:rsidRPr="007C251C">
        <w:rPr>
          <w:rFonts w:cs="Arial"/>
          <w:iCs/>
        </w:rPr>
        <w:t xml:space="preserve"> této smlouvy</w:t>
      </w:r>
      <w:r>
        <w:rPr>
          <w:rFonts w:cs="Arial"/>
          <w:iCs/>
        </w:rPr>
        <w:t xml:space="preserve">, a to </w:t>
      </w:r>
      <w:r w:rsidR="009A0595" w:rsidRPr="007C251C">
        <w:rPr>
          <w:rFonts w:cs="Arial"/>
          <w:iCs/>
        </w:rPr>
        <w:t>v listinné po</w:t>
      </w:r>
      <w:r w:rsidR="00EF5968">
        <w:rPr>
          <w:rFonts w:cs="Arial"/>
          <w:iCs/>
        </w:rPr>
        <w:t>době</w:t>
      </w:r>
      <w:r w:rsidR="009A0595" w:rsidRPr="007C251C">
        <w:rPr>
          <w:rFonts w:cs="Arial"/>
          <w:iCs/>
        </w:rPr>
        <w:t>.</w:t>
      </w:r>
    </w:p>
    <w:p w14:paraId="2A12A029" w14:textId="3E11ADBE"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</w:t>
      </w:r>
      <w:r w:rsidRPr="008B32BE">
        <w:lastRenderedPageBreak/>
        <w:t xml:space="preserve">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 xml:space="preserve">a do zprávy pro </w:t>
      </w:r>
      <w:r w:rsidR="008B5B09">
        <w:t xml:space="preserve">poskytovatele (tedy příjemce vrácených finančních prostředků) </w:t>
      </w:r>
      <w:r w:rsidR="00B368ED" w:rsidRPr="00B767B2">
        <w:t>uvede číslo podprogramu</w:t>
      </w:r>
      <w:r w:rsidR="00B368ED">
        <w:t>.</w:t>
      </w:r>
    </w:p>
    <w:p w14:paraId="27971F8F" w14:textId="082D50F6" w:rsidR="00DB096E" w:rsidRDefault="00DB096E" w:rsidP="00004E7D">
      <w:pPr>
        <w:pStyle w:val="Barevnseznamzvraznn11"/>
        <w:jc w:val="center"/>
        <w:rPr>
          <w:b/>
        </w:rPr>
      </w:pPr>
    </w:p>
    <w:p w14:paraId="4D87AF3B" w14:textId="77777777" w:rsidR="00EE22C1" w:rsidRDefault="00EE22C1" w:rsidP="00004E7D">
      <w:pPr>
        <w:pStyle w:val="Barevnseznamzvraznn11"/>
        <w:jc w:val="center"/>
        <w:rPr>
          <w:b/>
        </w:rPr>
      </w:pPr>
    </w:p>
    <w:p w14:paraId="6BA2828B" w14:textId="77777777"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14:paraId="54770748" w14:textId="77777777"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</w:t>
      </w:r>
      <w:r w:rsidR="00876CDB">
        <w:br/>
      </w:r>
      <w:r w:rsidRPr="00AC4C04">
        <w:t xml:space="preserve">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</w:t>
      </w:r>
      <w:r w:rsidR="00DB096E">
        <w:br/>
      </w:r>
      <w:r w:rsidRPr="00C828CD">
        <w:t xml:space="preserve">na základě daňového přiznání k DPH. Příjemce – neplátce DPH uvádí na veškerých vyúčtovacích dokladech finanční částky včetně DPH. </w:t>
      </w:r>
    </w:p>
    <w:p w14:paraId="755F2780" w14:textId="77777777"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k DPH. </w:t>
      </w:r>
    </w:p>
    <w:p w14:paraId="5E7B4B3D" w14:textId="77777777"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14:paraId="3B02592C" w14:textId="77777777"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14:paraId="6423CA0B" w14:textId="77777777" w:rsidR="008A6D0B" w:rsidRPr="008B32BE" w:rsidRDefault="005A62B0" w:rsidP="00330E75">
      <w:pPr>
        <w:pStyle w:val="Nadpis2"/>
      </w:pPr>
      <w:r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14:paraId="4C0AF8C3" w14:textId="77777777"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14:paraId="5BF638D7" w14:textId="77777777"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8B5B09" w:rsidRPr="008B32BE">
        <w:t>201</w:t>
      </w:r>
      <w:r w:rsidR="008B5B09">
        <w:t>7</w:t>
      </w:r>
      <w:r w:rsidR="008B5B09" w:rsidRPr="008B32BE">
        <w:t xml:space="preserve"> </w:t>
      </w:r>
      <w:r w:rsidR="00D4688B" w:rsidRPr="008B32BE">
        <w:t xml:space="preserve">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 xml:space="preserve">20. 1. </w:t>
      </w:r>
      <w:r w:rsidR="008B5B09">
        <w:t>2018</w:t>
      </w:r>
      <w:r w:rsidR="00D964A0">
        <w:t>;</w:t>
      </w:r>
      <w:r w:rsidR="0094317B">
        <w:rPr>
          <w:i/>
          <w:color w:val="0000FF"/>
        </w:rPr>
        <w:t xml:space="preserve"> </w:t>
      </w:r>
    </w:p>
    <w:p w14:paraId="0FEF6E72" w14:textId="77777777"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14:paraId="6F6CB2D3" w14:textId="77777777"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</w:t>
      </w:r>
      <w:r w:rsidRPr="008B32BE">
        <w:lastRenderedPageBreak/>
        <w:t xml:space="preserve">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14:paraId="38153752" w14:textId="77777777"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14:paraId="20F82992" w14:textId="77777777"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14:paraId="6B5F8547" w14:textId="77777777"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 xml:space="preserve">í od 1. 1. </w:t>
      </w:r>
      <w:r w:rsidR="008B5B09">
        <w:t xml:space="preserve">2017 </w:t>
      </w:r>
      <w:r w:rsidR="00D964A0">
        <w:t xml:space="preserve">do 31. 12. </w:t>
      </w:r>
      <w:r w:rsidR="008B5B09">
        <w:t>2017</w:t>
      </w:r>
      <w:r w:rsidR="00D964A0">
        <w:t>;</w:t>
      </w:r>
    </w:p>
    <w:p w14:paraId="4A88DA52" w14:textId="77777777"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</w:t>
      </w:r>
      <w:r w:rsidR="008B5B09">
        <w:t xml:space="preserve">2017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14:paraId="7F2C5A6C" w14:textId="77777777" w:rsidR="00B132FA" w:rsidRDefault="00876CDB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g</w:t>
      </w:r>
      <w:r w:rsidR="00B132FA">
        <w:t>a</w:t>
      </w:r>
      <w:proofErr w:type="spellEnd"/>
      <w:r w:rsidR="00B132FA">
        <w:t>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6395CAE2" w14:textId="77777777" w:rsidR="00B132FA" w:rsidRDefault="00876CDB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g</w:t>
      </w:r>
      <w:r w:rsidR="00B132FA">
        <w:t>b</w:t>
      </w:r>
      <w:proofErr w:type="spellEnd"/>
      <w:r w:rsidR="00B132FA">
        <w:t>)</w:t>
      </w:r>
      <w:r w:rsidR="00B132FA">
        <w:tab/>
        <w:t>formy poskytování sociálních služeb,</w:t>
      </w:r>
    </w:p>
    <w:p w14:paraId="04951E71" w14:textId="77777777" w:rsidR="00B132FA" w:rsidRDefault="00876CDB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g</w:t>
      </w:r>
      <w:r w:rsidR="00B132FA">
        <w:t>c</w:t>
      </w:r>
      <w:proofErr w:type="spellEnd"/>
      <w:r w:rsidR="00B132FA">
        <w:t>)</w:t>
      </w:r>
      <w:r w:rsidR="00B132FA">
        <w:tab/>
        <w:t xml:space="preserve">okruhu osob, kterým jsou sociální služby poskytovány, vč. věkového vymezení, </w:t>
      </w:r>
    </w:p>
    <w:p w14:paraId="67BD7C76" w14:textId="77777777" w:rsidR="00B132FA" w:rsidRDefault="00876CDB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g</w:t>
      </w:r>
      <w:r w:rsidR="00B132FA">
        <w:t>d</w:t>
      </w:r>
      <w:proofErr w:type="spellEnd"/>
      <w:r w:rsidR="00B132FA">
        <w:t>)</w:t>
      </w:r>
      <w:r w:rsidR="00B132FA">
        <w:tab/>
        <w:t>údaje o kapacitě poskytované sociální služby (pouze v případě, že se kapacita služeb snižuje),</w:t>
      </w:r>
    </w:p>
    <w:p w14:paraId="6B5CA989" w14:textId="77777777" w:rsidR="003B389C" w:rsidRDefault="00876CDB" w:rsidP="0093041F">
      <w:pPr>
        <w:pStyle w:val="Smlouva-slovn2"/>
        <w:numPr>
          <w:ilvl w:val="0"/>
          <w:numId w:val="0"/>
        </w:numPr>
        <w:ind w:left="1276" w:hanging="632"/>
      </w:pPr>
      <w:proofErr w:type="spellStart"/>
      <w:r>
        <w:t>g</w:t>
      </w:r>
      <w:r w:rsidR="00B132FA">
        <w:t>e</w:t>
      </w:r>
      <w:proofErr w:type="spellEnd"/>
      <w:r w:rsidR="00B132FA">
        <w:t>)</w:t>
      </w:r>
      <w:r w:rsidR="00B132FA">
        <w:tab/>
        <w:t>zrušení registrace sociální služby (s výjimkou situace, kdy má být registrace služby zrušena k 31. 12. sledovaného roku).</w:t>
      </w:r>
    </w:p>
    <w:p w14:paraId="5CE0D179" w14:textId="61D5321A" w:rsidR="00004E7D" w:rsidRPr="005D3719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 xml:space="preserve">e zákonem </w:t>
      </w:r>
      <w:r w:rsidR="0086286C" w:rsidRPr="005D3719">
        <w:t xml:space="preserve">o </w:t>
      </w:r>
      <w:r w:rsidR="00C56B9D" w:rsidRPr="005D3719">
        <w:t>zadávání veřejných zakáz</w:t>
      </w:r>
      <w:r w:rsidR="002D41C9" w:rsidRPr="005D3719">
        <w:t>e</w:t>
      </w:r>
      <w:r w:rsidR="00C56B9D" w:rsidRPr="005D3719">
        <w:t>k</w:t>
      </w:r>
      <w:r w:rsidR="002D41C9" w:rsidRPr="005D3719">
        <w:t>, v</w:t>
      </w:r>
      <w:r w:rsidR="00ED777F">
        <w:t>e znění pozdějších předpisů</w:t>
      </w:r>
      <w:r w:rsidR="0086286C" w:rsidRPr="005D3719">
        <w:t>;</w:t>
      </w:r>
    </w:p>
    <w:p w14:paraId="37D0ED98" w14:textId="77777777" w:rsidR="00DB096E" w:rsidRDefault="00876CDB" w:rsidP="00A86BF8">
      <w:pPr>
        <w:pStyle w:val="Smlouva-slovn2"/>
        <w:numPr>
          <w:ilvl w:val="0"/>
          <w:numId w:val="0"/>
        </w:numPr>
        <w:ind w:left="644" w:hanging="360"/>
      </w:pPr>
      <w:r>
        <w:t xml:space="preserve">i) </w:t>
      </w:r>
      <w:r w:rsidR="007338FE"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</w:t>
      </w:r>
      <w:r>
        <w:br/>
      </w:r>
      <w:r w:rsidR="007338FE" w:rsidRPr="002C2B98">
        <w:t xml:space="preserve">o </w:t>
      </w:r>
      <w:r w:rsidR="0086286C" w:rsidRPr="002C2B98">
        <w:t xml:space="preserve">změny v kontaktních údajích </w:t>
      </w:r>
      <w:r w:rsidR="0086286C" w:rsidRPr="008B5B09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8B5B09">
        <w:rPr>
          <w:sz w:val="23"/>
          <w:szCs w:val="23"/>
        </w:rPr>
        <w:t xml:space="preserve"> rozpočtu sociální služby, změny</w:t>
      </w:r>
      <w:r w:rsidR="007338FE" w:rsidRPr="008B5B09">
        <w:rPr>
          <w:sz w:val="23"/>
          <w:szCs w:val="23"/>
        </w:rPr>
        <w:t xml:space="preserve"> </w:t>
      </w:r>
      <w:r w:rsidR="009E5876" w:rsidRPr="008B5B09">
        <w:rPr>
          <w:sz w:val="23"/>
          <w:szCs w:val="23"/>
        </w:rPr>
        <w:t xml:space="preserve">v souvislosti se změnou (změna rozhodnutí o registraci) </w:t>
      </w:r>
      <w:r w:rsidR="00F70CEA" w:rsidRPr="008B5B09">
        <w:rPr>
          <w:sz w:val="23"/>
          <w:szCs w:val="23"/>
        </w:rPr>
        <w:br/>
      </w:r>
      <w:r w:rsidR="009E5876" w:rsidRPr="008B5B09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8B5B09">
        <w:rPr>
          <w:sz w:val="23"/>
          <w:szCs w:val="23"/>
        </w:rPr>
        <w:t xml:space="preserve">jakoukoliv změnou ve vztahu </w:t>
      </w:r>
      <w:r w:rsidR="00F70CEA" w:rsidRPr="008B5B09">
        <w:rPr>
          <w:sz w:val="23"/>
          <w:szCs w:val="23"/>
        </w:rPr>
        <w:br/>
      </w:r>
      <w:r w:rsidR="009E5876" w:rsidRPr="008B5B09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</w:t>
      </w:r>
    </w:p>
    <w:p w14:paraId="6537A381" w14:textId="77777777" w:rsidR="009E5876" w:rsidRPr="008B5B09" w:rsidRDefault="00876CDB" w:rsidP="00A86BF8">
      <w:pPr>
        <w:pStyle w:val="Smlouva-slovn2"/>
        <w:numPr>
          <w:ilvl w:val="0"/>
          <w:numId w:val="0"/>
        </w:numPr>
        <w:ind w:left="644" w:hanging="360"/>
        <w:rPr>
          <w:b/>
        </w:rPr>
      </w:pPr>
      <w:r>
        <w:t xml:space="preserve">j) </w:t>
      </w:r>
      <w:r w:rsidR="009E5876" w:rsidRPr="0093041F"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="009E5876" w:rsidRPr="0093041F">
        <w:t xml:space="preserve"> </w:t>
      </w:r>
    </w:p>
    <w:p w14:paraId="22886A0D" w14:textId="77777777" w:rsidR="0086286C" w:rsidRPr="0093041F" w:rsidRDefault="00A86BF8" w:rsidP="00A86BF8">
      <w:pPr>
        <w:pStyle w:val="Smlouva-slovn2"/>
        <w:numPr>
          <w:ilvl w:val="0"/>
          <w:numId w:val="0"/>
        </w:numPr>
        <w:ind w:left="644" w:hanging="360"/>
      </w:pPr>
      <w:r>
        <w:t xml:space="preserve">k) </w:t>
      </w:r>
      <w:r w:rsidR="0086286C" w:rsidRPr="0093041F">
        <w:t>v případě jeho přeměny</w:t>
      </w:r>
      <w:r w:rsidR="009E5876" w:rsidRPr="0093041F">
        <w:t xml:space="preserve">, </w:t>
      </w:r>
      <w:r w:rsidR="0086286C" w:rsidRPr="0093041F">
        <w:t xml:space="preserve">pokud </w:t>
      </w:r>
      <w:r w:rsidR="009E5876" w:rsidRPr="0093041F">
        <w:t>je právnickou osobou, neb</w:t>
      </w:r>
      <w:r w:rsidR="0086286C" w:rsidRPr="0093041F">
        <w:t xml:space="preserve">o jeho zrušení s likvidací, </w:t>
      </w:r>
      <w:r w:rsidR="00B9189B">
        <w:br/>
      </w:r>
      <w:r w:rsidR="0086286C" w:rsidRPr="0093041F">
        <w:t>je</w:t>
      </w:r>
      <w:r w:rsidR="009E5876" w:rsidRPr="0093041F">
        <w:t xml:space="preserve"> povinen o této skutečnosti </w:t>
      </w:r>
      <w:r w:rsidR="0086286C" w:rsidRPr="0093041F">
        <w:t>poskytovatele předem informovat;</w:t>
      </w:r>
    </w:p>
    <w:p w14:paraId="6659348F" w14:textId="77777777" w:rsidR="000740CC" w:rsidRPr="0093041F" w:rsidRDefault="00A86BF8" w:rsidP="00A86BF8">
      <w:pPr>
        <w:pStyle w:val="Smlouva-slovn2"/>
        <w:numPr>
          <w:ilvl w:val="0"/>
          <w:numId w:val="0"/>
        </w:numPr>
        <w:ind w:left="644" w:hanging="360"/>
      </w:pPr>
      <w:r>
        <w:t xml:space="preserve">l) </w:t>
      </w:r>
      <w:r w:rsidR="0086286C" w:rsidRPr="0093041F">
        <w:t>před jeho případným zánikem, pokud je</w:t>
      </w:r>
      <w:r w:rsidR="009E5876" w:rsidRPr="0093041F">
        <w:t xml:space="preserve"> právnick</w:t>
      </w:r>
      <w:r w:rsidR="0086286C" w:rsidRPr="0093041F">
        <w:t>ou</w:t>
      </w:r>
      <w:r w:rsidR="009E5876" w:rsidRPr="0093041F">
        <w:t xml:space="preserve"> osob</w:t>
      </w:r>
      <w:r w:rsidR="0086286C" w:rsidRPr="0093041F">
        <w:t>ou</w:t>
      </w:r>
      <w:r w:rsidR="009E5876" w:rsidRPr="0093041F">
        <w:t xml:space="preserve"> (sloučení, zánik, apod.) vy</w:t>
      </w:r>
      <w:r w:rsidR="0086286C" w:rsidRPr="0093041F">
        <w:t>pořádat vztahy s</w:t>
      </w:r>
      <w:r w:rsidR="001974F4">
        <w:t> </w:t>
      </w:r>
      <w:r w:rsidR="0086286C" w:rsidRPr="0093041F">
        <w:t>poskytovatelem</w:t>
      </w:r>
      <w:r w:rsidR="001974F4">
        <w:t>.</w:t>
      </w:r>
    </w:p>
    <w:p w14:paraId="074248DD" w14:textId="77777777" w:rsidR="008B5B09" w:rsidRDefault="008B5B09" w:rsidP="00A86BF8">
      <w:pPr>
        <w:pStyle w:val="Smlouva-slovn1"/>
        <w:numPr>
          <w:ilvl w:val="0"/>
          <w:numId w:val="10"/>
        </w:numPr>
      </w:pPr>
      <w:r w:rsidRPr="00121185">
        <w:t>Příjemce je povinen umožnit poskytovateli nebo jím pověřeným osobám provedení kontroly úrovně poskytování sociálních služeb. Při této kontrole je příjemce povinen vyvíjet veškerou poskytovatelem požadovanou součinnost.</w:t>
      </w:r>
    </w:p>
    <w:p w14:paraId="14F203E1" w14:textId="77777777"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lastRenderedPageBreak/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14:paraId="238B8E0E" w14:textId="77777777"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14:paraId="3BD57538" w14:textId="77777777"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14:paraId="06FEBFC9" w14:textId="77777777"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14:paraId="76103EB5" w14:textId="77777777"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14:paraId="6842AAE6" w14:textId="77777777"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14:paraId="60A33137" w14:textId="77777777"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14:paraId="6FA3E7E4" w14:textId="77777777"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14:paraId="2B5B9D40" w14:textId="603AC2A9" w:rsidR="002C25A5" w:rsidRPr="006A7BCD" w:rsidRDefault="002C25A5" w:rsidP="006A7BCD">
      <w:pPr>
        <w:pStyle w:val="Smlouva-slovn1"/>
        <w:numPr>
          <w:ilvl w:val="0"/>
          <w:numId w:val="10"/>
        </w:numPr>
        <w:rPr>
          <w:i/>
        </w:rPr>
      </w:pPr>
      <w:r w:rsidRPr="006A7BCD">
        <w:t>V případě, že v průběhu roku 2017 bude příjemci zrušena registrace služby podle § 82 odst. 3 zákona o sociálních službách nebo v uvedeném roce přestane poskytovat sociální službu, na kterou je přiznána dotace touto smlouvou, nárok na plnění z této smlouvy zaniká. Příjemce je v tomto případě povinen do 30 kalendářních dnů ode dne zrušení registrace sociální služby vrátit poskytovateli na účet uvedený ve smlouvě nevyčerpanou část dotace a část vyplacené dotace, na kterou zanikl příjemci nárok, a zároveň ve stejné lhůtě předložit poskytovateli finanční vy</w:t>
      </w:r>
      <w:r w:rsidR="006A7BCD" w:rsidRPr="006A7BCD">
        <w:t>účtování</w:t>
      </w:r>
      <w:r w:rsidRPr="006A7BCD">
        <w:t xml:space="preserve"> dotace. Část dotace určená k vrácení odpovídá rozdílu v tomtéž roce vyplacené dotace a nároku na plnění z této smlouvy. Nárok na plnění z této smlouvy se stanoví jako násobek 1/12 dotace dle čl. II odst. 1 této smlouvy a počtu měsíců, za které náleží dotace dle této smlouvy, zaokrouhlený na stovky nahoru. Rozhodným okamžikem vrácení finančních prostředků dotace na účet poskytovatele je den jejich připsání na účet poskytovatele.</w:t>
      </w:r>
    </w:p>
    <w:p w14:paraId="79673558" w14:textId="77777777"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 xml:space="preserve"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F20E03">
        <w:rPr>
          <w:bCs/>
          <w:iCs/>
        </w:rPr>
        <w:t>ust</w:t>
      </w:r>
      <w:proofErr w:type="spellEnd"/>
      <w:r w:rsidRPr="00F20E03">
        <w:rPr>
          <w:bCs/>
          <w:iCs/>
        </w:rPr>
        <w:t>. § 22 zákona č. 250/2000 Sb., o rozpočtových pravidlech územních rozpočtů, ve znění pozdějších předpisů.</w:t>
      </w:r>
    </w:p>
    <w:p w14:paraId="07767BF7" w14:textId="77777777"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14:paraId="677E641B" w14:textId="77777777" w:rsidR="008A6D0B" w:rsidRPr="008B32BE" w:rsidRDefault="008A6D0B" w:rsidP="0093041F">
      <w:pPr>
        <w:pStyle w:val="Nadpis2"/>
        <w:spacing w:before="120"/>
      </w:pPr>
      <w:r w:rsidRPr="008B32BE"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14:paraId="76D3548B" w14:textId="77777777" w:rsidR="003532CD" w:rsidRPr="006318BD" w:rsidRDefault="003532CD" w:rsidP="007D5CD2">
      <w:pPr>
        <w:pStyle w:val="Smlouva-slovn1"/>
        <w:numPr>
          <w:ilvl w:val="0"/>
          <w:numId w:val="12"/>
        </w:num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</w:t>
      </w:r>
      <w:r w:rsidRPr="006318BD">
        <w:t>.</w:t>
      </w:r>
      <w:r w:rsidR="00713C66" w:rsidRPr="006318BD">
        <w:t xml:space="preserve"> </w:t>
      </w:r>
    </w:p>
    <w:p w14:paraId="245F588D" w14:textId="3AD88635" w:rsidR="008F7D8F" w:rsidRPr="00EB7574" w:rsidRDefault="007D5CD2" w:rsidP="008F7D8F">
      <w:pPr>
        <w:pStyle w:val="Smlouva-slovn1"/>
        <w:numPr>
          <w:ilvl w:val="0"/>
          <w:numId w:val="12"/>
        </w:numPr>
      </w:pPr>
      <w:r w:rsidRPr="00255E86"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</w:t>
      </w:r>
      <w:r w:rsidR="00085A86" w:rsidRPr="00EB7574">
        <w:t xml:space="preserve">odst. </w:t>
      </w:r>
      <w:r w:rsidRPr="00EB7574">
        <w:t>2</w:t>
      </w:r>
      <w:r w:rsidR="00085A86" w:rsidRPr="00EB7574">
        <w:t xml:space="preserve"> této smlouvy</w:t>
      </w:r>
      <w:r w:rsidRPr="00EB7574">
        <w:t>.</w:t>
      </w:r>
    </w:p>
    <w:p w14:paraId="78D4DD08" w14:textId="77777777"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lastRenderedPageBreak/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14:paraId="708C9894" w14:textId="2BA1D0BA"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 xml:space="preserve">28. 2. </w:t>
      </w:r>
      <w:r w:rsidR="008B5B09" w:rsidRPr="00A15F8D">
        <w:rPr>
          <w:b/>
        </w:rPr>
        <w:t>201</w:t>
      </w:r>
      <w:r w:rsidR="008B5B09">
        <w:rPr>
          <w:b/>
        </w:rPr>
        <w:t>8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</w:t>
      </w:r>
      <w:proofErr w:type="spellStart"/>
      <w:r w:rsidRPr="005D23AD">
        <w:t>ust</w:t>
      </w:r>
      <w:proofErr w:type="spellEnd"/>
      <w:r w:rsidRPr="005D23AD">
        <w:t xml:space="preserve">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</w:t>
      </w:r>
      <w:proofErr w:type="spellStart"/>
      <w:r w:rsidRPr="005D23AD">
        <w:t>ust</w:t>
      </w:r>
      <w:proofErr w:type="spellEnd"/>
      <w:r w:rsidRPr="005D23AD">
        <w:t xml:space="preserve">. § 22 zákona č. 250/2000 Sb., o rozpočtových pravidlech územních rozpočtů, ve znění pozdějších předpisů. </w:t>
      </w:r>
    </w:p>
    <w:p w14:paraId="5CC65F4C" w14:textId="22C5BA5B"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 xml:space="preserve">této smlouvy, nebo poruší některou z povinností uvedených v této smlouvě, dopustí se porušení rozpočtové kázně ve smyslu </w:t>
      </w:r>
      <w:proofErr w:type="spellStart"/>
      <w:r w:rsidRPr="00735579">
        <w:t>ust</w:t>
      </w:r>
      <w:proofErr w:type="spellEnd"/>
      <w:r w:rsidRPr="00735579">
        <w:t xml:space="preserve">. § 22 zákona č. 250/2000 Sb., o rozpočtových pravidlech územních rozpočtů, ve znění pozdějších předpisů. Pokud příjemce předloží vyúčtování a </w:t>
      </w:r>
      <w:r w:rsidR="007C0BAE" w:rsidRPr="00EB7574">
        <w:t xml:space="preserve">informaci o realizaci projektu </w:t>
      </w:r>
      <w:r w:rsidRPr="00735579">
        <w:t xml:space="preserve">v termínu stanoveném </w:t>
      </w:r>
      <w:r w:rsidR="00EB7574">
        <w:br/>
      </w:r>
      <w:r w:rsidRPr="00735579">
        <w:t>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</w:t>
      </w:r>
      <w:r w:rsidRPr="00EB7574">
        <w:t xml:space="preserve">nebo </w:t>
      </w:r>
      <w:r w:rsidR="00EB7574" w:rsidRPr="00EB7574">
        <w:t xml:space="preserve">informace o realizaci projektu </w:t>
      </w:r>
      <w:r w:rsidRPr="00EB7574">
        <w:t xml:space="preserve">nebudou obsahovat všechny náležitosti stanovené v čl. </w:t>
      </w:r>
      <w:r w:rsidR="00735579" w:rsidRPr="00EB7574">
        <w:t>IV</w:t>
      </w:r>
      <w:r w:rsidRPr="00EB7574">
        <w:t xml:space="preserve">. odst. </w:t>
      </w:r>
      <w:r w:rsidR="00735579" w:rsidRPr="00EB7574">
        <w:t>1</w:t>
      </w:r>
      <w:r w:rsidRPr="00EB7574">
        <w:t xml:space="preserve"> této smlouvy, dopustí se příjemce porušení rozpočtové kázně až v případě, že nedoplní nebo neopraví chybné nebo neúplné vyúčtování nebo </w:t>
      </w:r>
      <w:r w:rsidR="00EB7574" w:rsidRPr="00EB7574">
        <w:t xml:space="preserve">informaci o realizaci projektu </w:t>
      </w:r>
      <w:r w:rsidRPr="00735579">
        <w:t>ve lhůtě 15 dnů ode dne doručení výzvy poskytovatele.</w:t>
      </w:r>
    </w:p>
    <w:p w14:paraId="4142D86D" w14:textId="77777777"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14:paraId="650216BB" w14:textId="77777777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A411" w14:textId="77777777"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EB2F" w14:textId="77777777"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t>Výše odvodu v % 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14:paraId="416474E7" w14:textId="77777777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E7AA" w14:textId="77777777"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3588" w14:textId="77777777"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14:paraId="36EB2CF6" w14:textId="77777777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9B3C" w14:textId="2BD6AD7F" w:rsidR="007D5CD2" w:rsidRPr="007D5CD2" w:rsidRDefault="007D5CD2" w:rsidP="00EB7574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Předložení vyúčtování </w:t>
            </w:r>
            <w:r w:rsidRPr="00EB7574">
              <w:rPr>
                <w:rFonts w:eastAsia="Calibri" w:cs="Arial"/>
              </w:rPr>
              <w:t xml:space="preserve">a </w:t>
            </w:r>
            <w:r w:rsidR="00EB7574" w:rsidRPr="00EB7574">
              <w:t>informace o realizaci projektu</w:t>
            </w:r>
            <w:r w:rsidRPr="00EB7574">
              <w:rPr>
                <w:rFonts w:eastAsia="Calibri" w:cs="Arial"/>
              </w:rPr>
              <w:t xml:space="preserve"> </w:t>
            </w:r>
            <w:r w:rsidRPr="007D5CD2">
              <w:rPr>
                <w:rFonts w:eastAsia="Calibri" w:cs="Arial"/>
              </w:rPr>
              <w:t>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1140F" w14:textId="77777777"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14:paraId="565FCB43" w14:textId="77777777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A4F7" w14:textId="6F6E17AB" w:rsidR="007D5CD2" w:rsidRPr="007D5CD2" w:rsidRDefault="007D5CD2" w:rsidP="00EB7574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Předložení vyúčtování </w:t>
            </w:r>
            <w:r w:rsidRPr="00EB7574">
              <w:rPr>
                <w:rFonts w:eastAsia="Calibri" w:cs="Arial"/>
              </w:rPr>
              <w:t xml:space="preserve">a </w:t>
            </w:r>
            <w:r w:rsidR="00EB7574" w:rsidRPr="00EB7574">
              <w:t xml:space="preserve">informace o realizaci projektu </w:t>
            </w:r>
            <w:r w:rsidR="00EB7574" w:rsidRPr="00EB7574">
              <w:rPr>
                <w:rFonts w:eastAsia="Calibri" w:cs="Arial"/>
              </w:rPr>
              <w:br/>
            </w:r>
            <w:r w:rsidRPr="007D5CD2">
              <w:rPr>
                <w:rFonts w:eastAsia="Calibri" w:cs="Arial"/>
              </w:rPr>
              <w:t>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A27F" w14:textId="77777777"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14:paraId="070B8ABE" w14:textId="77777777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9D30" w14:textId="49D24C6F" w:rsidR="007D5CD2" w:rsidRPr="007D5CD2" w:rsidRDefault="007D5CD2" w:rsidP="00EB7574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doplněného vyúčtování a</w:t>
            </w:r>
            <w:r w:rsidR="00EB7574">
              <w:rPr>
                <w:rFonts w:eastAsia="Calibri" w:cs="Arial"/>
              </w:rPr>
              <w:t xml:space="preserve"> </w:t>
            </w:r>
            <w:r w:rsidR="00EB7574" w:rsidRPr="00EB7574">
              <w:t>informac</w:t>
            </w:r>
            <w:r w:rsidR="00EB7574">
              <w:t>e</w:t>
            </w:r>
            <w:r w:rsidR="00EB7574" w:rsidRPr="00EB7574">
              <w:t xml:space="preserve"> o realizaci projektu</w:t>
            </w:r>
            <w:r w:rsidRPr="00EB7574">
              <w:rPr>
                <w:rFonts w:eastAsia="Calibri" w:cs="Arial"/>
              </w:rPr>
              <w:t xml:space="preserve"> s prodlením do 15 kalendářn</w:t>
            </w:r>
            <w:r w:rsidRPr="007D5CD2">
              <w:rPr>
                <w:rFonts w:eastAsia="Calibri" w:cs="Arial"/>
              </w:rPr>
              <w:t>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F7BA" w14:textId="77777777"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14:paraId="21B8E614" w14:textId="77777777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4B47" w14:textId="77777777"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BBBC" w14:textId="77777777"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14:paraId="173B6488" w14:textId="77777777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4B61" w14:textId="77777777"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</w:t>
            </w:r>
            <w:r w:rsidR="00093AD8" w:rsidRPr="007932FE">
              <w:rPr>
                <w:sz w:val="23"/>
                <w:szCs w:val="23"/>
              </w:rPr>
              <w:lastRenderedPageBreak/>
              <w:t>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B854" w14:textId="77777777"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lastRenderedPageBreak/>
              <w:t>5 %</w:t>
            </w:r>
          </w:p>
        </w:tc>
      </w:tr>
    </w:tbl>
    <w:p w14:paraId="5C8C6C1A" w14:textId="77777777"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14:paraId="121C1237" w14:textId="77777777"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14:paraId="59F3899E" w14:textId="77777777"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 xml:space="preserve">V případě, že je příjemce dle této smlouvy povinen vrátit dotaci nebo její část nebo uhradit odvod nebo penále, vrátí příjemce dotaci nebo její část, resp. uhradí odvod nebo penále v termínu do konce kalendářního roku </w:t>
      </w:r>
      <w:r w:rsidR="008B5B09" w:rsidRPr="00255E86">
        <w:t>201</w:t>
      </w:r>
      <w:r w:rsidR="008B5B09">
        <w:t>7</w:t>
      </w:r>
      <w:r w:rsidR="008B5B09" w:rsidRPr="00255E86">
        <w:t xml:space="preserve"> </w:t>
      </w:r>
      <w:r w:rsidRPr="00255E86">
        <w:t xml:space="preserve">na účet poskytovatele uvedený </w:t>
      </w:r>
      <w:r w:rsidR="0056246F">
        <w:br/>
      </w:r>
      <w:r w:rsidRPr="00255E86">
        <w:t xml:space="preserve">v záhlaví smlouvy. V případě, že příjemce, v důsledku své povinnosti uvedené ve větě první, vrací dotaci nebo její část nebo hradí penále v termínu po 1. 1. </w:t>
      </w:r>
      <w:r w:rsidR="008B5B09" w:rsidRPr="00255E86">
        <w:t>201</w:t>
      </w:r>
      <w:r w:rsidR="008B5B09">
        <w:t>8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14:paraId="6EF350BB" w14:textId="77777777"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14:paraId="076D0A14" w14:textId="77777777"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14:paraId="7D28435B" w14:textId="77777777"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14:paraId="0CACECB4" w14:textId="77777777"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>bere na vědomí všechny stanovené podmínky, vyslovuje s nimi svůj bezvýhradný souhlas</w:t>
      </w:r>
      <w:r w:rsidR="00EA1748">
        <w:t xml:space="preserve"> </w:t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14:paraId="61016591" w14:textId="77777777"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t>o sociálních službách, s jeho prováděcími předpisy a s dalšími obecně závaznými právními předpisy.</w:t>
      </w:r>
    </w:p>
    <w:p w14:paraId="0DA26404" w14:textId="77777777"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14:paraId="29E395FE" w14:textId="77777777"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 xml:space="preserve">de </w:t>
      </w:r>
      <w:proofErr w:type="spellStart"/>
      <w:r w:rsidRPr="00032ADE">
        <w:rPr>
          <w:u w:val="single"/>
        </w:rPr>
        <w:t>minimis</w:t>
      </w:r>
      <w:proofErr w:type="spellEnd"/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8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 xml:space="preserve">o fungování Evropské unie na podporu de </w:t>
        </w:r>
        <w:proofErr w:type="spellStart"/>
        <w:r w:rsidR="0075392C" w:rsidRPr="00032ADE">
          <w:rPr>
            <w:rStyle w:val="Hypertextovodkaz"/>
            <w:color w:val="auto"/>
            <w:u w:val="none"/>
          </w:rPr>
          <w:t>minimis</w:t>
        </w:r>
        <w:proofErr w:type="spellEnd"/>
        <w:r w:rsidR="0075392C" w:rsidRPr="00032ADE">
          <w:rPr>
            <w:rStyle w:val="Hypertextovodkaz"/>
            <w:color w:val="auto"/>
            <w:u w:val="none"/>
          </w:rPr>
          <w:t xml:space="preserve"> udílenou podnikům poskytujícím služby obecného hospodářského zájmu</w:t>
        </w:r>
      </w:hyperlink>
      <w:r w:rsidRPr="006A156D">
        <w:t xml:space="preserve">, jinak se vystavuje nebezpečí vrácení dotace. </w:t>
      </w:r>
    </w:p>
    <w:p w14:paraId="1AFDEF04" w14:textId="77777777"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14:paraId="1AC739B5" w14:textId="77777777"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lastRenderedPageBreak/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14:paraId="67FD92A4" w14:textId="77777777"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05EF9F22" w14:textId="6453934C" w:rsidR="000B225E" w:rsidRPr="003F103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</w:t>
      </w:r>
      <w:r w:rsidRPr="003F103E">
        <w:t>.</w:t>
      </w:r>
      <w:r w:rsidR="0050034E" w:rsidRPr="003F103E">
        <w:rPr>
          <w:szCs w:val="20"/>
        </w:rPr>
        <w:t xml:space="preserve"> </w:t>
      </w:r>
      <w:r w:rsidR="0050034E" w:rsidRPr="003F103E">
        <w:t xml:space="preserve">Tato smlouva bude uveřejněna v registru smluv dle zákona </w:t>
      </w:r>
      <w:r w:rsidR="003F103E">
        <w:br/>
      </w:r>
      <w:r w:rsidR="0050034E" w:rsidRPr="003F103E">
        <w:t>č. 340/2015 Sb., o registru smluv, ve znění pozdějších předpisů. Uveřejnění této smlouvy v registru smluv zajistí poskytovatel.</w:t>
      </w:r>
    </w:p>
    <w:p w14:paraId="54B89100" w14:textId="15A84C56" w:rsidR="000B225E" w:rsidRPr="003F103E" w:rsidRDefault="00C7709D" w:rsidP="000B225E">
      <w:pPr>
        <w:pStyle w:val="Smlouva-slovn1"/>
        <w:numPr>
          <w:ilvl w:val="0"/>
          <w:numId w:val="13"/>
        </w:numPr>
      </w:pPr>
      <w:r w:rsidRPr="003F103E">
        <w:t>Smluvní strany se dohodly, že tato smlouva nabývá účinnosti dnem jejího uveřejnění v registru smluv.</w:t>
      </w:r>
    </w:p>
    <w:p w14:paraId="479F88F0" w14:textId="77777777"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14:paraId="4E553428" w14:textId="77777777" w:rsidR="00FD5F27" w:rsidRPr="008B32BE" w:rsidRDefault="00FD5F27" w:rsidP="00165785">
      <w:pPr>
        <w:pStyle w:val="Smlouva-slovn1"/>
        <w:numPr>
          <w:ilvl w:val="0"/>
          <w:numId w:val="13"/>
        </w:numPr>
      </w:pPr>
      <w:r w:rsidRPr="008B32BE">
        <w:t>O poskytnutí dotace a uzavření této smlouvy rozhodl</w:t>
      </w:r>
      <w:r w:rsidR="001D0DA1" w:rsidRPr="008B32BE">
        <w:t xml:space="preserve">o </w:t>
      </w:r>
      <w:r w:rsidR="00E939A3" w:rsidRPr="008B32BE">
        <w:t>Zastupitelstvo</w:t>
      </w:r>
      <w:r w:rsidRPr="008B32BE">
        <w:t xml:space="preserve"> Olomouckého kraje svým usnesením č. </w:t>
      </w:r>
      <w:r w:rsidR="00F238E8">
        <w:t>UZ///</w:t>
      </w:r>
      <w:r w:rsidR="008B5B09">
        <w:t>2017</w:t>
      </w:r>
      <w:r w:rsidR="008B5B09" w:rsidRPr="008B32BE">
        <w:t xml:space="preserve"> </w:t>
      </w:r>
      <w:r w:rsidRPr="008B32BE">
        <w:t>ze dne</w:t>
      </w:r>
      <w:r w:rsidR="007E5428">
        <w:t xml:space="preserve"> </w:t>
      </w:r>
      <w:r w:rsidR="008B5B09">
        <w:t>19</w:t>
      </w:r>
      <w:r w:rsidR="003A52ED">
        <w:t>. 6.</w:t>
      </w:r>
      <w:r w:rsidR="00BA4353">
        <w:t xml:space="preserve"> </w:t>
      </w:r>
      <w:r w:rsidR="008B5B09">
        <w:t>2017</w:t>
      </w:r>
      <w:r w:rsidR="00BA4353">
        <w:t>.</w:t>
      </w:r>
    </w:p>
    <w:p w14:paraId="35BEBB9F" w14:textId="77777777"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14:paraId="71309B79" w14:textId="77777777" w:rsidR="00FD5F27" w:rsidRPr="008B32BE" w:rsidRDefault="00FD5F27" w:rsidP="008A6D0B">
      <w:pPr>
        <w:pStyle w:val="Zkladntextodsazen"/>
        <w:tabs>
          <w:tab w:val="num" w:pos="360"/>
        </w:tabs>
        <w:rPr>
          <w:rFonts w:ascii="Arial" w:hAnsi="Arial" w:cs="Arial"/>
          <w:sz w:val="22"/>
          <w:szCs w:val="22"/>
        </w:rPr>
      </w:pPr>
    </w:p>
    <w:p w14:paraId="70C9738E" w14:textId="77777777"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……..…………….. dne  …………</w:t>
      </w:r>
    </w:p>
    <w:p w14:paraId="7B62FF80" w14:textId="77777777" w:rsidR="009A1966" w:rsidRPr="008B32BE" w:rsidRDefault="009A1966" w:rsidP="008A6D0B">
      <w:pPr>
        <w:rPr>
          <w:rFonts w:cs="Arial"/>
          <w:szCs w:val="22"/>
        </w:rPr>
      </w:pPr>
    </w:p>
    <w:p w14:paraId="1FF0C784" w14:textId="77777777"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14:paraId="7322C9B9" w14:textId="77777777" w:rsidR="00E939A3" w:rsidRPr="008B32BE" w:rsidRDefault="00E939A3" w:rsidP="008A6D0B">
      <w:pPr>
        <w:rPr>
          <w:rFonts w:cs="Arial"/>
          <w:szCs w:val="22"/>
        </w:rPr>
      </w:pPr>
    </w:p>
    <w:p w14:paraId="18A1B5F2" w14:textId="77777777" w:rsidR="006719F4" w:rsidRDefault="006719F4" w:rsidP="008A6D0B">
      <w:pPr>
        <w:rPr>
          <w:rFonts w:cs="Arial"/>
          <w:szCs w:val="22"/>
        </w:rPr>
      </w:pPr>
    </w:p>
    <w:p w14:paraId="0ECDC295" w14:textId="77777777" w:rsidR="00165785" w:rsidRDefault="00165785" w:rsidP="008A6D0B">
      <w:pPr>
        <w:rPr>
          <w:rFonts w:cs="Arial"/>
          <w:szCs w:val="22"/>
        </w:rPr>
      </w:pPr>
    </w:p>
    <w:p w14:paraId="06AE946A" w14:textId="77777777" w:rsidR="00165785" w:rsidRPr="008B32BE" w:rsidRDefault="00165785" w:rsidP="008A6D0B">
      <w:pPr>
        <w:rPr>
          <w:rFonts w:cs="Arial"/>
          <w:szCs w:val="22"/>
        </w:rPr>
      </w:pPr>
    </w:p>
    <w:p w14:paraId="72806884" w14:textId="77777777"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14:paraId="43369121" w14:textId="77777777" w:rsidR="008A6D0B" w:rsidRPr="008B32BE" w:rsidRDefault="0076276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8B5B09">
        <w:rPr>
          <w:rFonts w:cs="Arial"/>
          <w:szCs w:val="22"/>
        </w:rPr>
        <w:t>Ladislav Okl</w:t>
      </w:r>
      <w:r w:rsidR="00462C16">
        <w:rPr>
          <w:rFonts w:cs="Arial"/>
          <w:szCs w:val="22"/>
        </w:rPr>
        <w:t>e</w:t>
      </w:r>
      <w:r w:rsidR="008B5B09">
        <w:rPr>
          <w:rFonts w:cs="Arial"/>
          <w:szCs w:val="22"/>
        </w:rPr>
        <w:t>štěk</w:t>
      </w:r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  <w:t xml:space="preserve">                  </w:t>
      </w:r>
    </w:p>
    <w:p w14:paraId="1F6A7E86" w14:textId="77777777" w:rsidR="008B5B09" w:rsidRDefault="0076276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4C2D7A">
        <w:rPr>
          <w:rFonts w:cs="Arial"/>
          <w:szCs w:val="22"/>
        </w:rPr>
        <w:t>hejtman</w:t>
      </w:r>
    </w:p>
    <w:p w14:paraId="5384A4DC" w14:textId="77777777" w:rsidR="008B5B09" w:rsidRDefault="008B5B0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14:paraId="230B0727" w14:textId="77777777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5F05" w14:textId="77777777"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lastRenderedPageBreak/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14:paraId="161D5E2A" w14:textId="77777777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2FD1" w14:textId="77777777"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1361B2">
              <w:rPr>
                <w:rFonts w:cs="Arial"/>
                <w:b/>
                <w:bCs/>
                <w:u w:val="single"/>
              </w:rPr>
              <w:t>ze dne …</w:t>
            </w:r>
          </w:p>
        </w:tc>
      </w:tr>
    </w:tbl>
    <w:p w14:paraId="7FB220D5" w14:textId="77777777" w:rsidR="004A403D" w:rsidRPr="001361B2" w:rsidRDefault="004A403D" w:rsidP="004A403D"/>
    <w:p w14:paraId="6FA298B1" w14:textId="77777777"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14:paraId="5C237A5C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8AE51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14:paraId="6CD4488B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EFE4A6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20CE247E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A1541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14:paraId="7BAE45C9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B834CA" w14:textId="77777777"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14:paraId="790DEDBD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AB9F6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9CD114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532CCD43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66712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8CD74F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7BAA39F5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B5BD4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8EC1B6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76280C03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7E59D9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49BEC3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4A4994AD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1D2BC" w14:textId="77777777"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DE7C0B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14:paraId="0D6B1EB6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99328" w14:textId="77777777"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EF24FF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185E225F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85D7F3" w14:textId="77777777"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BA6914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2F10EC58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5964E2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803227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2F2070FA" w14:textId="77777777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47AE48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14:paraId="53F5D07A" w14:textId="77777777"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4BCDBC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14:paraId="74560904" w14:textId="77777777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AEBD5" w14:textId="77777777"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14:paraId="06242E9C" w14:textId="77777777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A4D8F7" w14:textId="77777777"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r w:rsidRPr="001361B2">
              <w:rPr>
                <w:rFonts w:cs="Arial"/>
                <w:b/>
                <w:bCs/>
                <w:szCs w:val="22"/>
              </w:rPr>
              <w:t>dotace  x  Soupis celkových uskutečněných výdajů na akci *)</w:t>
            </w:r>
          </w:p>
        </w:tc>
      </w:tr>
      <w:tr w:rsidR="004A403D" w:rsidRPr="001361B2" w14:paraId="33980E8E" w14:textId="77777777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D6F6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6F5D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0E04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7103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DD1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B357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číslo dokladu, prokazují- </w:t>
            </w: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cího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C01C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D228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1628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8DD43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D4049" w14:textId="77777777"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Uplatně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- </w:t>
            </w: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né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 výdaje zaúčtované v účetnictví na účet č.</w:t>
            </w:r>
          </w:p>
        </w:tc>
      </w:tr>
      <w:tr w:rsidR="004A403D" w:rsidRPr="001361B2" w14:paraId="10026ADF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35D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C4F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DAD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C457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28D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2428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F5F6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B9A1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2387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D2B7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A105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0053A7B8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B17F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2FB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BD3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2412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988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A87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A78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403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7EF3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1197F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1C1B6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1603CDC6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EFF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EACB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2C9D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45B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970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888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3D5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4C8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EAE4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12A6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B4328B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37EE0958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DF27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93D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8B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E7E1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8AD1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32D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384D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D10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467C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61F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1E3D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7417C3CA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39D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511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6F0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C4D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5F6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0E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9F1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CCCF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EBF57F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5C9E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E6DD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7D354F64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06B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1E01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D472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E936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A79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1A9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C8B2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5251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99DEB7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204E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2AD0B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013997CA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ABB7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2CAD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AE3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FA62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92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4AF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53A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CFF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B1DF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8E58B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ADF68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543AF3AB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CF4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187B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20C8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5EB7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65F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027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FA8D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C7F7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F3948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53DE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336F2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77135683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C72D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044F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20106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111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0F0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422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E476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3F3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1D062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41611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F7B8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6FA4D393" w14:textId="77777777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E9AF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AF6C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9BB4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F739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0D56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8EF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2A5E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1810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1DF555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59775A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47763" w14:textId="77777777"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14:paraId="0D37A2C5" w14:textId="77777777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59A9A" w14:textId="77777777"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14:paraId="6C18C482" w14:textId="77777777"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14:paraId="78480DC3" w14:textId="77777777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14:paraId="6D8A3C8C" w14:textId="77777777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14:paraId="2A6C16A4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0FAD5877" w14:textId="77777777"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8277A44" w14:textId="77777777"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14:paraId="7867D860" w14:textId="77777777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14:paraId="6B41A963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510C35C6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C77BBAE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14:paraId="20456120" w14:textId="77777777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14:paraId="42E4D6BB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600EA783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2D3D35CA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14:paraId="2DD8E4AA" w14:textId="77777777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14:paraId="20ABBAD4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72B2550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4D436725" w14:textId="77777777"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74C908A6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14:paraId="5F5DBFAA" w14:textId="77777777" w:rsidR="004A403D" w:rsidRDefault="004A403D" w:rsidP="00320BBC">
            <w:pPr>
              <w:rPr>
                <w:rFonts w:cs="Arial"/>
                <w:sz w:val="20"/>
              </w:rPr>
            </w:pPr>
          </w:p>
          <w:p w14:paraId="2A8EC43C" w14:textId="77777777" w:rsidR="001974F4" w:rsidRDefault="001974F4" w:rsidP="00320BBC">
            <w:pPr>
              <w:rPr>
                <w:rFonts w:cs="Arial"/>
                <w:sz w:val="20"/>
              </w:rPr>
            </w:pPr>
          </w:p>
          <w:p w14:paraId="420B05B7" w14:textId="77777777" w:rsidR="001974F4" w:rsidRDefault="001974F4" w:rsidP="00320BBC">
            <w:pPr>
              <w:rPr>
                <w:rFonts w:cs="Arial"/>
                <w:sz w:val="20"/>
              </w:rPr>
            </w:pPr>
          </w:p>
          <w:p w14:paraId="3BE7281B" w14:textId="77777777"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14:paraId="2DFA597E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14:paraId="125CC94D" w14:textId="77777777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ED9E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14:paraId="701BF1B8" w14:textId="77777777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34F0A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14:paraId="742501FC" w14:textId="77777777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151DCC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14:paraId="770DCF55" w14:textId="77777777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A0985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14:paraId="43DC1F96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14:paraId="6EB4A963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14:paraId="23D32A63" w14:textId="77777777"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4A403D" w:rsidRPr="001361B2" w14:paraId="6378380F" w14:textId="77777777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F8FF" w14:textId="77777777"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4A403D" w:rsidRPr="001361B2" w14:paraId="534A6FEC" w14:textId="77777777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8718" w14:textId="77777777"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14:paraId="4CA56D0D" w14:textId="77777777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8028" w14:textId="77777777"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14:paraId="43B03C49" w14:textId="77777777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627E" w14:textId="77777777"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14:paraId="02A7EA91" w14:textId="77777777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A56B" w14:textId="77777777"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14:paraId="37954D6D" w14:textId="77777777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7757" w14:textId="77777777"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14:paraId="75C83313" w14:textId="77777777"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14:paraId="1C5C4FFF" w14:textId="77777777"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14:paraId="1C75B94A" w14:textId="77777777"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14:paraId="6B520294" w14:textId="77777777" w:rsidR="004A403D" w:rsidRPr="0076276A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9" w:history="1">
        <w:r w:rsidR="00DB096E" w:rsidRPr="0076276A">
          <w:rPr>
            <w:rStyle w:val="Hypertextovodkaz"/>
            <w:rFonts w:cs="Arial"/>
            <w:color w:val="auto"/>
            <w:sz w:val="20"/>
          </w:rPr>
          <w:t xml:space="preserve"> https://www.kr-olomoucky.cz/vyuctovani-prispevku-dotace-cl-3802.html.</w:t>
        </w:r>
        <w:r w:rsidR="00DB096E" w:rsidRPr="0076276A" w:rsidDel="005849BF">
          <w:rPr>
            <w:rStyle w:val="Hypertextovodkaz"/>
            <w:color w:val="auto"/>
          </w:rPr>
          <w:t xml:space="preserve"> </w:t>
        </w:r>
      </w:hyperlink>
      <w:r w:rsidR="00F238E8" w:rsidRPr="0076276A">
        <w:rPr>
          <w:rFonts w:cs="Arial"/>
          <w:sz w:val="20"/>
        </w:rPr>
        <w:t xml:space="preserve"> </w:t>
      </w:r>
    </w:p>
    <w:p w14:paraId="4439D888" w14:textId="77777777" w:rsidR="004A403D" w:rsidRPr="0076276A" w:rsidRDefault="004A403D" w:rsidP="004A403D"/>
    <w:p w14:paraId="7A34C17A" w14:textId="77777777" w:rsidR="004A403D" w:rsidRPr="001361B2" w:rsidRDefault="004A403D" w:rsidP="004A403D">
      <w:pPr>
        <w:rPr>
          <w:rFonts w:cs="Arial"/>
          <w:sz w:val="20"/>
        </w:rPr>
      </w:pPr>
    </w:p>
    <w:p w14:paraId="54EF70FC" w14:textId="77777777"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8340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5B0A" w14:textId="77777777" w:rsidR="00131409" w:rsidRDefault="00131409">
      <w:r>
        <w:separator/>
      </w:r>
    </w:p>
  </w:endnote>
  <w:endnote w:type="continuationSeparator" w:id="0">
    <w:p w14:paraId="7A57BE9E" w14:textId="77777777" w:rsidR="00131409" w:rsidRDefault="0013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D3A9" w14:textId="77777777" w:rsidR="00834061" w:rsidRDefault="008340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A054" w14:textId="499256C3" w:rsidR="006318BD" w:rsidRPr="00DE1E69" w:rsidRDefault="00747FBD" w:rsidP="001825BA">
    <w:pPr>
      <w:tabs>
        <w:tab w:val="center" w:pos="4536"/>
        <w:tab w:val="right" w:pos="9781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Zastupitelstvo Olomouckého kraje 19. 6. 2017</w:t>
    </w:r>
    <w:r w:rsidR="006318BD" w:rsidRPr="00DE1E69">
      <w:rPr>
        <w:rFonts w:cs="Arial"/>
        <w:i/>
        <w:sz w:val="20"/>
      </w:rPr>
      <w:tab/>
    </w:r>
    <w:r w:rsidR="006318BD" w:rsidRPr="00DE1E69">
      <w:rPr>
        <w:rFonts w:cs="Arial"/>
        <w:i/>
        <w:sz w:val="20"/>
      </w:rPr>
      <w:tab/>
      <w:t xml:space="preserve">Strana </w:t>
    </w:r>
    <w:r w:rsidR="00923C0E" w:rsidRPr="00923C0E">
      <w:rPr>
        <w:rFonts w:cs="Arial"/>
        <w:i/>
        <w:sz w:val="20"/>
      </w:rPr>
      <w:fldChar w:fldCharType="begin"/>
    </w:r>
    <w:r w:rsidR="00923C0E" w:rsidRPr="00923C0E">
      <w:rPr>
        <w:rFonts w:cs="Arial"/>
        <w:i/>
        <w:sz w:val="20"/>
      </w:rPr>
      <w:instrText>PAGE   \* MERGEFORMAT</w:instrText>
    </w:r>
    <w:r w:rsidR="00923C0E" w:rsidRPr="00923C0E">
      <w:rPr>
        <w:rFonts w:cs="Arial"/>
        <w:i/>
        <w:sz w:val="20"/>
      </w:rPr>
      <w:fldChar w:fldCharType="separate"/>
    </w:r>
    <w:r w:rsidR="00834061">
      <w:rPr>
        <w:rFonts w:cs="Arial"/>
        <w:i/>
        <w:noProof/>
        <w:sz w:val="20"/>
      </w:rPr>
      <w:t>18</w:t>
    </w:r>
    <w:r w:rsidR="00923C0E" w:rsidRPr="00923C0E">
      <w:rPr>
        <w:rFonts w:cs="Arial"/>
        <w:i/>
        <w:sz w:val="20"/>
      </w:rPr>
      <w:fldChar w:fldCharType="end"/>
    </w:r>
    <w:r w:rsidR="006318BD">
      <w:rPr>
        <w:rFonts w:cs="Arial"/>
        <w:i/>
        <w:sz w:val="20"/>
      </w:rPr>
      <w:t xml:space="preserve"> (celkem </w:t>
    </w:r>
    <w:r w:rsidR="00834061">
      <w:rPr>
        <w:rFonts w:cs="Arial"/>
        <w:i/>
        <w:sz w:val="20"/>
      </w:rPr>
      <w:t>28</w:t>
    </w:r>
    <w:bookmarkStart w:id="0" w:name="_GoBack"/>
    <w:bookmarkEnd w:id="0"/>
    <w:r w:rsidR="006318BD" w:rsidRPr="00DE1E69">
      <w:rPr>
        <w:rFonts w:cs="Arial"/>
        <w:i/>
        <w:sz w:val="20"/>
      </w:rPr>
      <w:t>)</w:t>
    </w:r>
  </w:p>
  <w:p w14:paraId="27F4681F" w14:textId="06761718" w:rsidR="006318BD" w:rsidRPr="00DE1E69" w:rsidRDefault="00447A56" w:rsidP="001825BA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szCs w:val="22"/>
      </w:rPr>
    </w:pPr>
    <w:r>
      <w:rPr>
        <w:rFonts w:cs="Arial"/>
        <w:i/>
        <w:sz w:val="20"/>
      </w:rPr>
      <w:t>19</w:t>
    </w:r>
    <w:r w:rsidR="00747FBD">
      <w:rPr>
        <w:rFonts w:cs="Arial"/>
        <w:i/>
        <w:sz w:val="20"/>
      </w:rPr>
      <w:t>.</w:t>
    </w:r>
    <w:r w:rsidR="00F413F7">
      <w:rPr>
        <w:rFonts w:cs="Arial"/>
        <w:i/>
        <w:sz w:val="20"/>
      </w:rPr>
      <w:t xml:space="preserve"> </w:t>
    </w:r>
    <w:r w:rsidR="006318BD" w:rsidRPr="00DE1E69">
      <w:rPr>
        <w:rFonts w:cs="Arial"/>
        <w:i/>
        <w:sz w:val="20"/>
      </w:rPr>
      <w:t>Program</w:t>
    </w:r>
    <w:r w:rsidR="006318BD">
      <w:rPr>
        <w:rFonts w:cs="Arial"/>
        <w:i/>
        <w:sz w:val="20"/>
      </w:rPr>
      <w:t xml:space="preserve"> </w:t>
    </w:r>
    <w:r w:rsidR="006318BD" w:rsidRPr="00DE1E69">
      <w:rPr>
        <w:rFonts w:cs="Arial"/>
        <w:i/>
        <w:sz w:val="20"/>
      </w:rPr>
      <w:t>finanční podpory poskytování sociálních služeb v Olomouckém kraji, Podprogram č. 2</w:t>
    </w:r>
  </w:p>
  <w:p w14:paraId="664B2A2D" w14:textId="46822227" w:rsidR="006318BD" w:rsidRPr="00DE1E69" w:rsidRDefault="001C5D04" w:rsidP="001825BA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Příloha č. 2</w:t>
    </w:r>
    <w:r w:rsidR="006318BD">
      <w:rPr>
        <w:rFonts w:cs="Arial"/>
        <w:i/>
        <w:sz w:val="20"/>
      </w:rPr>
      <w:t xml:space="preserve"> – Vzorová s</w:t>
    </w:r>
    <w:r w:rsidR="006318BD" w:rsidRPr="00DE1E69">
      <w:rPr>
        <w:rFonts w:cs="Arial"/>
        <w:i/>
        <w:sz w:val="20"/>
      </w:rPr>
      <w:t>mlouva o poskytnutí dotace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A6C7" w14:textId="77777777" w:rsidR="00834061" w:rsidRDefault="0083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3B58" w14:textId="77777777" w:rsidR="00131409" w:rsidRDefault="00131409">
      <w:r>
        <w:separator/>
      </w:r>
    </w:p>
  </w:footnote>
  <w:footnote w:type="continuationSeparator" w:id="0">
    <w:p w14:paraId="47549332" w14:textId="77777777" w:rsidR="00131409" w:rsidRDefault="00131409">
      <w:r>
        <w:continuationSeparator/>
      </w:r>
    </w:p>
  </w:footnote>
  <w:footnote w:id="1">
    <w:p w14:paraId="6A8E62BA" w14:textId="77777777" w:rsidR="002C25A5" w:rsidRPr="004A051D" w:rsidRDefault="002C25A5" w:rsidP="002C25A5">
      <w:pPr>
        <w:pStyle w:val="Textpoznpodarou"/>
        <w:rPr>
          <w:rFonts w:ascii="Times New Roman" w:hAnsi="Times New Roman"/>
          <w:sz w:val="24"/>
          <w:szCs w:val="24"/>
        </w:rPr>
      </w:pPr>
      <w:r w:rsidRPr="00071AFB">
        <w:rPr>
          <w:rStyle w:val="Znakapoznpodarou"/>
          <w:rFonts w:ascii="Arial" w:hAnsi="Arial" w:cs="Arial"/>
          <w:sz w:val="18"/>
          <w:szCs w:val="24"/>
        </w:rPr>
        <w:t>1)</w:t>
      </w:r>
      <w:r w:rsidRPr="00071AFB">
        <w:rPr>
          <w:rFonts w:ascii="Times New Roman" w:hAnsi="Times New Roman"/>
          <w:sz w:val="22"/>
          <w:szCs w:val="24"/>
        </w:rPr>
        <w:t xml:space="preserve"> </w:t>
      </w:r>
      <w:r w:rsidRPr="00842215">
        <w:rPr>
          <w:rFonts w:ascii="Times New Roman" w:hAnsi="Times New Roman"/>
          <w:sz w:val="24"/>
          <w:szCs w:val="24"/>
        </w:rPr>
        <w:t xml:space="preserve"> </w:t>
      </w:r>
      <w:r w:rsidRPr="00D661F2">
        <w:rPr>
          <w:rFonts w:ascii="Arial" w:hAnsi="Arial" w:cs="Arial"/>
          <w:sz w:val="16"/>
          <w:szCs w:val="24"/>
        </w:rPr>
        <w:t>Zákon č. 235/2004 Sb., o dani z přidané hodnoty, ve znění pozdějších předpisů.</w:t>
      </w:r>
    </w:p>
    <w:p w14:paraId="736E585A" w14:textId="77777777" w:rsidR="002C25A5" w:rsidRPr="004A051D" w:rsidRDefault="002C25A5" w:rsidP="002C25A5">
      <w:pPr>
        <w:pStyle w:val="Bezmezer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5D81" w14:textId="77777777" w:rsidR="00834061" w:rsidRDefault="008340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3C4D" w14:textId="269DC9CC" w:rsidR="006318BD" w:rsidRPr="00DB096E" w:rsidRDefault="006318BD" w:rsidP="00504B96">
    <w:pPr>
      <w:pStyle w:val="Zhlav"/>
      <w:jc w:val="center"/>
      <w:rPr>
        <w:rFonts w:eastAsia="Calibri" w:cs="Arial"/>
        <w:szCs w:val="22"/>
        <w:lang w:eastAsia="en-US"/>
      </w:rPr>
    </w:pPr>
    <w:r w:rsidRPr="00DB096E">
      <w:rPr>
        <w:rFonts w:eastAsia="Calibri" w:cs="Arial"/>
        <w:i/>
        <w:noProof/>
        <w:szCs w:val="22"/>
        <w:lang w:eastAsia="en-US"/>
      </w:rPr>
      <w:t>P</w:t>
    </w:r>
    <w:r w:rsidR="001C5D04">
      <w:rPr>
        <w:rFonts w:eastAsia="Calibri" w:cs="Arial"/>
        <w:i/>
        <w:noProof/>
        <w:szCs w:val="22"/>
        <w:lang w:eastAsia="en-US"/>
      </w:rPr>
      <w:t>říloha č. 2</w:t>
    </w:r>
    <w:r w:rsidRPr="00DB096E">
      <w:rPr>
        <w:rFonts w:eastAsia="Calibri" w:cs="Arial"/>
        <w:i/>
        <w:noProof/>
        <w:szCs w:val="22"/>
        <w:lang w:eastAsia="en-US"/>
      </w:rPr>
      <w:t xml:space="preserve"> </w:t>
    </w:r>
    <w:r w:rsidR="00D5302F">
      <w:rPr>
        <w:rFonts w:eastAsia="Calibri" w:cs="Arial"/>
        <w:i/>
        <w:noProof/>
        <w:szCs w:val="22"/>
        <w:lang w:eastAsia="en-US"/>
      </w:rPr>
      <w:t>–</w:t>
    </w:r>
    <w:r w:rsidRPr="00DB096E">
      <w:rPr>
        <w:rFonts w:eastAsia="Calibri" w:cs="Arial"/>
        <w:i/>
        <w:noProof/>
        <w:szCs w:val="22"/>
        <w:lang w:eastAsia="en-US"/>
      </w:rPr>
      <w:t xml:space="preserve"> Vzorová</w:t>
    </w:r>
    <w:r w:rsidR="00D5302F">
      <w:rPr>
        <w:rFonts w:eastAsia="Calibri" w:cs="Arial"/>
        <w:i/>
        <w:noProof/>
        <w:szCs w:val="22"/>
        <w:lang w:eastAsia="en-US"/>
      </w:rPr>
      <w:t xml:space="preserve"> </w:t>
    </w:r>
    <w:r w:rsidRPr="00DB096E">
      <w:rPr>
        <w:rFonts w:eastAsia="Calibri" w:cs="Arial"/>
        <w:i/>
        <w:noProof/>
        <w:szCs w:val="22"/>
        <w:lang w:eastAsia="en-US"/>
      </w:rPr>
      <w:t>smlouva o poskytnutí dotace</w:t>
    </w:r>
  </w:p>
  <w:p w14:paraId="2E2C0B66" w14:textId="77777777" w:rsidR="006318BD" w:rsidRPr="00E05C9F" w:rsidRDefault="006318BD" w:rsidP="00F723EF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B874" w14:textId="77777777" w:rsidR="00834061" w:rsidRDefault="008340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F1CEF354"/>
    <w:lvl w:ilvl="0" w:tplc="6BA04FA0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1021158"/>
    <w:multiLevelType w:val="hybridMultilevel"/>
    <w:tmpl w:val="FEFA765A"/>
    <w:lvl w:ilvl="0" w:tplc="B6A6A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 w:numId="36">
    <w:abstractNumId w:val="5"/>
  </w:num>
  <w:num w:numId="3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4E7D"/>
    <w:rsid w:val="000078E5"/>
    <w:rsid w:val="00011A2B"/>
    <w:rsid w:val="00012102"/>
    <w:rsid w:val="00030DC7"/>
    <w:rsid w:val="000317AD"/>
    <w:rsid w:val="0003188E"/>
    <w:rsid w:val="00032ADE"/>
    <w:rsid w:val="00033925"/>
    <w:rsid w:val="000418A7"/>
    <w:rsid w:val="0004312A"/>
    <w:rsid w:val="00047DE2"/>
    <w:rsid w:val="00052B60"/>
    <w:rsid w:val="00053206"/>
    <w:rsid w:val="0005417B"/>
    <w:rsid w:val="00055689"/>
    <w:rsid w:val="000624A7"/>
    <w:rsid w:val="000637A2"/>
    <w:rsid w:val="00064B2D"/>
    <w:rsid w:val="000740CC"/>
    <w:rsid w:val="00075192"/>
    <w:rsid w:val="00080E88"/>
    <w:rsid w:val="000829FD"/>
    <w:rsid w:val="00085A86"/>
    <w:rsid w:val="000868C0"/>
    <w:rsid w:val="00087C37"/>
    <w:rsid w:val="00087E3F"/>
    <w:rsid w:val="0009050A"/>
    <w:rsid w:val="00091EBD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E28CF"/>
    <w:rsid w:val="000E4DCF"/>
    <w:rsid w:val="000F0D3E"/>
    <w:rsid w:val="000F350C"/>
    <w:rsid w:val="00102270"/>
    <w:rsid w:val="001038AB"/>
    <w:rsid w:val="00104815"/>
    <w:rsid w:val="00104CDB"/>
    <w:rsid w:val="00105DE6"/>
    <w:rsid w:val="0010623C"/>
    <w:rsid w:val="00113AD9"/>
    <w:rsid w:val="00117082"/>
    <w:rsid w:val="0012007A"/>
    <w:rsid w:val="00120088"/>
    <w:rsid w:val="00123BF2"/>
    <w:rsid w:val="00125AE2"/>
    <w:rsid w:val="00126CA3"/>
    <w:rsid w:val="00131409"/>
    <w:rsid w:val="001376B2"/>
    <w:rsid w:val="00137DE1"/>
    <w:rsid w:val="00147E38"/>
    <w:rsid w:val="0015413D"/>
    <w:rsid w:val="00155006"/>
    <w:rsid w:val="0015555F"/>
    <w:rsid w:val="00165785"/>
    <w:rsid w:val="00173241"/>
    <w:rsid w:val="001753C6"/>
    <w:rsid w:val="00175B75"/>
    <w:rsid w:val="0018071C"/>
    <w:rsid w:val="00180A86"/>
    <w:rsid w:val="001825BA"/>
    <w:rsid w:val="00182628"/>
    <w:rsid w:val="00182E56"/>
    <w:rsid w:val="00185A3E"/>
    <w:rsid w:val="00186417"/>
    <w:rsid w:val="00191529"/>
    <w:rsid w:val="00191691"/>
    <w:rsid w:val="00192BD0"/>
    <w:rsid w:val="001974F4"/>
    <w:rsid w:val="00197FC7"/>
    <w:rsid w:val="001A2976"/>
    <w:rsid w:val="001A7FCC"/>
    <w:rsid w:val="001B16B6"/>
    <w:rsid w:val="001C5D04"/>
    <w:rsid w:val="001C6C70"/>
    <w:rsid w:val="001C7BF9"/>
    <w:rsid w:val="001D0DA1"/>
    <w:rsid w:val="001D18C5"/>
    <w:rsid w:val="001D1BAB"/>
    <w:rsid w:val="001D1DCE"/>
    <w:rsid w:val="001D2CCD"/>
    <w:rsid w:val="001D4D45"/>
    <w:rsid w:val="001E04C5"/>
    <w:rsid w:val="001E061A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3A1F"/>
    <w:rsid w:val="002265EE"/>
    <w:rsid w:val="002341AA"/>
    <w:rsid w:val="0024011F"/>
    <w:rsid w:val="00241834"/>
    <w:rsid w:val="002444EF"/>
    <w:rsid w:val="00245413"/>
    <w:rsid w:val="0025033C"/>
    <w:rsid w:val="0025062F"/>
    <w:rsid w:val="00254710"/>
    <w:rsid w:val="00255E86"/>
    <w:rsid w:val="002569CA"/>
    <w:rsid w:val="00257EEB"/>
    <w:rsid w:val="00270EBF"/>
    <w:rsid w:val="00273009"/>
    <w:rsid w:val="00273B81"/>
    <w:rsid w:val="002744A4"/>
    <w:rsid w:val="00281D62"/>
    <w:rsid w:val="0028657F"/>
    <w:rsid w:val="00287E21"/>
    <w:rsid w:val="00290469"/>
    <w:rsid w:val="00294F4B"/>
    <w:rsid w:val="002A04EC"/>
    <w:rsid w:val="002A4009"/>
    <w:rsid w:val="002A4845"/>
    <w:rsid w:val="002A5877"/>
    <w:rsid w:val="002B0C7F"/>
    <w:rsid w:val="002B370F"/>
    <w:rsid w:val="002B6798"/>
    <w:rsid w:val="002C02E1"/>
    <w:rsid w:val="002C25A5"/>
    <w:rsid w:val="002C2704"/>
    <w:rsid w:val="002C2B98"/>
    <w:rsid w:val="002D41C9"/>
    <w:rsid w:val="002D5856"/>
    <w:rsid w:val="002D5B5A"/>
    <w:rsid w:val="002D6BED"/>
    <w:rsid w:val="002E1B0F"/>
    <w:rsid w:val="002E26CC"/>
    <w:rsid w:val="002E5498"/>
    <w:rsid w:val="002F121B"/>
    <w:rsid w:val="002F54D1"/>
    <w:rsid w:val="002F68A8"/>
    <w:rsid w:val="00300ADB"/>
    <w:rsid w:val="00305D1C"/>
    <w:rsid w:val="00311835"/>
    <w:rsid w:val="003137C5"/>
    <w:rsid w:val="00314695"/>
    <w:rsid w:val="003204AE"/>
    <w:rsid w:val="00320BBC"/>
    <w:rsid w:val="00320CE1"/>
    <w:rsid w:val="0032184F"/>
    <w:rsid w:val="00326038"/>
    <w:rsid w:val="00330E75"/>
    <w:rsid w:val="00332BEF"/>
    <w:rsid w:val="00332E1D"/>
    <w:rsid w:val="003331B7"/>
    <w:rsid w:val="00337CA0"/>
    <w:rsid w:val="003418E8"/>
    <w:rsid w:val="003532CD"/>
    <w:rsid w:val="00364934"/>
    <w:rsid w:val="003708BB"/>
    <w:rsid w:val="00372256"/>
    <w:rsid w:val="0038774E"/>
    <w:rsid w:val="00391828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D6BF5"/>
    <w:rsid w:val="003E258A"/>
    <w:rsid w:val="003E486D"/>
    <w:rsid w:val="003E48CC"/>
    <w:rsid w:val="003E75BA"/>
    <w:rsid w:val="003F103E"/>
    <w:rsid w:val="003F1158"/>
    <w:rsid w:val="003F1600"/>
    <w:rsid w:val="004057D5"/>
    <w:rsid w:val="004061F0"/>
    <w:rsid w:val="00406A7E"/>
    <w:rsid w:val="00407FC9"/>
    <w:rsid w:val="00412F41"/>
    <w:rsid w:val="0041410F"/>
    <w:rsid w:val="004264B3"/>
    <w:rsid w:val="00431A6A"/>
    <w:rsid w:val="00433B00"/>
    <w:rsid w:val="00433F34"/>
    <w:rsid w:val="00435A71"/>
    <w:rsid w:val="004377EA"/>
    <w:rsid w:val="00437B50"/>
    <w:rsid w:val="00441AB8"/>
    <w:rsid w:val="00446ED4"/>
    <w:rsid w:val="00447A56"/>
    <w:rsid w:val="00450F0E"/>
    <w:rsid w:val="00451875"/>
    <w:rsid w:val="00453CC2"/>
    <w:rsid w:val="00460879"/>
    <w:rsid w:val="004618CE"/>
    <w:rsid w:val="00462C16"/>
    <w:rsid w:val="00463D1C"/>
    <w:rsid w:val="00465318"/>
    <w:rsid w:val="00467862"/>
    <w:rsid w:val="00476980"/>
    <w:rsid w:val="00480C4A"/>
    <w:rsid w:val="00481029"/>
    <w:rsid w:val="00493303"/>
    <w:rsid w:val="00495D0C"/>
    <w:rsid w:val="00495FBC"/>
    <w:rsid w:val="004A22A8"/>
    <w:rsid w:val="004A2DF1"/>
    <w:rsid w:val="004A3A5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29A1"/>
    <w:rsid w:val="004D3306"/>
    <w:rsid w:val="004E7D20"/>
    <w:rsid w:val="004F6D28"/>
    <w:rsid w:val="0050034E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849BF"/>
    <w:rsid w:val="0058762C"/>
    <w:rsid w:val="00590DF3"/>
    <w:rsid w:val="00592248"/>
    <w:rsid w:val="005943EA"/>
    <w:rsid w:val="0059558A"/>
    <w:rsid w:val="00595FBD"/>
    <w:rsid w:val="00596CE9"/>
    <w:rsid w:val="005A256C"/>
    <w:rsid w:val="005A62B0"/>
    <w:rsid w:val="005A6C48"/>
    <w:rsid w:val="005C0BB2"/>
    <w:rsid w:val="005C518D"/>
    <w:rsid w:val="005D23AD"/>
    <w:rsid w:val="005D3719"/>
    <w:rsid w:val="005D4911"/>
    <w:rsid w:val="005D7BBF"/>
    <w:rsid w:val="005E1C21"/>
    <w:rsid w:val="005E2290"/>
    <w:rsid w:val="005F3AB4"/>
    <w:rsid w:val="0060055E"/>
    <w:rsid w:val="006021F9"/>
    <w:rsid w:val="006036A5"/>
    <w:rsid w:val="0060447D"/>
    <w:rsid w:val="006049B1"/>
    <w:rsid w:val="006054FE"/>
    <w:rsid w:val="0060762E"/>
    <w:rsid w:val="0061342F"/>
    <w:rsid w:val="00622204"/>
    <w:rsid w:val="00622B8D"/>
    <w:rsid w:val="006318BD"/>
    <w:rsid w:val="006403B0"/>
    <w:rsid w:val="00640B48"/>
    <w:rsid w:val="006414F6"/>
    <w:rsid w:val="00643301"/>
    <w:rsid w:val="00651661"/>
    <w:rsid w:val="00651B77"/>
    <w:rsid w:val="006612E8"/>
    <w:rsid w:val="0066224A"/>
    <w:rsid w:val="00662C3E"/>
    <w:rsid w:val="0066382F"/>
    <w:rsid w:val="00664AB8"/>
    <w:rsid w:val="00667C62"/>
    <w:rsid w:val="00670002"/>
    <w:rsid w:val="006706DF"/>
    <w:rsid w:val="00671452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A7BCD"/>
    <w:rsid w:val="006C2572"/>
    <w:rsid w:val="006C731B"/>
    <w:rsid w:val="006D1498"/>
    <w:rsid w:val="006D57BB"/>
    <w:rsid w:val="006D5CDE"/>
    <w:rsid w:val="006E0B77"/>
    <w:rsid w:val="006E68EC"/>
    <w:rsid w:val="006E709E"/>
    <w:rsid w:val="006F108E"/>
    <w:rsid w:val="006F199E"/>
    <w:rsid w:val="006F3F58"/>
    <w:rsid w:val="006F4345"/>
    <w:rsid w:val="00701A9E"/>
    <w:rsid w:val="00704BA0"/>
    <w:rsid w:val="007061A2"/>
    <w:rsid w:val="007061CC"/>
    <w:rsid w:val="00710122"/>
    <w:rsid w:val="00713C66"/>
    <w:rsid w:val="00713FCA"/>
    <w:rsid w:val="00716325"/>
    <w:rsid w:val="00721B48"/>
    <w:rsid w:val="007234B4"/>
    <w:rsid w:val="007338FE"/>
    <w:rsid w:val="00735579"/>
    <w:rsid w:val="00735CF2"/>
    <w:rsid w:val="00736299"/>
    <w:rsid w:val="00746BB8"/>
    <w:rsid w:val="00747FBD"/>
    <w:rsid w:val="00752812"/>
    <w:rsid w:val="0075392C"/>
    <w:rsid w:val="00754F6A"/>
    <w:rsid w:val="0075664A"/>
    <w:rsid w:val="00756866"/>
    <w:rsid w:val="00756D4C"/>
    <w:rsid w:val="00761E2D"/>
    <w:rsid w:val="0076276A"/>
    <w:rsid w:val="007656CF"/>
    <w:rsid w:val="00772B94"/>
    <w:rsid w:val="00773525"/>
    <w:rsid w:val="007814D5"/>
    <w:rsid w:val="00781B40"/>
    <w:rsid w:val="0079071D"/>
    <w:rsid w:val="0079310C"/>
    <w:rsid w:val="007932FE"/>
    <w:rsid w:val="00793E9C"/>
    <w:rsid w:val="00795F0E"/>
    <w:rsid w:val="007A3863"/>
    <w:rsid w:val="007A3F41"/>
    <w:rsid w:val="007A56AC"/>
    <w:rsid w:val="007A5A09"/>
    <w:rsid w:val="007B256E"/>
    <w:rsid w:val="007B5C03"/>
    <w:rsid w:val="007C0BAE"/>
    <w:rsid w:val="007C1E98"/>
    <w:rsid w:val="007C251C"/>
    <w:rsid w:val="007C2568"/>
    <w:rsid w:val="007C3F6D"/>
    <w:rsid w:val="007C4245"/>
    <w:rsid w:val="007D5CD2"/>
    <w:rsid w:val="007E2423"/>
    <w:rsid w:val="007E5428"/>
    <w:rsid w:val="007E67C3"/>
    <w:rsid w:val="007F00EF"/>
    <w:rsid w:val="007F745B"/>
    <w:rsid w:val="0080148E"/>
    <w:rsid w:val="00805DB1"/>
    <w:rsid w:val="008067EF"/>
    <w:rsid w:val="0082021C"/>
    <w:rsid w:val="00822BD0"/>
    <w:rsid w:val="008242F9"/>
    <w:rsid w:val="00827747"/>
    <w:rsid w:val="00827927"/>
    <w:rsid w:val="00834061"/>
    <w:rsid w:val="00837117"/>
    <w:rsid w:val="00840088"/>
    <w:rsid w:val="008412DC"/>
    <w:rsid w:val="008442BE"/>
    <w:rsid w:val="008448D2"/>
    <w:rsid w:val="00857124"/>
    <w:rsid w:val="0086286C"/>
    <w:rsid w:val="00870434"/>
    <w:rsid w:val="0087248D"/>
    <w:rsid w:val="00876CDB"/>
    <w:rsid w:val="00877DA7"/>
    <w:rsid w:val="0088189E"/>
    <w:rsid w:val="00882FCD"/>
    <w:rsid w:val="00883DE7"/>
    <w:rsid w:val="0088465E"/>
    <w:rsid w:val="00891D83"/>
    <w:rsid w:val="008953CD"/>
    <w:rsid w:val="00897F26"/>
    <w:rsid w:val="008A1366"/>
    <w:rsid w:val="008A6D0B"/>
    <w:rsid w:val="008B15E5"/>
    <w:rsid w:val="008B32BE"/>
    <w:rsid w:val="008B5B09"/>
    <w:rsid w:val="008C610B"/>
    <w:rsid w:val="008C6DD2"/>
    <w:rsid w:val="008D2241"/>
    <w:rsid w:val="008D660B"/>
    <w:rsid w:val="008D709A"/>
    <w:rsid w:val="008D754E"/>
    <w:rsid w:val="008F672A"/>
    <w:rsid w:val="008F6BC6"/>
    <w:rsid w:val="008F7D8F"/>
    <w:rsid w:val="009002C5"/>
    <w:rsid w:val="00902FC6"/>
    <w:rsid w:val="009156DA"/>
    <w:rsid w:val="009168A4"/>
    <w:rsid w:val="009239A0"/>
    <w:rsid w:val="00923C0E"/>
    <w:rsid w:val="009245FB"/>
    <w:rsid w:val="00927F0B"/>
    <w:rsid w:val="0093041F"/>
    <w:rsid w:val="00935E73"/>
    <w:rsid w:val="00940BA3"/>
    <w:rsid w:val="0094317B"/>
    <w:rsid w:val="00961A62"/>
    <w:rsid w:val="00961C5F"/>
    <w:rsid w:val="0096556B"/>
    <w:rsid w:val="009660A7"/>
    <w:rsid w:val="0096721C"/>
    <w:rsid w:val="00972A81"/>
    <w:rsid w:val="00977990"/>
    <w:rsid w:val="0098295E"/>
    <w:rsid w:val="00985093"/>
    <w:rsid w:val="009870E4"/>
    <w:rsid w:val="00993C71"/>
    <w:rsid w:val="00994083"/>
    <w:rsid w:val="00995D34"/>
    <w:rsid w:val="00997D25"/>
    <w:rsid w:val="009A028D"/>
    <w:rsid w:val="009A0595"/>
    <w:rsid w:val="009A062E"/>
    <w:rsid w:val="009A1805"/>
    <w:rsid w:val="009A1966"/>
    <w:rsid w:val="009A1C1E"/>
    <w:rsid w:val="009A25F1"/>
    <w:rsid w:val="009A77D2"/>
    <w:rsid w:val="009B1F6D"/>
    <w:rsid w:val="009B53D3"/>
    <w:rsid w:val="009B5B94"/>
    <w:rsid w:val="009C1E30"/>
    <w:rsid w:val="009C2551"/>
    <w:rsid w:val="009D1C67"/>
    <w:rsid w:val="009D227E"/>
    <w:rsid w:val="009D22AB"/>
    <w:rsid w:val="009D2CA0"/>
    <w:rsid w:val="009D7753"/>
    <w:rsid w:val="009E5876"/>
    <w:rsid w:val="009F0135"/>
    <w:rsid w:val="009F7C13"/>
    <w:rsid w:val="00A15F8D"/>
    <w:rsid w:val="00A17CB5"/>
    <w:rsid w:val="00A21725"/>
    <w:rsid w:val="00A3097A"/>
    <w:rsid w:val="00A30FB1"/>
    <w:rsid w:val="00A34203"/>
    <w:rsid w:val="00A370F0"/>
    <w:rsid w:val="00A44CE2"/>
    <w:rsid w:val="00A44EC9"/>
    <w:rsid w:val="00A461F8"/>
    <w:rsid w:val="00A4639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6BF8"/>
    <w:rsid w:val="00A87C4C"/>
    <w:rsid w:val="00A91811"/>
    <w:rsid w:val="00A9530E"/>
    <w:rsid w:val="00AA20C0"/>
    <w:rsid w:val="00AA4BE5"/>
    <w:rsid w:val="00AA6EC4"/>
    <w:rsid w:val="00AB01C6"/>
    <w:rsid w:val="00AB1980"/>
    <w:rsid w:val="00AB21DF"/>
    <w:rsid w:val="00AB4D81"/>
    <w:rsid w:val="00AB65E7"/>
    <w:rsid w:val="00AC1BB2"/>
    <w:rsid w:val="00AC1DFC"/>
    <w:rsid w:val="00AC487C"/>
    <w:rsid w:val="00AC61F0"/>
    <w:rsid w:val="00AD37CB"/>
    <w:rsid w:val="00AD6BC9"/>
    <w:rsid w:val="00AE0F49"/>
    <w:rsid w:val="00AF0B67"/>
    <w:rsid w:val="00AF2E3E"/>
    <w:rsid w:val="00AF4D77"/>
    <w:rsid w:val="00B02BD6"/>
    <w:rsid w:val="00B07010"/>
    <w:rsid w:val="00B132FA"/>
    <w:rsid w:val="00B14886"/>
    <w:rsid w:val="00B2164E"/>
    <w:rsid w:val="00B225CC"/>
    <w:rsid w:val="00B25039"/>
    <w:rsid w:val="00B27E81"/>
    <w:rsid w:val="00B35BD8"/>
    <w:rsid w:val="00B368ED"/>
    <w:rsid w:val="00B43356"/>
    <w:rsid w:val="00B4463B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A4353"/>
    <w:rsid w:val="00BA4C27"/>
    <w:rsid w:val="00BB2B31"/>
    <w:rsid w:val="00BC1578"/>
    <w:rsid w:val="00BD02FE"/>
    <w:rsid w:val="00BD0811"/>
    <w:rsid w:val="00BF06D0"/>
    <w:rsid w:val="00BF1FA1"/>
    <w:rsid w:val="00BF4A0C"/>
    <w:rsid w:val="00BF73CE"/>
    <w:rsid w:val="00C02583"/>
    <w:rsid w:val="00C050BA"/>
    <w:rsid w:val="00C06F07"/>
    <w:rsid w:val="00C152B0"/>
    <w:rsid w:val="00C16CC4"/>
    <w:rsid w:val="00C24016"/>
    <w:rsid w:val="00C25FCB"/>
    <w:rsid w:val="00C34AEE"/>
    <w:rsid w:val="00C50725"/>
    <w:rsid w:val="00C514BA"/>
    <w:rsid w:val="00C5240D"/>
    <w:rsid w:val="00C54BB5"/>
    <w:rsid w:val="00C5541A"/>
    <w:rsid w:val="00C56B9D"/>
    <w:rsid w:val="00C718F4"/>
    <w:rsid w:val="00C72C4D"/>
    <w:rsid w:val="00C72D65"/>
    <w:rsid w:val="00C746CF"/>
    <w:rsid w:val="00C7488B"/>
    <w:rsid w:val="00C7709D"/>
    <w:rsid w:val="00C77D97"/>
    <w:rsid w:val="00C828CD"/>
    <w:rsid w:val="00C9260F"/>
    <w:rsid w:val="00C95609"/>
    <w:rsid w:val="00CA33C8"/>
    <w:rsid w:val="00CA411C"/>
    <w:rsid w:val="00CA4E0D"/>
    <w:rsid w:val="00CB27CC"/>
    <w:rsid w:val="00CC302B"/>
    <w:rsid w:val="00CC5BB8"/>
    <w:rsid w:val="00CC61D7"/>
    <w:rsid w:val="00CD3799"/>
    <w:rsid w:val="00CD604B"/>
    <w:rsid w:val="00CE55D7"/>
    <w:rsid w:val="00CE686C"/>
    <w:rsid w:val="00CF4A10"/>
    <w:rsid w:val="00D02499"/>
    <w:rsid w:val="00D05D8A"/>
    <w:rsid w:val="00D06FC8"/>
    <w:rsid w:val="00D07F6D"/>
    <w:rsid w:val="00D13688"/>
    <w:rsid w:val="00D136D6"/>
    <w:rsid w:val="00D21E24"/>
    <w:rsid w:val="00D22A12"/>
    <w:rsid w:val="00D24D4B"/>
    <w:rsid w:val="00D25A5E"/>
    <w:rsid w:val="00D27FE8"/>
    <w:rsid w:val="00D36A57"/>
    <w:rsid w:val="00D3701F"/>
    <w:rsid w:val="00D379BF"/>
    <w:rsid w:val="00D4688B"/>
    <w:rsid w:val="00D52CD4"/>
    <w:rsid w:val="00D5302F"/>
    <w:rsid w:val="00D55AB5"/>
    <w:rsid w:val="00D6242F"/>
    <w:rsid w:val="00D631A4"/>
    <w:rsid w:val="00D66D3C"/>
    <w:rsid w:val="00D7169E"/>
    <w:rsid w:val="00D72642"/>
    <w:rsid w:val="00D72918"/>
    <w:rsid w:val="00D82237"/>
    <w:rsid w:val="00D85389"/>
    <w:rsid w:val="00D92F91"/>
    <w:rsid w:val="00D9518E"/>
    <w:rsid w:val="00D964A0"/>
    <w:rsid w:val="00D96C9D"/>
    <w:rsid w:val="00D972E5"/>
    <w:rsid w:val="00DA6790"/>
    <w:rsid w:val="00DB096E"/>
    <w:rsid w:val="00DB2316"/>
    <w:rsid w:val="00DB604B"/>
    <w:rsid w:val="00DC1EE7"/>
    <w:rsid w:val="00DD006E"/>
    <w:rsid w:val="00DD0994"/>
    <w:rsid w:val="00DD0E13"/>
    <w:rsid w:val="00DD3418"/>
    <w:rsid w:val="00DD3CDE"/>
    <w:rsid w:val="00DD4647"/>
    <w:rsid w:val="00DD5C17"/>
    <w:rsid w:val="00DE04AB"/>
    <w:rsid w:val="00DE5331"/>
    <w:rsid w:val="00DE5C87"/>
    <w:rsid w:val="00DE73C9"/>
    <w:rsid w:val="00DF20D1"/>
    <w:rsid w:val="00DF506C"/>
    <w:rsid w:val="00E076BA"/>
    <w:rsid w:val="00E1128F"/>
    <w:rsid w:val="00E125AC"/>
    <w:rsid w:val="00E16621"/>
    <w:rsid w:val="00E231FD"/>
    <w:rsid w:val="00E2397D"/>
    <w:rsid w:val="00E24ACF"/>
    <w:rsid w:val="00E30138"/>
    <w:rsid w:val="00E32851"/>
    <w:rsid w:val="00E3716C"/>
    <w:rsid w:val="00E37A8D"/>
    <w:rsid w:val="00E42600"/>
    <w:rsid w:val="00E477C6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28C6"/>
    <w:rsid w:val="00E74DF1"/>
    <w:rsid w:val="00E76A94"/>
    <w:rsid w:val="00E77198"/>
    <w:rsid w:val="00E80882"/>
    <w:rsid w:val="00E85CEA"/>
    <w:rsid w:val="00E915CC"/>
    <w:rsid w:val="00E939A3"/>
    <w:rsid w:val="00E94D15"/>
    <w:rsid w:val="00E96025"/>
    <w:rsid w:val="00EA03A7"/>
    <w:rsid w:val="00EA1748"/>
    <w:rsid w:val="00EA1D6D"/>
    <w:rsid w:val="00EA2D21"/>
    <w:rsid w:val="00EA3C1D"/>
    <w:rsid w:val="00EA4143"/>
    <w:rsid w:val="00EA4CE9"/>
    <w:rsid w:val="00EA6223"/>
    <w:rsid w:val="00EA70E5"/>
    <w:rsid w:val="00EB530C"/>
    <w:rsid w:val="00EB7574"/>
    <w:rsid w:val="00EC754A"/>
    <w:rsid w:val="00ED777F"/>
    <w:rsid w:val="00EE22C1"/>
    <w:rsid w:val="00EE5E19"/>
    <w:rsid w:val="00EE6CFC"/>
    <w:rsid w:val="00EF1DFE"/>
    <w:rsid w:val="00EF5968"/>
    <w:rsid w:val="00F02793"/>
    <w:rsid w:val="00F108B1"/>
    <w:rsid w:val="00F127AD"/>
    <w:rsid w:val="00F14F33"/>
    <w:rsid w:val="00F16892"/>
    <w:rsid w:val="00F20E03"/>
    <w:rsid w:val="00F238E8"/>
    <w:rsid w:val="00F23DE9"/>
    <w:rsid w:val="00F30FAE"/>
    <w:rsid w:val="00F31962"/>
    <w:rsid w:val="00F358A0"/>
    <w:rsid w:val="00F413F7"/>
    <w:rsid w:val="00F46436"/>
    <w:rsid w:val="00F47149"/>
    <w:rsid w:val="00F47DC5"/>
    <w:rsid w:val="00F50ADE"/>
    <w:rsid w:val="00F6468F"/>
    <w:rsid w:val="00F6546A"/>
    <w:rsid w:val="00F70CEA"/>
    <w:rsid w:val="00F71511"/>
    <w:rsid w:val="00F723EF"/>
    <w:rsid w:val="00F74220"/>
    <w:rsid w:val="00F743D4"/>
    <w:rsid w:val="00F80ACF"/>
    <w:rsid w:val="00F818AC"/>
    <w:rsid w:val="00F831E5"/>
    <w:rsid w:val="00F85CE1"/>
    <w:rsid w:val="00F8729C"/>
    <w:rsid w:val="00F9452C"/>
    <w:rsid w:val="00F959AA"/>
    <w:rsid w:val="00F9712C"/>
    <w:rsid w:val="00FA1A33"/>
    <w:rsid w:val="00FA2825"/>
    <w:rsid w:val="00FA569F"/>
    <w:rsid w:val="00FA764B"/>
    <w:rsid w:val="00FB19F1"/>
    <w:rsid w:val="00FB2434"/>
    <w:rsid w:val="00FB2EC9"/>
    <w:rsid w:val="00FB3740"/>
    <w:rsid w:val="00FB3DFE"/>
    <w:rsid w:val="00FB780E"/>
    <w:rsid w:val="00FC51C6"/>
    <w:rsid w:val="00FC6878"/>
    <w:rsid w:val="00FC6DCC"/>
    <w:rsid w:val="00FD08EF"/>
    <w:rsid w:val="00FD5F27"/>
    <w:rsid w:val="00FD675F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38421"/>
  <w15:docId w15:val="{0F5945FF-1041-416F-BD69-4247E0E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  <w:style w:type="paragraph" w:styleId="Bezmezer">
    <w:name w:val="No Spacing"/>
    <w:uiPriority w:val="1"/>
    <w:qFormat/>
    <w:rsid w:val="002C25A5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C25A5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25A5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C2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hs.cz/download/Sekce_VP/VP_update/sgei_de_minimis_c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www.kr-olomoucky.cz/vyuctovani-prispevku-dotace-cl-3802.html.%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8535-57F6-4F21-B1A6-AC0383D9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4131</Words>
  <Characters>24379</Characters>
  <Application>Microsoft Office Word</Application>
  <DocSecurity>0</DocSecurity>
  <Lines>203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28454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vackova</dc:creator>
  <cp:keywords/>
  <cp:lastModifiedBy>Bernátová Martina</cp:lastModifiedBy>
  <cp:revision>17</cp:revision>
  <cp:lastPrinted>2015-01-09T07:03:00Z</cp:lastPrinted>
  <dcterms:created xsi:type="dcterms:W3CDTF">2017-04-26T06:31:00Z</dcterms:created>
  <dcterms:modified xsi:type="dcterms:W3CDTF">2017-05-31T07:20:00Z</dcterms:modified>
</cp:coreProperties>
</file>