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099"/>
        <w:gridCol w:w="11776"/>
      </w:tblGrid>
      <w:tr w:rsidR="00DF4C83">
        <w:trPr>
          <w:cantSplit/>
        </w:trPr>
        <w:tc>
          <w:tcPr>
            <w:tcW w:w="2826" w:type="dxa"/>
            <w:gridSpan w:val="2"/>
          </w:tcPr>
          <w:p w:rsidR="00DF4C83" w:rsidRDefault="00DF4C83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DF4C83">
        <w:trPr>
          <w:cantSplit/>
        </w:trPr>
        <w:tc>
          <w:tcPr>
            <w:tcW w:w="314" w:type="dxa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DF4C83" w:rsidRDefault="00D83F6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DF4C83">
        <w:trPr>
          <w:cantSplit/>
        </w:trPr>
        <w:tc>
          <w:tcPr>
            <w:tcW w:w="2826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Kč)</w:t>
            </w:r>
          </w:p>
        </w:tc>
      </w:tr>
      <w:tr w:rsidR="00DF4C83">
        <w:trPr>
          <w:cantSplit/>
        </w:trPr>
        <w:tc>
          <w:tcPr>
            <w:tcW w:w="2826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DF4C83">
        <w:trPr>
          <w:cantSplit/>
        </w:trPr>
        <w:tc>
          <w:tcPr>
            <w:tcW w:w="2826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DF4C83">
        <w:trPr>
          <w:cantSplit/>
        </w:trPr>
        <w:tc>
          <w:tcPr>
            <w:tcW w:w="2826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DF4C83" w:rsidRDefault="00DF4C83">
      <w:pPr>
        <w:sectPr w:rsidR="00DF4C83" w:rsidSect="00A940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5" w:h="11903" w:orient="landscape"/>
          <w:pgMar w:top="566" w:right="568" w:bottom="568" w:left="566" w:header="566" w:footer="568" w:gutter="0"/>
          <w:pgNumType w:start="481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826"/>
        <w:gridCol w:w="1099"/>
        <w:gridCol w:w="1727"/>
        <w:gridCol w:w="10049"/>
      </w:tblGrid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2826" w:type="dxa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NS:</w:t>
            </w:r>
          </w:p>
        </w:tc>
        <w:tc>
          <w:tcPr>
            <w:tcW w:w="1727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60609460</w:t>
            </w:r>
          </w:p>
        </w:tc>
        <w:tc>
          <w:tcPr>
            <w:tcW w:w="10049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Olomoucký kraj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7"/>
        <w:gridCol w:w="7536"/>
        <w:gridCol w:w="314"/>
        <w:gridCol w:w="785"/>
        <w:gridCol w:w="3140"/>
        <w:gridCol w:w="3141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A.1.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7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Účetní jednotka nemá informace o tom, že by byl porušen princip nepřetržitého trvání.</w:t>
            </w:r>
          </w:p>
        </w:tc>
      </w:tr>
      <w:tr w:rsidR="00DF4C83">
        <w:trPr>
          <w:cantSplit/>
        </w:trPr>
        <w:tc>
          <w:tcPr>
            <w:tcW w:w="15701" w:type="dxa"/>
            <w:gridSpan w:val="7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7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Vykazování syntetických účtů vychází z platné legislativy a Českých účetních standardů. Zásoby s výjimkou pohonných hmot, jsou účtovány způsobem B, netýká se kancelářských potřeb, které jsou účtovány přímo do spotřeby v souladu s vnitřním předpisem. Nákup a spotřeba pohonných hmot jsou účtovány způsobem A. Pořízené zásoby se oceňují pořizovacími cenami. V souladu se změnami prováděcí vyhlášky k zákonu o účetnictví č. 410/2009 Sb. došlo ke změně metod od 1. 1. 2016 v účtování o nedokončeném majetku.</w:t>
            </w:r>
          </w:p>
        </w:tc>
      </w:tr>
      <w:tr w:rsidR="00DF4C83">
        <w:trPr>
          <w:cantSplit/>
        </w:trPr>
        <w:tc>
          <w:tcPr>
            <w:tcW w:w="15701" w:type="dxa"/>
            <w:gridSpan w:val="7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7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Majetek je oceňován v souladu s platnými právními předpisy, změny způsobu oceňování nenastaly. Majetek určený k prodeji je oceňován reálnou hodnotou k datu rozhodnutí rady o záměru prodeje (u záměrů od 1.7.2016), hladina významnosti v případě hmotného majetku je 40 tis. Kč, v případě nehmotného majetku 60 tis. Kč (rozdíl mezi reálnou hodnotou a zůstatkovou cenou u odpisovaného majetku a rozdíl mezi reálnou hodnotou a pořizovací cenou u neodpisovaného majetku). U záměrů z dřívějšího období je ocenění RH provedeno v den předání z hospodaření příspěvkové </w:t>
            </w:r>
            <w:proofErr w:type="spellStart"/>
            <w:r>
              <w:rPr>
                <w:rFonts w:ascii="Arial" w:hAnsi="Arial"/>
                <w:sz w:val="17"/>
              </w:rPr>
              <w:t>organizace.Účetní</w:t>
            </w:r>
            <w:proofErr w:type="spellEnd"/>
            <w:r>
              <w:rPr>
                <w:rFonts w:ascii="Arial" w:hAnsi="Arial"/>
                <w:sz w:val="17"/>
              </w:rPr>
              <w:t xml:space="preserve"> jednotka neprovádí daňové odpisy. Účetní jednotka provádí rovnoměrný způsob odpisování majetku měsíčně v souladu s ČÚS č. 708. Účetní jednotka vede podrozvahovou evidenci v souladu s vyhláškou č. 410/2009 Sb., ve znění pozdějších předpisů a v souladu s vnitřními předpisy. V podrozvahové evidenci je veden majetek, který byl svěřen k hospodaření příspěvkovým organizacím (účet 012, 013, 014, 019, 021, 022, 025, 029, 031, 032 a 036). V podrozvahové evidenci je rovněž veden zapůjčený majetek, včetně státního majetku. Na účtu 018 - Drobný dlouhodobý nehmotný majetek v rozsahu od 0,00 - 60 000,00 Kč, na účtu 028 - Drobný dlouhodobý hmotný majetek v rozsahu od 3 000,00 - 40 000,00 Kč, majetek s nižší cenou je evidován na účtu 902 - Jiný drobný dlouhodobý hmotný majetek. DDNM a DDHM vytvořený vlastní činností v roce 2016 nebyl pořízen. Přepočet údajů v cizích měnách na českou měnu je prováděn podle pevného kurzu, který je stanovený k 1.1. daného účetního období. Účet 419 - Ostatní fondy: fond sociálních potřeb je účtován rozvahově, fond na podporu výstavby a obnovu vodohospodářské infrastruktury výsledkově. Časové rozlišování je prováděno podle vnitřních směrnic.</w:t>
            </w:r>
          </w:p>
        </w:tc>
      </w:tr>
      <w:tr w:rsidR="00DF4C83">
        <w:trPr>
          <w:cantSplit/>
        </w:trPr>
        <w:tc>
          <w:tcPr>
            <w:tcW w:w="15701" w:type="dxa"/>
            <w:gridSpan w:val="7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DF4C83">
        <w:trPr>
          <w:cantSplit/>
        </w:trPr>
        <w:tc>
          <w:tcPr>
            <w:tcW w:w="15701" w:type="dxa"/>
            <w:gridSpan w:val="7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536" w:type="dxa"/>
            <w:tcBorders>
              <w:top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F4C83">
        <w:trPr>
          <w:cantSplit/>
        </w:trPr>
        <w:tc>
          <w:tcPr>
            <w:tcW w:w="785" w:type="dxa"/>
            <w:gridSpan w:val="2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7850" w:type="dxa"/>
            <w:gridSpan w:val="2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F4C83" w:rsidRDefault="00DF4C83">
      <w:pPr>
        <w:sectPr w:rsidR="00DF4C83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7850"/>
        <w:gridCol w:w="785"/>
        <w:gridCol w:w="3140"/>
        <w:gridCol w:w="3141"/>
      </w:tblGrid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P.I.</w:t>
            </w:r>
            <w:proofErr w:type="gramEnd"/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27 145 152 248,97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26 141 110 406,69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1 222 089,10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1 094 970,91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1 061 209,48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890 209,48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27 142 868 950,39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26 139 125 226,30</w:t>
            </w: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13 941 811,51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46 432 127,11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46 432 127,11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13 941 811,51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pohledávky z </w:t>
            </w:r>
            <w:proofErr w:type="spellStart"/>
            <w:r>
              <w:rPr>
                <w:rFonts w:ascii="Arial" w:hAnsi="Arial"/>
                <w:sz w:val="16"/>
              </w:rPr>
              <w:t>důvodou</w:t>
            </w:r>
            <w:proofErr w:type="spellEnd"/>
            <w:r>
              <w:rPr>
                <w:rFonts w:ascii="Arial" w:hAnsi="Arial"/>
                <w:sz w:val="16"/>
              </w:rPr>
              <w:t xml:space="preserve"> úplatného užívání majetku jinou osobou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6 415 619,50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22 937 635,97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2 276 417,00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2 379 676,00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4 139 202,50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20 557 959,97</w:t>
            </w: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P.V.</w:t>
            </w:r>
            <w:proofErr w:type="gramEnd"/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311 940 776,46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153 856 985,25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301 442 551,22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153 856 985,25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10 498 225,24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10 075 924,66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9 604 862,00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10 075 924,66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9 604 862,00</w:t>
            </w: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274 000 000,00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300 000 000,00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274 000 000,00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300 000 000,00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27 692 494 458,28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26 654 732 293,02</w:t>
            </w:r>
          </w:p>
        </w:tc>
      </w:tr>
      <w:tr w:rsidR="00DF4C83">
        <w:trPr>
          <w:cantSplit/>
        </w:trPr>
        <w:tc>
          <w:tcPr>
            <w:tcW w:w="15701" w:type="dxa"/>
            <w:gridSpan w:val="5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D83F6C" w:rsidRPr="00D83F6C" w:rsidRDefault="00D83F6C" w:rsidP="00D83F6C">
      <w:pPr>
        <w:jc w:val="right"/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A.5.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 (TEXT)</w:t>
            </w:r>
          </w:p>
        </w:tc>
      </w:tr>
    </w:tbl>
    <w:p w:rsidR="00DF4C83" w:rsidRDefault="00DF4C83">
      <w:pPr>
        <w:sectPr w:rsidR="00DF4C83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1"/>
      </w:tblGrid>
      <w:tr w:rsidR="00DF4C83">
        <w:trPr>
          <w:cantSplit/>
        </w:trPr>
        <w:tc>
          <w:tcPr>
            <w:tcW w:w="15701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Olomoucký kraj byl vytvořen ústavním zákonem č. 347/1997 Sb., o vytvoření vyšších územních samosprávných celků a o změně ústavního zákona České národní rady č. 1/1993 Sb., Ústava České republiky, účinným od 1. 1. 2000. Olomoucký kraj není zapsán v obchodním rejstříku.</w:t>
            </w:r>
          </w:p>
        </w:tc>
      </w:tr>
      <w:tr w:rsidR="00DF4C83">
        <w:trPr>
          <w:cantSplit/>
        </w:trPr>
        <w:tc>
          <w:tcPr>
            <w:tcW w:w="15701" w:type="dxa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Mezi datem 31. 12. 2016 a okamžikem sestavení účetní závěrky nenastaly žádné události, které by měly významný ekonomický dopad.</w:t>
            </w: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364A21" w:rsidRDefault="00364A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 (TEXT)</w:t>
            </w:r>
          </w:p>
        </w:tc>
      </w:tr>
    </w:tbl>
    <w:p w:rsidR="00DF4C83" w:rsidRDefault="00DF4C83">
      <w:pPr>
        <w:sectPr w:rsidR="00DF4C83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1"/>
      </w:tblGrid>
      <w:tr w:rsidR="00DF4C83">
        <w:trPr>
          <w:cantSplit/>
        </w:trPr>
        <w:tc>
          <w:tcPr>
            <w:tcW w:w="15701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 převodu vlastnictví k nemovitým věcem, které podléhají zápisu do katastru nemovitostí a jsou zařazeny do užívání, se zahajuje odpisování prvním dnem měsíce, který následuje po měsíci, ve kterém byl doručen návrh na vklad katastrálnímu úřadu. K 31. 12. 2016 nemá účetní jednotka podaný návrh na vklad do katastru nemovitostí, ke kterému k datu závěrky nepřišla doložka o zápisu.</w:t>
            </w:r>
          </w:p>
        </w:tc>
      </w:tr>
      <w:tr w:rsidR="00DF4C83">
        <w:trPr>
          <w:cantSplit/>
        </w:trPr>
        <w:tc>
          <w:tcPr>
            <w:tcW w:w="15701" w:type="dxa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7"/>
        <w:gridCol w:w="785"/>
        <w:gridCol w:w="7850"/>
        <w:gridCol w:w="3140"/>
        <w:gridCol w:w="3141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Netýká se - účetní jednotka Olomoucký kraj nemá fond investic.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 (ČÍSLO A TEXT)</w:t>
            </w:r>
          </w:p>
        </w:tc>
      </w:tr>
      <w:tr w:rsidR="00DF4C83">
        <w:trPr>
          <w:cantSplit/>
        </w:trPr>
        <w:tc>
          <w:tcPr>
            <w:tcW w:w="1570" w:type="dxa"/>
            <w:gridSpan w:val="3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  <w:tc>
          <w:tcPr>
            <w:tcW w:w="14131" w:type="dxa"/>
            <w:gridSpan w:val="3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průběhu roku 2016 nedošlo k významnému vzájemnému zúčtování.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C.I.1.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Jmění účetní jednotky" a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C.I.3.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Transfery na pořízení dlouhodobého majetku"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F4C83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5" w:type="dxa"/>
            <w:gridSpan w:val="2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F4C83" w:rsidRDefault="00DF4C83">
      <w:pPr>
        <w:sectPr w:rsidR="00DF4C83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8635"/>
        <w:gridCol w:w="3140"/>
        <w:gridCol w:w="3141"/>
      </w:tblGrid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C.1.</w:t>
            </w:r>
            <w:proofErr w:type="gramEnd"/>
          </w:p>
        </w:tc>
        <w:tc>
          <w:tcPr>
            <w:tcW w:w="863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57 219 161,07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576 515 729,05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C.2.</w:t>
            </w:r>
            <w:proofErr w:type="gramEnd"/>
          </w:p>
        </w:tc>
        <w:tc>
          <w:tcPr>
            <w:tcW w:w="863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26 040 296,33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22 558 665,69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 (ČÍSLO A TEXT)</w:t>
            </w:r>
          </w:p>
        </w:tc>
      </w:tr>
    </w:tbl>
    <w:p w:rsidR="00DF4C83" w:rsidRDefault="00DF4C83">
      <w:pPr>
        <w:sectPr w:rsidR="00DF4C83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4131"/>
      </w:tblGrid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  <w:tc>
          <w:tcPr>
            <w:tcW w:w="14131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Účetní jednotka Olomoucký kraj nemá majetek oceněný podle § 25 </w:t>
            </w:r>
            <w:proofErr w:type="spellStart"/>
            <w:r>
              <w:rPr>
                <w:rFonts w:ascii="Arial" w:hAnsi="Arial"/>
                <w:sz w:val="17"/>
              </w:rPr>
              <w:t>ost</w:t>
            </w:r>
            <w:proofErr w:type="spellEnd"/>
            <w:r>
              <w:rPr>
                <w:rFonts w:ascii="Arial" w:hAnsi="Arial"/>
                <w:sz w:val="17"/>
              </w:rPr>
              <w:t>. 1 písm. k) zákona nebo v případě souborů tohoto majetku podle § 71 odst. 2 písm. a)</w:t>
            </w: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 (ČÍSLO)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 (ČÍSLO)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oceněným jiným způsobem (ČÍSLO)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oceněným jiným způsobem (ČÍSLO)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 (ČÍSLO)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 (ČÍSLO A 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Pr="00364A21" w:rsidRDefault="0037011D">
            <w:pPr>
              <w:spacing w:after="0" w:line="240" w:lineRule="auto"/>
              <w:rPr>
                <w:rFonts w:ascii="Times New Roman" w:hAnsi="Times New Roman"/>
                <w:b/>
                <w:sz w:val="14"/>
              </w:rPr>
            </w:pPr>
            <w:r w:rsidRPr="00364A21">
              <w:rPr>
                <w:rFonts w:ascii="Times New Roman" w:hAnsi="Times New Roman"/>
                <w:b/>
                <w:sz w:val="14"/>
              </w:rPr>
              <w:t xml:space="preserve">0,00 </w:t>
            </w:r>
          </w:p>
        </w:tc>
      </w:tr>
      <w:tr w:rsidR="00DF4C83">
        <w:trPr>
          <w:cantSplit/>
        </w:trPr>
        <w:tc>
          <w:tcPr>
            <w:tcW w:w="1570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4131" w:type="dxa"/>
            <w:gridSpan w:val="2"/>
          </w:tcPr>
          <w:p w:rsidR="00DF4C83" w:rsidRPr="00D83F6C" w:rsidRDefault="00DF4C83" w:rsidP="00D83F6C">
            <w:pPr>
              <w:jc w:val="right"/>
              <w:rPr>
                <w:rFonts w:ascii="Arial" w:hAnsi="Arial"/>
                <w:sz w:val="17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83F6C" w:rsidRDefault="00D83F6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D83F6C" w:rsidRPr="00D83F6C" w:rsidRDefault="00D83F6C" w:rsidP="00D83F6C">
            <w:pPr>
              <w:rPr>
                <w:rFonts w:ascii="Times New Roman" w:hAnsi="Times New Roman"/>
                <w:sz w:val="14"/>
              </w:rPr>
            </w:pPr>
          </w:p>
          <w:p w:rsidR="00D83F6C" w:rsidRPr="00D83F6C" w:rsidRDefault="00D83F6C" w:rsidP="00D83F6C">
            <w:pPr>
              <w:rPr>
                <w:rFonts w:ascii="Times New Roman" w:hAnsi="Times New Roman"/>
                <w:sz w:val="14"/>
              </w:rPr>
            </w:pPr>
          </w:p>
          <w:p w:rsidR="00D83F6C" w:rsidRPr="00D83F6C" w:rsidRDefault="00D83F6C" w:rsidP="00D83F6C">
            <w:pPr>
              <w:rPr>
                <w:rFonts w:ascii="Times New Roman" w:hAnsi="Times New Roman"/>
                <w:sz w:val="14"/>
              </w:rPr>
            </w:pPr>
          </w:p>
          <w:p w:rsidR="00D83F6C" w:rsidRPr="00D83F6C" w:rsidRDefault="00D83F6C" w:rsidP="00D83F6C">
            <w:pPr>
              <w:rPr>
                <w:rFonts w:ascii="Times New Roman" w:hAnsi="Times New Roman"/>
                <w:sz w:val="14"/>
              </w:rPr>
            </w:pPr>
          </w:p>
          <w:p w:rsidR="00DF4C83" w:rsidRPr="00D83F6C" w:rsidRDefault="00DF4C83" w:rsidP="005E7E04">
            <w:pPr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F4C83" w:rsidRDefault="00DF4C83">
      <w:pPr>
        <w:sectPr w:rsidR="00DF4C83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C.I.7.</w:t>
            </w:r>
            <w:proofErr w:type="gramEnd"/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účtu 408 Opravy předcházejících účetních období byla zaúčtována vratka úroků na MŠMT 15% a MF 85% v celkové částce 274 686,75 Kč z roku 2011 - II. globální grant CZ.1.07/1.1.26 Zvyšování kvality ve vzdělávání v Olomouckém kraji II.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85 057 252,94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B.II</w:t>
            </w:r>
            <w:proofErr w:type="gramEnd"/>
            <w:r>
              <w:rPr>
                <w:rFonts w:ascii="Arial" w:hAnsi="Arial"/>
                <w:b/>
                <w:sz w:val="17"/>
              </w:rPr>
              <w:t>.28.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účtu 373 Krátkodobé poskytnuté zálohy na transfery došlo v porovnání s rokem 2015 k poklesu o 393 498 929,72 Kč - vyúčtování projektů, které byly ukončeny.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1 483 241 251,76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B.II</w:t>
            </w:r>
            <w:proofErr w:type="gramEnd"/>
            <w:r>
              <w:rPr>
                <w:rFonts w:ascii="Arial" w:hAnsi="Arial"/>
                <w:b/>
                <w:sz w:val="17"/>
              </w:rPr>
              <w:t>.32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účtu 388 Dohadné účty aktivní - došlo k nárůstu proti roku 2015 o 112 953 651,76 Kč v souvislosti s novým programovým obdobím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1 000 296 830,93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A.IV</w:t>
            </w:r>
            <w:proofErr w:type="gramEnd"/>
            <w:r>
              <w:rPr>
                <w:rFonts w:ascii="Arial" w:hAnsi="Arial"/>
                <w:b/>
                <w:sz w:val="17"/>
              </w:rPr>
              <w:t>.6.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Účet 471 Dlouhodobé poskytnuté zálohy na transfery vykazuje proti roku 2015 nárůst o 79 507 444,51 Kč v souvislosti s novým programovým obdobím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937 858 707,75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D.II</w:t>
            </w:r>
            <w:proofErr w:type="gramEnd"/>
            <w:r>
              <w:rPr>
                <w:rFonts w:ascii="Arial" w:hAnsi="Arial"/>
                <w:b/>
                <w:sz w:val="17"/>
              </w:rPr>
              <w:t>.1.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účtu 451 Dlouhodobé úvěry došlo ve srovnání s rokem 2015 k poklesu o 193 030 395,86 Kč - uhrazené splátky úvěrů zejména EIB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3 755 151 937,00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D.II</w:t>
            </w:r>
            <w:proofErr w:type="gramEnd"/>
            <w:r>
              <w:rPr>
                <w:rFonts w:ascii="Arial" w:hAnsi="Arial"/>
                <w:b/>
                <w:sz w:val="17"/>
              </w:rPr>
              <w:t>.8.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Účet 472 Dlouhodobé přijaté zálohy na transfery vykazuje proti roku 2015 zvýšení o 196 709 518,03 Kč - nové programové období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247 833 761,37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D.III</w:t>
            </w:r>
            <w:proofErr w:type="gramEnd"/>
            <w:r>
              <w:rPr>
                <w:rFonts w:ascii="Arial" w:hAnsi="Arial"/>
                <w:b/>
                <w:sz w:val="17"/>
              </w:rPr>
              <w:t>.32.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Účet 374 Krátkodobé přijaté zálohy na transfery vykazuje proti roku 2015 zvýšení o 199 966 527,79 Kč - nové programové období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917 298 061,00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F4C83" w:rsidRDefault="00DF4C83">
      <w:pPr>
        <w:sectPr w:rsidR="00DF4C83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A.I.30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Prodaný dlouhodobý hmotný majetek </w:t>
            </w:r>
            <w:proofErr w:type="spellStart"/>
            <w:r>
              <w:rPr>
                <w:rFonts w:ascii="Arial" w:hAnsi="Arial"/>
                <w:sz w:val="17"/>
              </w:rPr>
              <w:t>čninil</w:t>
            </w:r>
            <w:proofErr w:type="spellEnd"/>
            <w:r>
              <w:rPr>
                <w:rFonts w:ascii="Arial" w:hAnsi="Arial"/>
                <w:sz w:val="17"/>
              </w:rPr>
              <w:t xml:space="preserve"> 112 049 784,60 Kč.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112 049 784,60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A.I.31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Prodané pozemky činily 34 964 851,87 Kč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34 964 851,87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B.I.14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Výnosy z prodeje dlouhodobého hmotného majetku kromě pozemků činily 94 078 057,26 Kč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94 078 057,26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B.I.15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Výnosy z prodeje pozemků činily 8 845 931,00 Kč.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8 845 931,00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B.II</w:t>
            </w:r>
            <w:proofErr w:type="gramEnd"/>
            <w:r>
              <w:rPr>
                <w:rFonts w:ascii="Arial" w:hAnsi="Arial"/>
                <w:b/>
                <w:sz w:val="17"/>
              </w:rPr>
              <w:t>.2.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Na účtu 662 Úroky, který k datu </w:t>
            </w:r>
            <w:proofErr w:type="gramStart"/>
            <w:r>
              <w:rPr>
                <w:rFonts w:ascii="Arial" w:hAnsi="Arial"/>
                <w:sz w:val="17"/>
              </w:rPr>
              <w:t>31.12.2016</w:t>
            </w:r>
            <w:proofErr w:type="gramEnd"/>
            <w:r>
              <w:rPr>
                <w:rFonts w:ascii="Arial" w:hAnsi="Arial"/>
                <w:sz w:val="17"/>
              </w:rPr>
              <w:t xml:space="preserve"> vykazuje mínusový zůstatek, byly proúčtovány vratky úroků II. globálních grantů "Zvyšování kvality ve vzdělávání v Olomouckém kraji II" na MŠMT 15% a MF 85%: CZ.1.07/1.1.26, CZ.1.07/3.2.05, CZ.1.07/1.2.27 a CZ.1.07/1.3.45, celkem 971 816,45 Kč.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541 727,42-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C.V.2.</w:t>
            </w:r>
            <w:proofErr w:type="gramEnd"/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Na účtu 595 Dodatečné odvody daně z příjmů byla zaúčtována korekce daně z příjmu </w:t>
            </w:r>
            <w:proofErr w:type="spellStart"/>
            <w:r>
              <w:rPr>
                <w:rFonts w:ascii="Arial" w:hAnsi="Arial"/>
                <w:sz w:val="17"/>
              </w:rPr>
              <w:t>právníckých</w:t>
            </w:r>
            <w:proofErr w:type="spellEnd"/>
            <w:r>
              <w:rPr>
                <w:rFonts w:ascii="Arial" w:hAnsi="Arial"/>
                <w:sz w:val="17"/>
              </w:rPr>
              <w:t xml:space="preserve"> osob za rok 2015 na základě daňového přiznání, zpracovaného daňovým poradenstvím.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728 400,00-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F4C83" w:rsidRDefault="00DF4C83">
      <w:pPr>
        <w:sectPr w:rsidR="00DF4C83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Přehled o peněžních tocích je sestavován od </w:t>
            </w:r>
            <w:proofErr w:type="spellStart"/>
            <w:r>
              <w:rPr>
                <w:rFonts w:ascii="Arial" w:hAnsi="Arial"/>
                <w:sz w:val="17"/>
              </w:rPr>
              <w:t>rioku</w:t>
            </w:r>
            <w:proofErr w:type="spellEnd"/>
            <w:r>
              <w:rPr>
                <w:rFonts w:ascii="Arial" w:hAnsi="Arial"/>
                <w:sz w:val="17"/>
              </w:rPr>
              <w:t xml:space="preserve"> 2011. Peněžní toky z provozní činnosti byly proti roku 2015 ovlivněny změnou stavu opravných položek (vytvoření opravné položky k účtu 061 - NOK, opravné položky 192 a 194 k pohledávkám), prodejem dlouhodobého majetku, změnou stavu krátkodobých pohledávek, závazků a stavu zásob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1 181 271 277,26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B.II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roce 2016 došlo ke zvýšení příjmů z prodeje dlouhodobého majetku určeného k prodeji proti roku 2015 o 87 234 390,60 Kč.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102 923 988,26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Celková změna stavu peněžních prostředků meziročně o 595 895 024,00 Kč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375 954 737,32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Stav peněžních prostředků k rozvahovému dni </w:t>
            </w:r>
            <w:proofErr w:type="gramStart"/>
            <w:r>
              <w:rPr>
                <w:rFonts w:ascii="Arial" w:hAnsi="Arial"/>
                <w:sz w:val="17"/>
              </w:rPr>
              <w:t>31.12.2016</w:t>
            </w:r>
            <w:proofErr w:type="gramEnd"/>
            <w:r>
              <w:rPr>
                <w:rFonts w:ascii="Arial" w:hAnsi="Arial"/>
                <w:sz w:val="17"/>
              </w:rPr>
              <w:t xml:space="preserve"> se meziročně zvýšil o 640 857 802,25 Kč.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1 016 812 539,57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942"/>
        <w:gridCol w:w="11775"/>
        <w:gridCol w:w="2356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 (TEXT)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F4C83" w:rsidRDefault="00DF4C83">
      <w:pPr>
        <w:sectPr w:rsidR="00DF4C83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1775"/>
        <w:gridCol w:w="2356"/>
      </w:tblGrid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A.I.</w:t>
            </w:r>
            <w:proofErr w:type="gramEnd"/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Výkaz je sestavován od roku 2011, jmění účetní jednotky je ovlivněno zejména z důvodu svěření majetku příspěvkovým organizacím v souvislosti s předáním dokončeného dlouhodobého majetku, případně převody majetku ze zřizovaných příspěvkových organizací zpět na zřizovatele z důvodu prodeje. Dále se na tomto účtu promítá vedení účtu 419 Ostatní fondy rozvahově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1 869 928 535,67-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A.III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na pořízení dlouhodobého majetku - proti minulému období došlo ke změně o 51 884 945,22 Kč - v souvislosti s předáním dokončeného dlouhodobého majetku příspěvkovým organizacím včetně poskytnutých transferů.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710 288 126,33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A.V.</w:t>
            </w:r>
            <w:proofErr w:type="gramEnd"/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Oceňovací rozdíly při prvotním použití metody - stav proti roku 2015 se nezměnil, v roce 2016 nebyl účetní pohyb.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2 041 706 204,40-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A.VI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Částka 4 612 414,87 Kč je stav účtu 407 - Jiné oceňovací rozdíly- proúčtování reálné hodnoty záměru prodeje staveb a pozemků OLÚ Paseka, vedený v účetnictví Olomouckého kraje.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4 612 414,87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A.VII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11775" w:type="dxa"/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účtu 408 - Opravy předcházejících účetních období byla zaúčtována vratka úroků na MŠMT 15% a MF ČR 85% v celkové částce 274 686,75 Kč z roku 2011 - projekt II. globální grant CZ.1.07/1.1.26 Zvyšování kvality ve vzdělávání v Olomouckém kraji II.</w:t>
            </w:r>
          </w:p>
        </w:tc>
        <w:tc>
          <w:tcPr>
            <w:tcW w:w="2356" w:type="dxa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85 057 252,94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1932"/>
        <w:gridCol w:w="3141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celky, svazky obcí, regionální rady regionů soudržnosti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2560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2" w:type="dxa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DF4C83" w:rsidRDefault="00DF4C83">
      <w:pPr>
        <w:sectPr w:rsidR="00DF4C83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1932"/>
        <w:gridCol w:w="3141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G.I.</w:t>
            </w:r>
            <w:proofErr w:type="gramEnd"/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50 242 526,50</w:t>
            </w: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75 365 434,06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72 217 622,00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3 147 812,06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82 494 069,20</w:t>
            </w: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43 113 891,36</w:t>
            </w:r>
          </w:p>
        </w:tc>
      </w:tr>
      <w:tr w:rsidR="00DF4C83">
        <w:trPr>
          <w:cantSplit/>
        </w:trPr>
        <w:tc>
          <w:tcPr>
            <w:tcW w:w="15701" w:type="dxa"/>
            <w:gridSpan w:val="3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DF4C83" w:rsidRDefault="00DF4C83">
      <w:pPr>
        <w:sectPr w:rsidR="00DF4C83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.3. Stavby" výkazu rozvahy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F4C8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DF4C8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3 219 512 142,52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997 696 787,34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2 221 815 355,18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2 220 021 055,48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G.1.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3 917 990,54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259 591,00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3 658 399,54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3 031 146,58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G.2.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2 208 582 069,82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674 612 379,00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1 533 969 690,82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1 505 087 533,12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G.3.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514 135 458,61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169 842 887,00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344 292 571,61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356 580 655,47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G.4.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227 003 343,59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48 770 703,34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178 232 640,25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188 582 658,50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G.5.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167 661 403,51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71 845 423,00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95 815 980,51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99 706 728,51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G.6.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98 211 876,45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32 365 804,00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65 846 072,45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67 032 333,30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.1. Pozemky" výkazu rozvahy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F4C8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DF4C8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280"/>
        <w:gridCol w:w="2198"/>
        <w:gridCol w:w="2198"/>
        <w:gridCol w:w="2198"/>
        <w:gridCol w:w="2199"/>
      </w:tblGrid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61 084 786,27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61 084 786,27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61 187 764,27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H.1.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7 840 122,15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7 840 122,15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7 840 122,15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H.2.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H.3.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5 463 177,36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5 463 177,36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5 463 177,36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H.4.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8 827 655,42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8 827 655,42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8 827 655,42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H.5.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38 953 831,34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38 953 831,34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39 056 809,34</w:t>
            </w:r>
          </w:p>
        </w:tc>
      </w:tr>
      <w:tr w:rsidR="00DF4C83">
        <w:trPr>
          <w:cantSplit/>
        </w:trPr>
        <w:tc>
          <w:tcPr>
            <w:tcW w:w="15701" w:type="dxa"/>
            <w:gridSpan w:val="6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I.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Náklady z přecenění reálnou hodnotou" výkazu zisku a ztráty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F4C8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F4C83" w:rsidRDefault="00DF4C83">
      <w:pPr>
        <w:sectPr w:rsidR="00DF4C83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27 236 611,94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7 754 396,16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I.1.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27 236 611,94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7 754 396,16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I.2.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F4C83" w:rsidRDefault="00DF4C83">
      <w:pPr>
        <w:sectPr w:rsidR="00DF4C83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Doplňující informace k 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položce "B.II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Výnosy z přecenění reálnou hodnotou" výkazu zisku a ztráty</w:t>
            </w:r>
          </w:p>
        </w:tc>
      </w:tr>
      <w:tr w:rsidR="00DF4C83">
        <w:trPr>
          <w:cantSplit/>
        </w:trPr>
        <w:tc>
          <w:tcPr>
            <w:tcW w:w="15701" w:type="dxa"/>
            <w:gridSpan w:val="4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F4C8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F4C83" w:rsidRDefault="00DF4C83">
      <w:pPr>
        <w:sectPr w:rsidR="00DF4C83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8792"/>
        <w:gridCol w:w="3140"/>
        <w:gridCol w:w="3141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108 284 376,39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17 607 031,65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J.1.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108 284 376,39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17 607 031,65</w:t>
            </w:r>
          </w:p>
        </w:tc>
      </w:tr>
      <w:tr w:rsidR="00DF4C83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J.2.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F4C83" w:rsidRDefault="00DF4C83">
      <w:pPr>
        <w:sectPr w:rsidR="00DF4C83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K.</w:t>
            </w:r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poskytnutým garancím</w:t>
            </w: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125"/>
          <w:footerReference w:type="default" r:id="rId126"/>
          <w:headerReference w:type="first" r:id="rId127"/>
          <w:footerReference w:type="first" r:id="rId1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14916"/>
      </w:tblGrid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K1.</w:t>
            </w:r>
          </w:p>
        </w:tc>
        <w:tc>
          <w:tcPr>
            <w:tcW w:w="14916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jednorázovým</w:t>
            </w: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K2.</w:t>
            </w:r>
          </w:p>
        </w:tc>
        <w:tc>
          <w:tcPr>
            <w:tcW w:w="14916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ostatním</w:t>
            </w: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2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Poznámky k vyplnění: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IČ je identifikační číslo osoby (číselný kód k jednoznačné identifikaci subjektu), které jí bylo přiděleno Českým statistickým úřadem, Obchodním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rejstříkem nebo živnostenským úřadem. IČ by mělo být unikátní. V tomto sloupci uvede účetní jednotka IČ osoby (účetní jednotky), v jejíž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prospěch byla garance poskytnuta.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v jejíž prospěch byla garance poskytnuta. Název představuje označení, pod kterým účetní jednotka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provozuje svoji činnost. Obchodním jménem účetní jednotky zapsané do obchodního rejstříku je obchodní firma.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IČ je identifikační číslo osoby (číselný kód k jednoznačné identifikaci subjektu), které jí bylo přiděleno Českým statistickým úřadem, Obchodním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rejstříkem nebo živnostenským úřadem. IČ by mělo být unikátní.  V tomto sloupci uvede účetní jednotka IČ účetní jednotky (účetní jednotky), za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jejíž závazek byla garance poskytnuta.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za jejíž závazek byla poskytnuta garance. Název představuje označení, pod kterým účetní jednotka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provozuje svoji činnost. Obchodním jménem účetní jednotky </w:t>
            </w:r>
            <w:proofErr w:type="spellStart"/>
            <w:r>
              <w:rPr>
                <w:rFonts w:ascii="Arial" w:hAnsi="Arial"/>
                <w:i/>
                <w:sz w:val="14"/>
              </w:rPr>
              <w:t>zapsáné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do obchodního rejstříku je obchodní firma.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5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Datumem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poskytnutí garance se rozumí její zachycení v podrozvaze. Okamžikem vzniku podmíněného závazku se rozumí den poskytnutí písemného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prohlášení ručitele </w:t>
            </w:r>
            <w:proofErr w:type="spellStart"/>
            <w:r>
              <w:rPr>
                <w:rFonts w:ascii="Arial" w:hAnsi="Arial"/>
                <w:i/>
                <w:sz w:val="14"/>
              </w:rPr>
              <w:t>veřiteli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o ručení za závazky dlužníka vůči věřiteli (včetně podpisu avalu směnky), není-li dohodnuto jinak, podpisu záruční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listiny, schválení zákona o poskytnutí záruky Českou republikou.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Výše zajištěné pohledávky k aktuálnímu či poslednímu rozvahovému dni.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Den a měsíc účetního období, za které je sestavována účetní závěrka, a v němž došlo k plnění vyplývajícímu z garance. Plněním se rozumí realizace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garance, neboli úplné či částečné převzetí dluhu za původního dlužníka z titulu poskytnuté garance, neboť dlužník není schopen splatit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pohledávku </w:t>
            </w:r>
            <w:proofErr w:type="spellStart"/>
            <w:r>
              <w:rPr>
                <w:rFonts w:ascii="Arial" w:hAnsi="Arial"/>
                <w:i/>
                <w:sz w:val="14"/>
              </w:rPr>
              <w:t>vznikou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ručiteli z realizace garance.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8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 uhrazené pohledávky z titulu ručení či záruky v účetním období, za které je sestavována podrozvaha.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Souhrn dosavadních plnění (úhrad realizovaných ručitelem) z titulu konkrétního ručení či záruky.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jednotka uvede číslo dle následujícího výčtu: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1 - Půjčky (zápůjčky), úvěry, návratné finanční výpomoci, 2 - Dluhové cenné papíry (včetně směnek), 3 - Přijaté vklady a depozita,</w:t>
            </w:r>
          </w:p>
        </w:tc>
      </w:tr>
      <w:tr w:rsidR="00DF4C83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4 - Ostatní dlouhodobé závazky.</w:t>
            </w:r>
          </w:p>
        </w:tc>
      </w:tr>
    </w:tbl>
    <w:p w:rsidR="00DF4C83" w:rsidRDefault="00DF4C83">
      <w:pPr>
        <w:sectPr w:rsidR="00DF4C83">
          <w:headerReference w:type="default" r:id="rId129"/>
          <w:footerReference w:type="default" r:id="rId130"/>
          <w:headerReference w:type="first" r:id="rId131"/>
          <w:footerReference w:type="first" r:id="rId13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15073"/>
      </w:tblGrid>
      <w:tr w:rsidR="00DF4C8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L.</w:t>
            </w:r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o projektech partnerství veřejného a soukromého sektoru</w:t>
            </w: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F4C83" w:rsidRDefault="00DF4C83">
      <w:pPr>
        <w:sectPr w:rsidR="00DF4C83">
          <w:headerReference w:type="default" r:id="rId133"/>
          <w:footerReference w:type="default" r:id="rId134"/>
          <w:headerReference w:type="first" r:id="rId135"/>
          <w:footerReference w:type="first" r:id="rId13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14602"/>
      </w:tblGrid>
      <w:tr w:rsidR="00DF4C83">
        <w:trPr>
          <w:cantSplit/>
        </w:trPr>
        <w:tc>
          <w:tcPr>
            <w:tcW w:w="15701" w:type="dxa"/>
            <w:gridSpan w:val="2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Poznámky k vyplnění: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a název veřejné zakázky, jak je uveden ve Věstníku veřejných zakázek.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Podle charakteru služeb, které jsou předmětem veřejné zakázky, uvede účetní jednotka odpovídající písmenné označení z následujícího výčtu: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 - Dopravní infrastruktura, B - Vzdělávání a související služby, C - Vodovody, kanalizace a nakládání s odpady, D - Sociální služby,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 - Zdravotnické služby, F - Teplo, energie, G - Ostatní.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 až 7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Předpokládaný nebo skutečný rok zahájení a rok ukončení stavby, pokud je stavba součástí předmětné veřejné zakázky.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 až 12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dodavatele na pořízení majetku v jednotlivých letech.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13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na pořízení majetku v celkové výši od uzavření smlouvy.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14 a 15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Rok zahájení a rok ukončení plateb poskytovaných účetní jednotkou dodavateli.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16,18,20,22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Celkové platby za dostupnost hrazené účetní jednotkou dodavateli. Obvykle zahrnují tak zvanou servisní složku, úhradu nákladů na pořízení majetku,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F4C8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úhradu nákladů na externí dluhové financování a další.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17,19,21,23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Investiční složka platby za </w:t>
            </w:r>
            <w:proofErr w:type="gramStart"/>
            <w:r>
              <w:rPr>
                <w:rFonts w:ascii="Arial" w:hAnsi="Arial"/>
                <w:i/>
                <w:sz w:val="14"/>
              </w:rPr>
              <w:t>dostupnost, neboli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výdaje na pořízení majetku v jednotlivých letech.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24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Celkové výdaje na pořízení majetku v platbách za dostupnost.</w:t>
            </w:r>
          </w:p>
        </w:tc>
      </w:tr>
      <w:tr w:rsidR="00DF4C83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25 až 29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DF4C83" w:rsidRDefault="00D83F6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Další plnění zadavatele v souvislosti s projektem (například nákup pozemků, úvěr poskytnutý dodavateli a další).</w:t>
            </w:r>
          </w:p>
        </w:tc>
      </w:tr>
    </w:tbl>
    <w:p w:rsidR="00DF4C83" w:rsidRDefault="00DF4C83">
      <w:pPr>
        <w:sectPr w:rsidR="00DF4C83">
          <w:headerReference w:type="default" r:id="rId137"/>
          <w:footerReference w:type="default" r:id="rId138"/>
          <w:headerReference w:type="first" r:id="rId139"/>
          <w:footerReference w:type="first" r:id="rId14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0"/>
        <w:gridCol w:w="7851"/>
      </w:tblGrid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 w:rsidTr="00535E33">
        <w:trPr>
          <w:cantSplit/>
          <w:trHeight w:val="400"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7850" w:type="dxa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7851" w:type="dxa"/>
          </w:tcPr>
          <w:p w:rsidR="00DF4C83" w:rsidRDefault="00DF4C8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15701" w:type="dxa"/>
            <w:gridSpan w:val="2"/>
          </w:tcPr>
          <w:p w:rsidR="00DF4C83" w:rsidRDefault="00DF4C8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F4C83">
        <w:trPr>
          <w:cantSplit/>
        </w:trPr>
        <w:tc>
          <w:tcPr>
            <w:tcW w:w="7850" w:type="dxa"/>
            <w:tcMar>
              <w:bottom w:w="10" w:type="dxa"/>
            </w:tcMar>
            <w:vAlign w:val="bottom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851" w:type="dxa"/>
            <w:tcMar>
              <w:bottom w:w="10" w:type="dxa"/>
            </w:tcMar>
            <w:vAlign w:val="bottom"/>
          </w:tcPr>
          <w:p w:rsidR="00DF4C83" w:rsidRDefault="00DF4C83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</w:tr>
    </w:tbl>
    <w:p w:rsidR="00D83F6C" w:rsidRDefault="00D83F6C"/>
    <w:sectPr w:rsidR="00D83F6C">
      <w:headerReference w:type="default" r:id="rId141"/>
      <w:footerReference w:type="default" r:id="rId142"/>
      <w:headerReference w:type="first" r:id="rId143"/>
      <w:footerReference w:type="first" r:id="rId144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CA" w:rsidRDefault="000250CA">
      <w:pPr>
        <w:spacing w:after="0" w:line="240" w:lineRule="auto"/>
      </w:pPr>
      <w:r>
        <w:separator/>
      </w:r>
    </w:p>
  </w:endnote>
  <w:endnote w:type="continuationSeparator" w:id="0">
    <w:p w:rsidR="000250CA" w:rsidRDefault="0002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3E" w:rsidRDefault="00A9403E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FE0440" w:rsidRDefault="00FE7909" w:rsidP="00FE044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FE0440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FE0440" w:rsidRDefault="00FE0440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</w:t>
          </w:r>
          <w:r w:rsidR="00AB0897">
            <w:rPr>
              <w:rFonts w:ascii="Arial" w:hAnsi="Arial"/>
              <w:i/>
              <w:sz w:val="14"/>
            </w:rPr>
            <w:t xml:space="preserve"> 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FE0440" w:rsidRDefault="00FE7909" w:rsidP="00FE044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FE0440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FE0440" w:rsidRDefault="00FE0440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FE0440" w:rsidRDefault="00FE7909" w:rsidP="00FE044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FE0440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FE0440" w:rsidRDefault="00FE0440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</w:t>
          </w:r>
          <w:r w:rsidR="004F76D0">
            <w:rPr>
              <w:rFonts w:ascii="Arial" w:hAnsi="Arial"/>
              <w:i/>
              <w:sz w:val="14"/>
            </w:rPr>
            <w:t xml:space="preserve">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FE0440" w:rsidRDefault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FE0440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FE0440" w:rsidRDefault="00FE0440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FE0440" w:rsidRDefault="00FE7909" w:rsidP="00FE044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FE0440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FE0440" w:rsidRDefault="00FE0440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 w:rsidP="00FE044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3E" w:rsidRDefault="00A9403E">
    <w:pPr>
      <w:pStyle w:val="Zpa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490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 w:rsidP="00535E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491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 w:rsidP="00535E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535E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  <w:p w:rsidR="00535E33" w:rsidRDefault="00535E33" w:rsidP="00535E3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492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 xml:space="preserve">: Příloha 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493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 w:rsidP="00535E3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 xml:space="preserve">: Příloha 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494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FE0440" w:rsidRDefault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FE0440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FE0440" w:rsidRDefault="00FE0440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495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535E33" w:rsidRDefault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535E33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535E33" w:rsidRDefault="00535E33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B0897">
            <w:rPr>
              <w:rFonts w:ascii="Arial" w:hAnsi="Arial"/>
              <w:i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496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bookmarkStart w:id="0" w:name="_GoBack"/>
          <w:bookmarkEnd w:id="0"/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E7909" w:rsidRDefault="00FE7909" w:rsidP="00FE790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FE0440" w:rsidRDefault="00FE7909" w:rsidP="00FE044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D90D6F">
            <w:rPr>
              <w:rFonts w:ascii="Arial" w:hAnsi="Arial"/>
              <w:i/>
              <w:sz w:val="14"/>
            </w:rPr>
            <w:t xml:space="preserve">.1. - </w:t>
          </w:r>
          <w:r w:rsidR="00FE0440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FE0440" w:rsidRDefault="00FE0440" w:rsidP="00AB089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</w:t>
          </w:r>
          <w:r w:rsidR="00AB0897">
            <w:rPr>
              <w:rFonts w:ascii="Arial" w:hAnsi="Arial"/>
              <w:i/>
              <w:sz w:val="14"/>
            </w:rPr>
            <w:t xml:space="preserve"> 18</w:t>
          </w:r>
          <w:r>
            <w:rPr>
              <w:rFonts w:ascii="Arial" w:hAnsi="Arial"/>
              <w:i/>
              <w:sz w:val="14"/>
            </w:rPr>
            <w:t>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 w:rsidP="00D43B4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43B43">
            <w:rPr>
              <w:rFonts w:ascii="Arial" w:hAnsi="Arial"/>
              <w:i/>
              <w:noProof/>
              <w:sz w:val="14"/>
            </w:rPr>
            <w:t>484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D43B43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D83F6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08:53:39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454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F76D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CA" w:rsidRDefault="000250CA">
      <w:pPr>
        <w:spacing w:after="0" w:line="240" w:lineRule="auto"/>
      </w:pPr>
      <w:r>
        <w:separator/>
      </w:r>
    </w:p>
  </w:footnote>
  <w:footnote w:type="continuationSeparator" w:id="0">
    <w:p w:rsidR="000250CA" w:rsidRDefault="0002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3E" w:rsidRDefault="00A9403E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A.5.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18 odst. 3 písm. b) zákona (TEXT)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B.1.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 (TEXT)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157"/>
      <w:gridCol w:w="2041"/>
      <w:gridCol w:w="5024"/>
      <w:gridCol w:w="1570"/>
      <w:gridCol w:w="3140"/>
      <w:gridCol w:w="3141"/>
    </w:tblGrid>
    <w:tr w:rsidR="00D83F6C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0" w:type="auto"/>
          <w:gridSpan w:val="6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C.I.1.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Jmění účetní jednotky" a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C.I.3.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Transfery na pořízení dlouhodobého majetku"</w:t>
          </w:r>
        </w:p>
      </w:tc>
    </w:tr>
    <w:tr w:rsidR="00D83F6C">
      <w:trPr>
        <w:cantSplit/>
      </w:trPr>
      <w:tc>
        <w:tcPr>
          <w:tcW w:w="0" w:type="auto"/>
          <w:gridSpan w:val="7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83F6C">
      <w:trPr>
        <w:cantSplit/>
      </w:trPr>
      <w:tc>
        <w:tcPr>
          <w:tcW w:w="0" w:type="auto"/>
          <w:gridSpan w:val="2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D.1.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 (ČÍSLO A TEXT)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(TEXT)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3E" w:rsidRDefault="00A9403E">
    <w:pPr>
      <w:pStyle w:val="Zhlav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E.2.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výkazu zisku a ztráty (TEXT)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E.3.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peněžních tocích (TEXT)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E.4.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změnách vlastního kapitálu (TEXT)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14"/>
      <w:gridCol w:w="2512"/>
      <w:gridCol w:w="1099"/>
      <w:gridCol w:w="3925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gridSpan w:val="2"/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PŘÍLOHA</w:t>
          </w:r>
        </w:p>
      </w:tc>
    </w:tr>
    <w:tr w:rsidR="00D83F6C">
      <w:trPr>
        <w:cantSplit/>
      </w:trPr>
      <w:tc>
        <w:tcPr>
          <w:tcW w:w="0" w:type="auto"/>
        </w:tcPr>
        <w:p w:rsidR="00D83F6C" w:rsidRDefault="00D83F6C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D83F6C" w:rsidRDefault="00D83F6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</w:t>
          </w:r>
        </w:p>
      </w:tc>
    </w:tr>
    <w:tr w:rsidR="00D83F6C">
      <w:trPr>
        <w:cantSplit/>
      </w:trPr>
      <w:tc>
        <w:tcPr>
          <w:tcW w:w="0" w:type="auto"/>
          <w:gridSpan w:val="2"/>
        </w:tcPr>
        <w:p w:rsidR="00D83F6C" w:rsidRDefault="00D83F6C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D83F6C" w:rsidRDefault="00D83F6C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  <w:gridSpan w:val="2"/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D83F6C">
      <w:trPr>
        <w:cantSplit/>
      </w:trPr>
      <w:tc>
        <w:tcPr>
          <w:tcW w:w="0" w:type="auto"/>
          <w:gridSpan w:val="2"/>
        </w:tcPr>
        <w:p w:rsidR="00D83F6C" w:rsidRDefault="00D83F6C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D83F6C" w:rsidRDefault="00D83F6C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  <w:gridSpan w:val="2"/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4710"/>
      <w:gridCol w:w="314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0" w:type="auto"/>
          <w:gridSpan w:val="4"/>
          <w:tcBorders>
            <w:top w:val="single" w:sz="0" w:space="0" w:color="auto"/>
          </w:tcBorders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D83F6C">
      <w:trPr>
        <w:cantSplit/>
      </w:trPr>
      <w:tc>
        <w:tcPr>
          <w:tcW w:w="0" w:type="auto"/>
          <w:gridSpan w:val="5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0" w:type="auto"/>
          <w:gridSpan w:val="7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.3. Stavby" výkazu rozvahy</w:t>
          </w:r>
        </w:p>
      </w:tc>
    </w:tr>
    <w:tr w:rsidR="00D83F6C">
      <w:trPr>
        <w:cantSplit/>
      </w:trPr>
      <w:tc>
        <w:tcPr>
          <w:tcW w:w="0" w:type="auto"/>
          <w:gridSpan w:val="8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83F6C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D83F6C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gridSpan w:val="8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gridSpan w:val="8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83F6C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D83F6C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gridSpan w:val="8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1570"/>
      <w:gridCol w:w="3140"/>
      <w:gridCol w:w="314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</w:t>
          </w:r>
        </w:p>
      </w:tc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.4. Náklady z přecenění reálnou hodnotou" výkazu zisku a ztráty</w:t>
          </w:r>
        </w:p>
      </w:tc>
    </w:tr>
    <w:tr w:rsidR="00D83F6C">
      <w:trPr>
        <w:cantSplit/>
      </w:trPr>
      <w:tc>
        <w:tcPr>
          <w:tcW w:w="0" w:type="auto"/>
          <w:gridSpan w:val="6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83F6C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1570"/>
      <w:gridCol w:w="3140"/>
      <w:gridCol w:w="314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gridSpan w:val="6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83F6C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83F6C" w:rsidRDefault="00D83F6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K.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poskytnutým garancím</w:t>
          </w:r>
        </w:p>
      </w:tc>
    </w:tr>
    <w:tr w:rsidR="00D83F6C">
      <w:trPr>
        <w:cantSplit/>
      </w:trPr>
      <w:tc>
        <w:tcPr>
          <w:tcW w:w="0" w:type="auto"/>
          <w:gridSpan w:val="4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5024"/>
      <w:gridCol w:w="7851"/>
    </w:tblGrid>
    <w:tr w:rsidR="00D83F6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3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D83F6C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L.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o projektech partnerství veřejného a soukromého sektoru</w:t>
          </w:r>
        </w:p>
      </w:tc>
    </w:tr>
    <w:tr w:rsidR="00D83F6C">
      <w:trPr>
        <w:cantSplit/>
      </w:trPr>
      <w:tc>
        <w:tcPr>
          <w:tcW w:w="0" w:type="auto"/>
          <w:gridSpan w:val="4"/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(02012017 14:16 / 201609011111)</w:t>
          </w:r>
        </w:p>
      </w:tc>
    </w:tr>
    <w:tr w:rsidR="00D83F6C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D83F6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83F6C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D83F6C" w:rsidRDefault="00D83F6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D83F6C" w:rsidRDefault="00D83F6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6C" w:rsidRDefault="00D83F6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83"/>
    <w:rsid w:val="000250CA"/>
    <w:rsid w:val="000E1C30"/>
    <w:rsid w:val="00224312"/>
    <w:rsid w:val="002D2044"/>
    <w:rsid w:val="00364A21"/>
    <w:rsid w:val="0037011D"/>
    <w:rsid w:val="004F76D0"/>
    <w:rsid w:val="00535E33"/>
    <w:rsid w:val="00591D83"/>
    <w:rsid w:val="005E7E04"/>
    <w:rsid w:val="00882599"/>
    <w:rsid w:val="00926358"/>
    <w:rsid w:val="00A9403E"/>
    <w:rsid w:val="00AB0897"/>
    <w:rsid w:val="00D43B43"/>
    <w:rsid w:val="00D83F6C"/>
    <w:rsid w:val="00D90D6F"/>
    <w:rsid w:val="00DF4C83"/>
    <w:rsid w:val="00E076C7"/>
    <w:rsid w:val="00F36709"/>
    <w:rsid w:val="00FE0440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3C1E24"/>
  <w15:docId w15:val="{86956185-E18B-4218-B48E-640818BD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F6C"/>
  </w:style>
  <w:style w:type="paragraph" w:styleId="Zpat">
    <w:name w:val="footer"/>
    <w:basedOn w:val="Normln"/>
    <w:link w:val="ZpatChar"/>
    <w:uiPriority w:val="99"/>
    <w:unhideWhenUsed/>
    <w:rsid w:val="00D8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F6C"/>
  </w:style>
  <w:style w:type="paragraph" w:styleId="Textbubliny">
    <w:name w:val="Balloon Text"/>
    <w:basedOn w:val="Normln"/>
    <w:link w:val="TextbublinyChar"/>
    <w:uiPriority w:val="99"/>
    <w:semiHidden/>
    <w:unhideWhenUsed/>
    <w:rsid w:val="0036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38" Type="http://schemas.openxmlformats.org/officeDocument/2006/relationships/footer" Target="footer66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144" Type="http://schemas.openxmlformats.org/officeDocument/2006/relationships/footer" Target="footer69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7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2.xml"/><Relationship Id="rId137" Type="http://schemas.openxmlformats.org/officeDocument/2006/relationships/header" Target="header6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40" Type="http://schemas.openxmlformats.org/officeDocument/2006/relationships/footer" Target="footer67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135" Type="http://schemas.openxmlformats.org/officeDocument/2006/relationships/header" Target="header65.xml"/><Relationship Id="rId143" Type="http://schemas.openxmlformats.org/officeDocument/2006/relationships/header" Target="header69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header" Target="header68.xml"/><Relationship Id="rId14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3166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Foret Oldřich</cp:lastModifiedBy>
  <cp:revision>13</cp:revision>
  <cp:lastPrinted>2017-05-25T09:38:00Z</cp:lastPrinted>
  <dcterms:created xsi:type="dcterms:W3CDTF">2017-04-18T08:00:00Z</dcterms:created>
  <dcterms:modified xsi:type="dcterms:W3CDTF">2017-06-02T08:18:00Z</dcterms:modified>
</cp:coreProperties>
</file>