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1851"/>
        <w:gridCol w:w="2452"/>
        <w:gridCol w:w="4790"/>
        <w:gridCol w:w="42"/>
      </w:tblGrid>
      <w:tr w:rsidR="00E537C6" w:rsidTr="00E537C6">
        <w:trPr>
          <w:gridBefore w:val="1"/>
          <w:wBefore w:w="73" w:type="dxa"/>
          <w:trHeight w:val="4123"/>
        </w:trPr>
        <w:tc>
          <w:tcPr>
            <w:tcW w:w="1851" w:type="dxa"/>
            <w:hideMark/>
          </w:tcPr>
          <w:p w:rsidR="00E537C6" w:rsidRDefault="006659F0" w:rsidP="00241CC5">
            <w:pPr>
              <w:pStyle w:val="Bezmez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53500477" r:id="rId10"/>
              </w:pict>
            </w:r>
          </w:p>
        </w:tc>
        <w:tc>
          <w:tcPr>
            <w:tcW w:w="7284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1B2185">
              <w:t>2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1B2185">
            <w:pPr>
              <w:pStyle w:val="Vbornadpis"/>
            </w:pPr>
            <w:r>
              <w:t xml:space="preserve">ze dne </w:t>
            </w:r>
            <w:r w:rsidR="001B2185">
              <w:t>5</w:t>
            </w:r>
            <w:r>
              <w:t xml:space="preserve">. </w:t>
            </w:r>
            <w:r w:rsidR="001B2185">
              <w:t>dubna</w:t>
            </w:r>
            <w:r>
              <w:t xml:space="preserve"> 201</w:t>
            </w:r>
            <w:r w:rsidR="009C7919">
              <w:t>7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2" w:rsidRDefault="00E912B2" w:rsidP="00E912B2">
            <w:pPr>
              <w:pStyle w:val="Vborptomnitext"/>
            </w:pPr>
            <w:r w:rsidRPr="00B41B8B">
              <w:t xml:space="preserve">Ing. </w:t>
            </w:r>
            <w:r>
              <w:t>Pavel Martínek</w:t>
            </w:r>
          </w:p>
          <w:p w:rsidR="00E912B2" w:rsidRDefault="00E912B2" w:rsidP="00E912B2">
            <w:pPr>
              <w:pStyle w:val="Vborptomnitext"/>
            </w:pPr>
            <w:r>
              <w:t>Jaroslav Osina</w:t>
            </w:r>
          </w:p>
          <w:p w:rsidR="00E912B2" w:rsidRPr="00B41B8B" w:rsidRDefault="00E912B2" w:rsidP="00E912B2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Jiří Vozda</w:t>
            </w:r>
          </w:p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Bartoník</w:t>
            </w:r>
          </w:p>
          <w:p w:rsidR="009C7919" w:rsidRDefault="009C7919" w:rsidP="009C7919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Přemysl Dvorský, Ph.D.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Ivana Dvořáková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Rostislav Hrdiborský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Radim Kašpar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Jiří Kroupa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Václav Kryl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Mgr. Martin Kučera, MBA, MPA</w:t>
            </w:r>
          </w:p>
          <w:p w:rsidR="000C08C5" w:rsidRPr="00FE73ED" w:rsidRDefault="000C08C5" w:rsidP="005C33FA">
            <w:pPr>
              <w:pStyle w:val="Vborptomni"/>
              <w:rPr>
                <w:b w:val="0"/>
              </w:rPr>
            </w:pPr>
            <w:r w:rsidRPr="00FE73ED">
              <w:rPr>
                <w:b w:val="0"/>
              </w:rPr>
              <w:t>Petr Měřínský</w:t>
            </w:r>
          </w:p>
          <w:p w:rsidR="000C08C5" w:rsidRPr="00FE73ED" w:rsidRDefault="000C08C5" w:rsidP="005C33FA">
            <w:pPr>
              <w:pStyle w:val="Vborptomni"/>
              <w:rPr>
                <w:b w:val="0"/>
              </w:rPr>
            </w:pPr>
            <w:r w:rsidRPr="00FE73ED">
              <w:rPr>
                <w:b w:val="0"/>
              </w:rPr>
              <w:t>Radek Pospíšilík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Michal Procházka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Jiří Roubík, Ph.D.</w:t>
            </w:r>
          </w:p>
          <w:p w:rsidR="000C08C5" w:rsidRPr="00B41B8B" w:rsidRDefault="000C08C5" w:rsidP="000C08C5">
            <w:pPr>
              <w:pStyle w:val="Vborptomnitext"/>
              <w:rPr>
                <w:b/>
              </w:rPr>
            </w:pPr>
            <w:r>
              <w:t>Ing. Radim Sršeň</w:t>
            </w:r>
            <w:r w:rsidRPr="00B41B8B">
              <w:t xml:space="preserve"> 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Kamil Štětař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Bc. Jiří Vogel</w:t>
            </w:r>
          </w:p>
          <w:p w:rsidR="005C33FA" w:rsidRPr="00B41B8B" w:rsidRDefault="005C33FA">
            <w:pPr>
              <w:pStyle w:val="Vborptomnitext"/>
            </w:pPr>
          </w:p>
          <w:p w:rsidR="00E537C6" w:rsidRPr="00B41B8B" w:rsidRDefault="00E537C6">
            <w:pPr>
              <w:pStyle w:val="Vborptomnitext"/>
            </w:pPr>
          </w:p>
          <w:p w:rsidR="00E537C6" w:rsidRPr="00B41B8B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Pr="00B41B8B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9C7919" w:rsidRDefault="009C7919" w:rsidP="009C7919">
            <w:pPr>
              <w:pStyle w:val="Vborptomnitext"/>
            </w:pPr>
            <w:r>
              <w:t>RSDr. Josef Nekl</w:t>
            </w:r>
          </w:p>
          <w:p w:rsidR="00E537C6" w:rsidRPr="00B41B8B" w:rsidRDefault="00E537C6" w:rsidP="00E912B2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Hosté: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635" w:rsidRDefault="0024517F">
            <w:pPr>
              <w:pStyle w:val="Vborptomnitext"/>
            </w:pPr>
            <w:r>
              <w:t>Ing. Radek Dosoudil</w:t>
            </w:r>
          </w:p>
          <w:p w:rsidR="002624E3" w:rsidRPr="000B3111" w:rsidRDefault="002624E3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88134E" w:rsidRDefault="0088134E" w:rsidP="00E537C6">
      <w:pPr>
        <w:pStyle w:val="Vborprogram"/>
        <w:spacing w:before="360"/>
      </w:pPr>
    </w:p>
    <w:p w:rsidR="00E537C6" w:rsidRDefault="00E537C6" w:rsidP="006E196D">
      <w:pPr>
        <w:pStyle w:val="Vborprogram"/>
        <w:spacing w:before="360" w:line="276" w:lineRule="auto"/>
      </w:pPr>
      <w:r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646CC1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646CC1" w:rsidRPr="00B7723B" w:rsidRDefault="001B2185" w:rsidP="00646CC1">
      <w:pPr>
        <w:pStyle w:val="Znak2odsazen1text"/>
      </w:pPr>
      <w:r w:rsidRPr="008D6AAF">
        <w:t>Zásady územního rozvoje Olomouckého kraje – aktualizace č. 2b</w:t>
      </w:r>
    </w:p>
    <w:p w:rsidR="00646CC1" w:rsidRDefault="001B2185" w:rsidP="00646CC1">
      <w:pPr>
        <w:pStyle w:val="Znak2odsazen1text"/>
        <w:spacing w:line="276" w:lineRule="auto"/>
        <w:outlineLvl w:val="0"/>
        <w:rPr>
          <w:szCs w:val="24"/>
        </w:rPr>
      </w:pPr>
      <w:r w:rsidRPr="008D6AAF">
        <w:rPr>
          <w:szCs w:val="24"/>
        </w:rPr>
        <w:t>Strategie rozvoje územního obvodu Olomouckého kraje – vyhodnocení za rok 2016</w:t>
      </w:r>
    </w:p>
    <w:p w:rsidR="001B2185" w:rsidRDefault="001B2185" w:rsidP="00646CC1">
      <w:pPr>
        <w:pStyle w:val="Znak2odsazen1text"/>
        <w:spacing w:line="276" w:lineRule="auto"/>
        <w:outlineLvl w:val="0"/>
        <w:rPr>
          <w:szCs w:val="24"/>
        </w:rPr>
      </w:pPr>
      <w:r w:rsidRPr="008D6AAF">
        <w:rPr>
          <w:szCs w:val="24"/>
        </w:rPr>
        <w:t>Dotační program Asistence v rámci projektu Smart Akcelerátor Olomouckého kraje</w:t>
      </w:r>
    </w:p>
    <w:p w:rsidR="001B2185" w:rsidRPr="001B2185" w:rsidRDefault="001B2185" w:rsidP="00646CC1">
      <w:pPr>
        <w:pStyle w:val="Znak2odsazen1text"/>
        <w:spacing w:line="276" w:lineRule="auto"/>
        <w:outlineLvl w:val="0"/>
        <w:rPr>
          <w:szCs w:val="24"/>
        </w:rPr>
      </w:pPr>
      <w:r w:rsidRPr="008D6AAF">
        <w:t>Dotační program Individuální žádosti v oblasti strategického rozvoje</w:t>
      </w:r>
    </w:p>
    <w:p w:rsidR="001B2185" w:rsidRPr="00646CC1" w:rsidRDefault="001B2185" w:rsidP="00646CC1">
      <w:pPr>
        <w:pStyle w:val="Znak2odsazen1text"/>
        <w:spacing w:line="276" w:lineRule="auto"/>
        <w:outlineLvl w:val="0"/>
        <w:rPr>
          <w:szCs w:val="24"/>
        </w:rPr>
      </w:pPr>
      <w:r>
        <w:rPr>
          <w:szCs w:val="24"/>
        </w:rPr>
        <w:t>Připravenost kraje na podporu a využívání informačních a komunikačních technologií</w:t>
      </w:r>
      <w:r w:rsidR="00F974CB">
        <w:rPr>
          <w:szCs w:val="24"/>
        </w:rPr>
        <w:t xml:space="preserve"> a dobudování potřebné infrastruktury</w:t>
      </w:r>
    </w:p>
    <w:p w:rsidR="00E537C6" w:rsidRPr="00B45FD2" w:rsidRDefault="00E537C6" w:rsidP="006E196D">
      <w:pPr>
        <w:pStyle w:val="Znak2odsazen1text"/>
        <w:spacing w:line="276" w:lineRule="auto"/>
        <w:outlineLvl w:val="0"/>
        <w:rPr>
          <w:szCs w:val="24"/>
        </w:rPr>
      </w:pPr>
      <w:r w:rsidRPr="00B45FD2">
        <w:rPr>
          <w:szCs w:val="24"/>
        </w:rPr>
        <w:t>Různé</w:t>
      </w:r>
    </w:p>
    <w:p w:rsidR="00E537C6" w:rsidRDefault="00E537C6" w:rsidP="006E196D">
      <w:pPr>
        <w:pStyle w:val="Vborprogram"/>
        <w:spacing w:before="240" w:after="120" w:line="276" w:lineRule="auto"/>
        <w:rPr>
          <w:sz w:val="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061183">
      <w:pPr>
        <w:pStyle w:val="slo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061183" w:rsidRDefault="00061183" w:rsidP="000611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Bc. Vogel přivítal přítomné členy a hosty a seznámil je s programem zasedání, poté vyzval členy k případnému doplnění </w:t>
      </w:r>
      <w:r w:rsidR="00E912B2">
        <w:rPr>
          <w:szCs w:val="24"/>
        </w:rPr>
        <w:t xml:space="preserve">programu </w:t>
      </w:r>
      <w:r>
        <w:rPr>
          <w:szCs w:val="24"/>
        </w:rPr>
        <w:t xml:space="preserve">– doplněn byl bod týkající se připravenosti kraje na </w:t>
      </w:r>
      <w:r w:rsidR="00E912B2">
        <w:rPr>
          <w:szCs w:val="24"/>
        </w:rPr>
        <w:t>využití dotací na</w:t>
      </w:r>
      <w:r w:rsidR="00F974CB">
        <w:rPr>
          <w:szCs w:val="24"/>
        </w:rPr>
        <w:t xml:space="preserve"> dobudování potřebné infrastruktury</w:t>
      </w:r>
      <w:r w:rsidR="00E912B2">
        <w:rPr>
          <w:szCs w:val="24"/>
        </w:rPr>
        <w:t xml:space="preserve"> ICT</w:t>
      </w:r>
      <w:r>
        <w:rPr>
          <w:szCs w:val="24"/>
        </w:rPr>
        <w:t>. Upravený program byl s</w:t>
      </w:r>
      <w:r w:rsidR="00E912B2">
        <w:rPr>
          <w:szCs w:val="24"/>
        </w:rPr>
        <w:t>ch</w:t>
      </w:r>
      <w:r>
        <w:rPr>
          <w:szCs w:val="24"/>
        </w:rPr>
        <w:t>válen všemi přítomnými členy.</w:t>
      </w:r>
    </w:p>
    <w:p w:rsidR="00061183" w:rsidRPr="00061183" w:rsidRDefault="00061183" w:rsidP="000611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</w:p>
    <w:p w:rsidR="00646CC1" w:rsidRPr="001B2185" w:rsidRDefault="001B2185" w:rsidP="00646CC1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Novotná </w:t>
      </w:r>
      <w:r w:rsidR="00061183">
        <w:t>představila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 </w:t>
      </w:r>
      <w:r>
        <w:br/>
        <w:t xml:space="preserve">a Zastupitelstvem Olomouckého kraje, které byly předloženy Odborem strategického rozvoje kraje KÚOK, a to za období od posledního zasedání Výboru dne 16. 2. 2017. Seznam všech materiálů je přílohou č. 1 zápisu. 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CD721B" w:rsidRPr="00061183" w:rsidRDefault="00061183" w:rsidP="00CD721B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061183">
        <w:rPr>
          <w:b/>
        </w:rPr>
        <w:t>Zásady územního rozvoje Olomouckého kraje – aktualizace č. 2b</w:t>
      </w:r>
    </w:p>
    <w:p w:rsidR="0053462E" w:rsidRDefault="00412F67" w:rsidP="00BB620B">
      <w:pPr>
        <w:pStyle w:val="slo1text"/>
        <w:tabs>
          <w:tab w:val="left" w:pos="-426"/>
        </w:tabs>
        <w:spacing w:line="276" w:lineRule="auto"/>
        <w:ind w:left="-426"/>
      </w:pPr>
      <w:r>
        <w:tab/>
      </w:r>
      <w:r w:rsidR="00061183">
        <w:t>S prezentací vystoupila vedoucí oddělení územního plánování Ing. Hendrychová</w:t>
      </w:r>
      <w:r w:rsidR="00BB620B">
        <w:t xml:space="preserve">. Uvedla základní informace o dokumentu ZÚR a o rozdělení její aktualizace č. 2 na 2 části. Poté detailně představila aktualizaci č. 2b </w:t>
      </w:r>
      <w:r w:rsidR="00BB620B" w:rsidRPr="00BB620B">
        <w:t>týk</w:t>
      </w:r>
      <w:r w:rsidR="00BB620B">
        <w:t>ající</w:t>
      </w:r>
      <w:r w:rsidR="00BB620B" w:rsidRPr="00BB620B">
        <w:t xml:space="preserve"> se lokality letiště Přerov a plochy pro nadmístní podnikatelské aktivity v území navazujícím na letiště Přerov</w:t>
      </w:r>
      <w:r w:rsidR="00BB620B">
        <w:t xml:space="preserve">. Prezentace je přílohou č. </w:t>
      </w:r>
      <w:r w:rsidR="00C01006">
        <w:t xml:space="preserve">2 </w:t>
      </w:r>
      <w:r w:rsidR="00BB620B">
        <w:t>zápisu.</w:t>
      </w:r>
    </w:p>
    <w:p w:rsidR="000C08C5" w:rsidRDefault="000C08C5" w:rsidP="000C08C5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Stanovisko Výboru bylo hlasováno: </w:t>
      </w:r>
    </w:p>
    <w:p w:rsidR="000C08C5" w:rsidRDefault="000C08C5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  <w:r>
        <w:tab/>
        <w:t xml:space="preserve">15 PRO, 0 PROTI, 0 ZDRŽEL SE, Zastupitelstvu Olomouckého kraje bylo tedy </w:t>
      </w:r>
      <w:r>
        <w:lastRenderedPageBreak/>
        <w:t xml:space="preserve">doporučeno </w:t>
      </w:r>
      <w:r>
        <w:rPr>
          <w:rFonts w:cs="Arial"/>
          <w:szCs w:val="24"/>
        </w:rPr>
        <w:t xml:space="preserve">schválit </w:t>
      </w:r>
      <w:r w:rsidR="00D01C65">
        <w:rPr>
          <w:rFonts w:cs="Arial"/>
          <w:szCs w:val="24"/>
        </w:rPr>
        <w:t xml:space="preserve">vydání </w:t>
      </w:r>
      <w:r>
        <w:rPr>
          <w:rFonts w:cs="Arial"/>
          <w:szCs w:val="24"/>
        </w:rPr>
        <w:t>aktualizac</w:t>
      </w:r>
      <w:r w:rsidR="00D01C65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č. 2b ZÚR</w:t>
      </w:r>
      <w:r w:rsidR="00D01C65">
        <w:rPr>
          <w:rFonts w:cs="Arial"/>
          <w:szCs w:val="24"/>
        </w:rPr>
        <w:t xml:space="preserve"> OK</w:t>
      </w:r>
      <w:r>
        <w:rPr>
          <w:rFonts w:cs="Arial"/>
          <w:szCs w:val="24"/>
        </w:rPr>
        <w:t>.</w:t>
      </w:r>
    </w:p>
    <w:p w:rsidR="00197057" w:rsidRDefault="00197057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</w:p>
    <w:p w:rsidR="0012742D" w:rsidRPr="00FE73ED" w:rsidRDefault="00BB620B" w:rsidP="0053462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BB620B">
        <w:rPr>
          <w:b/>
          <w:szCs w:val="24"/>
        </w:rPr>
        <w:t>Strategie rozvoje územního obvodu Olomouckého kraje – vyhodnocení za rok 2016</w:t>
      </w:r>
    </w:p>
    <w:p w:rsidR="00FE73ED" w:rsidRDefault="00FE73ED" w:rsidP="00FE73ED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RNDr. Juránek, Ph.D. vystoupil k tématu vyhodnocení SROK za rok 2016 a nejprve přítomné seznámil se samotným dokumentem SROK a poté se věnoval obsahu </w:t>
      </w:r>
      <w:r w:rsidR="00E912B2">
        <w:t xml:space="preserve">zprávy o </w:t>
      </w:r>
      <w:r>
        <w:t>vyhodnocení</w:t>
      </w:r>
      <w:r w:rsidR="00E912B2">
        <w:t xml:space="preserve"> plnění za rok 2016</w:t>
      </w:r>
      <w:r>
        <w:t xml:space="preserve">, základním prioritám a jejich plnění, využívání dotačních titulů, podpoře subjektů v území a dlouhodobému plnění SROK za období 2011-2016. Prezentace </w:t>
      </w:r>
      <w:r w:rsidR="00E912B2">
        <w:t xml:space="preserve">a Zpráva o hodnocení plnění za rok 2016 </w:t>
      </w:r>
      <w:r w:rsidR="00C01006">
        <w:t>j</w:t>
      </w:r>
      <w:r w:rsidR="00E912B2">
        <w:t>sou</w:t>
      </w:r>
      <w:r w:rsidR="00C01006">
        <w:t xml:space="preserve"> přílohou č. 3 zápisu.</w:t>
      </w:r>
    </w:p>
    <w:p w:rsidR="00C01006" w:rsidRPr="00FE73ED" w:rsidRDefault="00C01006" w:rsidP="00FE73ED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>V rámci diskuse byla řešena příprava Strategie regionálního rozvoje 2021+</w:t>
      </w:r>
      <w:r w:rsidR="00171C64">
        <w:t xml:space="preserve"> a obsazení P</w:t>
      </w:r>
      <w:r>
        <w:t>racovní skupiny</w:t>
      </w:r>
      <w:r w:rsidR="00171C64">
        <w:t xml:space="preserve"> SRR 21+, kde jsou kraje zastoupeny pouze 1 členem prostřednictvím  AKČR, a bylo diskutováno doporučení na rozšíření této PS o další zástupce krajů.</w:t>
      </w:r>
    </w:p>
    <w:p w:rsidR="00C64662" w:rsidRDefault="00C64662" w:rsidP="00C6466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Stanovisko Výboru bylo hlasováno: </w:t>
      </w:r>
    </w:p>
    <w:p w:rsidR="00C64662" w:rsidRDefault="00C64662" w:rsidP="00C6466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rFonts w:cs="Arial"/>
          <w:szCs w:val="24"/>
        </w:rPr>
      </w:pPr>
      <w:r>
        <w:t>1</w:t>
      </w:r>
      <w:r w:rsidR="00BB620B">
        <w:t>5</w:t>
      </w:r>
      <w:r w:rsidR="00171C64">
        <w:t xml:space="preserve"> PRO, 0 PROTI, 0</w:t>
      </w:r>
      <w:r>
        <w:t xml:space="preserve"> ZDRŽEL SE, Zastupitelstvu Olomouckého kraje bylo tedy doporučeno </w:t>
      </w:r>
      <w:r>
        <w:rPr>
          <w:rFonts w:cs="Arial"/>
          <w:szCs w:val="24"/>
        </w:rPr>
        <w:t xml:space="preserve">schválit </w:t>
      </w:r>
      <w:r w:rsidR="00171C64">
        <w:rPr>
          <w:rFonts w:cs="Arial"/>
          <w:szCs w:val="24"/>
        </w:rPr>
        <w:t>vyhodnocení SROK za rok 2016</w:t>
      </w:r>
      <w:r>
        <w:rPr>
          <w:rFonts w:cs="Arial"/>
          <w:szCs w:val="24"/>
        </w:rPr>
        <w:t>.</w:t>
      </w:r>
    </w:p>
    <w:p w:rsidR="0053462E" w:rsidRDefault="0053462E" w:rsidP="005B2F5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197057" w:rsidRPr="00197057" w:rsidRDefault="00197057" w:rsidP="00197057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197057">
        <w:rPr>
          <w:b/>
          <w:szCs w:val="24"/>
        </w:rPr>
        <w:t xml:space="preserve">Dotační program Asistence v rámci projektu Smart Akcelerátor Olomouckého kraje </w:t>
      </w:r>
    </w:p>
    <w:p w:rsidR="00584369" w:rsidRDefault="00D01C65" w:rsidP="00584369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rFonts w:cs="Arial"/>
        </w:rPr>
      </w:pPr>
      <w:r w:rsidRPr="00D01C65">
        <w:rPr>
          <w:rFonts w:cs="Arial"/>
        </w:rPr>
        <w:t>V rámci prezentace týkající se dotačního programu Asistence v rámci projektu Smart A</w:t>
      </w:r>
      <w:r w:rsidR="008D3E41">
        <w:rPr>
          <w:rFonts w:cs="Arial"/>
        </w:rPr>
        <w:t>kcelerátor Olomouckého kraje představil Ing. Hrubý</w:t>
      </w:r>
      <w:r w:rsidRPr="00D01C65">
        <w:rPr>
          <w:rFonts w:cs="Arial"/>
        </w:rPr>
        <w:t xml:space="preserve"> základní informace týkající se věcného zaměření dotačního programu, možn</w:t>
      </w:r>
      <w:r w:rsidR="00E912B2">
        <w:rPr>
          <w:rFonts w:cs="Arial"/>
        </w:rPr>
        <w:t>é</w:t>
      </w:r>
      <w:r w:rsidRPr="00D01C65">
        <w:rPr>
          <w:rFonts w:cs="Arial"/>
        </w:rPr>
        <w:t xml:space="preserve"> žadatel</w:t>
      </w:r>
      <w:r w:rsidR="00E912B2">
        <w:rPr>
          <w:rFonts w:cs="Arial"/>
        </w:rPr>
        <w:t>e</w:t>
      </w:r>
      <w:r w:rsidRPr="00D01C65">
        <w:rPr>
          <w:rFonts w:cs="Arial"/>
        </w:rPr>
        <w:t xml:space="preserve">, podporované aktivity a způsobilé výdaje. Dále byly členové </w:t>
      </w:r>
      <w:r w:rsidR="008D3E41">
        <w:rPr>
          <w:rFonts w:cs="Arial"/>
        </w:rPr>
        <w:t>informováni</w:t>
      </w:r>
      <w:r w:rsidRPr="00D01C65">
        <w:rPr>
          <w:rFonts w:cs="Arial"/>
        </w:rPr>
        <w:t xml:space="preserve"> o </w:t>
      </w:r>
      <w:r w:rsidR="00E912B2">
        <w:rPr>
          <w:rFonts w:cs="Arial"/>
        </w:rPr>
        <w:t>harmonogramu administrace dotačního programu</w:t>
      </w:r>
      <w:r w:rsidRPr="00D01C65">
        <w:rPr>
          <w:rFonts w:cs="Arial"/>
        </w:rPr>
        <w:t xml:space="preserve"> (projednání v ZOK, vyhlášení dotačního programu, příjem žádostí, období realizace přípravného projektu, na nějž žádána dotace apod.), o celkové částce určené na dotační program, minimální a maximální výši dotace na jednu žádost, způsob vyplácení dotace atd. V neposlední řadě byly uvedeny informace týkající se způsobu podávání žádostí a také systém jejich vyhodnocení a rozhodování o žádosti.</w:t>
      </w:r>
      <w:r w:rsidR="009250D7">
        <w:rPr>
          <w:rFonts w:cs="Arial"/>
        </w:rPr>
        <w:t xml:space="preserve"> Prezentace je přílohou č. 4 zápisu.</w:t>
      </w:r>
    </w:p>
    <w:p w:rsidR="008D3E41" w:rsidRPr="00D01C65" w:rsidRDefault="008D3E41" w:rsidP="00584369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sz w:val="32"/>
        </w:rPr>
      </w:pPr>
      <w:r>
        <w:t>Stanovisko Výboru bylo hlasováno:</w:t>
      </w:r>
    </w:p>
    <w:p w:rsidR="00584369" w:rsidRDefault="00584369" w:rsidP="00584369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rFonts w:cs="Arial"/>
          <w:szCs w:val="24"/>
        </w:rPr>
      </w:pPr>
      <w:r>
        <w:t>1</w:t>
      </w:r>
      <w:r w:rsidR="00D01C65">
        <w:t>5</w:t>
      </w:r>
      <w:r>
        <w:t xml:space="preserve"> PRO, 0 PROTI, 0 ZDRŽEL SE, Zastupitelstvu Olomouckého kraje bylo tedy doporučeno </w:t>
      </w:r>
      <w:r>
        <w:rPr>
          <w:rFonts w:cs="Arial"/>
          <w:szCs w:val="24"/>
        </w:rPr>
        <w:t xml:space="preserve">schválit </w:t>
      </w:r>
      <w:r w:rsidR="00D01C65">
        <w:rPr>
          <w:rFonts w:cs="Arial"/>
          <w:szCs w:val="24"/>
        </w:rPr>
        <w:t>dotační program Asistence v rámci projektu Smart Akcelerátor Olomouckého kraje</w:t>
      </w:r>
      <w:r>
        <w:rPr>
          <w:rFonts w:cs="Arial"/>
          <w:szCs w:val="24"/>
        </w:rPr>
        <w:t>.</w:t>
      </w:r>
    </w:p>
    <w:p w:rsidR="008D3E41" w:rsidRPr="00816788" w:rsidRDefault="008D3E41" w:rsidP="00584369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</w:p>
    <w:p w:rsidR="00197057" w:rsidRPr="00197057" w:rsidRDefault="00197057" w:rsidP="0053462E">
      <w:pPr>
        <w:pStyle w:val="Znak2odsazen1text"/>
        <w:numPr>
          <w:ilvl w:val="0"/>
          <w:numId w:val="19"/>
        </w:numPr>
        <w:spacing w:line="276" w:lineRule="auto"/>
        <w:ind w:left="-426" w:firstLine="0"/>
        <w:rPr>
          <w:b/>
          <w:szCs w:val="24"/>
        </w:rPr>
      </w:pPr>
      <w:r w:rsidRPr="00197057">
        <w:rPr>
          <w:b/>
        </w:rPr>
        <w:t>Dotační program Individuální žádosti v oblasti strategického rozvoje</w:t>
      </w:r>
    </w:p>
    <w:p w:rsidR="00D01C65" w:rsidRDefault="00D01C65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szCs w:val="24"/>
        </w:rPr>
      </w:pPr>
      <w:r>
        <w:rPr>
          <w:szCs w:val="24"/>
        </w:rPr>
        <w:t>RNDr. Juránek, Ph.D. představil 3 žádosti o individuální dotace v oblasti strategického rozvoje</w:t>
      </w:r>
      <w:r w:rsidR="00E912B2">
        <w:rPr>
          <w:szCs w:val="24"/>
        </w:rPr>
        <w:t>, které byly doručeny na Olomoucký kraj v období únor a březen 2017</w:t>
      </w:r>
      <w:r>
        <w:rPr>
          <w:szCs w:val="24"/>
        </w:rPr>
        <w:t>:</w:t>
      </w:r>
    </w:p>
    <w:p w:rsidR="00D01C65" w:rsidRPr="00D01C65" w:rsidRDefault="00D01C65" w:rsidP="00D01C65">
      <w:pPr>
        <w:pStyle w:val="Znak2odsazen1text"/>
        <w:numPr>
          <w:ilvl w:val="2"/>
          <w:numId w:val="20"/>
        </w:numPr>
        <w:spacing w:line="276" w:lineRule="auto"/>
        <w:ind w:left="284" w:hanging="284"/>
        <w:rPr>
          <w:szCs w:val="24"/>
        </w:rPr>
      </w:pPr>
      <w:r w:rsidRPr="00D01C65">
        <w:rPr>
          <w:rFonts w:cs="Arial"/>
          <w:szCs w:val="24"/>
        </w:rPr>
        <w:t xml:space="preserve">žádost </w:t>
      </w:r>
      <w:r w:rsidRPr="00D01C65">
        <w:rPr>
          <w:rFonts w:cs="Arial"/>
          <w:color w:val="000000"/>
          <w:szCs w:val="24"/>
        </w:rPr>
        <w:t>Hranické rozvojové agentury</w:t>
      </w:r>
      <w:r>
        <w:rPr>
          <w:rFonts w:cs="Arial"/>
          <w:color w:val="000000"/>
          <w:szCs w:val="24"/>
        </w:rPr>
        <w:t xml:space="preserve"> o dotaci ve výši 1 mil. Kč,</w:t>
      </w:r>
    </w:p>
    <w:p w:rsidR="00D01C65" w:rsidRPr="00D01C65" w:rsidRDefault="00D01C65" w:rsidP="00D01C65">
      <w:pPr>
        <w:pStyle w:val="Znak2odsazen1text"/>
        <w:numPr>
          <w:ilvl w:val="2"/>
          <w:numId w:val="20"/>
        </w:numPr>
        <w:spacing w:line="276" w:lineRule="auto"/>
        <w:ind w:left="284" w:hanging="284"/>
        <w:rPr>
          <w:rFonts w:cs="Arial"/>
          <w:szCs w:val="24"/>
        </w:rPr>
      </w:pPr>
      <w:r w:rsidRPr="00D01C65">
        <w:rPr>
          <w:rFonts w:cs="Arial"/>
          <w:color w:val="000000"/>
          <w:szCs w:val="24"/>
        </w:rPr>
        <w:t>žádost Středomoravské agentury rozvoje venkova, o.p.s.</w:t>
      </w:r>
      <w:r>
        <w:rPr>
          <w:rFonts w:cs="Arial"/>
          <w:color w:val="000000"/>
          <w:szCs w:val="24"/>
        </w:rPr>
        <w:t xml:space="preserve"> o dotaci ve výši 1,05 mil. Kč,</w:t>
      </w:r>
    </w:p>
    <w:p w:rsidR="00D01C65" w:rsidRDefault="00D01C65" w:rsidP="00D01C65">
      <w:pPr>
        <w:pStyle w:val="Znak2odsazen1text"/>
        <w:numPr>
          <w:ilvl w:val="2"/>
          <w:numId w:val="20"/>
        </w:numPr>
        <w:spacing w:line="276" w:lineRule="auto"/>
        <w:ind w:left="284" w:hanging="284"/>
        <w:rPr>
          <w:rFonts w:cs="Arial"/>
          <w:szCs w:val="24"/>
        </w:rPr>
      </w:pPr>
      <w:r w:rsidRPr="00D01C65">
        <w:rPr>
          <w:rFonts w:cs="Arial"/>
          <w:color w:val="000000"/>
          <w:szCs w:val="24"/>
        </w:rPr>
        <w:t>žádost Středomoravské agentury rozvoje venkova, o.p.s.</w:t>
      </w:r>
      <w:r>
        <w:rPr>
          <w:rFonts w:cs="Arial"/>
          <w:color w:val="000000"/>
          <w:szCs w:val="24"/>
        </w:rPr>
        <w:t xml:space="preserve"> o dotaci ve výši 450 tis. </w:t>
      </w:r>
      <w:r>
        <w:rPr>
          <w:rFonts w:cs="Arial"/>
          <w:color w:val="000000"/>
          <w:szCs w:val="24"/>
        </w:rPr>
        <w:lastRenderedPageBreak/>
        <w:t>Kč</w:t>
      </w:r>
      <w:r w:rsidR="009426B9">
        <w:rPr>
          <w:rFonts w:cs="Arial"/>
          <w:color w:val="000000"/>
          <w:szCs w:val="24"/>
        </w:rPr>
        <w:t>.</w:t>
      </w:r>
    </w:p>
    <w:p w:rsidR="00D01C65" w:rsidRDefault="009426B9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9250D7">
        <w:rPr>
          <w:rFonts w:cs="Arial"/>
          <w:szCs w:val="24"/>
        </w:rPr>
        <w:t xml:space="preserve">ktivity a účel použití dotace jsou uvedeny v souhrnné tabulce, která je přílohou č. 5 zápisu. Radou Olomouckého kraje </w:t>
      </w:r>
      <w:r>
        <w:rPr>
          <w:rFonts w:cs="Arial"/>
          <w:szCs w:val="24"/>
        </w:rPr>
        <w:t xml:space="preserve">bylo Zastupitelstvu Olomouckého kraje </w:t>
      </w:r>
      <w:r w:rsidR="009250D7">
        <w:rPr>
          <w:rFonts w:cs="Arial"/>
          <w:szCs w:val="24"/>
        </w:rPr>
        <w:t>dop</w:t>
      </w:r>
      <w:r w:rsidR="00E912B2">
        <w:rPr>
          <w:rFonts w:cs="Arial"/>
          <w:szCs w:val="24"/>
        </w:rPr>
        <w:t>o</w:t>
      </w:r>
      <w:r w:rsidR="009250D7">
        <w:rPr>
          <w:rFonts w:cs="Arial"/>
          <w:szCs w:val="24"/>
        </w:rPr>
        <w:t xml:space="preserve">ručeno </w:t>
      </w:r>
      <w:r>
        <w:rPr>
          <w:rFonts w:cs="Arial"/>
          <w:szCs w:val="24"/>
        </w:rPr>
        <w:t xml:space="preserve">všem 3 žádostem </w:t>
      </w:r>
      <w:r w:rsidR="009250D7">
        <w:rPr>
          <w:rFonts w:cs="Arial"/>
          <w:szCs w:val="24"/>
        </w:rPr>
        <w:t>nevyhovět</w:t>
      </w:r>
      <w:r>
        <w:rPr>
          <w:rFonts w:cs="Arial"/>
          <w:szCs w:val="24"/>
        </w:rPr>
        <w:t>,a to zejména z důvodu nedostatku finančních prostředků na individuální dotace z rozpočtu OK.</w:t>
      </w:r>
      <w:r w:rsidR="00E912B2">
        <w:rPr>
          <w:rFonts w:cs="Arial"/>
          <w:szCs w:val="24"/>
        </w:rPr>
        <w:t xml:space="preserve"> V rámci diskuse upozornil Ing. Sršeň na nedostatečné financování ze strany uznatelných výdajů IROP</w:t>
      </w:r>
      <w:r w:rsidR="00665677">
        <w:rPr>
          <w:rFonts w:cs="Arial"/>
          <w:szCs w:val="24"/>
        </w:rPr>
        <w:t xml:space="preserve"> </w:t>
      </w:r>
      <w:r w:rsidR="00E912B2">
        <w:rPr>
          <w:rFonts w:cs="Arial"/>
          <w:szCs w:val="24"/>
        </w:rPr>
        <w:t>a nutnost hradit např. vzdělávání manažerů MAS z členských příspěvků.</w:t>
      </w:r>
    </w:p>
    <w:p w:rsidR="009426B9" w:rsidRPr="00D01C65" w:rsidRDefault="009426B9" w:rsidP="009426B9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sz w:val="32"/>
        </w:rPr>
      </w:pPr>
      <w:r>
        <w:t>Stanovisko Výboru bylo hlasováno:</w:t>
      </w:r>
    </w:p>
    <w:p w:rsidR="009426B9" w:rsidRDefault="009426B9" w:rsidP="009426B9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t>1</w:t>
      </w:r>
      <w:r w:rsidR="0005403A">
        <w:t>4 PRO, 0 PROTI, 1</w:t>
      </w:r>
      <w:r>
        <w:t xml:space="preserve"> ZDRŽEL SE, Zastupitelstvu Olomouckého kraje bylo tedy doporučeno </w:t>
      </w:r>
      <w:r w:rsidR="0005403A">
        <w:t>ne</w:t>
      </w:r>
      <w:r>
        <w:rPr>
          <w:rFonts w:cs="Arial"/>
          <w:szCs w:val="24"/>
        </w:rPr>
        <w:t xml:space="preserve">schválit </w:t>
      </w:r>
      <w:r w:rsidR="0005403A">
        <w:rPr>
          <w:rFonts w:cs="Arial"/>
          <w:szCs w:val="24"/>
        </w:rPr>
        <w:t>žádosti v rámci dotačního programu Individuální žádosti v oblasti strategického rozvoje</w:t>
      </w:r>
      <w:r>
        <w:rPr>
          <w:rFonts w:cs="Arial"/>
          <w:szCs w:val="24"/>
        </w:rPr>
        <w:t>.</w:t>
      </w:r>
    </w:p>
    <w:p w:rsidR="0005403A" w:rsidRPr="00D01C65" w:rsidRDefault="0005403A" w:rsidP="009426B9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</w:p>
    <w:p w:rsidR="00197057" w:rsidRPr="00F974CB" w:rsidRDefault="00197057" w:rsidP="00D01C65">
      <w:pPr>
        <w:pStyle w:val="Znak2odsazen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F974CB">
        <w:rPr>
          <w:b/>
          <w:szCs w:val="24"/>
        </w:rPr>
        <w:t>Připravenost kraje na podporu a využívání informačních a komunikačních technologií</w:t>
      </w:r>
      <w:r w:rsidR="00F974CB" w:rsidRPr="00F974CB">
        <w:rPr>
          <w:b/>
          <w:szCs w:val="24"/>
        </w:rPr>
        <w:t xml:space="preserve"> a dobudování potřebné infrastruktury</w:t>
      </w:r>
    </w:p>
    <w:p w:rsidR="0005403A" w:rsidRDefault="0005403A" w:rsidP="0005403A">
      <w:pPr>
        <w:pStyle w:val="Znak2odsazen1text"/>
        <w:numPr>
          <w:ilvl w:val="0"/>
          <w:numId w:val="0"/>
        </w:numPr>
        <w:spacing w:line="276" w:lineRule="auto"/>
        <w:ind w:left="-426"/>
        <w:rPr>
          <w:szCs w:val="24"/>
        </w:rPr>
      </w:pPr>
      <w:r>
        <w:rPr>
          <w:szCs w:val="24"/>
        </w:rPr>
        <w:t>Bod byl navržen v souvislosti s I. výzvou v programu podpory VYSOKORYCHLOSTNÍ INTERNET v rámci OP PIK</w:t>
      </w:r>
      <w:r w:rsidR="00F974CB">
        <w:rPr>
          <w:szCs w:val="24"/>
        </w:rPr>
        <w:t xml:space="preserve"> vyhlášenou dne 31. 3. 2017. S rozšířením pokrytí území Olomouckého kraje vysokorychlostním internetem je provázán i vznik nových pracovních míst, což je příležitost zejména pro venkovské oblasti</w:t>
      </w:r>
      <w:r w:rsidR="004E5BAD">
        <w:rPr>
          <w:szCs w:val="24"/>
        </w:rPr>
        <w:t xml:space="preserve">. Na základě diskuse bylo OSR, konkrétně sekretariátu Regionální stálé konference pro území Olomouckého kraje, uloženo zmapování absorpční kapacity mezi potenciálními žadateli v této výzvě. </w:t>
      </w:r>
      <w:r w:rsidR="004E5BAD">
        <w:rPr>
          <w:szCs w:val="24"/>
        </w:rPr>
        <w:br/>
        <w:t>O výsledku budou členové výboru informováni na následujícím jednání.</w:t>
      </w:r>
    </w:p>
    <w:p w:rsidR="0005403A" w:rsidRPr="0005403A" w:rsidRDefault="0005403A" w:rsidP="0005403A">
      <w:pPr>
        <w:pStyle w:val="Znak2odsazen1text"/>
        <w:numPr>
          <w:ilvl w:val="0"/>
          <w:numId w:val="0"/>
        </w:numPr>
        <w:spacing w:line="276" w:lineRule="auto"/>
        <w:ind w:left="-426"/>
        <w:rPr>
          <w:szCs w:val="24"/>
        </w:rPr>
      </w:pPr>
    </w:p>
    <w:p w:rsidR="007F6139" w:rsidRPr="007F6139" w:rsidRDefault="007F6139" w:rsidP="00D01C65">
      <w:pPr>
        <w:pStyle w:val="Znak2odsazen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7F6139">
        <w:rPr>
          <w:b/>
          <w:szCs w:val="24"/>
        </w:rPr>
        <w:t>Různé</w:t>
      </w:r>
    </w:p>
    <w:p w:rsidR="00D42216" w:rsidRPr="00D42216" w:rsidRDefault="00816788" w:rsidP="00597C23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</w:t>
      </w:r>
      <w:r w:rsidR="00932C95">
        <w:t>ú</w:t>
      </w:r>
      <w:r w:rsidR="00597C23">
        <w:t xml:space="preserve">častněným za </w:t>
      </w:r>
      <w:r>
        <w:t>účast na zasedání a připomněl, že další zasedání se uskuteční dne 7. 6. 2017 ve 13:00 hodin.</w:t>
      </w:r>
    </w:p>
    <w:p w:rsidR="00597C23" w:rsidRDefault="00597C23" w:rsidP="00D42216">
      <w:pPr>
        <w:pStyle w:val="Vborprogram"/>
        <w:spacing w:before="120" w:after="120"/>
      </w:pPr>
    </w:p>
    <w:p w:rsidR="00543543" w:rsidRDefault="00543543" w:rsidP="00D42216">
      <w:pPr>
        <w:pStyle w:val="Vborprogram"/>
        <w:spacing w:before="120" w:after="120"/>
      </w:pPr>
    </w:p>
    <w:p w:rsidR="00E537C6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665677">
        <w:rPr>
          <w:b w:val="0"/>
          <w:szCs w:val="24"/>
        </w:rPr>
        <w:t>11</w:t>
      </w:r>
      <w:r>
        <w:rPr>
          <w:b w:val="0"/>
          <w:szCs w:val="24"/>
        </w:rPr>
        <w:t>. </w:t>
      </w:r>
      <w:r w:rsidR="00061183">
        <w:rPr>
          <w:b w:val="0"/>
          <w:szCs w:val="24"/>
        </w:rPr>
        <w:t>4</w:t>
      </w:r>
      <w:r w:rsidR="0073667E">
        <w:rPr>
          <w:b w:val="0"/>
          <w:szCs w:val="24"/>
        </w:rPr>
        <w:t>. 201</w:t>
      </w:r>
      <w:r w:rsidR="001A7D4B">
        <w:rPr>
          <w:b w:val="0"/>
          <w:szCs w:val="24"/>
        </w:rPr>
        <w:t>7</w:t>
      </w:r>
    </w:p>
    <w:p w:rsidR="00543543" w:rsidRDefault="00543543" w:rsidP="00D42216">
      <w:pPr>
        <w:pStyle w:val="Vborprogram"/>
        <w:spacing w:before="120" w:after="120"/>
        <w:rPr>
          <w:b w:val="0"/>
          <w:szCs w:val="24"/>
        </w:rPr>
      </w:pPr>
    </w:p>
    <w:p w:rsidR="00543543" w:rsidRDefault="00543543" w:rsidP="00D42216">
      <w:pPr>
        <w:pStyle w:val="Vborprogram"/>
        <w:spacing w:before="120" w:after="120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E537C6" w:rsidP="001A7D4B">
      <w:pPr>
        <w:pStyle w:val="Vborplohy"/>
        <w:spacing w:after="0"/>
        <w:ind w:left="6663" w:hanging="142"/>
        <w:rPr>
          <w:sz w:val="24"/>
          <w:szCs w:val="24"/>
        </w:rPr>
      </w:pPr>
      <w:r w:rsidRPr="001A7D4B">
        <w:rPr>
          <w:sz w:val="24"/>
          <w:szCs w:val="24"/>
        </w:rPr>
        <w:t>předseda výboru</w:t>
      </w:r>
    </w:p>
    <w:sectPr w:rsidR="00B952BB" w:rsidRPr="001A7D4B" w:rsidSect="0073667E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36" w:rsidRDefault="00AE0336" w:rsidP="00C61A3C">
      <w:pPr>
        <w:spacing w:after="0" w:line="240" w:lineRule="auto"/>
      </w:pPr>
      <w:r>
        <w:separator/>
      </w:r>
    </w:p>
  </w:endnote>
  <w:endnote w:type="continuationSeparator" w:id="0">
    <w:p w:rsidR="00AE0336" w:rsidRDefault="00AE0336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F0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36" w:rsidRDefault="00AE0336" w:rsidP="00C61A3C">
      <w:pPr>
        <w:spacing w:after="0" w:line="240" w:lineRule="auto"/>
      </w:pPr>
      <w:r>
        <w:separator/>
      </w:r>
    </w:p>
  </w:footnote>
  <w:footnote w:type="continuationSeparator" w:id="0">
    <w:p w:rsidR="00AE0336" w:rsidRDefault="00AE0336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9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6"/>
  </w:num>
  <w:num w:numId="21">
    <w:abstractNumId w:val="11"/>
  </w:num>
  <w:num w:numId="22">
    <w:abstractNumId w:val="7"/>
  </w:num>
  <w:num w:numId="23">
    <w:abstractNumId w:val="2"/>
  </w:num>
  <w:num w:numId="24">
    <w:abstractNumId w:val="9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D"/>
    <w:rsid w:val="00020D24"/>
    <w:rsid w:val="00023193"/>
    <w:rsid w:val="000240A5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6A22"/>
    <w:rsid w:val="000A40CE"/>
    <w:rsid w:val="000B3111"/>
    <w:rsid w:val="000B466F"/>
    <w:rsid w:val="000C08C5"/>
    <w:rsid w:val="00115DAE"/>
    <w:rsid w:val="0012330E"/>
    <w:rsid w:val="00126521"/>
    <w:rsid w:val="00127207"/>
    <w:rsid w:val="0012742D"/>
    <w:rsid w:val="001436E5"/>
    <w:rsid w:val="00171C64"/>
    <w:rsid w:val="00187165"/>
    <w:rsid w:val="001938D3"/>
    <w:rsid w:val="00197057"/>
    <w:rsid w:val="00197417"/>
    <w:rsid w:val="001A139B"/>
    <w:rsid w:val="001A7D4B"/>
    <w:rsid w:val="001B2185"/>
    <w:rsid w:val="001B3E5A"/>
    <w:rsid w:val="001B5986"/>
    <w:rsid w:val="001D47C0"/>
    <w:rsid w:val="001D4DB8"/>
    <w:rsid w:val="001E7027"/>
    <w:rsid w:val="00241CC5"/>
    <w:rsid w:val="0024517F"/>
    <w:rsid w:val="00246951"/>
    <w:rsid w:val="002624E3"/>
    <w:rsid w:val="002715E6"/>
    <w:rsid w:val="00272554"/>
    <w:rsid w:val="00281707"/>
    <w:rsid w:val="00297733"/>
    <w:rsid w:val="002B5590"/>
    <w:rsid w:val="002D0CC1"/>
    <w:rsid w:val="00300ED7"/>
    <w:rsid w:val="00301BCE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5136"/>
    <w:rsid w:val="00365624"/>
    <w:rsid w:val="003666C6"/>
    <w:rsid w:val="00371E13"/>
    <w:rsid w:val="00381A3A"/>
    <w:rsid w:val="00382AC1"/>
    <w:rsid w:val="003F0694"/>
    <w:rsid w:val="003F0D4B"/>
    <w:rsid w:val="00405D44"/>
    <w:rsid w:val="00412F67"/>
    <w:rsid w:val="004255E8"/>
    <w:rsid w:val="004266DF"/>
    <w:rsid w:val="004312E7"/>
    <w:rsid w:val="004400CF"/>
    <w:rsid w:val="00445D83"/>
    <w:rsid w:val="00453A65"/>
    <w:rsid w:val="00487C93"/>
    <w:rsid w:val="004938EE"/>
    <w:rsid w:val="004B345C"/>
    <w:rsid w:val="004B79DB"/>
    <w:rsid w:val="004C1B8E"/>
    <w:rsid w:val="004E5BAD"/>
    <w:rsid w:val="004F11E2"/>
    <w:rsid w:val="00500F88"/>
    <w:rsid w:val="00512735"/>
    <w:rsid w:val="00525CFD"/>
    <w:rsid w:val="0053361B"/>
    <w:rsid w:val="0053462E"/>
    <w:rsid w:val="00543543"/>
    <w:rsid w:val="00545BB7"/>
    <w:rsid w:val="00546732"/>
    <w:rsid w:val="00557CDC"/>
    <w:rsid w:val="00562481"/>
    <w:rsid w:val="0057058C"/>
    <w:rsid w:val="00582BC0"/>
    <w:rsid w:val="00584369"/>
    <w:rsid w:val="0059786E"/>
    <w:rsid w:val="00597C23"/>
    <w:rsid w:val="005A2932"/>
    <w:rsid w:val="005B2810"/>
    <w:rsid w:val="005B2F52"/>
    <w:rsid w:val="005C245F"/>
    <w:rsid w:val="005C33FA"/>
    <w:rsid w:val="005E3C09"/>
    <w:rsid w:val="005F3BA8"/>
    <w:rsid w:val="006010DA"/>
    <w:rsid w:val="00610491"/>
    <w:rsid w:val="0061502D"/>
    <w:rsid w:val="00624E3F"/>
    <w:rsid w:val="00634671"/>
    <w:rsid w:val="006463CF"/>
    <w:rsid w:val="00646CC1"/>
    <w:rsid w:val="00654405"/>
    <w:rsid w:val="00665677"/>
    <w:rsid w:val="006659F0"/>
    <w:rsid w:val="006855BF"/>
    <w:rsid w:val="00691DCF"/>
    <w:rsid w:val="006B0A88"/>
    <w:rsid w:val="006B1463"/>
    <w:rsid w:val="006C08B8"/>
    <w:rsid w:val="006C377C"/>
    <w:rsid w:val="006C4311"/>
    <w:rsid w:val="006E196D"/>
    <w:rsid w:val="006E59E9"/>
    <w:rsid w:val="006F5C69"/>
    <w:rsid w:val="007046E9"/>
    <w:rsid w:val="007357E3"/>
    <w:rsid w:val="0073667E"/>
    <w:rsid w:val="0074191F"/>
    <w:rsid w:val="00767CB0"/>
    <w:rsid w:val="00770E69"/>
    <w:rsid w:val="00770FF2"/>
    <w:rsid w:val="007774E1"/>
    <w:rsid w:val="00781D01"/>
    <w:rsid w:val="00793E3D"/>
    <w:rsid w:val="007A311C"/>
    <w:rsid w:val="007C2EBD"/>
    <w:rsid w:val="007C6B4D"/>
    <w:rsid w:val="007E5DFE"/>
    <w:rsid w:val="007F5A50"/>
    <w:rsid w:val="007F6139"/>
    <w:rsid w:val="00816788"/>
    <w:rsid w:val="00833B1E"/>
    <w:rsid w:val="008351B2"/>
    <w:rsid w:val="0083544F"/>
    <w:rsid w:val="00854DBD"/>
    <w:rsid w:val="00864DAF"/>
    <w:rsid w:val="008656D7"/>
    <w:rsid w:val="00870EA9"/>
    <w:rsid w:val="0088134E"/>
    <w:rsid w:val="00891B3F"/>
    <w:rsid w:val="008D3E41"/>
    <w:rsid w:val="008E03C0"/>
    <w:rsid w:val="008F1C7B"/>
    <w:rsid w:val="008F48FC"/>
    <w:rsid w:val="008F6E8F"/>
    <w:rsid w:val="009250D7"/>
    <w:rsid w:val="00932C95"/>
    <w:rsid w:val="00935065"/>
    <w:rsid w:val="009426B9"/>
    <w:rsid w:val="009559C8"/>
    <w:rsid w:val="00963AFD"/>
    <w:rsid w:val="0097459E"/>
    <w:rsid w:val="009A14B7"/>
    <w:rsid w:val="009A31B8"/>
    <w:rsid w:val="009B3A75"/>
    <w:rsid w:val="009C43A6"/>
    <w:rsid w:val="009C7919"/>
    <w:rsid w:val="009D0FAD"/>
    <w:rsid w:val="009D3A98"/>
    <w:rsid w:val="009F2B76"/>
    <w:rsid w:val="00A0321C"/>
    <w:rsid w:val="00A10694"/>
    <w:rsid w:val="00A14130"/>
    <w:rsid w:val="00A60740"/>
    <w:rsid w:val="00A64703"/>
    <w:rsid w:val="00A67E6C"/>
    <w:rsid w:val="00A839EF"/>
    <w:rsid w:val="00A864D4"/>
    <w:rsid w:val="00AD6301"/>
    <w:rsid w:val="00AE0336"/>
    <w:rsid w:val="00AE787E"/>
    <w:rsid w:val="00AE79BB"/>
    <w:rsid w:val="00AF0057"/>
    <w:rsid w:val="00B0417C"/>
    <w:rsid w:val="00B06622"/>
    <w:rsid w:val="00B13D92"/>
    <w:rsid w:val="00B210DD"/>
    <w:rsid w:val="00B26793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52BB"/>
    <w:rsid w:val="00B97423"/>
    <w:rsid w:val="00BB620B"/>
    <w:rsid w:val="00BC7C48"/>
    <w:rsid w:val="00BD23B4"/>
    <w:rsid w:val="00BD7635"/>
    <w:rsid w:val="00C00668"/>
    <w:rsid w:val="00C01006"/>
    <w:rsid w:val="00C0250E"/>
    <w:rsid w:val="00C02A7E"/>
    <w:rsid w:val="00C04B13"/>
    <w:rsid w:val="00C0604F"/>
    <w:rsid w:val="00C367EE"/>
    <w:rsid w:val="00C445BD"/>
    <w:rsid w:val="00C61A3C"/>
    <w:rsid w:val="00C64662"/>
    <w:rsid w:val="00C8334B"/>
    <w:rsid w:val="00C9216C"/>
    <w:rsid w:val="00C97C7F"/>
    <w:rsid w:val="00CB3200"/>
    <w:rsid w:val="00CD721B"/>
    <w:rsid w:val="00CE15F2"/>
    <w:rsid w:val="00D01C65"/>
    <w:rsid w:val="00D06522"/>
    <w:rsid w:val="00D066AB"/>
    <w:rsid w:val="00D4127D"/>
    <w:rsid w:val="00D42216"/>
    <w:rsid w:val="00D74A61"/>
    <w:rsid w:val="00D975F1"/>
    <w:rsid w:val="00DA0EDD"/>
    <w:rsid w:val="00DA4B45"/>
    <w:rsid w:val="00DB088E"/>
    <w:rsid w:val="00DC46ED"/>
    <w:rsid w:val="00DE626E"/>
    <w:rsid w:val="00DE74F9"/>
    <w:rsid w:val="00DF06AB"/>
    <w:rsid w:val="00DF5B0A"/>
    <w:rsid w:val="00E02B39"/>
    <w:rsid w:val="00E10B66"/>
    <w:rsid w:val="00E30A59"/>
    <w:rsid w:val="00E3282E"/>
    <w:rsid w:val="00E537C6"/>
    <w:rsid w:val="00E55323"/>
    <w:rsid w:val="00E81200"/>
    <w:rsid w:val="00E912B2"/>
    <w:rsid w:val="00EA086E"/>
    <w:rsid w:val="00EC1D59"/>
    <w:rsid w:val="00ED5E81"/>
    <w:rsid w:val="00EE3B3D"/>
    <w:rsid w:val="00EE51F6"/>
    <w:rsid w:val="00EF0D47"/>
    <w:rsid w:val="00F02697"/>
    <w:rsid w:val="00F05C1B"/>
    <w:rsid w:val="00F27264"/>
    <w:rsid w:val="00F27EC7"/>
    <w:rsid w:val="00F4796D"/>
    <w:rsid w:val="00F51B97"/>
    <w:rsid w:val="00F67270"/>
    <w:rsid w:val="00F84987"/>
    <w:rsid w:val="00F87EF3"/>
    <w:rsid w:val="00F974CB"/>
    <w:rsid w:val="00FB23C4"/>
    <w:rsid w:val="00FC5960"/>
    <w:rsid w:val="00FC791C"/>
    <w:rsid w:val="00FD1AFD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46AD-947B-4C82-A817-BB3F30FE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5482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2015-06-16T09:49:00Z</cp:lastPrinted>
  <dcterms:created xsi:type="dcterms:W3CDTF">2017-04-12T09:08:00Z</dcterms:created>
  <dcterms:modified xsi:type="dcterms:W3CDTF">2017-04-12T09:08:00Z</dcterms:modified>
</cp:coreProperties>
</file>