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9F" w:rsidRPr="00971C38" w:rsidRDefault="00C4699F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C4699F" w:rsidRPr="00971C38" w:rsidRDefault="009E01BB" w:rsidP="0048495B">
      <w:pPr>
        <w:spacing w:after="60"/>
        <w:ind w:left="0" w:firstLine="0"/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971C38">
        <w:rPr>
          <w:rFonts w:ascii="Arial" w:hAnsi="Arial" w:cs="Arial"/>
          <w:b/>
          <w:sz w:val="28"/>
          <w:szCs w:val="20"/>
        </w:rPr>
        <w:t>VZOR VEŘEJNOPRÁVNÍ SMLOUVY</w:t>
      </w:r>
    </w:p>
    <w:p w:rsidR="00C4699F" w:rsidRPr="00971C38" w:rsidRDefault="00C4699F" w:rsidP="0048495B">
      <w:pPr>
        <w:spacing w:after="60"/>
        <w:ind w:left="0" w:firstLine="0"/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971C38">
        <w:rPr>
          <w:rFonts w:ascii="Arial" w:hAnsi="Arial" w:cs="Arial"/>
          <w:b/>
          <w:sz w:val="28"/>
          <w:szCs w:val="20"/>
        </w:rPr>
        <w:t xml:space="preserve">O POSKYTNUTÍ DOTACE NA AKCI </w:t>
      </w:r>
    </w:p>
    <w:p w:rsidR="00C4699F" w:rsidRPr="00971C38" w:rsidRDefault="00C4699F" w:rsidP="0048495B">
      <w:pPr>
        <w:spacing w:after="60"/>
        <w:ind w:left="0" w:firstLine="0"/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971C38">
        <w:rPr>
          <w:rFonts w:ascii="Arial" w:hAnsi="Arial" w:cs="Arial"/>
          <w:b/>
          <w:sz w:val="28"/>
          <w:szCs w:val="20"/>
        </w:rPr>
        <w:t xml:space="preserve">PŘÍSPĚVKOVÝM ORGANIZACÍM </w:t>
      </w:r>
      <w:r w:rsidR="009E01BB" w:rsidRPr="00971C38">
        <w:rPr>
          <w:rFonts w:ascii="Arial" w:hAnsi="Arial" w:cs="Arial"/>
          <w:b/>
          <w:sz w:val="28"/>
          <w:szCs w:val="20"/>
        </w:rPr>
        <w:t>(jiných zřizovatelů)</w:t>
      </w:r>
    </w:p>
    <w:p w:rsidR="00C4699F" w:rsidRPr="00C4699F" w:rsidRDefault="00C4699F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40"/>
          <w:szCs w:val="28"/>
          <w:lang w:eastAsia="cs-CZ"/>
        </w:rPr>
      </w:pPr>
    </w:p>
    <w:p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F256D" w:rsidRPr="00280A60">
        <w:rPr>
          <w:rFonts w:ascii="Arial" w:eastAsia="Times New Roman" w:hAnsi="Arial" w:cs="Arial"/>
          <w:sz w:val="24"/>
          <w:szCs w:val="24"/>
          <w:lang w:eastAsia="cs-CZ"/>
        </w:rPr>
        <w:t>27- 4228120277/0100,</w:t>
      </w:r>
      <w:r w:rsidR="00BF256D"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banka, a.s. Olomouc</w:t>
      </w:r>
    </w:p>
    <w:p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8B5346" w:rsidP="00802486">
      <w:pPr>
        <w:tabs>
          <w:tab w:val="left" w:pos="1966"/>
          <w:tab w:val="center" w:pos="4535"/>
          <w:tab w:val="left" w:pos="7814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8024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:rsidR="009A3DA5" w:rsidRPr="00F23BA5" w:rsidRDefault="009A3DA5" w:rsidP="005636B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3BA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BF256D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českýc</w:t>
      </w:r>
      <w:r w:rsidR="005636B3" w:rsidRPr="00BF256D">
        <w:rPr>
          <w:rFonts w:ascii="Arial" w:eastAsia="Times New Roman" w:hAnsi="Arial" w:cs="Arial"/>
          <w:b/>
          <w:sz w:val="24"/>
          <w:szCs w:val="24"/>
          <w:lang w:eastAsia="cs-CZ"/>
        </w:rPr>
        <w:t>h</w:t>
      </w:r>
      <w:r w:rsidR="005636B3" w:rsidRPr="00F23BA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 za účelem podpory a rozšíření kvalitních aktivit v Olomouckém kraji ve veřejném zájmu a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636B3" w:rsidRPr="00F23BA5">
        <w:rPr>
          <w:rFonts w:ascii="Arial" w:eastAsia="Times New Roman" w:hAnsi="Arial" w:cs="Arial"/>
          <w:sz w:val="24"/>
          <w:szCs w:val="24"/>
          <w:lang w:eastAsia="cs-CZ"/>
        </w:rPr>
        <w:t xml:space="preserve">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</w:t>
      </w:r>
      <w:r w:rsidR="00971C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</w:t>
      </w:r>
      <w:r w:rsidR="00FC4C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="00FB7A9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</w:t>
      </w:r>
      <w:r w:rsidR="00971C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971C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971C38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A13A7" w:rsidRPr="00F23BA5" w:rsidRDefault="009A3DA5" w:rsidP="009A13A7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3BA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F23BA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21A5B" w:rsidRPr="00F23BA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F23BA5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9A13A7" w:rsidRPr="00F23BA5">
        <w:rPr>
          <w:rFonts w:ascii="Arial" w:eastAsia="Times New Roman" w:hAnsi="Arial" w:cs="Arial"/>
          <w:iCs/>
          <w:sz w:val="24"/>
          <w:szCs w:val="24"/>
          <w:lang w:eastAsia="cs-CZ"/>
        </w:rPr>
        <w:t>Program podpory kultury v Olomouckém kraji v roce 2018</w:t>
      </w:r>
      <w:r w:rsidR="00971C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F23BA5" w:rsidRPr="00F23B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9A13A7" w:rsidRPr="00F23B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9A3DA5" w:rsidRPr="00F23BA5" w:rsidRDefault="009A3DA5" w:rsidP="009A13A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D13486" w:rsidRDefault="00D13486" w:rsidP="00D134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66087C" w:rsidRDefault="0066087C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4E18B2" w:rsidRPr="004E18B2" w:rsidRDefault="004E18B2" w:rsidP="004E18B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E18B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E18B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BF256D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 w:rsidRPr="004E18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</w:t>
      </w:r>
      <w:r w:rsidR="00BF25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BF25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 w:rsidR="00BF25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F04E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F04ED7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B017E2" w:rsidRDefault="00B017E2" w:rsidP="0035782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BF256D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BF256D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5782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3578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</w:t>
      </w:r>
      <w:r w:rsidR="009418A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termínu realizace akce, uvedeného</w:t>
      </w:r>
      <w:r w:rsidR="003578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B017E2" w:rsidRPr="00F23BA5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3BA5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BF25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9A13A7" w:rsidRPr="00F23B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F23BA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II odst. 2 stanoven pro použití dotace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BF256D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970C4" w:rsidRPr="00A970C4" w:rsidRDefault="00A970C4" w:rsidP="00A970C4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970C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="00BF256D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dotace“.</w:t>
      </w:r>
      <w:r w:rsidR="00BF256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256D" w:rsidRPr="00F168DB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BF256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F256D" w:rsidRPr="00F168DB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="00BF256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A970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0C4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="00BF256D"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úplné.</w:t>
      </w:r>
      <w:r w:rsidR="00BF256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BF256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BF256D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 e) Pravidel</w:t>
      </w:r>
      <w:r w:rsidR="00BF256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970C4" w:rsidRPr="00A970C4" w:rsidRDefault="00A970C4" w:rsidP="00A970C4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0C4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BF256D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F256D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</w:t>
      </w:r>
      <w:r w:rsidR="00BF256D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="00BF256D" w:rsidRPr="00822CBA">
        <w:rPr>
          <w:rFonts w:ascii="Arial" w:eastAsia="Times New Roman" w:hAnsi="Arial" w:cs="Arial"/>
          <w:sz w:val="24"/>
          <w:szCs w:val="24"/>
          <w:lang w:eastAsia="cs-CZ"/>
        </w:rPr>
        <w:t>, že celkové skutečně vynaložené výdaje uvedené v soupisu jsou pravdivé a úplné</w:t>
      </w:r>
      <w:r w:rsidR="00BF25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B017E2" w:rsidRPr="00A9730D" w:rsidRDefault="00A970C4" w:rsidP="00A970C4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B017E2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BF256D" w:rsidRPr="00F168D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B017E2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B017E2" w:rsidRPr="00A9730D" w:rsidRDefault="00B017E2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B017E2" w:rsidRPr="00A9730D" w:rsidRDefault="00B017E2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B017E2" w:rsidRPr="00A9730D" w:rsidRDefault="00B017E2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B017E2" w:rsidRPr="00A9730D" w:rsidRDefault="00BF256D" w:rsidP="00A970C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 originály a výdaje uvedené v soupisu jsou shodné se záznamy v účetnictví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BF256D" w:rsidRPr="001416CD" w:rsidRDefault="00BF256D" w:rsidP="00BF256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F256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BF25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F256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BF256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bude uvedena částka ve výši dvojnásobku poskytované dotace dle této smlouvy)</w:t>
      </w:r>
      <w:r w:rsidRPr="00BF25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BF256D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</w:t>
      </w:r>
      <w:r w:rsidR="00226216" w:rsidRPr="00BF256D">
        <w:rPr>
          <w:rFonts w:ascii="Arial" w:eastAsia="Times New Roman" w:hAnsi="Arial" w:cs="Arial"/>
          <w:sz w:val="24"/>
          <w:szCs w:val="24"/>
          <w:lang w:eastAsia="cs-CZ"/>
        </w:rPr>
        <w:t>oskytnutou dotaci v částce, o ni</w:t>
      </w:r>
      <w:r w:rsidRPr="00BF256D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BF256D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B45DD6" w:rsidRDefault="00B45DD6" w:rsidP="00B45DD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5DD6">
        <w:rPr>
          <w:rFonts w:ascii="Arial" w:eastAsia="Times New Roman" w:hAnsi="Arial" w:cs="Arial"/>
          <w:sz w:val="24"/>
          <w:szCs w:val="24"/>
          <w:lang w:eastAsia="cs-CZ"/>
        </w:rPr>
        <w:t>V případ</w:t>
      </w:r>
      <w:r w:rsidRPr="00B45DD6">
        <w:rPr>
          <w:rFonts w:ascii="Arial" w:hAnsi="Arial" w:cs="Arial"/>
          <w:sz w:val="24"/>
          <w:szCs w:val="24"/>
        </w:rPr>
        <w:t>ě, že je příjemce dle této smlouvy povinen vrátit dotaci nebo její část, vrátí příjemce dotaci nebo její část na účet poskytovatele č. 27-4228120277/0100. V případě, že je vratka realizována v roce 2019 vrátí příjemce dotaci nebo její část na účet poskytovatele č. 27-4228120277/0100. Případný odvod či penále se hradí na účet poskytovatele č. 27-4228320287/0100 na základě vystavené faktury.</w:t>
      </w:r>
    </w:p>
    <w:p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 xml:space="preserve">V případě zrušení příjemce přechází povinnosti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9527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4514E3" w:rsidRPr="00CC0204" w:rsidRDefault="00D22DB5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:rsidR="00170EC7" w:rsidRPr="005212B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5212B3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B46D0D" w:rsidRPr="00A62D21" w:rsidRDefault="00B46D0D" w:rsidP="00B46D0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0C34F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B46D0D" w:rsidRPr="00E261F7" w:rsidRDefault="00B46D0D" w:rsidP="00B46D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102C6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46D0D" w:rsidRPr="00E261F7" w:rsidRDefault="00B46D0D" w:rsidP="00B46D0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B46D0D" w:rsidRPr="00CC0204" w:rsidRDefault="00B46D0D" w:rsidP="00B46D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F256D" w:rsidRDefault="00BF256D" w:rsidP="008C32B0">
      <w:pPr>
        <w:ind w:left="0" w:firstLine="0"/>
        <w:rPr>
          <w:rFonts w:ascii="Arial" w:hAnsi="Arial" w:cs="Arial"/>
          <w:bCs/>
        </w:rPr>
      </w:pPr>
    </w:p>
    <w:p w:rsidR="00BB28E8" w:rsidRDefault="00BB28E8" w:rsidP="008C32B0">
      <w:pPr>
        <w:ind w:left="0" w:firstLine="0"/>
        <w:rPr>
          <w:rFonts w:ascii="Arial" w:hAnsi="Arial" w:cs="Arial"/>
          <w:bCs/>
        </w:rPr>
      </w:pPr>
    </w:p>
    <w:p w:rsidR="00BB28E8" w:rsidRDefault="00BB28E8" w:rsidP="008C32B0">
      <w:pPr>
        <w:ind w:left="0" w:firstLine="0"/>
        <w:rPr>
          <w:rFonts w:ascii="Arial" w:hAnsi="Arial" w:cs="Arial"/>
          <w:bCs/>
        </w:rPr>
      </w:pPr>
    </w:p>
    <w:p w:rsidR="00B833B4" w:rsidRDefault="00B833B4" w:rsidP="008C32B0">
      <w:pPr>
        <w:ind w:left="0" w:firstLine="0"/>
        <w:rPr>
          <w:rFonts w:ascii="Arial" w:hAnsi="Arial" w:cs="Arial"/>
          <w:bCs/>
        </w:rPr>
      </w:pPr>
    </w:p>
    <w:p w:rsidR="00B833B4" w:rsidRDefault="00B833B4" w:rsidP="008C32B0">
      <w:pPr>
        <w:ind w:left="0" w:firstLine="0"/>
        <w:rPr>
          <w:rFonts w:ascii="Arial" w:hAnsi="Arial" w:cs="Arial"/>
          <w:bCs/>
        </w:rPr>
      </w:pPr>
    </w:p>
    <w:p w:rsidR="00B833B4" w:rsidRPr="00803A28" w:rsidRDefault="00B833B4" w:rsidP="00B833B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1A6746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akci</w:t>
      </w:r>
    </w:p>
    <w:p w:rsidR="00B833B4" w:rsidRPr="00803A28" w:rsidRDefault="00B833B4" w:rsidP="009418A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BF256D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BF256D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418A1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418A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:rsidR="00B833B4" w:rsidRPr="00803A28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BF256D">
        <w:rPr>
          <w:rFonts w:ascii="Arial" w:eastAsia="Times New Roman" w:hAnsi="Arial" w:cs="Arial"/>
          <w:iCs/>
          <w:sz w:val="24"/>
          <w:szCs w:val="24"/>
          <w:lang w:eastAsia="cs-CZ"/>
        </w:rPr>
        <w:t> 1. 1. 2018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B833B4" w:rsidRPr="00803A28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B833B4" w:rsidRPr="00803A28" w:rsidRDefault="00B833B4" w:rsidP="00B833B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BF256D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B833B4" w:rsidRPr="00803A28" w:rsidRDefault="00B833B4" w:rsidP="00B833B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B833B4" w:rsidRPr="00803A28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3EC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BB28E8"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Finanční vyúčtování dotace“. </w:t>
      </w:r>
      <w:r w:rsidR="00BB28E8" w:rsidRPr="007A515A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BB28E8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B28E8" w:rsidRPr="007A515A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="00BB28E8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4E3EC8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</w:t>
      </w:r>
      <w:r w:rsidR="00BB28E8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>, že všechny příjmy uvedené v soupisu jsou pravdivé a úplné.</w:t>
      </w:r>
      <w:r w:rsidR="004E3EC8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4E3EC8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4E3EC8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4E3EC8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E3EC8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B833B4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3EC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BB28E8" w:rsidRPr="007A515A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BB28E8" w:rsidRPr="00803A28">
        <w:rPr>
          <w:rFonts w:ascii="Arial" w:eastAsia="Times New Roman" w:hAnsi="Arial" w:cs="Arial"/>
          <w:sz w:val="24"/>
          <w:szCs w:val="24"/>
          <w:lang w:eastAsia="cs-CZ"/>
        </w:rPr>
        <w:t>“. Tento soupis bude doložen čestným prohlášením</w:t>
      </w:r>
      <w:r w:rsidR="00BB28E8">
        <w:rPr>
          <w:rFonts w:ascii="Arial" w:eastAsia="Times New Roman" w:hAnsi="Arial" w:cs="Arial"/>
          <w:sz w:val="24"/>
          <w:szCs w:val="24"/>
          <w:lang w:eastAsia="cs-CZ"/>
        </w:rPr>
        <w:t xml:space="preserve"> zapracovaným v příloze č. 1</w:t>
      </w:r>
      <w:r w:rsidR="00BB28E8" w:rsidRPr="00803A28">
        <w:rPr>
          <w:rFonts w:ascii="Arial" w:eastAsia="Times New Roman" w:hAnsi="Arial" w:cs="Arial"/>
          <w:sz w:val="24"/>
          <w:szCs w:val="24"/>
          <w:lang w:eastAsia="cs-CZ"/>
        </w:rPr>
        <w:t>, že výdaje</w:t>
      </w:r>
      <w:r w:rsidR="00BB28E8"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="00BB28E8"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příjemce.</w:t>
      </w:r>
    </w:p>
    <w:p w:rsidR="00B833B4" w:rsidRPr="00CC0204" w:rsidRDefault="00B833B4" w:rsidP="00B833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BB28E8" w:rsidRPr="00BB28E8" w:rsidRDefault="00BB28E8" w:rsidP="00BB28E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28E8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BB28E8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F66533" w:rsidRPr="00DC1889" w:rsidRDefault="00B833B4" w:rsidP="00BB28E8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</w:t>
      </w:r>
      <w:r w:rsidR="00BB28E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BB28E8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</w:t>
      </w:r>
      <w:r w:rsidR="00BB28E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28E8">
        <w:rPr>
          <w:rFonts w:ascii="Arial" w:eastAsia="Times New Roman" w:hAnsi="Arial" w:cs="Arial"/>
          <w:sz w:val="24"/>
          <w:szCs w:val="24"/>
          <w:lang w:eastAsia="cs-CZ"/>
        </w:rPr>
        <w:t>předchozí větě, dopustí se porušení rozpočtové kázně ve smyslu ust. § 22 zákona č. 250/2000 Sb., o rozpočtových pravidlech územních rozpočtů, ve znění pozdějších předpisů.</w:t>
      </w:r>
      <w:r w:rsidR="008335C8" w:rsidRPr="00BB2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F66533" w:rsidRPr="00DC1889" w:rsidSect="009E4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D8" w:rsidRDefault="003E45D8" w:rsidP="00D40C40">
      <w:r>
        <w:separator/>
      </w:r>
    </w:p>
  </w:endnote>
  <w:endnote w:type="continuationSeparator" w:id="0">
    <w:p w:rsidR="003E45D8" w:rsidRDefault="003E45D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80" w:rsidRDefault="00D212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357532"/>
      <w:docPartObj>
        <w:docPartGallery w:val="Page Numbers (Bottom of Page)"/>
        <w:docPartUnique/>
      </w:docPartObj>
    </w:sdtPr>
    <w:sdtEndPr/>
    <w:sdtContent>
      <w:sdt>
        <w:sdtPr>
          <w:id w:val="2031597145"/>
          <w:docPartObj>
            <w:docPartGallery w:val="Page Numbers (Bottom of Page)"/>
            <w:docPartUnique/>
          </w:docPartObj>
        </w:sdtPr>
        <w:sdtEndPr>
          <w:rPr>
            <w:i/>
            <w:sz w:val="20"/>
            <w:szCs w:val="20"/>
          </w:rPr>
        </w:sdtEndPr>
        <w:sdtContent>
          <w:p w:rsidR="00FC3829" w:rsidRPr="00256C15" w:rsidRDefault="00D21280" w:rsidP="00FC3829">
            <w:pPr>
              <w:pStyle w:val="Zpat"/>
              <w:pBdr>
                <w:top w:val="single" w:sz="4" w:space="1" w:color="auto"/>
              </w:pBdr>
              <w:spacing w:before="120"/>
              <w:ind w:left="0" w:firstLine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D212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Zastupitelstvo</w:t>
            </w:r>
            <w:r w:rsidR="00FC38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Olomouckého kraje </w:t>
            </w:r>
            <w:r w:rsidR="009A13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8</w:t>
            </w:r>
            <w:r w:rsidR="009A13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 12</w:t>
            </w:r>
            <w:r w:rsidR="00FC3829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. 2017                                  </w:t>
            </w:r>
            <w:r w:rsidR="00FC38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            </w:t>
            </w:r>
            <w:r w:rsidR="00FC3829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Strana </w:t>
            </w:r>
            <w:r w:rsidR="00A722EF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FC3829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A722EF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 w:rsidR="00C23329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110</w:t>
            </w:r>
            <w:r w:rsidR="00A722EF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FC38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 </w:t>
            </w:r>
            <w:r w:rsidR="004805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12</w:t>
            </w:r>
            <w:r w:rsidR="00C233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9</w:t>
            </w:r>
            <w:bookmarkStart w:id="0" w:name="_GoBack"/>
            <w:bookmarkEnd w:id="0"/>
            <w:r w:rsidR="00FC3829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  <w:p w:rsidR="00FC3829" w:rsidRDefault="00A405A2" w:rsidP="00FC3829">
            <w:pPr>
              <w:pStyle w:val="Zpat"/>
              <w:pBdr>
                <w:top w:val="single" w:sz="4" w:space="1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</w:t>
            </w:r>
            <w:r w:rsidR="00230D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</w:t>
            </w:r>
            <w:r w:rsidR="00FC3829" w:rsidRPr="005D5E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B6158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- </w:t>
            </w:r>
            <w:r w:rsidR="00FC3829" w:rsidRPr="00CF61C5">
              <w:rPr>
                <w:rFonts w:ascii="Arial" w:hAnsi="Arial" w:cs="Arial"/>
                <w:bCs/>
                <w:i/>
                <w:sz w:val="20"/>
                <w:szCs w:val="20"/>
              </w:rPr>
              <w:t>Program podpory kultury v Olomouckém kraji v roce 2018 - vyhlášení</w:t>
            </w:r>
          </w:p>
          <w:p w:rsidR="00FC3829" w:rsidRDefault="00FC3829" w:rsidP="00FC3829">
            <w:pPr>
              <w:pStyle w:val="Zpat"/>
              <w:ind w:left="0" w:firstLine="0"/>
              <w:rPr>
                <w:i/>
                <w:sz w:val="20"/>
                <w:szCs w:val="20"/>
              </w:rPr>
            </w:pPr>
            <w:r w:rsidRPr="00A74CE6">
              <w:rPr>
                <w:rFonts w:ascii="Arial" w:hAnsi="Arial" w:cs="Arial"/>
                <w:i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Pr="00A74CE6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Pr="00A74CE6"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Pr="00A74CE6">
              <w:rPr>
                <w:rFonts w:ascii="Arial" w:hAnsi="Arial" w:cs="Arial"/>
                <w:i/>
                <w:sz w:val="20"/>
                <w:szCs w:val="20"/>
              </w:rPr>
              <w:t xml:space="preserve">zor veřejnoprávní smlouvy o poskytnutí dotace na akci </w:t>
            </w:r>
            <w:r>
              <w:rPr>
                <w:rFonts w:ascii="Arial" w:hAnsi="Arial" w:cs="Arial"/>
                <w:i/>
                <w:sz w:val="20"/>
                <w:szCs w:val="20"/>
              </w:rPr>
              <w:t>příspěvkovým organizacím (jiných zřizovatelů)</w:t>
            </w:r>
            <w:r w:rsidRPr="00A74CE6">
              <w:rPr>
                <w:i/>
                <w:sz w:val="20"/>
                <w:szCs w:val="20"/>
              </w:rPr>
              <w:t xml:space="preserve"> </w:t>
            </w:r>
          </w:p>
        </w:sdtContent>
      </w:sdt>
      <w:p w:rsidR="00FC3829" w:rsidRDefault="00A722EF">
        <w:pPr>
          <w:pStyle w:val="Zpat"/>
          <w:jc w:val="center"/>
        </w:pPr>
        <w:r>
          <w:fldChar w:fldCharType="begin"/>
        </w:r>
        <w:r w:rsidR="00FC3829">
          <w:instrText>PAGE   \* MERGEFORMAT</w:instrText>
        </w:r>
        <w:r>
          <w:fldChar w:fldCharType="separate"/>
        </w:r>
        <w:r w:rsidR="00C23329">
          <w:rPr>
            <w:noProof/>
          </w:rPr>
          <w:t>110</w:t>
        </w:r>
        <w:r>
          <w:fldChar w:fldCharType="end"/>
        </w:r>
      </w:p>
    </w:sdtContent>
  </w:sdt>
  <w:p w:rsidR="00F13304" w:rsidRPr="00D9037E" w:rsidRDefault="00F13304" w:rsidP="00D903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819487"/>
      <w:docPartObj>
        <w:docPartGallery w:val="Page Numbers (Bottom of Page)"/>
        <w:docPartUnique/>
      </w:docPartObj>
    </w:sdtPr>
    <w:sdtEndPr/>
    <w:sdtContent>
      <w:p w:rsidR="00F13304" w:rsidRDefault="00A722EF">
        <w:pPr>
          <w:pStyle w:val="Zpat"/>
          <w:jc w:val="center"/>
        </w:pPr>
        <w:r>
          <w:fldChar w:fldCharType="begin"/>
        </w:r>
        <w:r w:rsidR="00F13304">
          <w:instrText>PAGE   \* MERGEFORMAT</w:instrText>
        </w:r>
        <w:r>
          <w:fldChar w:fldCharType="separate"/>
        </w:r>
        <w:r w:rsidR="00F13304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D8" w:rsidRDefault="003E45D8" w:rsidP="00D40C40">
      <w:r>
        <w:separator/>
      </w:r>
    </w:p>
  </w:footnote>
  <w:footnote w:type="continuationSeparator" w:id="0">
    <w:p w:rsidR="003E45D8" w:rsidRDefault="003E45D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80" w:rsidRDefault="00D212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80" w:rsidRDefault="00D212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80" w:rsidRDefault="00D212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B6602"/>
    <w:rsid w:val="000C1B93"/>
    <w:rsid w:val="000C237E"/>
    <w:rsid w:val="000C34F6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2C61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6746"/>
    <w:rsid w:val="001A7A63"/>
    <w:rsid w:val="001B104E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6A3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DD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6319"/>
    <w:rsid w:val="002E127B"/>
    <w:rsid w:val="002E22EC"/>
    <w:rsid w:val="002E4AC7"/>
    <w:rsid w:val="002E6113"/>
    <w:rsid w:val="002F0537"/>
    <w:rsid w:val="002F2753"/>
    <w:rsid w:val="002F6E86"/>
    <w:rsid w:val="00300065"/>
    <w:rsid w:val="00300AC8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821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760"/>
    <w:rsid w:val="003C5227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5D8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1A5B"/>
    <w:rsid w:val="004224D5"/>
    <w:rsid w:val="00422A0D"/>
    <w:rsid w:val="00423C53"/>
    <w:rsid w:val="0042559C"/>
    <w:rsid w:val="00426D57"/>
    <w:rsid w:val="004306DB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737B"/>
    <w:rsid w:val="004678B6"/>
    <w:rsid w:val="00467D4B"/>
    <w:rsid w:val="00470ECC"/>
    <w:rsid w:val="00474E49"/>
    <w:rsid w:val="004754B6"/>
    <w:rsid w:val="004754F5"/>
    <w:rsid w:val="004769EC"/>
    <w:rsid w:val="004805BE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C7677"/>
    <w:rsid w:val="004D09F2"/>
    <w:rsid w:val="004D0E3E"/>
    <w:rsid w:val="004D2620"/>
    <w:rsid w:val="004D3A9B"/>
    <w:rsid w:val="004D3C67"/>
    <w:rsid w:val="004D4398"/>
    <w:rsid w:val="004D7174"/>
    <w:rsid w:val="004D7CAF"/>
    <w:rsid w:val="004E18B2"/>
    <w:rsid w:val="004E2514"/>
    <w:rsid w:val="004E3838"/>
    <w:rsid w:val="004E3EC8"/>
    <w:rsid w:val="004E5862"/>
    <w:rsid w:val="004E7A87"/>
    <w:rsid w:val="004F44DE"/>
    <w:rsid w:val="004F4874"/>
    <w:rsid w:val="004F4A0D"/>
    <w:rsid w:val="004F648D"/>
    <w:rsid w:val="004F7E64"/>
    <w:rsid w:val="005001C4"/>
    <w:rsid w:val="005018CD"/>
    <w:rsid w:val="00503A23"/>
    <w:rsid w:val="00503A3F"/>
    <w:rsid w:val="00503C5A"/>
    <w:rsid w:val="00503C95"/>
    <w:rsid w:val="005047E3"/>
    <w:rsid w:val="00505699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36B3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6B40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E6FD4"/>
    <w:rsid w:val="005F27D1"/>
    <w:rsid w:val="005F2A75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627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87C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B5BAA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6E6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CE4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78D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486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19B"/>
    <w:rsid w:val="00826334"/>
    <w:rsid w:val="00832011"/>
    <w:rsid w:val="00832ABD"/>
    <w:rsid w:val="008335C8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346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18A1"/>
    <w:rsid w:val="00946358"/>
    <w:rsid w:val="009463E3"/>
    <w:rsid w:val="009527DF"/>
    <w:rsid w:val="00953119"/>
    <w:rsid w:val="00955EF2"/>
    <w:rsid w:val="0095627A"/>
    <w:rsid w:val="00957D20"/>
    <w:rsid w:val="00960E46"/>
    <w:rsid w:val="0096469A"/>
    <w:rsid w:val="00966543"/>
    <w:rsid w:val="00967513"/>
    <w:rsid w:val="009712DC"/>
    <w:rsid w:val="00971C38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A7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01BB"/>
    <w:rsid w:val="009E27A1"/>
    <w:rsid w:val="009E446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05A2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22EF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0C4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5DD6"/>
    <w:rsid w:val="00B46D0D"/>
    <w:rsid w:val="00B50B3B"/>
    <w:rsid w:val="00B542C6"/>
    <w:rsid w:val="00B5669C"/>
    <w:rsid w:val="00B56B3B"/>
    <w:rsid w:val="00B609DE"/>
    <w:rsid w:val="00B60B84"/>
    <w:rsid w:val="00B61581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28E8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256D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3329"/>
    <w:rsid w:val="00C254E4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699F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32F8"/>
    <w:rsid w:val="00CD4A21"/>
    <w:rsid w:val="00CD5ADF"/>
    <w:rsid w:val="00CD76D2"/>
    <w:rsid w:val="00CE0F98"/>
    <w:rsid w:val="00CE25FD"/>
    <w:rsid w:val="00CE52FC"/>
    <w:rsid w:val="00CE733E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86"/>
    <w:rsid w:val="00D134FE"/>
    <w:rsid w:val="00D15D0F"/>
    <w:rsid w:val="00D17D01"/>
    <w:rsid w:val="00D205D2"/>
    <w:rsid w:val="00D21280"/>
    <w:rsid w:val="00D2142F"/>
    <w:rsid w:val="00D21A4D"/>
    <w:rsid w:val="00D22DB5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37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A79B9"/>
    <w:rsid w:val="00DB3240"/>
    <w:rsid w:val="00DB68A2"/>
    <w:rsid w:val="00DC039D"/>
    <w:rsid w:val="00DC039E"/>
    <w:rsid w:val="00DC473B"/>
    <w:rsid w:val="00DC5C4C"/>
    <w:rsid w:val="00DD6346"/>
    <w:rsid w:val="00DE0950"/>
    <w:rsid w:val="00DE145A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15CF1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EF7DC4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2A95"/>
    <w:rsid w:val="00F23BA5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C5F"/>
    <w:rsid w:val="00F63D55"/>
    <w:rsid w:val="00F64000"/>
    <w:rsid w:val="00F641E7"/>
    <w:rsid w:val="00F647AB"/>
    <w:rsid w:val="00F65C64"/>
    <w:rsid w:val="00F66533"/>
    <w:rsid w:val="00F71C83"/>
    <w:rsid w:val="00F71D70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6E69"/>
    <w:rsid w:val="00FB7A95"/>
    <w:rsid w:val="00FC3829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55D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4F55A0"/>
  <w15:docId w15:val="{2A51FD7D-8711-46DC-BD43-16965BE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967F-F2B3-48B9-9635-F1712EAD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3581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Goryczková Lucie</cp:lastModifiedBy>
  <cp:revision>5</cp:revision>
  <cp:lastPrinted>2016-11-21T11:08:00Z</cp:lastPrinted>
  <dcterms:created xsi:type="dcterms:W3CDTF">2017-12-11T14:25:00Z</dcterms:created>
  <dcterms:modified xsi:type="dcterms:W3CDTF">2017-12-11T15:02:00Z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