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D5DDCF4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5947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7D18D748" w14:textId="74D26A66" w:rsidR="00901011" w:rsidRDefault="00901011" w:rsidP="00901011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A54B78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 xml:space="preserve">VZOR </w:t>
      </w:r>
      <w:r w:rsidR="00A54B78" w:rsidRPr="00A54B78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>5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 – schváleno 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dne </w:t>
      </w:r>
      <w:r w:rsidR="00BD19E1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18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. </w:t>
      </w:r>
      <w:r w:rsidR="00BD19E1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9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. 201</w:t>
      </w:r>
      <w:r w:rsidR="004C0F3D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7</w:t>
      </w:r>
    </w:p>
    <w:p w14:paraId="4A9D563A" w14:textId="77777777" w:rsidR="00BD19E1" w:rsidRPr="00901011" w:rsidRDefault="00901011" w:rsidP="00BD19E1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usnesením zok č. </w:t>
      </w:r>
      <w:r w:rsidR="00BD19E1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UZ/</w:t>
      </w:r>
      <w:r w:rsidR="00BD19E1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6</w:t>
      </w:r>
      <w:r w:rsidR="00BD19E1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</w:t>
      </w:r>
      <w:r w:rsidR="00BD19E1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37</w:t>
      </w:r>
      <w:r w:rsidR="00BD19E1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/201</w:t>
      </w:r>
      <w:r w:rsidR="00BD19E1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7</w:t>
      </w:r>
    </w:p>
    <w:p w14:paraId="3C9258B8" w14:textId="0ED63434" w:rsidR="009A3DA5" w:rsidRDefault="009A3DA5" w:rsidP="00BD19E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492C275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A940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právnickéosoby</w:t>
      </w:r>
    </w:p>
    <w:p w14:paraId="419E4D2E" w14:textId="3DEE308A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A94063">
        <w:rPr>
          <w:rFonts w:ascii="Arial" w:eastAsia="Times New Roman" w:hAnsi="Arial" w:cs="Arial"/>
          <w:sz w:val="24"/>
          <w:szCs w:val="24"/>
          <w:lang w:eastAsia="cs-CZ"/>
        </w:rPr>
        <w:t>: ……………………………………………………………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543A04D6" w14:textId="076B1DC6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0AD619DC" w14:textId="3DFC173F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17950C0B"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0DBFF93" w:rsidR="009A3DA5" w:rsidRDefault="0033479B" w:rsidP="0033479B">
      <w:pPr>
        <w:tabs>
          <w:tab w:val="left" w:pos="375"/>
          <w:tab w:val="center" w:pos="4535"/>
        </w:tabs>
        <w:spacing w:before="360" w:after="36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62CE1DA0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78F5A2EE" w14:textId="77777777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11CEBE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77777777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musí být v souladu s Pravidly konkrétního dotačního programu, tj. je potřeba toto v Pravidlech upravit - možnost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2954A95" w:rsidR="00001074" w:rsidRPr="0000107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C62A8E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21AF7287" w14:textId="61B46CDE" w:rsidR="00D11E64" w:rsidRDefault="00D11E64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 w:rsidR="00C95988"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 w:rsidR="00C9598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357003A2" w14:textId="20CACB76" w:rsidR="000B103E" w:rsidRDefault="000B103E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D9" w14:textId="2B2A8308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0010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</w:t>
      </w:r>
      <w:r w:rsidR="00B518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ny 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uznatelné </w:t>
      </w:r>
      <w:r w:rsidR="00B518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výdaje, na jejichž úhradu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</w:t>
      </w:r>
      <w:r w:rsidR="00FB5FA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pouze 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použít</w:t>
      </w:r>
      <w:r w:rsidR="00AB1A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(viz odst. 2.7 Pravidel)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0F9D8C49"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D0FB33D" w:rsidR="009A3DA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0D1B23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</w:t>
      </w:r>
      <w:r w:rsidR="009E65A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nejpozději do konce měsíce následujícího po konci termínu </w:t>
      </w:r>
      <w:r w:rsidR="009A2DE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realizace akce, uvedené</w:t>
      </w:r>
      <w:r w:rsidR="009934B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9A2DE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</w:t>
      </w:r>
      <w:r w:rsidR="0023189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projektu.</w:t>
      </w:r>
    </w:p>
    <w:p w14:paraId="3C9258E5" w14:textId="1D5FCF37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3C9258E7" w14:textId="4DD5704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</w:t>
      </w:r>
      <w:r w:rsidR="00E60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(specifikuje se dl</w:t>
      </w:r>
      <w:r w:rsidR="00136F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 dotačního titulu – viz čl. 8 P</w:t>
      </w:r>
      <w:r w:rsidR="00E60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ravidel)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:</w:t>
      </w:r>
    </w:p>
    <w:p w14:paraId="74FA8814" w14:textId="77777777" w:rsidR="00CB5336" w:rsidRPr="00841ADB" w:rsidRDefault="00CB5336" w:rsidP="00CB5336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4A435B54" w14:textId="77777777" w:rsidR="00CB5336" w:rsidRPr="00841ADB" w:rsidRDefault="00CB5336" w:rsidP="00CB5336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15138D4B" w14:textId="77777777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2A203FAD" w14:textId="02F99B39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3237A9FD" w14:textId="77777777" w:rsidR="00CB5336" w:rsidRPr="00841ADB" w:rsidRDefault="00CB5336" w:rsidP="00CB5336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1C811618" w14:textId="77777777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lastRenderedPageBreak/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1F395FA0" w14:textId="3CC484A4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77164CD8" w14:textId="77777777" w:rsidR="00CB5336" w:rsidRPr="00841ADB" w:rsidRDefault="00CB5336" w:rsidP="00CB5336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2D8F04DD" w14:textId="77777777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841ADB">
        <w:rPr>
          <w:rFonts w:ascii="Arial" w:hAnsi="Arial" w:cs="Arial"/>
          <w:sz w:val="24"/>
          <w:szCs w:val="24"/>
        </w:rPr>
        <w:t>rovnající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62BA58A4" w14:textId="5A21647E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1E77AEC" w14:textId="77777777" w:rsidR="00CB5336" w:rsidRPr="00841ADB" w:rsidRDefault="00CB5336" w:rsidP="00CB5336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4863866D" w14:textId="77777777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2D28E382" w14:textId="4E19093E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14ACB8E3" w14:textId="77777777" w:rsidR="00CB5336" w:rsidRPr="00841ADB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413D9AF5" w14:textId="77777777" w:rsidR="00CB5336" w:rsidRPr="00696A9F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ani varianta B), se tato ujednání vypustí a formuluje se dle Pravidel pro konkrétní dotační program/titul. Totéž platí pro ujednání dle odst. 5 (viz zeleně podbarvený text).</w:t>
      </w:r>
    </w:p>
    <w:p w14:paraId="736E6F35" w14:textId="77777777" w:rsidR="00CB5336" w:rsidRPr="00696A9F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190A886C" w:rsidR="00A9730D" w:rsidRPr="00822CBA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A9730D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A70669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8771BB">
        <w:rPr>
          <w:rFonts w:ascii="Arial" w:eastAsia="Times New Roman" w:hAnsi="Arial" w:cs="Arial"/>
          <w:iCs/>
          <w:sz w:val="24"/>
          <w:szCs w:val="24"/>
          <w:lang w:eastAsia="cs-CZ"/>
        </w:rPr>
        <w:t>příjmy uvedené v odst. 7.4 písm. e) Pravidel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7592A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="00B7592A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="00B7592A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</w:t>
      </w:r>
      <w:r w:rsid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 smlouvě </w:t>
      </w:r>
      <w:r w:rsidR="00A9730D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sjednána spoluúčast příjemce, nebo pokud se bude jednat o akci s příjmy.</w:t>
      </w:r>
    </w:p>
    <w:p w14:paraId="2FDE39D2" w14:textId="29BBCD4D" w:rsidR="00822CBA" w:rsidRPr="00822CBA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  <w:r w:rsidR="00DC038B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1347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B5E3DCC" w14:textId="6FBAA6E7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77777777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1E351A06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</w:t>
      </w:r>
      <w:r w:rsidR="001F6B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5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0AD732B0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výši, zde bude uvedena částka celkových předpokládaných uznatelných výdajů dle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výši, zde bude částka rovnající se součtu poskytnuté dotace a částky spoluúčasti příjemce viz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B,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lastRenderedPageBreak/>
        <w:t>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60F41884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</w:t>
      </w:r>
      <w:r w:rsidR="006B75E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50E1A8D2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</w:t>
      </w:r>
      <w:r w:rsidR="000436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specifik dotačního programu/titulu. Není-li toto potřeba, věta se vypustí.</w:t>
      </w:r>
    </w:p>
    <w:p w14:paraId="55BDF311" w14:textId="1CED557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6E597DB0" w:rsidR="004514E3" w:rsidRPr="00CC0204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smlouvy), bude dotace poskytována v režimu de minimis.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a vypustí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5. 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sjednána spoluúčast příjemce: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7238D8B2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265F7223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36AA61F6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417CEB84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45DE702C" w14:textId="278B5D8D" w:rsidR="00FE3DFD" w:rsidRPr="00803A28" w:rsidRDefault="00FE3DFD" w:rsidP="00FE3DFD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do </w:t>
      </w:r>
      <w:r w:rsidR="00EC41C1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3</w:t>
      </w:r>
      <w:r w:rsidR="00EC41C1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 w:rsidR="00EC41C1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tisíc Kč včetně na akci</w:t>
      </w:r>
    </w:p>
    <w:p w14:paraId="01821132" w14:textId="2E5BF351" w:rsidR="00FE3DFD" w:rsidRPr="00803A28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9934B1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9934B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akce, uvedeného v tabulce žadatelů v materiálu, schváleném řídícím orgánem v sloupci Termín akce/realizace projektu.</w:t>
      </w:r>
    </w:p>
    <w:p w14:paraId="75DA4A08" w14:textId="77777777" w:rsidR="00FE3DFD" w:rsidRPr="00803A2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2570ED1" w14:textId="77777777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77777777" w:rsidR="00FE3DFD" w:rsidRPr="00803A28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2180656" w14:textId="0E1FC502" w:rsidR="00220A93" w:rsidRPr="00220A93" w:rsidRDefault="00BB52AD" w:rsidP="00BB52A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20A93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220A93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„………………“. </w:t>
      </w:r>
      <w:r w:rsidR="00220A93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220A93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220A93" w:rsidRPr="00A70669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220A93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220A93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220A93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220A93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220A93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20A93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220A93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220A93">
        <w:rPr>
          <w:rFonts w:ascii="Arial" w:eastAsia="Times New Roman" w:hAnsi="Arial" w:cs="Arial"/>
          <w:iCs/>
          <w:sz w:val="24"/>
          <w:szCs w:val="24"/>
          <w:lang w:eastAsia="cs-CZ"/>
        </w:rPr>
        <w:t>příjmy uvedené v odst. 7.4 písm. e) Pravidel</w:t>
      </w:r>
      <w:r w:rsidR="00220A93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20A93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(odst. 4.1) a modře podbarvený text v odst. 5 se</w:t>
      </w:r>
      <w:r w:rsidR="00220A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20A93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425781FB" w14:textId="1F6BB41E" w:rsidR="00FE3DFD" w:rsidRDefault="00FE3DFD" w:rsidP="00FE3DF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47B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6904271A" w14:textId="77777777" w:rsidR="00FE3DFD" w:rsidRPr="00CC0204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Společně s vyúčtováním příjemce předloží poskytovateli závěrečnou zprávu.</w:t>
      </w:r>
    </w:p>
    <w:p w14:paraId="5F5CF718" w14:textId="77777777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0F6C8ABB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p w14:paraId="517B6B03" w14:textId="77777777" w:rsidR="00A34824" w:rsidRDefault="00A34824" w:rsidP="00A34824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49AC1FC" w14:textId="0000927F" w:rsidR="00A34824" w:rsidRDefault="00A34824" w:rsidP="00A34824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107607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hyperlink r:id="rId10" w:history="1">
        <w:r w:rsidR="00D65393" w:rsidRPr="005D7044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https://www.kr-olomoucky.cz/vyuctovani-dotace-cl-4065.html</w:t>
        </w:r>
      </w:hyperlink>
    </w:p>
    <w:p w14:paraId="044205B2" w14:textId="77777777" w:rsidR="00D65393" w:rsidRDefault="00D65393" w:rsidP="00A34824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D65393" w:rsidSect="00BF1DE2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7A024" w14:textId="77777777" w:rsidR="00E462A7" w:rsidRDefault="00E462A7" w:rsidP="00D40C40">
      <w:r>
        <w:separator/>
      </w:r>
    </w:p>
  </w:endnote>
  <w:endnote w:type="continuationSeparator" w:id="0">
    <w:p w14:paraId="30D3208F" w14:textId="77777777" w:rsidR="00E462A7" w:rsidRDefault="00E462A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313253651"/>
      <w:docPartObj>
        <w:docPartGallery w:val="Page Numbers (Bottom of Page)"/>
        <w:docPartUnique/>
      </w:docPartObj>
    </w:sdtPr>
    <w:sdtEndPr/>
    <w:sdtContent>
      <w:p w14:paraId="5746B360" w14:textId="0BE56C7F" w:rsidR="00BF1DE2" w:rsidRPr="009B3649" w:rsidRDefault="0033479B" w:rsidP="00BF1DE2">
        <w:pPr>
          <w:pStyle w:val="Zpat"/>
          <w:pBdr>
            <w:top w:val="single" w:sz="4" w:space="1" w:color="auto"/>
          </w:pBdr>
          <w:jc w:val="lef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 Olomouckého kraje 18. 12. 2017</w:t>
        </w:r>
        <w:r w:rsidR="00BF1DE2" w:rsidRPr="009B3649">
          <w:rPr>
            <w:rFonts w:ascii="Arial" w:hAnsi="Arial" w:cs="Arial"/>
            <w:i/>
            <w:sz w:val="20"/>
            <w:szCs w:val="20"/>
          </w:rPr>
          <w:tab/>
        </w:r>
        <w:r w:rsidR="00BF1DE2" w:rsidRPr="009B3649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BF1DE2" w:rsidRPr="009B3649">
          <w:rPr>
            <w:rFonts w:ascii="Arial" w:hAnsi="Arial" w:cs="Arial"/>
            <w:i/>
            <w:sz w:val="20"/>
            <w:szCs w:val="20"/>
          </w:rPr>
          <w:fldChar w:fldCharType="begin"/>
        </w:r>
        <w:r w:rsidR="00BF1DE2" w:rsidRPr="009B3649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BF1DE2" w:rsidRPr="009B3649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43</w:t>
        </w:r>
        <w:r w:rsidR="00BF1DE2" w:rsidRPr="009B3649">
          <w:rPr>
            <w:rFonts w:ascii="Arial" w:hAnsi="Arial" w:cs="Arial"/>
            <w:i/>
            <w:sz w:val="20"/>
            <w:szCs w:val="20"/>
          </w:rPr>
          <w:fldChar w:fldCharType="end"/>
        </w:r>
        <w:r w:rsidR="00BF1DE2" w:rsidRPr="009B3649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BF1DE2">
          <w:rPr>
            <w:rFonts w:ascii="Arial" w:hAnsi="Arial" w:cs="Arial"/>
            <w:i/>
            <w:sz w:val="20"/>
            <w:szCs w:val="20"/>
          </w:rPr>
          <w:t>55</w:t>
        </w:r>
        <w:r w:rsidR="00BF1DE2" w:rsidRPr="009B3649">
          <w:rPr>
            <w:rFonts w:ascii="Arial" w:hAnsi="Arial" w:cs="Arial"/>
            <w:i/>
            <w:sz w:val="20"/>
            <w:szCs w:val="20"/>
          </w:rPr>
          <w:t>)</w:t>
        </w:r>
      </w:p>
      <w:p w14:paraId="4E5C3BC5" w14:textId="24E3A5EA" w:rsidR="00BF1DE2" w:rsidRPr="009B3649" w:rsidRDefault="0033479B" w:rsidP="00BF1DE2">
        <w:pPr>
          <w:pStyle w:val="Zpat"/>
          <w:pBdr>
            <w:top w:val="single" w:sz="4" w:space="1" w:color="auto"/>
          </w:pBdr>
          <w:ind w:left="0" w:firstLine="0"/>
          <w:jc w:val="lef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30</w:t>
        </w:r>
        <w:r w:rsidR="00BF1DE2" w:rsidRPr="009B3649">
          <w:rPr>
            <w:rFonts w:ascii="Arial" w:hAnsi="Arial" w:cs="Arial"/>
            <w:i/>
            <w:sz w:val="20"/>
            <w:szCs w:val="20"/>
          </w:rPr>
          <w:t xml:space="preserve">. – Program na podporu </w:t>
        </w:r>
        <w:r w:rsidR="00BF1DE2">
          <w:rPr>
            <w:rFonts w:ascii="Arial" w:hAnsi="Arial" w:cs="Arial"/>
            <w:i/>
            <w:sz w:val="20"/>
            <w:szCs w:val="20"/>
          </w:rPr>
          <w:t>výstavby a rekontrukcí v obcích</w:t>
        </w:r>
        <w:r w:rsidR="00BF1DE2" w:rsidRPr="009B3649">
          <w:rPr>
            <w:rFonts w:ascii="Arial" w:hAnsi="Arial" w:cs="Arial"/>
            <w:i/>
            <w:sz w:val="20"/>
            <w:szCs w:val="20"/>
          </w:rPr>
          <w:t xml:space="preserve"> Olomoucké</w:t>
        </w:r>
        <w:r w:rsidR="00BF1DE2">
          <w:rPr>
            <w:rFonts w:ascii="Arial" w:hAnsi="Arial" w:cs="Arial"/>
            <w:i/>
            <w:sz w:val="20"/>
            <w:szCs w:val="20"/>
          </w:rPr>
          <w:t>ho kraje</w:t>
        </w:r>
        <w:r w:rsidR="00BF1DE2" w:rsidRPr="009B3649">
          <w:rPr>
            <w:rFonts w:ascii="Arial" w:hAnsi="Arial" w:cs="Arial"/>
            <w:i/>
            <w:sz w:val="20"/>
            <w:szCs w:val="20"/>
          </w:rPr>
          <w:t xml:space="preserve"> v roce 2018 - vyhlášení</w:t>
        </w:r>
      </w:p>
      <w:p w14:paraId="436DE2DC" w14:textId="7A68D2BB" w:rsidR="00BF1DE2" w:rsidRDefault="00BF1DE2" w:rsidP="00BF1DE2">
        <w:pPr>
          <w:pStyle w:val="Zpat"/>
          <w:rPr>
            <w:rFonts w:ascii="Arial" w:hAnsi="Arial" w:cs="Arial"/>
          </w:rPr>
        </w:pPr>
        <w:r w:rsidRPr="009B3649">
          <w:rPr>
            <w:rFonts w:ascii="Arial" w:hAnsi="Arial" w:cs="Arial"/>
            <w:i/>
            <w:sz w:val="20"/>
            <w:szCs w:val="20"/>
          </w:rPr>
          <w:t xml:space="preserve">Příloha č. </w:t>
        </w:r>
        <w:r>
          <w:rPr>
            <w:rFonts w:ascii="Arial" w:hAnsi="Arial" w:cs="Arial"/>
            <w:i/>
            <w:sz w:val="20"/>
            <w:szCs w:val="20"/>
          </w:rPr>
          <w:t>4</w:t>
        </w:r>
        <w:r w:rsidRPr="009B3649">
          <w:rPr>
            <w:rFonts w:ascii="Arial" w:hAnsi="Arial" w:cs="Arial"/>
            <w:i/>
            <w:sz w:val="20"/>
            <w:szCs w:val="20"/>
          </w:rPr>
          <w:t xml:space="preserve"> – </w:t>
        </w:r>
        <w:r w:rsidRPr="00833908">
          <w:rPr>
            <w:rFonts w:ascii="Arial" w:hAnsi="Arial" w:cs="Arial"/>
            <w:i/>
            <w:sz w:val="20"/>
            <w:szCs w:val="20"/>
          </w:rPr>
          <w:t xml:space="preserve">Vzor veřejnoprávní smlouvy na </w:t>
        </w:r>
        <w:r>
          <w:rPr>
            <w:rFonts w:ascii="Arial" w:hAnsi="Arial" w:cs="Arial"/>
            <w:i/>
            <w:sz w:val="20"/>
            <w:szCs w:val="20"/>
          </w:rPr>
          <w:t>akci</w:t>
        </w:r>
        <w:r w:rsidRPr="00833908">
          <w:rPr>
            <w:rFonts w:ascii="Arial" w:hAnsi="Arial" w:cs="Arial"/>
            <w:i/>
            <w:sz w:val="20"/>
            <w:szCs w:val="20"/>
          </w:rPr>
          <w:t xml:space="preserve"> pro </w:t>
        </w:r>
        <w:r>
          <w:rPr>
            <w:rFonts w:ascii="Arial" w:hAnsi="Arial" w:cs="Arial"/>
            <w:i/>
            <w:sz w:val="20"/>
            <w:szCs w:val="20"/>
          </w:rPr>
          <w:t>právnické osoby</w:t>
        </w:r>
      </w:p>
    </w:sdtContent>
  </w:sdt>
  <w:p w14:paraId="37BA5330" w14:textId="49D53D4E" w:rsidR="00D20B9A" w:rsidRPr="00BD19E1" w:rsidRDefault="00D20B9A" w:rsidP="00BF1DE2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D36C3" w14:textId="77777777" w:rsidR="00E462A7" w:rsidRDefault="00E462A7" w:rsidP="00D40C40">
      <w:r>
        <w:separator/>
      </w:r>
    </w:p>
  </w:footnote>
  <w:footnote w:type="continuationSeparator" w:id="0">
    <w:p w14:paraId="30135575" w14:textId="77777777" w:rsidR="00E462A7" w:rsidRDefault="00E462A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0DC6A" w14:textId="59838266" w:rsidR="00BF1DE2" w:rsidRPr="00BF1DE2" w:rsidRDefault="00BF1DE2" w:rsidP="00BF1DE2">
    <w:pPr>
      <w:pStyle w:val="Zpat"/>
      <w:jc w:val="center"/>
      <w:rPr>
        <w:rFonts w:ascii="Arial" w:hAnsi="Arial" w:cs="Arial"/>
        <w:sz w:val="24"/>
        <w:szCs w:val="24"/>
      </w:rPr>
    </w:pPr>
    <w:r w:rsidRPr="00BF1DE2">
      <w:rPr>
        <w:rFonts w:ascii="Arial" w:hAnsi="Arial" w:cs="Arial"/>
        <w:i/>
        <w:sz w:val="24"/>
        <w:szCs w:val="24"/>
      </w:rPr>
      <w:t>Příloha č. 4 – Vzor veřejnoprávní smlouvy na akci pro právnické osoby</w:t>
    </w:r>
  </w:p>
  <w:p w14:paraId="73868D5D" w14:textId="5FD18BCB" w:rsidR="00BF1DE2" w:rsidRDefault="00BF1DE2" w:rsidP="00BF1DE2">
    <w:pPr>
      <w:pStyle w:val="Zhlav"/>
      <w:tabs>
        <w:tab w:val="clear" w:pos="4536"/>
        <w:tab w:val="clear" w:pos="9072"/>
        <w:tab w:val="left" w:pos="3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3650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16F"/>
    <w:rsid w:val="0009326B"/>
    <w:rsid w:val="0009398A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5D6D"/>
    <w:rsid w:val="00136F37"/>
    <w:rsid w:val="00137D65"/>
    <w:rsid w:val="001429D2"/>
    <w:rsid w:val="001436D1"/>
    <w:rsid w:val="001455DA"/>
    <w:rsid w:val="00147D64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4F6F"/>
    <w:rsid w:val="00326204"/>
    <w:rsid w:val="00332FD6"/>
    <w:rsid w:val="0033479B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0D3F"/>
    <w:rsid w:val="004514E3"/>
    <w:rsid w:val="00452184"/>
    <w:rsid w:val="00452329"/>
    <w:rsid w:val="00453D92"/>
    <w:rsid w:val="0045517F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975B8"/>
    <w:rsid w:val="004A007F"/>
    <w:rsid w:val="004A27E8"/>
    <w:rsid w:val="004A59CA"/>
    <w:rsid w:val="004B000B"/>
    <w:rsid w:val="004B09B0"/>
    <w:rsid w:val="004B192A"/>
    <w:rsid w:val="004B3ABA"/>
    <w:rsid w:val="004B4678"/>
    <w:rsid w:val="004C0852"/>
    <w:rsid w:val="004C0F3D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B33"/>
    <w:rsid w:val="006A47B1"/>
    <w:rsid w:val="006A5892"/>
    <w:rsid w:val="006A7CB9"/>
    <w:rsid w:val="006B1973"/>
    <w:rsid w:val="006B3B2A"/>
    <w:rsid w:val="006B4F48"/>
    <w:rsid w:val="006B75E7"/>
    <w:rsid w:val="006B7765"/>
    <w:rsid w:val="006C061A"/>
    <w:rsid w:val="006C0D2D"/>
    <w:rsid w:val="006C43C7"/>
    <w:rsid w:val="006C452D"/>
    <w:rsid w:val="006D0AC7"/>
    <w:rsid w:val="006D101C"/>
    <w:rsid w:val="006D6288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22527"/>
    <w:rsid w:val="00723202"/>
    <w:rsid w:val="007235E1"/>
    <w:rsid w:val="007321D0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B93"/>
    <w:rsid w:val="007D5EA9"/>
    <w:rsid w:val="007E0009"/>
    <w:rsid w:val="007E0CAA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71BB"/>
    <w:rsid w:val="008824D6"/>
    <w:rsid w:val="00882BA6"/>
    <w:rsid w:val="00885BED"/>
    <w:rsid w:val="00892667"/>
    <w:rsid w:val="0089625A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F03FB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61A3"/>
    <w:rsid w:val="009E65A6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18DC"/>
    <w:rsid w:val="00B542C6"/>
    <w:rsid w:val="00B5669C"/>
    <w:rsid w:val="00B56B3B"/>
    <w:rsid w:val="00B609DE"/>
    <w:rsid w:val="00B619D8"/>
    <w:rsid w:val="00B6248B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1DE2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C6C"/>
    <w:rsid w:val="00C43E35"/>
    <w:rsid w:val="00C475DB"/>
    <w:rsid w:val="00C51C7B"/>
    <w:rsid w:val="00C522FA"/>
    <w:rsid w:val="00C524A4"/>
    <w:rsid w:val="00C569FE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95988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604F5"/>
    <w:rsid w:val="00D61EA4"/>
    <w:rsid w:val="00D65393"/>
    <w:rsid w:val="00D6556E"/>
    <w:rsid w:val="00D675D4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8AD"/>
    <w:rsid w:val="00E13318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16B0"/>
    <w:rsid w:val="00E62473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855F7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DEC"/>
    <w:rsid w:val="00F36721"/>
    <w:rsid w:val="00F37102"/>
    <w:rsid w:val="00F42C49"/>
    <w:rsid w:val="00F43A5D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337"/>
    <w:rsid w:val="00F96E10"/>
    <w:rsid w:val="00FA1EBC"/>
    <w:rsid w:val="00FA26A5"/>
    <w:rsid w:val="00FA2B44"/>
    <w:rsid w:val="00FA4037"/>
    <w:rsid w:val="00FA4156"/>
    <w:rsid w:val="00FA7AB8"/>
    <w:rsid w:val="00FB0C98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3DF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9253BC"/>
  <w15:docId w15:val="{10028CF9-06CB-4163-AC4D-8F1297EB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r-olomoucky.cz/vyuctovani-dotace-cl-40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CC482-340E-4E95-BD94-3CC8D6DB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4905</Words>
  <Characters>28940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Machálek Miloslav</cp:lastModifiedBy>
  <cp:revision>4</cp:revision>
  <cp:lastPrinted>2016-11-21T11:05:00Z</cp:lastPrinted>
  <dcterms:created xsi:type="dcterms:W3CDTF">2017-11-21T07:08:00Z</dcterms:created>
  <dcterms:modified xsi:type="dcterms:W3CDTF">2017-11-28T11:58:00Z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