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8E" w:rsidRDefault="0099428E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E9440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D95646">
        <w:rPr>
          <w:rFonts w:ascii="Arial" w:eastAsia="Times New Roman" w:hAnsi="Arial" w:cs="Arial"/>
          <w:sz w:val="24"/>
          <w:szCs w:val="24"/>
          <w:lang w:eastAsia="cs-CZ"/>
        </w:rPr>
        <w:t xml:space="preserve">ŘÍLOHA č. </w:t>
      </w:r>
      <w:r w:rsidR="00114A69">
        <w:rPr>
          <w:rFonts w:ascii="Arial" w:eastAsia="Times New Roman" w:hAnsi="Arial" w:cs="Arial"/>
          <w:sz w:val="24"/>
          <w:szCs w:val="24"/>
          <w:lang w:eastAsia="cs-CZ"/>
        </w:rPr>
        <w:t>3</w:t>
      </w:r>
    </w:p>
    <w:p w:rsidR="00C97E3F" w:rsidRDefault="00C97E3F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4224D5" w:rsidRPr="003B4ED1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042FA8"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 programu fond na podporu výstavby a obnovy vodohospodářské infrastruktury na území olomouckého kraje</w:t>
      </w:r>
    </w:p>
    <w:p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.: 35-1799460247/0100</w:t>
      </w:r>
    </w:p>
    <w:p w:rsidR="004224D5" w:rsidRPr="004224D5" w:rsidRDefault="004224D5" w:rsidP="004224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224D5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……………….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</w:t>
      </w:r>
    </w:p>
    <w:p w:rsidR="00710D22" w:rsidRP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Zastoupená: …………………….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4224D5" w:rsidRPr="004224D5" w:rsidRDefault="004224D5" w:rsidP="004224D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7360D6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 za účelem ….. (dle vyhlášeného dotačního programu/titulu)</w:t>
      </w:r>
      <w:r w:rsidR="00735E1F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:rsidR="004224D5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FF7446"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r w:rsidR="00FA1AC6">
        <w:rPr>
          <w:rFonts w:ascii="Arial" w:eastAsia="Times New Roman" w:hAnsi="Arial" w:cs="Arial"/>
          <w:sz w:val="24"/>
          <w:szCs w:val="24"/>
          <w:lang w:eastAsia="cs-CZ"/>
        </w:rPr>
        <w:t>stavbu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......... (dále také „akce“).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:rsidR="004224D5" w:rsidRPr="004224D5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4224D5" w:rsidRPr="004224D5" w:rsidRDefault="004224D5" w:rsidP="00B64C8F">
      <w:pPr>
        <w:numPr>
          <w:ilvl w:val="0"/>
          <w:numId w:val="12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4224D5" w:rsidRPr="004224D5" w:rsidRDefault="004224D5" w:rsidP="00756E84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224D5" w:rsidRPr="004224D5" w:rsidRDefault="004224D5" w:rsidP="00281D59">
      <w:pPr>
        <w:numPr>
          <w:ilvl w:val="0"/>
          <w:numId w:val="1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</w:t>
      </w:r>
      <w:r w:rsidRPr="003B4E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> podmínkami pro poskytnutí dotace z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 xml:space="preserve"> dotačního programu 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>Fond na podpor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 xml:space="preserve"> výstavby a obnovy vodohospodářské infrastruktury na území Olomouckého kraje</w:t>
      </w:r>
      <w:r w:rsidR="00D9505B" w:rsidRPr="003B4E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B4E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  <w:r w:rsidR="00D950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505B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F33216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4224D5" w:rsidRPr="005F6DA1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color w:val="7030A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5F6DA1" w:rsidRPr="003B4ED1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>áklady uvedené v bodu 9.3. Pravidel dotačního programu Fond na podporu výstavby a obnovy vodohospodářské infrastruktury na území Olomouckého kraje</w:t>
      </w:r>
      <w:r w:rsidR="00042FA8" w:rsidRPr="005F6DA1">
        <w:rPr>
          <w:rFonts w:ascii="Arial" w:eastAsia="Times New Roman" w:hAnsi="Arial" w:cs="Arial"/>
          <w:color w:val="7030A0"/>
          <w:sz w:val="24"/>
          <w:szCs w:val="24"/>
          <w:lang w:eastAsia="cs-CZ"/>
        </w:rPr>
        <w:t>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4224D5" w:rsidRPr="003B4ED1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281D59"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16A70"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>1. 1. 2016</w:t>
      </w:r>
      <w:r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B47101" w:rsidRPr="00F33216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 čl. I. odst. 2 a 4 této smlouvy vynaložit z vlastních </w:t>
      </w:r>
      <w:r w:rsidR="00ED1CE8"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zdrojů</w:t>
      </w:r>
      <w:r w:rsidRPr="00F332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 ….  korun českých</w:t>
      </w:r>
      <w:r w:rsidRPr="003B4ED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DC7CA0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 důvodu, že minimální </w:t>
      </w:r>
      <w:r w:rsid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podíl </w:t>
      </w:r>
      <w:r w:rsidR="00DC7CA0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příjemce musí činit 50 % celkových skutečně uznatelných nákladů bude zde uvedena částka minimálně ve výši poskytované dotace dle čl. I  odst.1 této smlouvy)</w:t>
      </w:r>
      <w:r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Budou-li skutečně vynaložené náklady na účel uvedený v čl. I. odst. 2 a 4 této smlouvy nižší než … Kč (slovy: ….. korun)</w:t>
      </w:r>
      <w:r w:rsidR="00042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2FA8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</w:t>
      </w:r>
      <w:r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dotace se o tuto úsporu sníží.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224D5" w:rsidRPr="003B4ED1" w:rsidRDefault="004224D5" w:rsidP="004224D5">
      <w:pPr>
        <w:numPr>
          <w:ilvl w:val="0"/>
          <w:numId w:val="16"/>
        </w:num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4ED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 Vyúčtování musí obsahovat:</w:t>
      </w:r>
    </w:p>
    <w:p w:rsidR="004224D5" w:rsidRPr="00F33216" w:rsidRDefault="004224D5" w:rsidP="004224D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F332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Pr="00F33216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http://www.kr-olomoucky.cz/</w:t>
        </w:r>
      </w:hyperlink>
      <w:r w:rsidR="00F4004F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dotace2016</w:t>
      </w:r>
      <w:bookmarkStart w:id="0" w:name="_GoBack"/>
      <w:bookmarkEnd w:id="0"/>
      <w:r w:rsidR="00F4004F"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uskutečněné výdaje uvedené v soupisu jsou pravdivé a úplné.</w:t>
      </w:r>
    </w:p>
    <w:p w:rsidR="004224D5" w:rsidRPr="004224D5" w:rsidRDefault="004224D5" w:rsidP="00F3710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4224D5" w:rsidRPr="003B4ED1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444B" w:rsidRPr="003B4ED1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Pr="003B4E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81D59" w:rsidRPr="003B4ED1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4E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81D59" w:rsidRPr="003B4E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>v jaké věci je předkládáno vyúčtování,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>celkový přehled přiložených faktur a účetních dokladů,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 xml:space="preserve">vyúčtování skutečných nákladů akce, 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>fotodokumentace dokladující užití loga OK při propagaci OK příjemcem dle čl. II. odst. 1</w:t>
      </w:r>
      <w:r w:rsidR="00DC7CA0" w:rsidRPr="003B4ED1">
        <w:rPr>
          <w:rFonts w:ascii="Arial" w:hAnsi="Arial" w:cs="Arial"/>
          <w:iCs/>
          <w:sz w:val="24"/>
          <w:szCs w:val="24"/>
        </w:rPr>
        <w:t>1</w:t>
      </w:r>
      <w:r w:rsidRPr="003B4ED1">
        <w:rPr>
          <w:rFonts w:ascii="Arial" w:hAnsi="Arial" w:cs="Arial"/>
          <w:iCs/>
          <w:sz w:val="24"/>
          <w:szCs w:val="24"/>
        </w:rPr>
        <w:t xml:space="preserve"> smlouvy,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>fotokopii protokolu o předání a převzetí stavby,</w:t>
      </w:r>
    </w:p>
    <w:p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after="120"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 xml:space="preserve">rozsah zprávy bude činit </w:t>
      </w:r>
      <w:r w:rsidRPr="003B4ED1">
        <w:rPr>
          <w:rFonts w:ascii="Arial" w:hAnsi="Arial" w:cs="Arial"/>
          <w:sz w:val="24"/>
          <w:szCs w:val="24"/>
        </w:rPr>
        <w:t>minimálně jednu stranu A4.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DC7CA0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(zde bude uvedena částka ve výši součtu částky poskytované dotace dle čl. I odst. 1 této smlouvy a částky stanovené spoluúčasti příjemce</w:t>
      </w:r>
      <w:r w:rsid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756E8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6DA1">
        <w:rPr>
          <w:rFonts w:ascii="Arial" w:eastAsia="Times New Roman" w:hAnsi="Arial" w:cs="Arial"/>
          <w:i/>
          <w:color w:val="7030A0"/>
          <w:sz w:val="24"/>
          <w:szCs w:val="24"/>
          <w:lang w:eastAsia="cs-CZ"/>
        </w:rPr>
        <w:t xml:space="preserve">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6A7FE3" w:rsidRPr="00756E84" w:rsidRDefault="004224D5" w:rsidP="00756E8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24D5" w:rsidRPr="004224D5" w:rsidTr="00BF30C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 č.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35-1799460247/0100.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:rsidR="004224D5" w:rsidRPr="00262ED6" w:rsidRDefault="004224D5" w:rsidP="00B64C8F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62ED6" w:rsidRPr="00756E84" w:rsidRDefault="004224D5" w:rsidP="00262ED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i/>
          <w:iCs/>
          <w:sz w:val="24"/>
          <w:szCs w:val="24"/>
        </w:rPr>
      </w:pPr>
      <w:r w:rsidRPr="00756E84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56E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56E84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62ED6" w:rsidRPr="00756E84">
        <w:rPr>
          <w:rFonts w:ascii="Arial" w:hAnsi="Arial" w:cs="Arial"/>
        </w:rPr>
        <w:t xml:space="preserve"> </w:t>
      </w:r>
      <w:r w:rsidR="00262ED6" w:rsidRPr="00756E84">
        <w:rPr>
          <w:rFonts w:ascii="Arial" w:hAnsi="Arial" w:cs="Arial"/>
          <w:sz w:val="24"/>
          <w:szCs w:val="24"/>
        </w:rPr>
        <w:t>seznámit poskytovatele 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:rsidR="00DC7CA0" w:rsidRPr="00756E84" w:rsidRDefault="00DC7CA0" w:rsidP="00DC7CA0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756E84">
        <w:rPr>
          <w:rFonts w:ascii="Arial" w:hAnsi="Arial" w:cs="Arial"/>
          <w:iCs/>
          <w:sz w:val="24"/>
          <w:szCs w:val="24"/>
        </w:rPr>
        <w:t>Příjemce je povinen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po, dobu minimálně 2 let ode dne platnosti a účinnosti Smlouvy (dále jen jako „minimální doba trvání akce“) provozovat vybudovanou infrastrukturu z dotačních titulů 1 – 3 a neukončit ani nepřerušit její provozování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a nakládat s veškerým majetkem získaným nebo zhodnoceným, byť </w:t>
      </w:r>
      <w:r w:rsidR="009C0417" w:rsidRPr="00756E84">
        <w:rPr>
          <w:rFonts w:ascii="Arial" w:hAnsi="Arial" w:cs="Arial"/>
          <w:iCs/>
          <w:sz w:val="24"/>
          <w:szCs w:val="24"/>
        </w:rPr>
        <w:t xml:space="preserve">i </w:t>
      </w:r>
      <w:r w:rsidR="00910914" w:rsidRPr="00756E84">
        <w:rPr>
          <w:rFonts w:ascii="Arial" w:hAnsi="Arial" w:cs="Arial"/>
          <w:iCs/>
          <w:sz w:val="24"/>
          <w:szCs w:val="24"/>
        </w:rPr>
        <w:t>jen částečně, z</w:t>
      </w:r>
      <w:r w:rsidR="004636FD" w:rsidRPr="00756E84">
        <w:rPr>
          <w:rFonts w:ascii="Arial" w:hAnsi="Arial" w:cs="Arial"/>
          <w:iCs/>
          <w:sz w:val="24"/>
          <w:szCs w:val="24"/>
        </w:rPr>
        <w:t> </w:t>
      </w:r>
      <w:r w:rsidR="00910914" w:rsidRPr="00756E84">
        <w:rPr>
          <w:rFonts w:ascii="Arial" w:hAnsi="Arial" w:cs="Arial"/>
          <w:iCs/>
          <w:sz w:val="24"/>
          <w:szCs w:val="24"/>
        </w:rPr>
        <w:t>dotace</w:t>
      </w:r>
      <w:r w:rsidR="004636FD" w:rsidRPr="00756E84">
        <w:rPr>
          <w:rFonts w:ascii="Arial" w:hAnsi="Arial" w:cs="Arial"/>
          <w:iCs/>
          <w:sz w:val="24"/>
          <w:szCs w:val="24"/>
        </w:rPr>
        <w:t xml:space="preserve"> 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(dále jen „majetek“) s péčí řádného hospodáře a nezatěžovat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tento majetek ani jeho části žádnými věcnými právy třetích osob, včetně zástavního práva (s výjimkou zástavního práva zřízeného  k zajištění úvěru příjemce ve vztahu k financování akce dle Smlouvy).</w:t>
      </w:r>
    </w:p>
    <w:p w:rsidR="00910914" w:rsidRPr="00756E84" w:rsidRDefault="00910914" w:rsidP="00DC7CA0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756E84">
        <w:rPr>
          <w:rFonts w:ascii="Arial" w:hAnsi="Arial" w:cs="Arial"/>
          <w:iCs/>
          <w:sz w:val="24"/>
          <w:szCs w:val="24"/>
        </w:rPr>
        <w:t xml:space="preserve">Příjemce nesmí majetek nebo jeho části pořízený z dotace po dobu minimálně 5 let od ukončení akce převést na jinou osobu. Stejnou dobu nesmí příjemce majetek, či jeho části, pořízený z dotace pronajmout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Pr="00756E84">
        <w:rPr>
          <w:rFonts w:ascii="Arial" w:hAnsi="Arial" w:cs="Arial"/>
          <w:iCs/>
          <w:sz w:val="24"/>
          <w:szCs w:val="24"/>
        </w:rPr>
        <w:t>. Dříve jej může prodat</w:t>
      </w:r>
      <w:r w:rsidR="004636FD" w:rsidRPr="00756E84">
        <w:rPr>
          <w:rFonts w:ascii="Arial" w:hAnsi="Arial" w:cs="Arial"/>
          <w:iCs/>
          <w:sz w:val="24"/>
          <w:szCs w:val="24"/>
        </w:rPr>
        <w:t>,</w:t>
      </w:r>
      <w:r w:rsidRPr="00756E84">
        <w:rPr>
          <w:rFonts w:ascii="Arial" w:hAnsi="Arial" w:cs="Arial"/>
          <w:iCs/>
          <w:sz w:val="24"/>
          <w:szCs w:val="24"/>
        </w:rPr>
        <w:t xml:space="preserve"> jen pokud výtěžek</w:t>
      </w:r>
      <w:r w:rsidR="005F6DA1" w:rsidRPr="00756E84">
        <w:rPr>
          <w:rFonts w:ascii="Arial" w:hAnsi="Arial" w:cs="Arial"/>
          <w:iCs/>
          <w:sz w:val="24"/>
          <w:szCs w:val="24"/>
        </w:rPr>
        <w:t xml:space="preserve"> z prodeje použije na pořízení majetku zabezpečujícího pokračování akce. Toto ustanovení se netýká majetku nabytého příjemcem z dotace, který příjemce následně převede do vlastnictví třetí osoby výhradně na humanitární nebo charitativní účel.</w:t>
      </w:r>
    </w:p>
    <w:p w:rsidR="00710D22" w:rsidRPr="00756E84" w:rsidRDefault="00710D22" w:rsidP="00710D22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>Příjemce je po dobu realizace stavby, na niž je mu dotace podle této smlouvy poskytována (dále jen „stavba“), povinen zajistit propagaci poskytovatele formou reklamního panelu nebo tabule (dále jen „panel“), a to při splnění následujících podmínek:</w:t>
      </w:r>
    </w:p>
    <w:p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panel bude mít rozměry nejméně </w:t>
      </w:r>
      <w:smartTag w:uri="urn:schemas-microsoft-com:office:smarttags" w:element="metricconverter">
        <w:smartTagPr>
          <w:attr w:name="ProductID" w:val="80 cm"/>
        </w:smartTagPr>
        <w:r w:rsidRPr="00756E84">
          <w:rPr>
            <w:rFonts w:ascii="Arial" w:hAnsi="Arial" w:cs="Arial"/>
            <w:sz w:val="24"/>
            <w:szCs w:val="24"/>
          </w:rPr>
          <w:t>80 cm</w:t>
        </w:r>
      </w:smartTag>
      <w:r w:rsidRPr="00756E84">
        <w:rPr>
          <w:rFonts w:ascii="Arial" w:hAnsi="Arial" w:cs="Arial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50 cm"/>
        </w:smartTagPr>
        <w:r w:rsidRPr="00756E84">
          <w:rPr>
            <w:rFonts w:ascii="Arial" w:hAnsi="Arial" w:cs="Arial"/>
            <w:sz w:val="24"/>
            <w:szCs w:val="24"/>
          </w:rPr>
          <w:t>50 cm</w:t>
        </w:r>
      </w:smartTag>
      <w:r w:rsidRPr="00756E84">
        <w:rPr>
          <w:rFonts w:ascii="Arial" w:hAnsi="Arial" w:cs="Arial"/>
          <w:sz w:val="24"/>
          <w:szCs w:val="24"/>
        </w:rPr>
        <w:t xml:space="preserve">, </w:t>
      </w:r>
      <w:r w:rsidRPr="00756E84">
        <w:rPr>
          <w:rFonts w:ascii="Arial" w:hAnsi="Arial" w:cs="Arial"/>
          <w:i/>
          <w:sz w:val="24"/>
          <w:szCs w:val="24"/>
        </w:rPr>
        <w:t xml:space="preserve"> </w:t>
      </w:r>
    </w:p>
    <w:p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>panel se musí po celou dobu realizace stavby nacházet na dobře viditelném veřejně přístupném místě v prostoru realizace stavby,</w:t>
      </w:r>
    </w:p>
    <w:p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>panel musí být opatřen logem Olomouckého kraje přiměřené velikosti a nápisem oznamujícím, že Olomoucký kraj finančně přispěl na realizaci stavby včetně informace o názvu stavby</w:t>
      </w:r>
      <w:r w:rsidRPr="00756E84">
        <w:rPr>
          <w:rFonts w:ascii="Arial" w:hAnsi="Arial" w:cs="Arial"/>
          <w:i/>
          <w:sz w:val="24"/>
          <w:szCs w:val="24"/>
        </w:rPr>
        <w:t>.</w:t>
      </w:r>
    </w:p>
    <w:p w:rsidR="00710D22" w:rsidRPr="00756E84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Dále je příjemce povinen umístit na dokončené stavbě tabulku s informací, že Olomoucký kraj finančně přispěl na realizaci této stavby, a s logem Olomouckého kraje. </w:t>
      </w:r>
    </w:p>
    <w:p w:rsidR="00710D22" w:rsidRPr="00756E84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lastRenderedPageBreak/>
        <w:t xml:space="preserve">Současně je příjemce povinen v kalendářním roce, v němž mu byla dotace poskytnuta, a dále po dobu následujícího kalendářního roku propagovat poskytovatele v níže uvedeném sjednaném rozsahu. </w:t>
      </w:r>
    </w:p>
    <w:p w:rsidR="00710D22" w:rsidRPr="00756E84" w:rsidRDefault="00710D22" w:rsidP="00710D22">
      <w:pPr>
        <w:spacing w:after="120"/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Příjemce je povinen uvádět, že Olomoucký kraj finančně přispěl na realizaci stavby včetně informace o názvu této stavby, a k této informaci vždy připojit logo Olomouckého kraje (s výjimkou propagace při kontaktu příjemce s médii), </w:t>
      </w:r>
      <w:r w:rsidRPr="00756E84">
        <w:rPr>
          <w:rFonts w:ascii="Arial" w:hAnsi="Arial" w:cs="Arial"/>
          <w:sz w:val="24"/>
          <w:szCs w:val="24"/>
        </w:rPr>
        <w:br/>
        <w:t xml:space="preserve">a to:  </w:t>
      </w:r>
    </w:p>
    <w:p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na svých případných webových stránkách, </w:t>
      </w:r>
    </w:p>
    <w:p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ve svých případných propagačních materiálech týkajících se stavby, </w:t>
      </w:r>
    </w:p>
    <w:p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ve svých výročních zprávách, jestliže příjemce výroční zprávy vydává, </w:t>
      </w:r>
    </w:p>
    <w:p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a při svém kontaktu s médii v souvislosti se stavbou.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</w:t>
      </w:r>
      <w:r w:rsidR="00756E8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4224D5" w:rsidRPr="004224D5" w:rsidRDefault="004224D5" w:rsidP="00756E84">
      <w:p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4224D5" w:rsidRPr="004224D5" w:rsidRDefault="004224D5" w:rsidP="00F371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</w:t>
      </w:r>
      <w:r w:rsidR="005F6DA1">
        <w:rPr>
          <w:rFonts w:ascii="Arial" w:eastAsia="Times New Roman" w:hAnsi="Arial" w:cs="Arial"/>
          <w:iCs/>
          <w:sz w:val="24"/>
          <w:szCs w:val="24"/>
          <w:lang w:eastAsia="cs-CZ"/>
        </w:rPr>
        <w:t>/</w:t>
      </w:r>
      <w:r w:rsidR="005F6DA1"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>příslušného orgánu svazku obcí</w:t>
      </w:r>
      <w:r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………… č. ………… ze dne …………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4224D5" w:rsidRPr="004224D5" w:rsidRDefault="004224D5" w:rsidP="00756E84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24D5" w:rsidRPr="004224D5" w:rsidTr="00E6570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</w:tbl>
    <w:p w:rsidR="004224D5" w:rsidRPr="004224D5" w:rsidRDefault="004224D5" w:rsidP="00E6570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224D5" w:rsidRPr="004224D5" w:rsidSect="003B4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FD" w:rsidRDefault="004F79FD" w:rsidP="00D40C40">
      <w:r>
        <w:separator/>
      </w:r>
    </w:p>
  </w:endnote>
  <w:endnote w:type="continuationSeparator" w:id="0">
    <w:p w:rsidR="004F79FD" w:rsidRDefault="004F79F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EF" w:rsidRDefault="00EA29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1145165611"/>
      <w:docPartObj>
        <w:docPartGallery w:val="Page Numbers (Bottom of Page)"/>
        <w:docPartUnique/>
      </w:docPartObj>
    </w:sdtPr>
    <w:sdtEndPr/>
    <w:sdtContent>
      <w:p w:rsidR="004C533F" w:rsidRPr="008E6C02" w:rsidRDefault="00C24787" w:rsidP="003B4ED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C533F" w:rsidRPr="008E6C0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2141E4">
          <w:rPr>
            <w:rFonts w:ascii="Arial" w:hAnsi="Arial" w:cs="Arial"/>
            <w:i/>
            <w:sz w:val="20"/>
            <w:szCs w:val="20"/>
          </w:rPr>
          <w:t>18. 12</w:t>
        </w:r>
        <w:r w:rsidR="003B4ED1">
          <w:rPr>
            <w:rFonts w:ascii="Arial" w:hAnsi="Arial" w:cs="Arial"/>
            <w:i/>
            <w:sz w:val="20"/>
            <w:szCs w:val="20"/>
          </w:rPr>
          <w:t>. 2015</w:t>
        </w:r>
        <w:r w:rsidR="003B4ED1">
          <w:rPr>
            <w:rFonts w:ascii="Arial" w:hAnsi="Arial" w:cs="Arial"/>
            <w:i/>
            <w:sz w:val="20"/>
            <w:szCs w:val="20"/>
          </w:rPr>
          <w:tab/>
          <w:t xml:space="preserve">                                                    </w:t>
        </w:r>
        <w:r w:rsidR="003B4ED1" w:rsidRPr="009C2B4F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B4ED1" w:rsidRPr="009C2B4F">
          <w:rPr>
            <w:rFonts w:ascii="Arial" w:hAnsi="Arial" w:cs="Arial"/>
            <w:i/>
            <w:sz w:val="20"/>
            <w:szCs w:val="20"/>
          </w:rPr>
          <w:fldChar w:fldCharType="begin"/>
        </w:r>
        <w:r w:rsidR="003B4ED1" w:rsidRPr="009C2B4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B4ED1" w:rsidRPr="009C2B4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4004F">
          <w:rPr>
            <w:rFonts w:ascii="Arial" w:hAnsi="Arial" w:cs="Arial"/>
            <w:i/>
            <w:noProof/>
            <w:sz w:val="20"/>
            <w:szCs w:val="20"/>
          </w:rPr>
          <w:t>38</w:t>
        </w:r>
        <w:r w:rsidR="003B4ED1" w:rsidRPr="009C2B4F">
          <w:rPr>
            <w:rFonts w:ascii="Arial" w:hAnsi="Arial" w:cs="Arial"/>
            <w:i/>
            <w:sz w:val="20"/>
            <w:szCs w:val="20"/>
          </w:rPr>
          <w:fldChar w:fldCharType="end"/>
        </w:r>
        <w:r w:rsidR="003B4ED1" w:rsidRPr="009C2B4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A29EF">
          <w:rPr>
            <w:rFonts w:ascii="Arial" w:hAnsi="Arial" w:cs="Arial"/>
            <w:i/>
            <w:sz w:val="20"/>
            <w:szCs w:val="20"/>
          </w:rPr>
          <w:t>41</w:t>
        </w:r>
        <w:r w:rsidR="003B4ED1" w:rsidRPr="009C2B4F">
          <w:rPr>
            <w:rFonts w:ascii="Arial" w:hAnsi="Arial" w:cs="Arial"/>
            <w:i/>
            <w:sz w:val="20"/>
            <w:szCs w:val="20"/>
          </w:rPr>
          <w:t>)</w:t>
        </w:r>
      </w:p>
      <w:p w:rsidR="003B4ED1" w:rsidRDefault="00C24787" w:rsidP="000021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6.17</w:t>
        </w:r>
        <w:r w:rsidR="003B4ED1">
          <w:rPr>
            <w:rFonts w:ascii="Arial" w:hAnsi="Arial" w:cs="Arial"/>
            <w:i/>
            <w:sz w:val="20"/>
            <w:szCs w:val="20"/>
          </w:rPr>
          <w:t>.</w:t>
        </w:r>
        <w:r w:rsidR="00002102">
          <w:rPr>
            <w:rFonts w:ascii="Arial" w:hAnsi="Arial" w:cs="Arial"/>
            <w:i/>
            <w:sz w:val="20"/>
            <w:szCs w:val="20"/>
          </w:rPr>
          <w:t xml:space="preserve"> - Fond na podporu výstavby a obnovy vodohospodářské infrastruktury na území Olomouckého </w:t>
        </w:r>
      </w:p>
      <w:p w:rsidR="00002102" w:rsidRDefault="003B4ED1" w:rsidP="000021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k</w:t>
        </w:r>
        <w:r w:rsidR="00002102">
          <w:rPr>
            <w:rFonts w:ascii="Arial" w:hAnsi="Arial" w:cs="Arial"/>
            <w:i/>
            <w:sz w:val="20"/>
            <w:szCs w:val="20"/>
          </w:rPr>
          <w:t>raje</w:t>
        </w:r>
        <w:r>
          <w:rPr>
            <w:rFonts w:ascii="Arial" w:hAnsi="Arial" w:cs="Arial"/>
            <w:i/>
            <w:sz w:val="20"/>
            <w:szCs w:val="20"/>
          </w:rPr>
          <w:t xml:space="preserve"> 2016 - vyhlášení</w:t>
        </w:r>
      </w:p>
      <w:p w:rsidR="004C533F" w:rsidRPr="008E6C02" w:rsidRDefault="004C533F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8E6C02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114A69">
          <w:rPr>
            <w:rFonts w:ascii="Arial" w:hAnsi="Arial" w:cs="Arial"/>
            <w:i/>
            <w:sz w:val="20"/>
            <w:szCs w:val="20"/>
          </w:rPr>
          <w:t>3</w:t>
        </w:r>
        <w:r w:rsidRPr="008E6C02">
          <w:rPr>
            <w:rFonts w:ascii="Arial" w:hAnsi="Arial" w:cs="Arial"/>
            <w:i/>
            <w:sz w:val="20"/>
            <w:szCs w:val="20"/>
          </w:rPr>
          <w:t xml:space="preserve"> –</w:t>
        </w:r>
        <w:r w:rsidR="00002102">
          <w:rPr>
            <w:rFonts w:ascii="Arial" w:hAnsi="Arial" w:cs="Arial"/>
            <w:i/>
            <w:sz w:val="20"/>
            <w:szCs w:val="20"/>
          </w:rPr>
          <w:t xml:space="preserve"> V</w:t>
        </w:r>
        <w:r w:rsidR="00114A69">
          <w:rPr>
            <w:rFonts w:ascii="Arial" w:hAnsi="Arial" w:cs="Arial"/>
            <w:i/>
            <w:sz w:val="20"/>
            <w:szCs w:val="20"/>
          </w:rPr>
          <w:t xml:space="preserve">zor veřejnoprávní smlouvy o poskytnutí dotace </w:t>
        </w:r>
        <w:r w:rsidR="00D57964">
          <w:rPr>
            <w:rFonts w:ascii="Arial" w:hAnsi="Arial" w:cs="Arial"/>
            <w:i/>
            <w:sz w:val="20"/>
            <w:szCs w:val="20"/>
          </w:rPr>
          <w:t xml:space="preserve">z Fondu </w:t>
        </w:r>
      </w:p>
    </w:sdtContent>
  </w:sdt>
  <w:p w:rsidR="004C533F" w:rsidRPr="00FA1AC6" w:rsidRDefault="004C533F" w:rsidP="00FA1A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3F" w:rsidRPr="00531AE7" w:rsidRDefault="004C533F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:rsidR="004C533F" w:rsidRPr="00531AE7" w:rsidRDefault="004C533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4C533F" w:rsidRPr="00531AE7" w:rsidRDefault="004C533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4C533F" w:rsidRDefault="004C53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FD" w:rsidRDefault="004F79FD" w:rsidP="00D40C40">
      <w:r>
        <w:separator/>
      </w:r>
    </w:p>
  </w:footnote>
  <w:footnote w:type="continuationSeparator" w:id="0">
    <w:p w:rsidR="004F79FD" w:rsidRDefault="004F79F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EF" w:rsidRDefault="00EA29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EF" w:rsidRDefault="00EA29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EF" w:rsidRDefault="00EA29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1"/>
    <w:multiLevelType w:val="hybridMultilevel"/>
    <w:tmpl w:val="A926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46A04B5"/>
    <w:multiLevelType w:val="hybridMultilevel"/>
    <w:tmpl w:val="CD7A40E0"/>
    <w:lvl w:ilvl="0" w:tplc="7E78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B1466126"/>
    <w:lvl w:ilvl="0" w:tplc="5AFA9B7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23F27D1"/>
    <w:multiLevelType w:val="hybridMultilevel"/>
    <w:tmpl w:val="2A1CBED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E4A81"/>
    <w:multiLevelType w:val="hybridMultilevel"/>
    <w:tmpl w:val="D3666BC8"/>
    <w:lvl w:ilvl="0" w:tplc="F51A985E">
      <w:start w:val="1"/>
      <w:numFmt w:val="lowerLetter"/>
      <w:lvlText w:val="%1)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4EB42668"/>
    <w:multiLevelType w:val="hybridMultilevel"/>
    <w:tmpl w:val="2A648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5164D43"/>
    <w:multiLevelType w:val="hybridMultilevel"/>
    <w:tmpl w:val="B66857A8"/>
    <w:lvl w:ilvl="0" w:tplc="5AFA9B7E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color w:val="auto"/>
      </w:rPr>
    </w:lvl>
    <w:lvl w:ilvl="1" w:tplc="5AFA9B7E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A8F1159"/>
    <w:multiLevelType w:val="multilevel"/>
    <w:tmpl w:val="DD04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32"/>
  </w:num>
  <w:num w:numId="5">
    <w:abstractNumId w:val="18"/>
  </w:num>
  <w:num w:numId="6">
    <w:abstractNumId w:val="19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2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11"/>
  </w:num>
  <w:num w:numId="23">
    <w:abstractNumId w:val="33"/>
  </w:num>
  <w:num w:numId="24">
    <w:abstractNumId w:val="20"/>
  </w:num>
  <w:num w:numId="25">
    <w:abstractNumId w:val="5"/>
  </w:num>
  <w:num w:numId="26">
    <w:abstractNumId w:val="16"/>
  </w:num>
  <w:num w:numId="27">
    <w:abstractNumId w:val="24"/>
  </w:num>
  <w:num w:numId="28">
    <w:abstractNumId w:val="9"/>
  </w:num>
  <w:num w:numId="29">
    <w:abstractNumId w:val="21"/>
  </w:num>
  <w:num w:numId="30">
    <w:abstractNumId w:val="0"/>
  </w:num>
  <w:num w:numId="31">
    <w:abstractNumId w:val="3"/>
  </w:num>
  <w:num w:numId="32">
    <w:abstractNumId w:val="25"/>
  </w:num>
  <w:num w:numId="33">
    <w:abstractNumId w:val="4"/>
  </w:num>
  <w:num w:numId="34">
    <w:abstractNumId w:val="23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2102"/>
    <w:rsid w:val="000032B4"/>
    <w:rsid w:val="000047EB"/>
    <w:rsid w:val="000056B3"/>
    <w:rsid w:val="00006AE8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2FA8"/>
    <w:rsid w:val="00043AA0"/>
    <w:rsid w:val="000463D9"/>
    <w:rsid w:val="0004640A"/>
    <w:rsid w:val="00046C45"/>
    <w:rsid w:val="0005287A"/>
    <w:rsid w:val="00060133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9000A"/>
    <w:rsid w:val="0009167B"/>
    <w:rsid w:val="000950D4"/>
    <w:rsid w:val="0009666A"/>
    <w:rsid w:val="000A148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207"/>
    <w:rsid w:val="000D442F"/>
    <w:rsid w:val="000D6C10"/>
    <w:rsid w:val="000D71BB"/>
    <w:rsid w:val="000E2BFA"/>
    <w:rsid w:val="000E4EB8"/>
    <w:rsid w:val="000E72E9"/>
    <w:rsid w:val="000E7952"/>
    <w:rsid w:val="0010380F"/>
    <w:rsid w:val="00105061"/>
    <w:rsid w:val="00106EF6"/>
    <w:rsid w:val="00113D08"/>
    <w:rsid w:val="00114A69"/>
    <w:rsid w:val="001158F5"/>
    <w:rsid w:val="00117CC2"/>
    <w:rsid w:val="00122793"/>
    <w:rsid w:val="0012518C"/>
    <w:rsid w:val="00125FEF"/>
    <w:rsid w:val="00127828"/>
    <w:rsid w:val="00137D65"/>
    <w:rsid w:val="001436D1"/>
    <w:rsid w:val="00146257"/>
    <w:rsid w:val="00150850"/>
    <w:rsid w:val="00153478"/>
    <w:rsid w:val="00154952"/>
    <w:rsid w:val="001621E5"/>
    <w:rsid w:val="00165A7E"/>
    <w:rsid w:val="0016665E"/>
    <w:rsid w:val="00167989"/>
    <w:rsid w:val="00167E80"/>
    <w:rsid w:val="001705B5"/>
    <w:rsid w:val="00171C02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1DD2"/>
    <w:rsid w:val="001D42CD"/>
    <w:rsid w:val="001D6533"/>
    <w:rsid w:val="001E21D4"/>
    <w:rsid w:val="001E538F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55B"/>
    <w:rsid w:val="00207B06"/>
    <w:rsid w:val="00207CBB"/>
    <w:rsid w:val="002103D8"/>
    <w:rsid w:val="00211421"/>
    <w:rsid w:val="002141E4"/>
    <w:rsid w:val="00214805"/>
    <w:rsid w:val="00220FF7"/>
    <w:rsid w:val="00230580"/>
    <w:rsid w:val="00230F9B"/>
    <w:rsid w:val="002331A0"/>
    <w:rsid w:val="00235694"/>
    <w:rsid w:val="002360BE"/>
    <w:rsid w:val="0023625D"/>
    <w:rsid w:val="00237F27"/>
    <w:rsid w:val="00240D4A"/>
    <w:rsid w:val="00243A20"/>
    <w:rsid w:val="00244A06"/>
    <w:rsid w:val="00247A74"/>
    <w:rsid w:val="00250995"/>
    <w:rsid w:val="00250B44"/>
    <w:rsid w:val="00253A30"/>
    <w:rsid w:val="00253B38"/>
    <w:rsid w:val="00254454"/>
    <w:rsid w:val="00254AC2"/>
    <w:rsid w:val="00255D8E"/>
    <w:rsid w:val="002601DB"/>
    <w:rsid w:val="00262ED6"/>
    <w:rsid w:val="00266EFB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D2C99"/>
    <w:rsid w:val="002D325A"/>
    <w:rsid w:val="002D5445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1FF4"/>
    <w:rsid w:val="0032223E"/>
    <w:rsid w:val="00322536"/>
    <w:rsid w:val="00326204"/>
    <w:rsid w:val="0033568D"/>
    <w:rsid w:val="00343694"/>
    <w:rsid w:val="003534FD"/>
    <w:rsid w:val="00356B49"/>
    <w:rsid w:val="00357A14"/>
    <w:rsid w:val="00363897"/>
    <w:rsid w:val="00364D73"/>
    <w:rsid w:val="00365EEB"/>
    <w:rsid w:val="00367847"/>
    <w:rsid w:val="00373A73"/>
    <w:rsid w:val="00373E49"/>
    <w:rsid w:val="00375915"/>
    <w:rsid w:val="00375CFD"/>
    <w:rsid w:val="00376F88"/>
    <w:rsid w:val="00380D45"/>
    <w:rsid w:val="0038220B"/>
    <w:rsid w:val="003853D2"/>
    <w:rsid w:val="00394585"/>
    <w:rsid w:val="00396D23"/>
    <w:rsid w:val="003A040E"/>
    <w:rsid w:val="003A406B"/>
    <w:rsid w:val="003A4AA2"/>
    <w:rsid w:val="003B052C"/>
    <w:rsid w:val="003B0643"/>
    <w:rsid w:val="003B4ED1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2FBA"/>
    <w:rsid w:val="003F40A3"/>
    <w:rsid w:val="003F7C9E"/>
    <w:rsid w:val="003F7FC3"/>
    <w:rsid w:val="0040028B"/>
    <w:rsid w:val="004033EA"/>
    <w:rsid w:val="00405BE3"/>
    <w:rsid w:val="00405D22"/>
    <w:rsid w:val="00407ADE"/>
    <w:rsid w:val="0041152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36FD"/>
    <w:rsid w:val="004678B6"/>
    <w:rsid w:val="004754B6"/>
    <w:rsid w:val="004769EC"/>
    <w:rsid w:val="004811A3"/>
    <w:rsid w:val="00481202"/>
    <w:rsid w:val="00483DDE"/>
    <w:rsid w:val="004841AA"/>
    <w:rsid w:val="00486F4C"/>
    <w:rsid w:val="00495FA8"/>
    <w:rsid w:val="00497374"/>
    <w:rsid w:val="004A27E8"/>
    <w:rsid w:val="004A4491"/>
    <w:rsid w:val="004A5850"/>
    <w:rsid w:val="004B000B"/>
    <w:rsid w:val="004B192A"/>
    <w:rsid w:val="004B3ABA"/>
    <w:rsid w:val="004C3E4C"/>
    <w:rsid w:val="004C441E"/>
    <w:rsid w:val="004C444B"/>
    <w:rsid w:val="004C533F"/>
    <w:rsid w:val="004C5C0B"/>
    <w:rsid w:val="004D05B9"/>
    <w:rsid w:val="004D09F2"/>
    <w:rsid w:val="004D20CA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648D"/>
    <w:rsid w:val="004F79FD"/>
    <w:rsid w:val="004F7E64"/>
    <w:rsid w:val="00503A23"/>
    <w:rsid w:val="00503A3F"/>
    <w:rsid w:val="00503C95"/>
    <w:rsid w:val="00505B05"/>
    <w:rsid w:val="00511EA8"/>
    <w:rsid w:val="00512B41"/>
    <w:rsid w:val="00515C03"/>
    <w:rsid w:val="00517F36"/>
    <w:rsid w:val="00520749"/>
    <w:rsid w:val="005258AA"/>
    <w:rsid w:val="00525FAE"/>
    <w:rsid w:val="00526F19"/>
    <w:rsid w:val="00527E94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5217E"/>
    <w:rsid w:val="00556DBD"/>
    <w:rsid w:val="00557105"/>
    <w:rsid w:val="00563EB4"/>
    <w:rsid w:val="00566046"/>
    <w:rsid w:val="0056705E"/>
    <w:rsid w:val="00567BA7"/>
    <w:rsid w:val="00571EC8"/>
    <w:rsid w:val="00580363"/>
    <w:rsid w:val="00581A95"/>
    <w:rsid w:val="00584798"/>
    <w:rsid w:val="005848C6"/>
    <w:rsid w:val="0059526D"/>
    <w:rsid w:val="005A2AC3"/>
    <w:rsid w:val="005A62D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29B"/>
    <w:rsid w:val="005D1434"/>
    <w:rsid w:val="005D21ED"/>
    <w:rsid w:val="005D4D86"/>
    <w:rsid w:val="005E2BB4"/>
    <w:rsid w:val="005E5BBD"/>
    <w:rsid w:val="005F43AE"/>
    <w:rsid w:val="005F4772"/>
    <w:rsid w:val="005F635A"/>
    <w:rsid w:val="005F6DA1"/>
    <w:rsid w:val="006009B4"/>
    <w:rsid w:val="00605E8B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A15EA"/>
    <w:rsid w:val="006A7FE3"/>
    <w:rsid w:val="006B104C"/>
    <w:rsid w:val="006B1973"/>
    <w:rsid w:val="006B3B2A"/>
    <w:rsid w:val="006B4F48"/>
    <w:rsid w:val="006C061A"/>
    <w:rsid w:val="006C0D2D"/>
    <w:rsid w:val="006C43C7"/>
    <w:rsid w:val="006D0AC7"/>
    <w:rsid w:val="006D101C"/>
    <w:rsid w:val="006E2693"/>
    <w:rsid w:val="006E33A0"/>
    <w:rsid w:val="006E5BA7"/>
    <w:rsid w:val="006F1BEC"/>
    <w:rsid w:val="00710D22"/>
    <w:rsid w:val="00711102"/>
    <w:rsid w:val="007117EC"/>
    <w:rsid w:val="0071272A"/>
    <w:rsid w:val="0071401C"/>
    <w:rsid w:val="00720FB1"/>
    <w:rsid w:val="0072192A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56E84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6B20"/>
    <w:rsid w:val="00790A32"/>
    <w:rsid w:val="00792A59"/>
    <w:rsid w:val="007939A6"/>
    <w:rsid w:val="00794AAC"/>
    <w:rsid w:val="007A04FA"/>
    <w:rsid w:val="007A1C60"/>
    <w:rsid w:val="007A6D92"/>
    <w:rsid w:val="007B0945"/>
    <w:rsid w:val="007B1A7C"/>
    <w:rsid w:val="007B44AB"/>
    <w:rsid w:val="007B4941"/>
    <w:rsid w:val="007B4BDC"/>
    <w:rsid w:val="007B5E5C"/>
    <w:rsid w:val="007B6609"/>
    <w:rsid w:val="007C1C39"/>
    <w:rsid w:val="007C1E1B"/>
    <w:rsid w:val="007C745E"/>
    <w:rsid w:val="007C74BB"/>
    <w:rsid w:val="007E0009"/>
    <w:rsid w:val="007E5D6A"/>
    <w:rsid w:val="007E6038"/>
    <w:rsid w:val="007E6FA2"/>
    <w:rsid w:val="007F0D2A"/>
    <w:rsid w:val="007F71DE"/>
    <w:rsid w:val="008007F4"/>
    <w:rsid w:val="00803034"/>
    <w:rsid w:val="00810C7B"/>
    <w:rsid w:val="00811C9A"/>
    <w:rsid w:val="00816CFD"/>
    <w:rsid w:val="00820B4D"/>
    <w:rsid w:val="00821F04"/>
    <w:rsid w:val="00824CBB"/>
    <w:rsid w:val="00826A5A"/>
    <w:rsid w:val="00832011"/>
    <w:rsid w:val="00832ABD"/>
    <w:rsid w:val="00837501"/>
    <w:rsid w:val="00841F3B"/>
    <w:rsid w:val="0085380B"/>
    <w:rsid w:val="008556B1"/>
    <w:rsid w:val="0085615A"/>
    <w:rsid w:val="0086634E"/>
    <w:rsid w:val="00872D44"/>
    <w:rsid w:val="008755FC"/>
    <w:rsid w:val="00885BED"/>
    <w:rsid w:val="008932C9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6C02"/>
    <w:rsid w:val="009025C1"/>
    <w:rsid w:val="00903E5C"/>
    <w:rsid w:val="009060B3"/>
    <w:rsid w:val="00910914"/>
    <w:rsid w:val="009119F6"/>
    <w:rsid w:val="00912D3B"/>
    <w:rsid w:val="0092003A"/>
    <w:rsid w:val="009264AC"/>
    <w:rsid w:val="009326B4"/>
    <w:rsid w:val="00933519"/>
    <w:rsid w:val="00937749"/>
    <w:rsid w:val="00937AB9"/>
    <w:rsid w:val="00946358"/>
    <w:rsid w:val="009463E3"/>
    <w:rsid w:val="00955EF2"/>
    <w:rsid w:val="0095627A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28E"/>
    <w:rsid w:val="00994AB4"/>
    <w:rsid w:val="00995A7B"/>
    <w:rsid w:val="009A0283"/>
    <w:rsid w:val="009A2088"/>
    <w:rsid w:val="009A7213"/>
    <w:rsid w:val="009B055D"/>
    <w:rsid w:val="009B43E8"/>
    <w:rsid w:val="009B45A4"/>
    <w:rsid w:val="009B662B"/>
    <w:rsid w:val="009B6BE7"/>
    <w:rsid w:val="009C03D8"/>
    <w:rsid w:val="009C0417"/>
    <w:rsid w:val="009C30A7"/>
    <w:rsid w:val="009C3825"/>
    <w:rsid w:val="009C4FE8"/>
    <w:rsid w:val="009C5933"/>
    <w:rsid w:val="009D6778"/>
    <w:rsid w:val="009E2881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42C7"/>
    <w:rsid w:val="00A05B6A"/>
    <w:rsid w:val="00A07B8D"/>
    <w:rsid w:val="00A1282D"/>
    <w:rsid w:val="00A143CD"/>
    <w:rsid w:val="00A21513"/>
    <w:rsid w:val="00A22B7A"/>
    <w:rsid w:val="00A247E2"/>
    <w:rsid w:val="00A25504"/>
    <w:rsid w:val="00A25ACA"/>
    <w:rsid w:val="00A25D3B"/>
    <w:rsid w:val="00A30281"/>
    <w:rsid w:val="00A30F23"/>
    <w:rsid w:val="00A34C19"/>
    <w:rsid w:val="00A354CE"/>
    <w:rsid w:val="00A35FCF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548B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B7FB1"/>
    <w:rsid w:val="00AC020C"/>
    <w:rsid w:val="00AC13E7"/>
    <w:rsid w:val="00AD3B56"/>
    <w:rsid w:val="00AE18C4"/>
    <w:rsid w:val="00AE3DBD"/>
    <w:rsid w:val="00AE3FA4"/>
    <w:rsid w:val="00AF161F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1AC8"/>
    <w:rsid w:val="00B37882"/>
    <w:rsid w:val="00B437A0"/>
    <w:rsid w:val="00B43E42"/>
    <w:rsid w:val="00B45D7E"/>
    <w:rsid w:val="00B47101"/>
    <w:rsid w:val="00B53945"/>
    <w:rsid w:val="00B55580"/>
    <w:rsid w:val="00B5669C"/>
    <w:rsid w:val="00B56B3B"/>
    <w:rsid w:val="00B609DE"/>
    <w:rsid w:val="00B64C8F"/>
    <w:rsid w:val="00B671CB"/>
    <w:rsid w:val="00B70D2C"/>
    <w:rsid w:val="00B721FE"/>
    <w:rsid w:val="00B749C2"/>
    <w:rsid w:val="00B7656D"/>
    <w:rsid w:val="00B81080"/>
    <w:rsid w:val="00B92A32"/>
    <w:rsid w:val="00B92F1B"/>
    <w:rsid w:val="00B944B9"/>
    <w:rsid w:val="00B95738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989"/>
    <w:rsid w:val="00BC0CFB"/>
    <w:rsid w:val="00BC0ED3"/>
    <w:rsid w:val="00BC1C58"/>
    <w:rsid w:val="00BC7DEF"/>
    <w:rsid w:val="00BD2179"/>
    <w:rsid w:val="00BD447C"/>
    <w:rsid w:val="00BD5F8F"/>
    <w:rsid w:val="00BE1A65"/>
    <w:rsid w:val="00BE5F39"/>
    <w:rsid w:val="00BF30CC"/>
    <w:rsid w:val="00BF7C43"/>
    <w:rsid w:val="00C00392"/>
    <w:rsid w:val="00C0680B"/>
    <w:rsid w:val="00C06BFA"/>
    <w:rsid w:val="00C07668"/>
    <w:rsid w:val="00C11B75"/>
    <w:rsid w:val="00C11E80"/>
    <w:rsid w:val="00C123D6"/>
    <w:rsid w:val="00C15D33"/>
    <w:rsid w:val="00C20FBF"/>
    <w:rsid w:val="00C21770"/>
    <w:rsid w:val="00C231E2"/>
    <w:rsid w:val="00C24787"/>
    <w:rsid w:val="00C31237"/>
    <w:rsid w:val="00C32822"/>
    <w:rsid w:val="00C33655"/>
    <w:rsid w:val="00C36A1D"/>
    <w:rsid w:val="00C37AF3"/>
    <w:rsid w:val="00C43E35"/>
    <w:rsid w:val="00C475DB"/>
    <w:rsid w:val="00C522FA"/>
    <w:rsid w:val="00C52EAB"/>
    <w:rsid w:val="00C63CC5"/>
    <w:rsid w:val="00C7203F"/>
    <w:rsid w:val="00C73FE7"/>
    <w:rsid w:val="00C747F8"/>
    <w:rsid w:val="00C74BFA"/>
    <w:rsid w:val="00C7578C"/>
    <w:rsid w:val="00C877AD"/>
    <w:rsid w:val="00C92651"/>
    <w:rsid w:val="00C97E3F"/>
    <w:rsid w:val="00CA0530"/>
    <w:rsid w:val="00CA174A"/>
    <w:rsid w:val="00CA19C3"/>
    <w:rsid w:val="00CA58C2"/>
    <w:rsid w:val="00CB0F4B"/>
    <w:rsid w:val="00CB1AB0"/>
    <w:rsid w:val="00CB4A13"/>
    <w:rsid w:val="00CB787C"/>
    <w:rsid w:val="00CB7992"/>
    <w:rsid w:val="00CC2FA0"/>
    <w:rsid w:val="00CC721B"/>
    <w:rsid w:val="00CC7BAB"/>
    <w:rsid w:val="00CD167E"/>
    <w:rsid w:val="00CD17A2"/>
    <w:rsid w:val="00CD5ADF"/>
    <w:rsid w:val="00CD6755"/>
    <w:rsid w:val="00CD76D2"/>
    <w:rsid w:val="00CE52FC"/>
    <w:rsid w:val="00CE6210"/>
    <w:rsid w:val="00CF394B"/>
    <w:rsid w:val="00CF499A"/>
    <w:rsid w:val="00CF4A97"/>
    <w:rsid w:val="00CF5AA8"/>
    <w:rsid w:val="00D0427B"/>
    <w:rsid w:val="00D045AF"/>
    <w:rsid w:val="00D05681"/>
    <w:rsid w:val="00D05F68"/>
    <w:rsid w:val="00D105B7"/>
    <w:rsid w:val="00D11F05"/>
    <w:rsid w:val="00D134FE"/>
    <w:rsid w:val="00D15D0F"/>
    <w:rsid w:val="00D21A4D"/>
    <w:rsid w:val="00D27EA3"/>
    <w:rsid w:val="00D36355"/>
    <w:rsid w:val="00D375FE"/>
    <w:rsid w:val="00D3770B"/>
    <w:rsid w:val="00D37F7B"/>
    <w:rsid w:val="00D40C40"/>
    <w:rsid w:val="00D42D28"/>
    <w:rsid w:val="00D43C40"/>
    <w:rsid w:val="00D46165"/>
    <w:rsid w:val="00D46AF2"/>
    <w:rsid w:val="00D56BCB"/>
    <w:rsid w:val="00D57964"/>
    <w:rsid w:val="00D60A48"/>
    <w:rsid w:val="00D61EA4"/>
    <w:rsid w:val="00D70418"/>
    <w:rsid w:val="00D704F9"/>
    <w:rsid w:val="00D74FAE"/>
    <w:rsid w:val="00D77AC4"/>
    <w:rsid w:val="00D8021D"/>
    <w:rsid w:val="00D815C4"/>
    <w:rsid w:val="00D92E78"/>
    <w:rsid w:val="00D94503"/>
    <w:rsid w:val="00D94C93"/>
    <w:rsid w:val="00D9505B"/>
    <w:rsid w:val="00D95646"/>
    <w:rsid w:val="00D97207"/>
    <w:rsid w:val="00DA2B55"/>
    <w:rsid w:val="00DA4ABB"/>
    <w:rsid w:val="00DB7760"/>
    <w:rsid w:val="00DC349C"/>
    <w:rsid w:val="00DC34AB"/>
    <w:rsid w:val="00DC473B"/>
    <w:rsid w:val="00DC6D4D"/>
    <w:rsid w:val="00DC7CA0"/>
    <w:rsid w:val="00DD0AF2"/>
    <w:rsid w:val="00DE16F7"/>
    <w:rsid w:val="00DE3DE3"/>
    <w:rsid w:val="00DE60A9"/>
    <w:rsid w:val="00DF0851"/>
    <w:rsid w:val="00DF119D"/>
    <w:rsid w:val="00DF1D13"/>
    <w:rsid w:val="00DF2E4F"/>
    <w:rsid w:val="00DF3FE4"/>
    <w:rsid w:val="00DF56BC"/>
    <w:rsid w:val="00E039A3"/>
    <w:rsid w:val="00E128AD"/>
    <w:rsid w:val="00E13318"/>
    <w:rsid w:val="00E2030A"/>
    <w:rsid w:val="00E21EF9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5105"/>
    <w:rsid w:val="00E65701"/>
    <w:rsid w:val="00E663B3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406"/>
    <w:rsid w:val="00E96217"/>
    <w:rsid w:val="00E96911"/>
    <w:rsid w:val="00EA29EF"/>
    <w:rsid w:val="00EA3E6A"/>
    <w:rsid w:val="00EA5E7D"/>
    <w:rsid w:val="00EB0B52"/>
    <w:rsid w:val="00EB0F03"/>
    <w:rsid w:val="00EB11C7"/>
    <w:rsid w:val="00EB2CDE"/>
    <w:rsid w:val="00EB53E2"/>
    <w:rsid w:val="00EB56A8"/>
    <w:rsid w:val="00EC3077"/>
    <w:rsid w:val="00EC3BEC"/>
    <w:rsid w:val="00EC5A31"/>
    <w:rsid w:val="00EC6165"/>
    <w:rsid w:val="00ED037B"/>
    <w:rsid w:val="00ED1378"/>
    <w:rsid w:val="00ED1983"/>
    <w:rsid w:val="00ED1CE8"/>
    <w:rsid w:val="00ED233E"/>
    <w:rsid w:val="00ED2C68"/>
    <w:rsid w:val="00ED71CD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34CE"/>
    <w:rsid w:val="00F1420F"/>
    <w:rsid w:val="00F21160"/>
    <w:rsid w:val="00F23097"/>
    <w:rsid w:val="00F33216"/>
    <w:rsid w:val="00F35DEC"/>
    <w:rsid w:val="00F37102"/>
    <w:rsid w:val="00F4004F"/>
    <w:rsid w:val="00F42C49"/>
    <w:rsid w:val="00F4384E"/>
    <w:rsid w:val="00F575C4"/>
    <w:rsid w:val="00F63D55"/>
    <w:rsid w:val="00F647AB"/>
    <w:rsid w:val="00F76698"/>
    <w:rsid w:val="00F819A1"/>
    <w:rsid w:val="00F8669D"/>
    <w:rsid w:val="00F903CF"/>
    <w:rsid w:val="00F926B6"/>
    <w:rsid w:val="00F94705"/>
    <w:rsid w:val="00F95631"/>
    <w:rsid w:val="00F95CB4"/>
    <w:rsid w:val="00F963AA"/>
    <w:rsid w:val="00F96E10"/>
    <w:rsid w:val="00FA1AC6"/>
    <w:rsid w:val="00FA26A5"/>
    <w:rsid w:val="00FA2B44"/>
    <w:rsid w:val="00FB0C98"/>
    <w:rsid w:val="00FB1F01"/>
    <w:rsid w:val="00FB438D"/>
    <w:rsid w:val="00FB508C"/>
    <w:rsid w:val="00FC65CA"/>
    <w:rsid w:val="00FD07DA"/>
    <w:rsid w:val="00FE2EE2"/>
    <w:rsid w:val="00FE3476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3052-12E7-4BAB-9909-6AB3AA0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3</cp:revision>
  <cp:lastPrinted>2015-10-07T07:18:00Z</cp:lastPrinted>
  <dcterms:created xsi:type="dcterms:W3CDTF">2015-11-30T10:46:00Z</dcterms:created>
  <dcterms:modified xsi:type="dcterms:W3CDTF">2015-11-30T11:08:00Z</dcterms:modified>
</cp:coreProperties>
</file>