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0F672" w14:textId="2CCC3190" w:rsidR="00285FD1" w:rsidRPr="00DD7A24" w:rsidRDefault="00285FD1" w:rsidP="00285FD1">
      <w:pPr>
        <w:widowControl w:val="0"/>
        <w:spacing w:after="120" w:line="240" w:lineRule="auto"/>
        <w:jc w:val="both"/>
        <w:outlineLvl w:val="0"/>
        <w:rPr>
          <w:rFonts w:ascii="Arial" w:eastAsia="Times New Roman" w:hAnsi="Arial" w:cs="Arial"/>
          <w:b/>
          <w:sz w:val="24"/>
          <w:szCs w:val="24"/>
          <w:lang w:eastAsia="cs-CZ"/>
        </w:rPr>
      </w:pPr>
      <w:r>
        <w:rPr>
          <w:rFonts w:ascii="Arial" w:eastAsia="Times New Roman" w:hAnsi="Arial" w:cs="Arial"/>
          <w:b/>
          <w:sz w:val="24"/>
          <w:szCs w:val="24"/>
          <w:lang w:eastAsia="cs-CZ"/>
        </w:rPr>
        <w:t>P</w:t>
      </w:r>
      <w:r w:rsidRPr="00DD7A24">
        <w:rPr>
          <w:rFonts w:ascii="Arial" w:eastAsia="Times New Roman" w:hAnsi="Arial" w:cs="Arial"/>
          <w:b/>
          <w:sz w:val="24"/>
          <w:szCs w:val="24"/>
          <w:lang w:eastAsia="cs-CZ"/>
        </w:rPr>
        <w:t xml:space="preserve">říloha č. </w:t>
      </w:r>
      <w:r>
        <w:rPr>
          <w:rFonts w:ascii="Arial" w:eastAsia="Times New Roman" w:hAnsi="Arial" w:cs="Arial"/>
          <w:b/>
          <w:sz w:val="24"/>
          <w:szCs w:val="24"/>
          <w:lang w:eastAsia="cs-CZ"/>
        </w:rPr>
        <w:t>0</w:t>
      </w:r>
      <w:r w:rsidRPr="00DD7A24">
        <w:rPr>
          <w:rFonts w:ascii="Arial" w:eastAsia="Times New Roman" w:hAnsi="Arial" w:cs="Arial"/>
          <w:b/>
          <w:sz w:val="24"/>
          <w:szCs w:val="24"/>
          <w:lang w:eastAsia="cs-CZ"/>
        </w:rPr>
        <w:t>1</w:t>
      </w:r>
      <w:r>
        <w:rPr>
          <w:rFonts w:ascii="Arial" w:eastAsia="Times New Roman" w:hAnsi="Arial" w:cs="Arial"/>
          <w:b/>
          <w:sz w:val="24"/>
          <w:szCs w:val="24"/>
          <w:lang w:eastAsia="cs-CZ"/>
        </w:rPr>
        <w:t xml:space="preserve"> k návrhu usnesení bod </w:t>
      </w:r>
      <w:r w:rsidR="001E674E">
        <w:rPr>
          <w:rFonts w:ascii="Arial" w:eastAsia="Times New Roman" w:hAnsi="Arial" w:cs="Arial"/>
          <w:b/>
          <w:sz w:val="24"/>
          <w:szCs w:val="24"/>
          <w:lang w:eastAsia="cs-CZ"/>
        </w:rPr>
        <w:t>1</w:t>
      </w:r>
      <w:bookmarkStart w:id="0" w:name="_GoBack"/>
      <w:bookmarkEnd w:id="0"/>
      <w:r>
        <w:rPr>
          <w:rFonts w:ascii="Arial" w:eastAsia="Times New Roman" w:hAnsi="Arial" w:cs="Arial"/>
          <w:b/>
          <w:sz w:val="24"/>
          <w:szCs w:val="24"/>
          <w:lang w:eastAsia="cs-CZ"/>
        </w:rPr>
        <w:t xml:space="preserve">. </w:t>
      </w:r>
      <w:r w:rsidR="00A33324">
        <w:rPr>
          <w:rFonts w:ascii="Arial" w:eastAsia="Times New Roman" w:hAnsi="Arial" w:cs="Arial"/>
          <w:b/>
          <w:sz w:val="24"/>
          <w:szCs w:val="24"/>
          <w:lang w:eastAsia="cs-CZ"/>
        </w:rPr>
        <w:t>1</w:t>
      </w:r>
      <w:r w:rsidR="00025A70">
        <w:rPr>
          <w:rFonts w:ascii="Arial" w:eastAsia="Times New Roman" w:hAnsi="Arial" w:cs="Arial"/>
          <w:b/>
          <w:sz w:val="24"/>
          <w:szCs w:val="24"/>
          <w:lang w:eastAsia="cs-CZ"/>
        </w:rPr>
        <w:t>5</w:t>
      </w:r>
      <w:r>
        <w:rPr>
          <w:rFonts w:ascii="Arial" w:eastAsia="Times New Roman" w:hAnsi="Arial" w:cs="Arial"/>
          <w:b/>
          <w:sz w:val="24"/>
          <w:szCs w:val="24"/>
          <w:lang w:eastAsia="cs-CZ"/>
        </w:rPr>
        <w:t>.</w:t>
      </w:r>
    </w:p>
    <w:p w14:paraId="478B36A0" w14:textId="77777777" w:rsidR="00285FD1" w:rsidRDefault="00285FD1" w:rsidP="00285FD1">
      <w:pPr>
        <w:widowControl w:val="0"/>
        <w:spacing w:after="120" w:line="240" w:lineRule="auto"/>
        <w:jc w:val="center"/>
        <w:outlineLvl w:val="0"/>
        <w:rPr>
          <w:rFonts w:ascii="Arial" w:eastAsia="Times New Roman" w:hAnsi="Arial" w:cs="Arial"/>
          <w:b/>
          <w:sz w:val="24"/>
          <w:szCs w:val="24"/>
          <w:lang w:eastAsia="cs-CZ"/>
        </w:rPr>
      </w:pPr>
    </w:p>
    <w:p w14:paraId="42BB6F57" w14:textId="57EC49E7" w:rsidR="00285FD1" w:rsidRPr="00DD7A24" w:rsidRDefault="00285FD1" w:rsidP="00285FD1">
      <w:pPr>
        <w:widowControl w:val="0"/>
        <w:spacing w:after="120" w:line="240" w:lineRule="auto"/>
        <w:jc w:val="center"/>
        <w:outlineLvl w:val="0"/>
        <w:rPr>
          <w:rFonts w:ascii="Arial" w:eastAsia="Times New Roman" w:hAnsi="Arial" w:cs="Arial"/>
          <w:b/>
          <w:sz w:val="24"/>
          <w:szCs w:val="24"/>
          <w:lang w:eastAsia="cs-CZ"/>
        </w:rPr>
      </w:pPr>
      <w:r>
        <w:rPr>
          <w:rFonts w:ascii="Arial" w:eastAsia="Times New Roman" w:hAnsi="Arial" w:cs="Arial"/>
          <w:b/>
          <w:sz w:val="24"/>
          <w:szCs w:val="24"/>
          <w:lang w:eastAsia="cs-CZ"/>
        </w:rPr>
        <w:t xml:space="preserve">Návrh </w:t>
      </w:r>
      <w:r w:rsidRPr="00DD7A24">
        <w:rPr>
          <w:rFonts w:ascii="Arial" w:eastAsia="Times New Roman" w:hAnsi="Arial" w:cs="Arial"/>
          <w:b/>
          <w:sz w:val="24"/>
          <w:szCs w:val="24"/>
          <w:lang w:eastAsia="cs-CZ"/>
        </w:rPr>
        <w:t>náležitost</w:t>
      </w:r>
      <w:r>
        <w:rPr>
          <w:rFonts w:ascii="Arial" w:eastAsia="Times New Roman" w:hAnsi="Arial" w:cs="Arial"/>
          <w:b/>
          <w:sz w:val="24"/>
          <w:szCs w:val="24"/>
          <w:lang w:eastAsia="cs-CZ"/>
        </w:rPr>
        <w:t xml:space="preserve">í </w:t>
      </w:r>
      <w:r w:rsidR="0097063D">
        <w:rPr>
          <w:rFonts w:ascii="Arial" w:eastAsia="Times New Roman" w:hAnsi="Arial" w:cs="Arial"/>
          <w:b/>
          <w:sz w:val="24"/>
          <w:szCs w:val="24"/>
          <w:lang w:eastAsia="cs-CZ"/>
        </w:rPr>
        <w:t xml:space="preserve">směnné </w:t>
      </w:r>
      <w:r>
        <w:rPr>
          <w:rFonts w:ascii="Arial" w:eastAsia="Times New Roman" w:hAnsi="Arial" w:cs="Arial"/>
          <w:b/>
          <w:sz w:val="24"/>
          <w:szCs w:val="24"/>
          <w:lang w:eastAsia="cs-CZ"/>
        </w:rPr>
        <w:t>smlouvy</w:t>
      </w:r>
    </w:p>
    <w:p w14:paraId="2BAB46EE" w14:textId="537CB980" w:rsidR="00285FD1" w:rsidRPr="0097063D" w:rsidRDefault="00285FD1" w:rsidP="00A54BAF">
      <w:pPr>
        <w:widowControl w:val="0"/>
        <w:spacing w:after="120" w:line="240" w:lineRule="auto"/>
        <w:jc w:val="both"/>
        <w:outlineLvl w:val="0"/>
        <w:rPr>
          <w:rFonts w:ascii="Arial" w:eastAsia="Times New Roman" w:hAnsi="Arial" w:cs="Arial"/>
          <w:b/>
          <w:sz w:val="24"/>
          <w:szCs w:val="24"/>
          <w:lang w:eastAsia="cs-CZ"/>
        </w:rPr>
      </w:pPr>
    </w:p>
    <w:p w14:paraId="2E2806BF" w14:textId="03E8CEDF" w:rsidR="00697D08" w:rsidRPr="005A7038" w:rsidRDefault="005A7038" w:rsidP="005A7038">
      <w:pPr>
        <w:spacing w:after="120" w:line="240" w:lineRule="auto"/>
        <w:jc w:val="both"/>
        <w:rPr>
          <w:rFonts w:ascii="Arial" w:eastAsia="Times New Roman" w:hAnsi="Arial" w:cs="Arial"/>
          <w:sz w:val="24"/>
          <w:szCs w:val="24"/>
          <w:lang w:eastAsia="cs-CZ"/>
        </w:rPr>
      </w:pPr>
      <w:r w:rsidRPr="005A7038">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00697D08" w:rsidRPr="005A7038">
        <w:rPr>
          <w:rFonts w:ascii="Arial" w:eastAsia="Times New Roman" w:hAnsi="Arial" w:cs="Arial"/>
          <w:sz w:val="24"/>
          <w:szCs w:val="24"/>
          <w:lang w:eastAsia="cs-CZ"/>
        </w:rPr>
        <w:t>Směna bude realizována bez cenového doplatku.</w:t>
      </w:r>
    </w:p>
    <w:p w14:paraId="50979FBB" w14:textId="74B04E0C" w:rsidR="00697D08" w:rsidRPr="0097063D" w:rsidRDefault="005A7038" w:rsidP="005A7038">
      <w:pPr>
        <w:tabs>
          <w:tab w:val="left" w:pos="0"/>
        </w:tabs>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00697D08" w:rsidRPr="0097063D">
        <w:rPr>
          <w:rFonts w:ascii="Arial" w:eastAsia="Times New Roman" w:hAnsi="Arial" w:cs="Arial"/>
          <w:sz w:val="24"/>
          <w:szCs w:val="24"/>
          <w:lang w:eastAsia="cs-CZ"/>
        </w:rPr>
        <w:t xml:space="preserve">Směnná smlouva bude uzavřena současně s darovací smlouvou, jejímž předmětem bude darování </w:t>
      </w:r>
      <w:r w:rsidR="00697D08" w:rsidRPr="0097063D">
        <w:rPr>
          <w:rFonts w:ascii="Arial" w:hAnsi="Arial" w:cs="Arial"/>
          <w:sz w:val="24"/>
          <w:szCs w:val="24"/>
        </w:rPr>
        <w:t>pozemku parc. č. st. 179/3 zastavěná plocha a nádvoří, jehož součástí je budova č. p. 352, obč. vyb, Tomkova 40, a části pozemku parc. č.</w:t>
      </w:r>
      <w:r w:rsidR="00DD70CC">
        <w:rPr>
          <w:rFonts w:ascii="Arial" w:hAnsi="Arial" w:cs="Arial"/>
          <w:sz w:val="24"/>
          <w:szCs w:val="24"/>
        </w:rPr>
        <w:t> </w:t>
      </w:r>
      <w:r w:rsidR="00697D08" w:rsidRPr="0097063D">
        <w:rPr>
          <w:rFonts w:ascii="Arial" w:hAnsi="Arial" w:cs="Arial"/>
          <w:sz w:val="24"/>
          <w:szCs w:val="24"/>
        </w:rPr>
        <w:t>527/3 ostatní plocha, vše v k. ú. Hejčín, obec Olomouc z vlastnictví statutárního města Olomouce do vlastnictví Olomouckého kraje.</w:t>
      </w:r>
    </w:p>
    <w:p w14:paraId="63D7BAAC" w14:textId="1C187CB3" w:rsidR="00697D08" w:rsidRPr="0097063D" w:rsidRDefault="005A7038" w:rsidP="005A7038">
      <w:pPr>
        <w:widowControl w:val="0"/>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00697D08" w:rsidRPr="0097063D">
        <w:rPr>
          <w:rFonts w:ascii="Arial" w:eastAsia="Times New Roman" w:hAnsi="Arial" w:cs="Arial"/>
          <w:sz w:val="24"/>
          <w:szCs w:val="24"/>
          <w:lang w:eastAsia="cs-CZ"/>
        </w:rPr>
        <w:t>Smluvní strany uhradí veškeré náklady spojené s převodem vlastnického práva a poplatek spojený s návrhem na vklad vlastnického práva do katastru nemovitostí rovným dílem.</w:t>
      </w:r>
    </w:p>
    <w:p w14:paraId="66214E58" w14:textId="77777777" w:rsidR="00697D08" w:rsidRPr="0097063D" w:rsidRDefault="00697D08" w:rsidP="00A54BAF">
      <w:pPr>
        <w:widowControl w:val="0"/>
        <w:tabs>
          <w:tab w:val="left" w:pos="2410"/>
        </w:tabs>
        <w:spacing w:after="120" w:line="240" w:lineRule="auto"/>
        <w:jc w:val="both"/>
        <w:rPr>
          <w:rFonts w:ascii="Arial" w:eastAsia="Times New Roman" w:hAnsi="Arial" w:cs="Arial"/>
          <w:sz w:val="24"/>
          <w:szCs w:val="24"/>
          <w:u w:val="single"/>
          <w:lang w:eastAsia="cs-CZ"/>
        </w:rPr>
      </w:pPr>
      <w:r w:rsidRPr="0097063D">
        <w:rPr>
          <w:rFonts w:ascii="Arial" w:eastAsia="Times New Roman" w:hAnsi="Arial" w:cs="Arial"/>
          <w:sz w:val="24"/>
          <w:szCs w:val="24"/>
          <w:u w:val="single"/>
          <w:lang w:eastAsia="cs-CZ"/>
        </w:rPr>
        <w:t>Olomoucký kraj bere na vědomí, že:</w:t>
      </w:r>
    </w:p>
    <w:p w14:paraId="26C77B75" w14:textId="7D5784FE" w:rsidR="00697D08" w:rsidRPr="0097063D" w:rsidRDefault="00D96DC6" w:rsidP="00A54BAF">
      <w:pPr>
        <w:tabs>
          <w:tab w:val="left" w:pos="2268"/>
        </w:tabs>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00697D08" w:rsidRPr="0097063D">
        <w:rPr>
          <w:rFonts w:ascii="Arial" w:eastAsia="Times New Roman" w:hAnsi="Arial" w:cs="Arial"/>
          <w:sz w:val="24"/>
          <w:szCs w:val="24"/>
          <w:lang w:eastAsia="cs-CZ"/>
        </w:rPr>
        <w:t>statutární město Olomouc nabylo pozemek parc. č. 42/13 orná půda v k. ú. Klášterní Hradisko, obec Olomouc od Pozemkového fondu České republiky (nyní Státní pozemkový úřad), když tento pozemek je určen pouze k zastavění veřejně prospěšnou stavbou nebo stavbou pro bydlení.</w:t>
      </w:r>
    </w:p>
    <w:p w14:paraId="4DD80A26" w14:textId="77777777" w:rsidR="00697D08" w:rsidRPr="0097063D" w:rsidRDefault="00697D08" w:rsidP="00A54BAF">
      <w:pPr>
        <w:numPr>
          <w:ilvl w:val="0"/>
          <w:numId w:val="2"/>
        </w:numPr>
        <w:tabs>
          <w:tab w:val="left" w:pos="0"/>
        </w:tabs>
        <w:spacing w:after="120" w:line="240" w:lineRule="auto"/>
        <w:ind w:left="0" w:firstLine="0"/>
        <w:jc w:val="both"/>
        <w:rPr>
          <w:rFonts w:ascii="Arial" w:eastAsia="Times New Roman" w:hAnsi="Arial" w:cs="Arial"/>
          <w:sz w:val="24"/>
          <w:szCs w:val="24"/>
          <w:lang w:eastAsia="cs-CZ"/>
        </w:rPr>
      </w:pPr>
      <w:r w:rsidRPr="0097063D">
        <w:rPr>
          <w:rFonts w:ascii="Arial" w:eastAsia="Times New Roman" w:hAnsi="Arial" w:cs="Arial"/>
          <w:sz w:val="24"/>
          <w:szCs w:val="24"/>
          <w:lang w:eastAsia="cs-CZ"/>
        </w:rPr>
        <w:t>V případě změny územně plánovací dokumentace či změny rozhodnutí o umístění stavby, na základě kterého došlo k bezúplatnému převodu pozemku do vlastnictví obce, kterým by zamýšlená stavba nebyla stavbou veřejně prospěšnou nebo stavbou pro bydlení, je obec povinna zemědělský pozemek převést zpět na převádějícího za stejných podmínek, za jakých byl na nabyvatele převeden, a to ve lhůtě do 90 dnů od nabytí účinnosti obecně závazné vyhlášky obce o změně závazné části územně plánovací dokumentace nebo nabytí právní moci rozhodnutí o umístění stavby. Jestliže nebude možné pozemek převést zpět na převádějícího, protože bude ve vlastnictví třetí osoby, zavazuje se obec k tomu, že ve stejné lhůtě poskytne převádějícímu náhradu za tento pozemek v penězích. Výše náhrady bude rovna ceně pozemku ke dni uzavření smlouvy, tj. 9. 7. 2003, na jejímž základě byl pozemek obci převeden, a to podle cenového předpisu platného k témuž dni.</w:t>
      </w:r>
    </w:p>
    <w:p w14:paraId="740A3B0E" w14:textId="77777777" w:rsidR="00697D08" w:rsidRPr="0097063D" w:rsidRDefault="00697D08" w:rsidP="00A54BAF">
      <w:pPr>
        <w:numPr>
          <w:ilvl w:val="0"/>
          <w:numId w:val="2"/>
        </w:numPr>
        <w:spacing w:after="120" w:line="240" w:lineRule="auto"/>
        <w:ind w:left="0" w:firstLine="0"/>
        <w:jc w:val="both"/>
        <w:rPr>
          <w:rFonts w:ascii="Arial" w:eastAsia="Times New Roman" w:hAnsi="Arial" w:cs="Arial"/>
          <w:sz w:val="24"/>
          <w:szCs w:val="24"/>
          <w:lang w:eastAsia="cs-CZ"/>
        </w:rPr>
      </w:pPr>
      <w:r w:rsidRPr="0097063D">
        <w:rPr>
          <w:rFonts w:ascii="Arial" w:eastAsia="Times New Roman" w:hAnsi="Arial" w:cs="Arial"/>
          <w:sz w:val="24"/>
          <w:szCs w:val="24"/>
          <w:lang w:eastAsia="cs-CZ"/>
        </w:rPr>
        <w:t>Olomoucký kraj se zavazuje v případě, že dojde ke změně dle výše uvedeného odstavce, zaplatit statutárnímu městu Olomouc náhradu za pozemek dle výše uvedeného odstavce ve stejné výši jakou má poskytnout náhradu statutární město Olomouc Pozemkovému fondu České republiky (nyní Státní pozemkový úřad), a to do 30 dnů od doručení písemné výzvy statutárního města Olomouce Olomouckému kraji k zaplacení náhrady na účet statutárního města Olomouce uvedený v této výzvě.</w:t>
      </w:r>
    </w:p>
    <w:p w14:paraId="47886D77" w14:textId="5A7F0E76" w:rsidR="00697D08" w:rsidRPr="0097063D" w:rsidRDefault="00697D08" w:rsidP="00A54BAF">
      <w:pPr>
        <w:numPr>
          <w:ilvl w:val="0"/>
          <w:numId w:val="2"/>
        </w:numPr>
        <w:spacing w:after="120" w:line="240" w:lineRule="auto"/>
        <w:ind w:left="0" w:firstLine="0"/>
        <w:jc w:val="both"/>
        <w:rPr>
          <w:rFonts w:ascii="Arial" w:eastAsia="Times New Roman" w:hAnsi="Arial" w:cs="Arial"/>
          <w:sz w:val="24"/>
          <w:szCs w:val="24"/>
          <w:lang w:eastAsia="cs-CZ"/>
        </w:rPr>
      </w:pPr>
      <w:r w:rsidRPr="0097063D">
        <w:rPr>
          <w:rFonts w:ascii="Arial" w:eastAsia="Times New Roman" w:hAnsi="Arial" w:cs="Arial"/>
          <w:sz w:val="24"/>
          <w:szCs w:val="24"/>
          <w:lang w:eastAsia="cs-CZ"/>
        </w:rPr>
        <w:t xml:space="preserve">Olomoucký kraj se v případě, že převede vlastnické právo k předmětu prodeje na třetí osobu, současně zavazuje převést na tuto osobu i výše uvedený závazek zaplatit náhradu za pozemek vyplývající z této smlouvy. </w:t>
      </w:r>
      <w:r w:rsidR="00474C73" w:rsidRPr="0097063D">
        <w:rPr>
          <w:rFonts w:ascii="Arial" w:eastAsia="Times New Roman" w:hAnsi="Arial" w:cs="Arial"/>
          <w:sz w:val="24"/>
          <w:szCs w:val="24"/>
          <w:lang w:eastAsia="cs-CZ"/>
        </w:rPr>
        <w:t>V případě</w:t>
      </w:r>
      <w:r w:rsidRPr="0097063D">
        <w:rPr>
          <w:rFonts w:ascii="Arial" w:eastAsia="Times New Roman" w:hAnsi="Arial" w:cs="Arial"/>
          <w:sz w:val="24"/>
          <w:szCs w:val="24"/>
          <w:lang w:eastAsia="cs-CZ"/>
        </w:rPr>
        <w:t xml:space="preserve"> porušení povinnosti převedení závazku zaplatit náhradu za pozemek si smluvní strany sjednávají smluvní pokutu ve výši úhrady za pozemek dle výše uvedeného odstavce a Olomoucký kraj se zavazuje zaplatit statutárnímu městu Olomouc smluvní pokutu do 30 dnů od doručení písemné výzvy k zaplacení smluvní pokuty na účet statutárního města Olomouce uvedený v této výzvě. Nedohodne-li se statutární město Olomouc a Olomoucký kraj jinak.</w:t>
      </w:r>
    </w:p>
    <w:p w14:paraId="57DC3EED" w14:textId="06F9C890" w:rsidR="00697D08" w:rsidRPr="0097063D" w:rsidRDefault="005A355A" w:rsidP="00A54BAF">
      <w:pPr>
        <w:widowControl w:val="0"/>
        <w:tabs>
          <w:tab w:val="left" w:pos="0"/>
        </w:tabs>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 </w:t>
      </w:r>
      <w:r w:rsidR="00697D08" w:rsidRPr="0097063D">
        <w:rPr>
          <w:rFonts w:ascii="Arial" w:eastAsia="Times New Roman" w:hAnsi="Arial" w:cs="Arial"/>
          <w:sz w:val="24"/>
          <w:szCs w:val="24"/>
          <w:lang w:eastAsia="cs-CZ"/>
        </w:rPr>
        <w:t xml:space="preserve">na něj v souladu s ustanovením § 2341 zákona č. 89/2012 Sb., občanského zákoníku, ve znění pozdějších předpisů, spolu s vlastnickým právem </w:t>
      </w:r>
      <w:r w:rsidR="007A4591" w:rsidRPr="0097063D">
        <w:rPr>
          <w:rFonts w:ascii="Arial" w:eastAsia="Times New Roman" w:hAnsi="Arial" w:cs="Arial"/>
          <w:sz w:val="24"/>
          <w:szCs w:val="24"/>
          <w:lang w:eastAsia="cs-CZ"/>
        </w:rPr>
        <w:t>k pozemku</w:t>
      </w:r>
      <w:r w:rsidR="00697D08" w:rsidRPr="0097063D">
        <w:rPr>
          <w:rFonts w:ascii="Arial" w:eastAsia="Times New Roman" w:hAnsi="Arial" w:cs="Arial"/>
          <w:sz w:val="24"/>
          <w:szCs w:val="24"/>
          <w:lang w:eastAsia="cs-CZ"/>
        </w:rPr>
        <w:t xml:space="preserve"> parc. č. 42/13 orná půda v k. ú. Klášterní Hradisko, obec Olomouc přejdou práva a povinnosti z pachtu dle pachtovní smlouvy č. OMAJ-SMV/PACH/002402/2016/Kol ze dne 15. 9. 216, ve znění dodatku č. 1 – č. 4, uzavřené se společností Školagro s.r.o. </w:t>
      </w:r>
    </w:p>
    <w:p w14:paraId="1B246B80" w14:textId="57BC8D49" w:rsidR="00A54BAF" w:rsidRDefault="005A355A" w:rsidP="00A54BAF">
      <w:pPr>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00697D08" w:rsidRPr="0097063D">
        <w:rPr>
          <w:rFonts w:ascii="Arial" w:eastAsia="Times New Roman" w:hAnsi="Arial" w:cs="Arial"/>
          <w:sz w:val="24"/>
          <w:szCs w:val="24"/>
          <w:lang w:eastAsia="cs-CZ"/>
        </w:rPr>
        <w:t xml:space="preserve">na části pozemku parc. č. 42/13 orná půda v k. ú. Klášterní Hradisko, obec Olomouc se nachází </w:t>
      </w:r>
      <w:r w:rsidR="00697D08" w:rsidRPr="0097063D">
        <w:rPr>
          <w:rFonts w:ascii="Arial" w:hAnsi="Arial" w:cs="Arial"/>
          <w:sz w:val="24"/>
          <w:szCs w:val="24"/>
        </w:rPr>
        <w:t xml:space="preserve">veřejně přístupná účelová komunikace (chodník při ulici Sušilovo náměstí), dopravní značení a veřejné osvětlení, včetně kabeláže </w:t>
      </w:r>
      <w:r w:rsidR="00697D08" w:rsidRPr="0097063D">
        <w:rPr>
          <w:rFonts w:ascii="Arial" w:eastAsia="Times New Roman" w:hAnsi="Arial" w:cs="Arial"/>
          <w:sz w:val="24"/>
          <w:szCs w:val="24"/>
          <w:lang w:eastAsia="cs-CZ"/>
        </w:rPr>
        <w:t>ve vlastnictví SMOl.</w:t>
      </w:r>
    </w:p>
    <w:p w14:paraId="3FB6B330" w14:textId="0D617B50" w:rsidR="00A54BAF" w:rsidRDefault="007A4591" w:rsidP="00A54BAF">
      <w:pPr>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w:t>
      </w:r>
      <w:r w:rsidR="005A355A">
        <w:rPr>
          <w:rFonts w:ascii="Arial" w:eastAsia="Times New Roman" w:hAnsi="Arial" w:cs="Arial"/>
          <w:sz w:val="24"/>
          <w:szCs w:val="24"/>
          <w:lang w:eastAsia="cs-CZ"/>
        </w:rPr>
        <w:t xml:space="preserve"> </w:t>
      </w:r>
      <w:r w:rsidR="00697D08" w:rsidRPr="0097063D">
        <w:rPr>
          <w:rFonts w:ascii="Arial" w:eastAsia="Times New Roman" w:hAnsi="Arial" w:cs="Arial"/>
          <w:sz w:val="24"/>
          <w:szCs w:val="24"/>
          <w:lang w:eastAsia="cs-CZ"/>
        </w:rPr>
        <w:t>na části pozemku parc. č. 42/13 v k. ú. Klášterní Hradisko, obec Olomouc se nachází kanalizační přípojka, která není ve vlastnictví SMOl.</w:t>
      </w:r>
    </w:p>
    <w:p w14:paraId="52407B37" w14:textId="19DBA9BC" w:rsidR="00697D08" w:rsidRPr="0097063D" w:rsidRDefault="005A355A" w:rsidP="00A54BAF">
      <w:pPr>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00697D08" w:rsidRPr="0097063D">
        <w:rPr>
          <w:rFonts w:ascii="Arial" w:eastAsia="Times New Roman" w:hAnsi="Arial" w:cs="Arial"/>
          <w:sz w:val="24"/>
          <w:szCs w:val="24"/>
          <w:lang w:eastAsia="cs-CZ"/>
        </w:rPr>
        <w:t>na části pozemku parc. č. 42/13 v k. ú. Klášterní Hradisko, obec Olomouc se nachází zákonné ochranné pásmo kanalizačního sběrače D DN 1000 mm ve vlastnictví SMOl, které činí 3,5 m od vnějšího líce potrubí na obě strany. Pro zákonné ochranné pásmo platí zákazy a omezení daná zákonem č. 274/2001 Sb.</w:t>
      </w:r>
    </w:p>
    <w:p w14:paraId="0EC3C061" w14:textId="77777777" w:rsidR="00697D08" w:rsidRPr="0097063D" w:rsidRDefault="00697D08" w:rsidP="00A54BAF">
      <w:pPr>
        <w:tabs>
          <w:tab w:val="left" w:pos="142"/>
          <w:tab w:val="left" w:pos="342"/>
          <w:tab w:val="left" w:pos="426"/>
          <w:tab w:val="left" w:pos="2410"/>
          <w:tab w:val="left" w:pos="2552"/>
        </w:tabs>
        <w:spacing w:after="120" w:line="240" w:lineRule="auto"/>
        <w:jc w:val="both"/>
        <w:rPr>
          <w:rFonts w:ascii="Arial" w:eastAsia="Times New Roman" w:hAnsi="Arial" w:cs="Arial"/>
          <w:sz w:val="24"/>
          <w:szCs w:val="24"/>
          <w:u w:val="single"/>
          <w:lang w:eastAsia="cs-CZ"/>
        </w:rPr>
      </w:pPr>
      <w:r w:rsidRPr="0097063D">
        <w:rPr>
          <w:rFonts w:ascii="Arial" w:eastAsia="Times New Roman" w:hAnsi="Arial" w:cs="Arial"/>
          <w:sz w:val="24"/>
          <w:szCs w:val="24"/>
          <w:u w:val="single"/>
          <w:lang w:eastAsia="cs-CZ"/>
        </w:rPr>
        <w:t>Statutární město Olomouc bere na vědomí, že:</w:t>
      </w:r>
    </w:p>
    <w:p w14:paraId="06B80316" w14:textId="6511A764" w:rsidR="00697D08" w:rsidRPr="0097063D" w:rsidRDefault="00BD4075" w:rsidP="00BD4075">
      <w:pPr>
        <w:tabs>
          <w:tab w:val="left" w:pos="142"/>
          <w:tab w:val="left" w:pos="284"/>
          <w:tab w:val="left" w:pos="342"/>
          <w:tab w:val="left" w:pos="2268"/>
          <w:tab w:val="left" w:pos="2410"/>
        </w:tabs>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00697D08" w:rsidRPr="0097063D">
        <w:rPr>
          <w:rFonts w:ascii="Arial" w:eastAsia="Times New Roman" w:hAnsi="Arial" w:cs="Arial"/>
          <w:sz w:val="24"/>
          <w:szCs w:val="24"/>
          <w:lang w:eastAsia="cs-CZ"/>
        </w:rPr>
        <w:t>na předmětných částech pozemku parc. č. 111/27 ostatní plocha v k. ú. Hejčín, obec Olomouc se nachází vodovodní řad ve vlastnictví SMOl.</w:t>
      </w:r>
    </w:p>
    <w:p w14:paraId="5C5B1F29" w14:textId="1DAB2A5C" w:rsidR="00D53333" w:rsidRPr="0097063D" w:rsidRDefault="00BD4075" w:rsidP="00A54BAF">
      <w:pPr>
        <w:pStyle w:val="Odstavecseseznamem"/>
        <w:tabs>
          <w:tab w:val="left" w:pos="142"/>
          <w:tab w:val="left" w:pos="284"/>
          <w:tab w:val="left" w:pos="342"/>
          <w:tab w:val="left" w:pos="2268"/>
          <w:tab w:val="left" w:pos="2410"/>
        </w:tabs>
        <w:spacing w:after="120" w:line="240" w:lineRule="auto"/>
        <w:ind w:left="0"/>
        <w:contextualSpacing w:val="0"/>
        <w:jc w:val="both"/>
        <w:rPr>
          <w:rFonts w:ascii="Arial" w:eastAsia="Times New Roman" w:hAnsi="Arial" w:cs="Arial"/>
          <w:color w:val="FF0000"/>
          <w:sz w:val="24"/>
          <w:szCs w:val="24"/>
          <w:lang w:eastAsia="cs-CZ"/>
        </w:rPr>
      </w:pPr>
      <w:r>
        <w:rPr>
          <w:rFonts w:ascii="Arial" w:eastAsia="Times New Roman" w:hAnsi="Arial" w:cs="Arial"/>
          <w:sz w:val="24"/>
          <w:szCs w:val="24"/>
          <w:lang w:eastAsia="cs-CZ"/>
        </w:rPr>
        <w:t xml:space="preserve">- </w:t>
      </w:r>
      <w:r w:rsidR="00697D08" w:rsidRPr="0097063D">
        <w:rPr>
          <w:rFonts w:ascii="Arial" w:eastAsia="Times New Roman" w:hAnsi="Arial" w:cs="Arial"/>
          <w:sz w:val="24"/>
          <w:szCs w:val="24"/>
          <w:lang w:eastAsia="cs-CZ"/>
        </w:rPr>
        <w:t>na něj v souladu s ustanovením § 2221 zákona č. 89/2012 Sb., občanského zákoníku, ve znění pozdějších předpisů, spolu s vlastnickým právem k částem pozemku parc. č. 111/27 ostatní plocha v k. ú. Hejčín, obec Olomouc přejdou práva a povinnosti z nájmu dle Smlouvy o nájmu uzavřené dne 31. 12. 2022 mezi Střední školou zemědělskou a zahradnickou, Olomouc, U Hradiska 4 a společností Jezdecký areál Olomouc s.r.o.</w:t>
      </w:r>
    </w:p>
    <w:sectPr w:rsidR="00D53333" w:rsidRPr="009706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635A6"/>
    <w:multiLevelType w:val="hybridMultilevel"/>
    <w:tmpl w:val="7FC8B018"/>
    <w:lvl w:ilvl="0" w:tplc="04050001">
      <w:start w:val="1"/>
      <w:numFmt w:val="bullet"/>
      <w:lvlText w:val=""/>
      <w:lvlJc w:val="left"/>
      <w:pPr>
        <w:ind w:left="2487"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20B5C69"/>
    <w:multiLevelType w:val="hybridMultilevel"/>
    <w:tmpl w:val="87DC6FAE"/>
    <w:lvl w:ilvl="0" w:tplc="9D625B14">
      <w:numFmt w:val="bullet"/>
      <w:lvlText w:val="-"/>
      <w:lvlJc w:val="left"/>
      <w:pPr>
        <w:ind w:left="2628" w:hanging="360"/>
      </w:pPr>
      <w:rPr>
        <w:rFonts w:ascii="Times New Roman" w:eastAsia="Times New Roman" w:hAnsi="Times New Roman" w:cs="Times New Roman" w:hint="default"/>
        <w:strike w:val="0"/>
        <w:dstrike w:val="0"/>
        <w:sz w:val="19"/>
        <w:u w:val="none"/>
        <w:effect w:val="none"/>
      </w:rPr>
    </w:lvl>
    <w:lvl w:ilvl="1" w:tplc="04050003">
      <w:start w:val="1"/>
      <w:numFmt w:val="bullet"/>
      <w:lvlText w:val="o"/>
      <w:lvlJc w:val="left"/>
      <w:pPr>
        <w:ind w:left="3348" w:hanging="360"/>
      </w:pPr>
      <w:rPr>
        <w:rFonts w:ascii="Courier New" w:hAnsi="Courier New" w:cs="Courier New" w:hint="default"/>
      </w:rPr>
    </w:lvl>
    <w:lvl w:ilvl="2" w:tplc="04050005">
      <w:start w:val="1"/>
      <w:numFmt w:val="bullet"/>
      <w:lvlText w:val=""/>
      <w:lvlJc w:val="left"/>
      <w:pPr>
        <w:ind w:left="4068" w:hanging="360"/>
      </w:pPr>
      <w:rPr>
        <w:rFonts w:ascii="Wingdings" w:hAnsi="Wingdings" w:hint="default"/>
      </w:rPr>
    </w:lvl>
    <w:lvl w:ilvl="3" w:tplc="04050001">
      <w:start w:val="1"/>
      <w:numFmt w:val="bullet"/>
      <w:lvlText w:val=""/>
      <w:lvlJc w:val="left"/>
      <w:pPr>
        <w:ind w:left="4788" w:hanging="360"/>
      </w:pPr>
      <w:rPr>
        <w:rFonts w:ascii="Symbol" w:hAnsi="Symbol" w:hint="default"/>
      </w:rPr>
    </w:lvl>
    <w:lvl w:ilvl="4" w:tplc="04050003">
      <w:start w:val="1"/>
      <w:numFmt w:val="bullet"/>
      <w:lvlText w:val="o"/>
      <w:lvlJc w:val="left"/>
      <w:pPr>
        <w:ind w:left="5508" w:hanging="360"/>
      </w:pPr>
      <w:rPr>
        <w:rFonts w:ascii="Courier New" w:hAnsi="Courier New" w:cs="Courier New" w:hint="default"/>
      </w:rPr>
    </w:lvl>
    <w:lvl w:ilvl="5" w:tplc="04050005">
      <w:start w:val="1"/>
      <w:numFmt w:val="bullet"/>
      <w:lvlText w:val=""/>
      <w:lvlJc w:val="left"/>
      <w:pPr>
        <w:ind w:left="6228" w:hanging="360"/>
      </w:pPr>
      <w:rPr>
        <w:rFonts w:ascii="Wingdings" w:hAnsi="Wingdings" w:hint="default"/>
      </w:rPr>
    </w:lvl>
    <w:lvl w:ilvl="6" w:tplc="04050001">
      <w:start w:val="1"/>
      <w:numFmt w:val="bullet"/>
      <w:lvlText w:val=""/>
      <w:lvlJc w:val="left"/>
      <w:pPr>
        <w:ind w:left="6948" w:hanging="360"/>
      </w:pPr>
      <w:rPr>
        <w:rFonts w:ascii="Symbol" w:hAnsi="Symbol" w:hint="default"/>
      </w:rPr>
    </w:lvl>
    <w:lvl w:ilvl="7" w:tplc="04050003">
      <w:start w:val="1"/>
      <w:numFmt w:val="bullet"/>
      <w:lvlText w:val="o"/>
      <w:lvlJc w:val="left"/>
      <w:pPr>
        <w:ind w:left="7668" w:hanging="360"/>
      </w:pPr>
      <w:rPr>
        <w:rFonts w:ascii="Courier New" w:hAnsi="Courier New" w:cs="Courier New" w:hint="default"/>
      </w:rPr>
    </w:lvl>
    <w:lvl w:ilvl="8" w:tplc="04050005">
      <w:start w:val="1"/>
      <w:numFmt w:val="bullet"/>
      <w:lvlText w:val=""/>
      <w:lvlJc w:val="left"/>
      <w:pPr>
        <w:ind w:left="83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333"/>
    <w:rsid w:val="00025A70"/>
    <w:rsid w:val="001255E4"/>
    <w:rsid w:val="00195C47"/>
    <w:rsid w:val="001E674E"/>
    <w:rsid w:val="00220EAF"/>
    <w:rsid w:val="0023152A"/>
    <w:rsid w:val="00285FD1"/>
    <w:rsid w:val="002F31BA"/>
    <w:rsid w:val="00352C9F"/>
    <w:rsid w:val="00474C73"/>
    <w:rsid w:val="00521EB5"/>
    <w:rsid w:val="005A355A"/>
    <w:rsid w:val="005A409C"/>
    <w:rsid w:val="005A7038"/>
    <w:rsid w:val="005B2094"/>
    <w:rsid w:val="005C4ACB"/>
    <w:rsid w:val="00697D08"/>
    <w:rsid w:val="007329F5"/>
    <w:rsid w:val="0075072E"/>
    <w:rsid w:val="007A4591"/>
    <w:rsid w:val="00866D09"/>
    <w:rsid w:val="008D6892"/>
    <w:rsid w:val="008F6EF8"/>
    <w:rsid w:val="0097063D"/>
    <w:rsid w:val="009975FF"/>
    <w:rsid w:val="00A33324"/>
    <w:rsid w:val="00A54BAF"/>
    <w:rsid w:val="00BD4075"/>
    <w:rsid w:val="00BD5CFB"/>
    <w:rsid w:val="00CF6E7C"/>
    <w:rsid w:val="00D53333"/>
    <w:rsid w:val="00D96DC6"/>
    <w:rsid w:val="00D97240"/>
    <w:rsid w:val="00DD70CC"/>
    <w:rsid w:val="00E61132"/>
    <w:rsid w:val="00F74243"/>
    <w:rsid w:val="00F964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EC376"/>
  <w15:docId w15:val="{8F4C3D6E-A375-40B2-A7D4-B951EBB0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333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53333"/>
    <w:pPr>
      <w:ind w:left="720"/>
      <w:contextualSpacing/>
    </w:pPr>
  </w:style>
  <w:style w:type="paragraph" w:styleId="Textbubliny">
    <w:name w:val="Balloon Text"/>
    <w:basedOn w:val="Normln"/>
    <w:link w:val="TextbublinyChar"/>
    <w:uiPriority w:val="99"/>
    <w:semiHidden/>
    <w:unhideWhenUsed/>
    <w:rsid w:val="00D5333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53333"/>
    <w:rPr>
      <w:rFonts w:ascii="Tahoma" w:hAnsi="Tahoma" w:cs="Tahoma"/>
      <w:sz w:val="16"/>
      <w:szCs w:val="16"/>
    </w:rPr>
  </w:style>
  <w:style w:type="paragraph" w:styleId="Zhlav">
    <w:name w:val="header"/>
    <w:basedOn w:val="Normln"/>
    <w:link w:val="ZhlavChar"/>
    <w:uiPriority w:val="99"/>
    <w:unhideWhenUsed/>
    <w:rsid w:val="00697D08"/>
    <w:pPr>
      <w:tabs>
        <w:tab w:val="center" w:pos="4536"/>
        <w:tab w:val="right" w:pos="9072"/>
      </w:tabs>
      <w:spacing w:after="0" w:line="240" w:lineRule="auto"/>
    </w:pPr>
    <w:rPr>
      <w:rFonts w:ascii="Times New Roman" w:hAnsi="Times New Roman"/>
      <w:sz w:val="24"/>
    </w:rPr>
  </w:style>
  <w:style w:type="character" w:customStyle="1" w:styleId="ZhlavChar">
    <w:name w:val="Záhlaví Char"/>
    <w:basedOn w:val="Standardnpsmoodstavce"/>
    <w:link w:val="Zhlav"/>
    <w:uiPriority w:val="99"/>
    <w:rsid w:val="00697D0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5" ma:contentTypeDescription="Create a new document." ma:contentTypeScope="" ma:versionID="252fe26bbbe6178d638c802819f6af81">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b0c51d5164f7928c51f586db200ff0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7C56E6-498D-4C81-992C-B3983AE22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B874C6-A637-435A-BA9D-F7F44AC1EC13}">
  <ds:schemaRefs>
    <ds:schemaRef ds:uri="13048a0b-966b-41fa-8baa-e0d8ecb4dd93"/>
    <ds:schemaRef ds:uri="http://purl.org/dc/terms/"/>
    <ds:schemaRef ds:uri="75ab86f7-ff50-432b-9e9b-4e86381477a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440A126-23C8-4BC6-BCF0-6A8751F22A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680</Words>
  <Characters>4018</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MMOL</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Kovařík Pavel</dc:creator>
  <cp:lastModifiedBy>Vrbová Regina</cp:lastModifiedBy>
  <cp:revision>6</cp:revision>
  <cp:lastPrinted>2023-07-12T10:47:00Z</cp:lastPrinted>
  <dcterms:created xsi:type="dcterms:W3CDTF">2023-07-12T06:59:00Z</dcterms:created>
  <dcterms:modified xsi:type="dcterms:W3CDTF">2023-08-25T09:50:00Z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