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794A6E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155F7A" w:rsidRPr="00692201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155F7A" w:rsidRPr="00692201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155F7A" w:rsidRPr="00692201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47B8EB4F" w14:textId="4A7779A5" w:rsidR="00F73B3C" w:rsidRPr="00941E3B" w:rsidRDefault="00F73B3C" w:rsidP="00F73B3C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09204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87543F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</w:t>
      </w:r>
      <w:r w:rsidR="00ED779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ED779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ADC93D8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B8678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</w:t>
      </w:r>
      <w:r w:rsidR="003519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dotačního </w:t>
      </w:r>
      <w:r w:rsidR="008253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programu/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titulu</w:t>
      </w:r>
      <w:r w:rsidR="00F73B3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F73B3C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F73B3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F73B3C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A152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741ABAC4" w:rsidR="009A3DA5" w:rsidRPr="00D105E6" w:rsidRDefault="009A3DA5" w:rsidP="005A4997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D105E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692201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692201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69220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CE0EE9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CE0EE9" w:rsidRPr="00692201" w:rsidDel="00CE0E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C5435C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</w:t>
      </w:r>
      <w:r w:rsidR="00BC5788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předložení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27997CB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24BF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2001C6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EB7A63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6ED5CDAD" w:rsidR="009A3DA5" w:rsidRPr="00692201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41613A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69220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692201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3699D990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F412FF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7A24849" w:rsidR="00CB5336" w:rsidRPr="000F73CE" w:rsidRDefault="00304E20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412EB93D" w:rsidR="00CB5336" w:rsidRPr="00692201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A5612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761D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10.17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FE48E53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</w:t>
      </w:r>
      <w:r w:rsidR="00BF203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nebo pokud se bude jednat o akci s příjmy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</w:t>
      </w:r>
      <w:r w:rsidR="00B4604E" w:rsidRPr="0069220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B4604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="0097005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“ </w:t>
      </w:r>
      <w:r w:rsidR="0008502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</w:t>
      </w:r>
      <w:r w:rsidR="006A263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ou</w:t>
      </w:r>
      <w:r w:rsidR="0008502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692201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39498FFE" w:rsidR="00A9730D" w:rsidRPr="003E016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71D1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551B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A3E5D" w:rsidRPr="00EA3E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A3E5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Způsob doručení závěrečné zprávy by měl být ideálně stejný, jaký bude stanoven výše pro doručení vyúčtování. Pokud to není možné, např. kvůli </w:t>
      </w:r>
      <w:r w:rsidR="00EA3E5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technickým omezením (s ohledem na následně vymezený obsah a přílohy závěrečné zprávy), je nutné zde stanovit jiný vhodný způsob doručení závěrečné zprávy.</w:t>
      </w:r>
    </w:p>
    <w:p w14:paraId="0726C632" w14:textId="3C82AE0F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943C6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</w:t>
      </w:r>
      <w:r w:rsidR="00BD26F6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sociálních sítí</w:t>
      </w:r>
      <w:r w:rsidR="0085153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 logem O</w:t>
      </w:r>
      <w:r w:rsidR="00E271C3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lomouckého kraje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vypustí).</w:t>
      </w:r>
    </w:p>
    <w:p w14:paraId="758E3118" w14:textId="0BE47CE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77FF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není-li </w:t>
      </w:r>
      <w:r w:rsidR="0015592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čl. II odst. 2 sjednávána spoluúčast, zelený text se ve smlouvě neuvede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</w:t>
      </w:r>
      <w:r w:rsidR="00BF203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nebo pokud se bude jednat o akci s příjmy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C743E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692201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692201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692201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642534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proofErr w:type="gramStart"/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1D1F8AB5" w14:textId="7630D984" w:rsidR="00261FA8" w:rsidRPr="00692201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69220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692201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69220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685A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bude dotace </w:t>
      </w:r>
      <w:r w:rsidR="007100B4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</w:t>
      </w:r>
      <w:r w:rsidR="007100B4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malého rozsahu (de minimis) poskytovatelem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poskytována v režimu de minimis. V takovém případě se </w:t>
      </w:r>
      <w:r w:rsidR="003A032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9220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220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63B067A6" w:rsidR="005D5717" w:rsidRPr="00344D46" w:rsidRDefault="00344D46" w:rsidP="00344D46">
      <w:p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(8) </w:t>
      </w:r>
      <w:r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ab/>
      </w:r>
      <w:r w:rsidR="00776388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formou skenu žádosti ve formátu PDF, tj. způsobem </w:t>
      </w:r>
      <w:r w:rsidR="004C3DFF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uvedeným v</w:t>
      </w:r>
      <w:r w:rsidR="009C7232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čl. 3 části A odst. 4 písm. e)</w:t>
      </w:r>
      <w:r w:rsidR="00DE4DD0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Zásad</w:t>
      </w:r>
      <w:r w:rsidR="00587E8C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, </w:t>
      </w:r>
      <w:r w:rsidR="00AE3637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tato smlouva zaniká</w:t>
      </w:r>
      <w:r w:rsidR="00776388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</w:t>
      </w:r>
      <w:r w:rsidR="00E961FE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ne</w:t>
      </w:r>
      <w:r w:rsidR="00776388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předložení</w:t>
      </w:r>
      <w:r w:rsidR="00E961FE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m</w:t>
      </w:r>
      <w:r w:rsidR="00776388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</w:t>
      </w:r>
      <w:r w:rsidR="00AE3637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originál</w:t>
      </w:r>
      <w:r w:rsidR="00776388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u</w:t>
      </w:r>
      <w:r w:rsidR="00AE3637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žádosti </w:t>
      </w:r>
      <w:r w:rsidR="00776388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o dotaci </w:t>
      </w:r>
      <w:r w:rsidR="00E961FE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lastRenderedPageBreak/>
        <w:t xml:space="preserve">tato </w:t>
      </w:r>
      <w:r w:rsidR="00E961FE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oboustranně podepsaná smlouva</w:t>
      </w:r>
      <w:r w:rsidR="00AE3637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.</w:t>
      </w:r>
      <w:r w:rsidR="004C3DFF" w:rsidRPr="00344D4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</w:t>
      </w:r>
      <w:r w:rsidR="00E058BB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Tento odst. 8 se ve smlouvě neuvede, </w:t>
      </w:r>
      <w:r w:rsidR="00BD60B7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bud</w:t>
      </w:r>
      <w:r w:rsidR="00E058BB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e</w:t>
      </w:r>
      <w:r w:rsidR="00BD60B7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-li příjemc</w:t>
      </w:r>
      <w:r w:rsidR="00E058BB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em</w:t>
      </w:r>
      <w:r w:rsidR="00BD60B7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veřejnoprávní </w:t>
      </w:r>
      <w:r w:rsidR="007A22AA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podepisující</w:t>
      </w:r>
      <w:r w:rsidR="0068200C" w:rsidRPr="00344D46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6922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C0A8AD2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A65567" w:rsidRPr="0069220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FF0C1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17787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text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0DCEB1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3018D1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6051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026492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hůta pro použití dotace se obvykle stanoví</w:t>
      </w:r>
      <w:r w:rsidR="00B3610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F1F1FD3" w:rsidR="00FE3DFD" w:rsidRPr="00692201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0E8FE83A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0B7C52F0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3E0167" w:rsidRDefault="00BF203C" w:rsidP="00BF203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2D14A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D14A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D14A4">
        <w:rPr>
          <w:rFonts w:ascii="Arial" w:hAnsi="Arial" w:cs="Arial"/>
          <w:sz w:val="24"/>
          <w:szCs w:val="24"/>
        </w:rPr>
        <w:t>10.</w:t>
      </w:r>
      <w:r w:rsidR="002D14A4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DB846D7" w14:textId="77777777"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0B2E263" w:rsidR="00FE3DFD" w:rsidRDefault="00BC67A0" w:rsidP="001C1CC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1369E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F353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1369E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="009F353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zde uved</w:t>
      </w:r>
      <w:r w:rsidR="006A263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ou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4AECAE01" w:rsidR="00FE3DFD" w:rsidRPr="00692201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1F1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6B76AE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1F1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160B4124" w:rsidR="00FE3DFD" w:rsidRDefault="003420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4205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4771" w:rsidRP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47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Způsob doručení závěrečné zprávy by měl být ideálně stejný, jaký </w:t>
      </w:r>
      <w:r w:rsidR="001347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1F1E248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B669C0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860792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lze vyžadovat další doklady, např. fotodokumentaci z průběhu akce, užití loga dle čl. II odst. 10 této smlouvy</w:t>
      </w:r>
      <w:r w:rsidR="00EF1C14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</w:t>
      </w:r>
      <w:r w:rsidR="008343A3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sociálních sítí</w:t>
      </w:r>
      <w:r w:rsidR="00EF1C14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 logem O</w:t>
      </w:r>
      <w:r w:rsidR="009F387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lomouckého kraje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914A798"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82D0C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A36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F80D" w14:textId="77777777" w:rsidR="00C904DC" w:rsidRDefault="00C904DC" w:rsidP="00D40C40">
      <w:r>
        <w:separator/>
      </w:r>
    </w:p>
  </w:endnote>
  <w:endnote w:type="continuationSeparator" w:id="0">
    <w:p w14:paraId="1764817D" w14:textId="77777777" w:rsidR="00C904DC" w:rsidRDefault="00C904D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A020" w14:textId="77777777" w:rsidR="00AD31F4" w:rsidRDefault="00AD3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FA39320" w14:textId="7F782C0C" w:rsidR="00A36F76" w:rsidRDefault="00380390" w:rsidP="00A36F76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AD31F4">
          <w:rPr>
            <w:rFonts w:ascii="Arial" w:hAnsi="Arial" w:cs="Arial"/>
            <w:i/>
            <w:sz w:val="20"/>
            <w:szCs w:val="20"/>
          </w:rPr>
          <w:t xml:space="preserve"> Olomouckého kraje 18</w:t>
        </w:r>
        <w:bookmarkStart w:id="0" w:name="_GoBack"/>
        <w:bookmarkEnd w:id="0"/>
        <w:r w:rsidR="00A36F76">
          <w:rPr>
            <w:rFonts w:ascii="Arial" w:hAnsi="Arial" w:cs="Arial"/>
            <w:i/>
            <w:sz w:val="20"/>
            <w:szCs w:val="20"/>
          </w:rPr>
          <w:t>. 9. 2023</w:t>
        </w:r>
        <w:r w:rsidR="00A36F76">
          <w:rPr>
            <w:rFonts w:ascii="Arial" w:hAnsi="Arial" w:cs="Arial"/>
            <w:i/>
            <w:sz w:val="20"/>
            <w:szCs w:val="20"/>
          </w:rPr>
          <w:tab/>
        </w:r>
        <w:r w:rsidR="00A36F76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begin"/>
        </w:r>
        <w:r w:rsidR="00A36F76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A36F7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D31F4">
          <w:rPr>
            <w:rFonts w:ascii="Arial" w:hAnsi="Arial" w:cs="Arial"/>
            <w:i/>
            <w:noProof/>
            <w:sz w:val="20"/>
            <w:szCs w:val="20"/>
          </w:rPr>
          <w:t>2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end"/>
        </w:r>
        <w:r w:rsidR="00A36F7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begin"/>
        </w:r>
        <w:r w:rsidR="00A36F7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36F7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D31F4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end"/>
        </w:r>
        <w:r w:rsidR="00A36F76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500A25" w14:textId="2CB85E67" w:rsidR="00A36F76" w:rsidRDefault="00380390" w:rsidP="00A36F76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 xml:space="preserve">8. </w:t>
    </w:r>
    <w:r w:rsidR="00A36F76">
      <w:rPr>
        <w:rFonts w:ascii="Arial" w:hAnsi="Arial" w:cs="Arial"/>
        <w:i/>
        <w:sz w:val="20"/>
        <w:szCs w:val="24"/>
      </w:rPr>
      <w:t>Dotační programy Olomouckého kraje na r. 2024</w:t>
    </w:r>
  </w:p>
  <w:p w14:paraId="09EE3AC2" w14:textId="52E46BD8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A36F76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programové dotace na akci právnick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é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ě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5/</w:t>
    </w:r>
  </w:p>
  <w:p w14:paraId="366BEF3E" w14:textId="77777777" w:rsidR="00BB7AD5" w:rsidRDefault="00BB7A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36DE" w14:textId="77777777" w:rsidR="00C904DC" w:rsidRDefault="00C904DC" w:rsidP="00D40C40">
      <w:r>
        <w:separator/>
      </w:r>
    </w:p>
  </w:footnote>
  <w:footnote w:type="continuationSeparator" w:id="0">
    <w:p w14:paraId="2C9CBE12" w14:textId="77777777" w:rsidR="00C904DC" w:rsidRDefault="00C904D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AEC5" w14:textId="77777777" w:rsidR="00AD31F4" w:rsidRDefault="00AD3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76D0" w14:textId="77777777" w:rsidR="00AD31F4" w:rsidRDefault="00AD31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A3AC" w14:textId="77777777" w:rsidR="00AD31F4" w:rsidRDefault="00AD31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046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0F73C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99E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4D46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390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253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7152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33B5"/>
    <w:rsid w:val="009041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889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6F76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1F4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4DC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202"/>
    <w:rsid w:val="00CE3D25"/>
    <w:rsid w:val="00CE506C"/>
    <w:rsid w:val="00CE52FC"/>
    <w:rsid w:val="00CE6F7F"/>
    <w:rsid w:val="00CF0805"/>
    <w:rsid w:val="00CF3A83"/>
    <w:rsid w:val="00CF3C6E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898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5729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9D4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3C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3C6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31BC-7D62-496E-B559-24A22E78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5081</Words>
  <Characters>29982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Stašková Vendula</cp:lastModifiedBy>
  <cp:revision>7</cp:revision>
  <cp:lastPrinted>2019-08-21T08:37:00Z</cp:lastPrinted>
  <dcterms:created xsi:type="dcterms:W3CDTF">2023-08-09T14:14:00Z</dcterms:created>
  <dcterms:modified xsi:type="dcterms:W3CDTF">2023-09-12T05:04:00Z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