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ECF7E" w14:textId="61A62D27" w:rsidR="007424F3" w:rsidRDefault="00670E13" w:rsidP="005A1E55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A401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7424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podnikateli </w:t>
      </w:r>
      <w:r w:rsidR="006C10B1" w:rsidRPr="004F3C31">
        <w:rPr>
          <w:rFonts w:ascii="Arial" w:hAnsi="Arial" w:cs="Arial"/>
          <w:color w:val="7F7F7F" w:themeColor="text1" w:themeTint="80"/>
          <w:sz w:val="32"/>
          <w:szCs w:val="32"/>
        </w:rPr>
        <w:t>/Vzor 4/</w:t>
      </w:r>
    </w:p>
    <w:p w14:paraId="6C8697C1" w14:textId="1E8AE313" w:rsidR="00543137" w:rsidRPr="005A1E55" w:rsidRDefault="007424F3" w:rsidP="005A1E55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1E55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4E79CF85" w14:textId="44FE498A" w:rsidR="0091283E" w:rsidRPr="0091283E" w:rsidRDefault="0091283E" w:rsidP="0091283E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1283E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 w:rsidRPr="0091283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 vysvětlivky, které jsou určeny pouze ke zpracování předmětné vzorové smlouvy k DP/DT do orgánů kraje (např. „specifikuje se dle dotačního programu/titulu“, „V případě povinné spoluúčasti příjemce na financování“ apod.). Naopak vysvětlivky, které jsou určeny ke zpracování následných smluv s konkrétními příjemci (vysvětlivky k ustanovením, jejichž vyplnění nebo použití je závislé od subjektu příjemce nebo účelu poskytnutí dotace - např. vysvětlivky u označení smluvní strany příjemce, vysvětlivka v čl. I odst. 2, první vysvětlivka v čl. II odst. 1 atd.)</w:t>
      </w:r>
      <w:r w:rsidR="00F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Pr="0091283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ED298E3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A4A30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E62519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26841331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bookmarkStart w:id="0" w:name="_GoBack"/>
      <w:bookmarkEnd w:id="0"/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(je-li příjemce zapsán ve veřejném rejstříku)</w:t>
      </w:r>
    </w:p>
    <w:p w14:paraId="59BDECB8" w14:textId="3361D96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C11D63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662F44B4" w14:textId="77777777" w:rsidR="007A401E" w:rsidRPr="00E62519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E6BA2E1" w14:textId="77777777" w:rsidR="007A401E" w:rsidRPr="00E62519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9956CD3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963122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34635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AFECFE4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6312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4F3C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 w:rsidRPr="0096312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6312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</w:t>
      </w:r>
      <w:r w:rsidR="00034296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názvu činnosti</w:t>
      </w:r>
      <w:r w:rsidR="008A574D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034296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</w:t>
      </w:r>
      <w:r w:rsidR="008A574D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akc</w:t>
      </w:r>
      <w:r w:rsidR="00034296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8A574D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</w:t>
      </w:r>
      <w:r w:rsidR="00034296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A574D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51A45A16" w:rsidR="009A3DA5" w:rsidRPr="00684570" w:rsidRDefault="009A3DA5" w:rsidP="000114C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6312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6312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84570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84570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84570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207D6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</w:t>
      </w:r>
      <w:r w:rsidR="0043222D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43222D"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7207D6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489EB9E3" w:rsidR="009A3DA5" w:rsidRPr="000114CE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04D51" w:rsidRPr="00004D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D6D79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7AAE827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pozdějších předpisů (dále jen „cit. zákon“), výdajů spojených s pořízením nehmotného majetku nebo výdajů spojených s technickým zhodnocením, rekonstrukcí a modernizací ve smyslu § 33 cit. zákona.</w:t>
      </w:r>
    </w:p>
    <w:p w14:paraId="6E780FCE" w14:textId="27B83DC3" w:rsidR="00D07A52" w:rsidRPr="00346353" w:rsidRDefault="00D07A52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635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346353" w:rsidRPr="00346353">
        <w:rPr>
          <w:rFonts w:ascii="Arial" w:hAnsi="Arial" w:cs="Arial"/>
          <w:sz w:val="24"/>
          <w:szCs w:val="24"/>
        </w:rPr>
        <w:t>příjemcem v jeho</w:t>
      </w:r>
      <w:r w:rsidRPr="00346353">
        <w:rPr>
          <w:rFonts w:ascii="Arial" w:hAnsi="Arial" w:cs="Arial"/>
          <w:sz w:val="24"/>
          <w:szCs w:val="24"/>
        </w:rPr>
        <w:t xml:space="preserve"> vnitřním předpis</w:t>
      </w:r>
      <w:r w:rsidR="00346353" w:rsidRPr="00346353">
        <w:rPr>
          <w:rFonts w:ascii="Arial" w:hAnsi="Arial" w:cs="Arial"/>
          <w:sz w:val="24"/>
          <w:szCs w:val="24"/>
        </w:rPr>
        <w:t>u</w:t>
      </w:r>
      <w:r w:rsidRPr="0034635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346353" w:rsidRPr="00346353">
        <w:rPr>
          <w:rFonts w:ascii="Arial" w:hAnsi="Arial" w:cs="Arial"/>
          <w:sz w:val="24"/>
          <w:szCs w:val="24"/>
        </w:rPr>
        <w:t>příjemce</w:t>
      </w:r>
      <w:r w:rsidRPr="0034635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346353" w:rsidRPr="00346353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</w:t>
      </w:r>
      <w:r w:rsidRPr="00346353">
        <w:rPr>
          <w:rFonts w:ascii="Arial" w:hAnsi="Arial" w:cs="Arial"/>
          <w:sz w:val="24"/>
          <w:szCs w:val="24"/>
        </w:rPr>
        <w:t>.</w:t>
      </w:r>
    </w:p>
    <w:p w14:paraId="3C9258D3" w14:textId="5C2765C5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E53CD93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8ABBCCC" w14:textId="77777777" w:rsidR="00BC5C06" w:rsidRPr="004F3C31" w:rsidRDefault="00BC5C06" w:rsidP="0026120C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4F3C31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27F8E521" w:rsidR="00BC5C06" w:rsidRPr="00963122" w:rsidRDefault="00664D64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4F3C31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96312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42570EE" w:rsidR="00054974" w:rsidRPr="00963122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951881" w:rsidRPr="0095188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61922BD8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95188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9518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3547B55A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E80BF0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951881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773299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D43C6F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0E05A6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D43C6F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0E05A6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D43C6F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2A469AAC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poměrné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DE0722D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E9314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bude dle čl</w:t>
      </w:r>
      <w:r w:rsidR="00C11D63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r w:rsidR="009F6A33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D33DF4C" w:rsidR="005F5E04" w:rsidRPr="00963122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6312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951881"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E80BF0"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D70AA"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4F3C3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5A861CC4" w:rsidR="005A477A" w:rsidRPr="00963122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63122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51881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E80BF0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F3D05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C00B55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F3D05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</w:t>
      </w:r>
      <w:r w:rsidR="00BF3D05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 xml:space="preserve">po konci termínu realizace </w:t>
      </w:r>
      <w:r w:rsidR="004414BE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BF3D05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</w:t>
      </w:r>
      <w:r w:rsidR="004414BE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ho</w:t>
      </w:r>
      <w:r w:rsidR="00BF3D05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54D9692F" w:rsidR="005A477A" w:rsidRPr="004F3C31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192482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2D01BC82" w:rsidR="005A477A" w:rsidRPr="0096312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2482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4F3C3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4F3C31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0B7CE2B9" w14:textId="12469191" w:rsidR="00BF3D05" w:rsidRPr="00963122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6312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>
        <w:rPr>
          <w:rFonts w:ascii="Arial" w:hAnsi="Arial" w:cs="Arial"/>
          <w:sz w:val="24"/>
          <w:szCs w:val="24"/>
        </w:rPr>
        <w:t xml:space="preserve">nejvýše </w:t>
      </w:r>
      <w:r w:rsidRPr="00963122">
        <w:rPr>
          <w:rFonts w:ascii="Arial" w:hAnsi="Arial" w:cs="Arial"/>
          <w:sz w:val="24"/>
          <w:szCs w:val="24"/>
        </w:rPr>
        <w:t xml:space="preserve">…. % </w:t>
      </w:r>
      <w:r w:rsidRPr="004F3C31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druhé větě byl součet 100</w:t>
      </w:r>
      <w:r w:rsidR="00E43BBA" w:rsidRPr="004F3C31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Pr="004F3C31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Pr="00963122">
        <w:rPr>
          <w:rFonts w:ascii="Arial" w:hAnsi="Arial" w:cs="Arial"/>
          <w:bCs/>
          <w:i/>
          <w:sz w:val="24"/>
          <w:szCs w:val="24"/>
        </w:rPr>
        <w:t xml:space="preserve"> </w:t>
      </w:r>
      <w:r w:rsidRPr="0096312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127B3C90" w:rsidR="00BF3D05" w:rsidRPr="00133F58" w:rsidRDefault="00AB6E62" w:rsidP="00BF3D05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7374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505B0703" w14:textId="0ED8B67C" w:rsidR="00BF3D05" w:rsidRPr="004F3C31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Vymezení jiných zdrojů by mělo být pro konkrétní dotač</w:t>
      </w:r>
      <w:r w:rsidR="00CC3A56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program/titul uvedeno v odst. </w:t>
      </w:r>
      <w:r w:rsidR="00973744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0C28F9E1" w:rsidR="006A1189" w:rsidRPr="00963122" w:rsidRDefault="006A1189" w:rsidP="00652B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652B8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C2C5F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973744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D657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D65722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52B86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 datové schránky poskytovatele nebo </w:t>
      </w:r>
      <w:r w:rsidR="00973744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 listinné podobě </w:t>
      </w:r>
      <w:r w:rsidR="00652B86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doručením na adresu poskytovatele, uvedenou v záhlaví této </w:t>
      </w:r>
      <w:r w:rsidR="00973744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652B86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</w:t>
      </w:r>
      <w:r w:rsidR="00652B86" w:rsidRPr="00652B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294F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4F6E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973744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294F6E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mlouvy.</w:t>
      </w:r>
      <w:r w:rsidR="00294F6E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963122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C1C41B5" w:rsidR="006A1189" w:rsidRPr="00E02107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0210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Soupis výdajů hrazených z poskytnuté dotace v rozsahu uvedeném ve vzoru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EC90D0" w:rsidR="006A1189" w:rsidRPr="00963122" w:rsidRDefault="006A1189" w:rsidP="00E0210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143CA094" w:rsidR="006A1189" w:rsidRPr="00E02107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E02107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71454D81" w14:textId="3675DE5F" w:rsidR="006A1189" w:rsidRPr="004F3C31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</w:t>
      </w:r>
      <w:r w:rsidR="00063A32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 požadavků poskytovatele</w:t>
      </w:r>
    </w:p>
    <w:p w14:paraId="0ABB4C32" w14:textId="667A8C44" w:rsidR="006A1189" w:rsidRPr="00963122" w:rsidRDefault="00383A8F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83A8F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B948F8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83A8F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6861BE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D6572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</w:t>
      </w:r>
      <w:r w:rsidR="006861BE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ním do datové schránky poskytovatele</w:t>
      </w:r>
      <w:r w:rsidR="006861BE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6861B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6861BE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861BE" w:rsidRPr="006861B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861BE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6469AA0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BD4F85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7671E8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 v souladu s Pravidly lze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resp. je třeba vyžadovat další doklady, např. fotodokumentac</w:t>
      </w:r>
      <w:r w:rsidR="00B109BB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7E4D19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splnění povinné 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propagac</w:t>
      </w:r>
      <w:r w:rsidR="007E4D19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poskytovatele a užití jeho loga dle čl. II odst. 10 této smlouvy</w:t>
      </w:r>
      <w:r w:rsidR="00430A6B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printscreenu webových stránek nebo sociálních sítí s logem Olomouckého kraje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– povinně musí být fotodokumentace propagace u dotace na činnost převyšující částku 120 tis. Kč/rok apod. Nejsou-li další doklady třeba, poslední věta „V příloze závěrečné zprávy…“ se vypustí).</w:t>
      </w:r>
    </w:p>
    <w:p w14:paraId="3C9258F9" w14:textId="57160E4D" w:rsidR="009A3DA5" w:rsidRPr="0058756D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4F3C31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5F521B23" w:rsidR="009A3DA5" w:rsidRPr="00963122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smlouvy, ale vyúčtování </w:t>
      </w:r>
      <w:r w:rsidR="00F12128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BE4141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BE41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F12128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6312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6312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BD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1507A4EE" w:rsidR="005151BD" w:rsidRDefault="005151BD" w:rsidP="00F121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E924A49" w:rsidR="009A3DA5" w:rsidRPr="00963122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6312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099E328" w:rsidR="009A3DA5" w:rsidRPr="00963122" w:rsidRDefault="009A3DA5" w:rsidP="001C4AD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F12128" w:rsidRP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="004F5F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hůty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963122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4ACC082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963122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963122">
        <w:rPr>
          <w:rFonts w:ascii="Arial" w:hAnsi="Arial" w:cs="Arial"/>
          <w:sz w:val="24"/>
          <w:szCs w:val="24"/>
        </w:rPr>
        <w:t xml:space="preserve"> </w:t>
      </w:r>
      <w:r w:rsidR="007671E8" w:rsidRPr="004F3C31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 u konkrétního dotačního programu/titulu.</w:t>
      </w:r>
    </w:p>
    <w:p w14:paraId="3C925913" w14:textId="732E6C96" w:rsidR="009A3DA5" w:rsidRPr="00963122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0CBD4CAB" w14:textId="77777777" w:rsidR="007317C3" w:rsidRPr="00A607DA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Pr="00963122">
        <w:rPr>
          <w:rFonts w:ascii="Arial" w:hAnsi="Arial" w:cs="Arial"/>
        </w:rPr>
        <w:t xml:space="preserve">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Lze zde uvést pro zdůraznění některé povinnosti stanovené v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3E3857BB" w:rsidR="00836AA2" w:rsidRPr="0096312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A67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641509" w:rsidRPr="00EA67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EA67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EA6756" w:rsidRPr="00EA67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96312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</w:t>
      </w:r>
      <w:r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logem poskytovatele do místa, ve kterém je </w:t>
      </w:r>
      <w:r w:rsidR="00664936"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……….</w:t>
      </w:r>
      <w:r w:rsidRPr="00D43C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094F307" w14:textId="61609801" w:rsidR="00915CB7" w:rsidRPr="004F3C31" w:rsidRDefault="00915CB7" w:rsidP="00915CB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 to s ohledem na druh činnosti, výši poskytované dotace, údaje uvedené v žádosti, specifika předmětného dotačního programu/titulu a podle potřeb poskytovatele.</w:t>
      </w:r>
    </w:p>
    <w:p w14:paraId="4711E03D" w14:textId="4462E85F" w:rsidR="00836AA2" w:rsidRPr="004F3C31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96312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6312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6312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6312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EFD7527" w:rsidR="006C7815" w:rsidRPr="00963122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CB5E8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CB5E83" w:rsidRPr="00C10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CB5E8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CB5E83"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CB5E83"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2-5)</w:t>
      </w:r>
    </w:p>
    <w:p w14:paraId="7455507D" w14:textId="61CA1BD9" w:rsidR="006C7815" w:rsidRPr="00963122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6312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409BA" w:rsidRPr="00DC2F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C409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C409BA"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90E269B" w:rsidR="004514E3" w:rsidRPr="004F3C31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96312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5106141E" w:rsidR="00170EC7" w:rsidRPr="00963122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6312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770AB8" w:rsidR="00170EC7" w:rsidRPr="00963122" w:rsidRDefault="00202CD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02CD5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4F3C31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 w:rsidRPr="0096312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6312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E031C5"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6312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4F3C31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 w:rsidRPr="00963122">
        <w:rPr>
          <w:rFonts w:ascii="Arial" w:hAnsi="Arial" w:cs="Arial"/>
          <w:sz w:val="24"/>
          <w:szCs w:val="24"/>
          <w:lang w:eastAsia="cs-CZ"/>
        </w:rPr>
        <w:t>T</w:t>
      </w:r>
      <w:r w:rsidRPr="0096312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6312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120B5386" w14:textId="3EBC11CE" w:rsidR="00CF0003" w:rsidRPr="008F5CB6" w:rsidRDefault="008F5CB6" w:rsidP="008F5CB6">
      <w:p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8F5CB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(8) </w:t>
      </w:r>
      <w:r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ab/>
      </w:r>
      <w:r w:rsidR="00CF0003" w:rsidRPr="008F5CB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</w:t>
      </w:r>
      <w:r w:rsidR="00C409BA" w:rsidRPr="008F5CB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čl. 3 části A odst. 4 písm. e) Zásad</w:t>
      </w:r>
      <w:r w:rsidR="00CF0003" w:rsidRPr="008F5CB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, tato smlouva zaniká </w:t>
      </w:r>
      <w:r w:rsidR="0048522F" w:rsidRPr="008F5CB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ne</w:t>
      </w:r>
      <w:r w:rsidR="00CF0003" w:rsidRPr="008F5CB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předložení</w:t>
      </w:r>
      <w:r w:rsidR="0048522F" w:rsidRPr="008F5CB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m</w:t>
      </w:r>
      <w:r w:rsidR="00CF0003" w:rsidRPr="008F5CB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originálu žádosti o dotaci </w:t>
      </w:r>
      <w:r w:rsidR="0048522F" w:rsidRPr="008F5CB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poskytovateli nejpozději v den, kdy je poskytovateli doručena tato oboustranně podepsaná smlouva</w:t>
      </w:r>
      <w:r w:rsidR="00CF0003" w:rsidRPr="008F5CB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.</w:t>
      </w:r>
    </w:p>
    <w:p w14:paraId="3C92591E" w14:textId="1F22B876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63122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6312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0DA4E03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4F3C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Rady/Zastupitelstva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97218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227CBE6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9714D8" w:rsidRPr="009714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714D8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2953E5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čl. 1 odst. 15</w:t>
      </w:r>
      <w:r w:rsidR="00A51483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Zásad</w:t>
      </w:r>
      <w:r w:rsidR="009714D8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A51483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 text </w:t>
      </w:r>
      <w:r w:rsidR="00A51483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</w:t>
      </w:r>
      <w:r w:rsidR="00A51483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E262D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953E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r w:rsidR="00A51483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A51483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207F133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0FDBA9F8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E43BB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E43BBA" w:rsidRPr="00E43BB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C27EF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213488EA" w:rsidR="00DD06DA" w:rsidRPr="00963122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poskytnutou dotaci nejpozději do </w:t>
      </w:r>
      <w:r w:rsidR="00CF4B96" w:rsidRPr="00963122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A51483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A76C5F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1A63E1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A76C5F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1A63E1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1A63E1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3D1BA069" w:rsidR="00DD06DA" w:rsidRPr="004F3C31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4F4043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60681F1" w14:textId="5ABBBC6E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4F4043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BC631E2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71121A" w:rsidRPr="0071121A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dotace, a to </w:t>
      </w:r>
      <w:r w:rsidR="0071121A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D657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D65722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71121A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 datové schránky poskytovatele nebo v listinné podobě doručením na adresu poskytovatele, uvedenou v záhlaví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71121A" w:rsidRPr="007112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21A"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71121A" w:rsidRPr="0071121A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54C36993" w:rsidR="00DD06DA" w:rsidRPr="00E02107" w:rsidRDefault="004F4043" w:rsidP="00E02107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71121A" w:rsidRPr="00E0210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71121A" w:rsidRPr="00E0210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0A5A8D5F" w:rsidR="00DD06DA" w:rsidRPr="004F3C31" w:rsidRDefault="00DD06DA" w:rsidP="004F4043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</w:t>
      </w:r>
      <w:r w:rsidR="00063A32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 požadavků poskytovatele</w:t>
      </w:r>
    </w:p>
    <w:p w14:paraId="47491C5E" w14:textId="2EA2DB73" w:rsidR="00DD06DA" w:rsidRDefault="00636935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6935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36935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C415E3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D657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C415E3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do datové schránky poskytovatele nebo </w:t>
      </w:r>
      <w:r w:rsidRPr="00C1051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415E3" w:rsidRPr="00C415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415E3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539C3D66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F77C3F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 xml:space="preserve">lze vyžadovat další doklady, např. fotodokumentaci užití loga dle čl. II odst. 10 této smlouvy </w:t>
      </w:r>
      <w:r w:rsidR="00FA1887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5E571C8C" w14:textId="495AE457" w:rsidR="00DA1381" w:rsidRPr="00952E94" w:rsidRDefault="00DD06DA" w:rsidP="00062C0E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A6DB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v této lhůtě, dopustí se porušení rozpočtové kázně ve smyslu </w:t>
      </w:r>
      <w:proofErr w:type="spell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952E94" w:rsidSect="000F5AE6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6B3A7" w14:textId="77777777" w:rsidR="00FD2192" w:rsidRDefault="00FD2192" w:rsidP="00D40C40">
      <w:r>
        <w:separator/>
      </w:r>
    </w:p>
  </w:endnote>
  <w:endnote w:type="continuationSeparator" w:id="0">
    <w:p w14:paraId="0B2CD563" w14:textId="77777777" w:rsidR="00FD2192" w:rsidRDefault="00FD219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3C1A3B5" w14:textId="3F21D725" w:rsidR="00194E7F" w:rsidRDefault="00AF776B" w:rsidP="00194E7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194E7F">
          <w:rPr>
            <w:rFonts w:ascii="Arial" w:hAnsi="Arial" w:cs="Arial"/>
            <w:i/>
            <w:sz w:val="20"/>
            <w:szCs w:val="20"/>
          </w:rPr>
          <w:t xml:space="preserve"> Olomouckého kraje 1</w:t>
        </w:r>
        <w:r>
          <w:rPr>
            <w:rFonts w:ascii="Arial" w:hAnsi="Arial" w:cs="Arial"/>
            <w:i/>
            <w:sz w:val="20"/>
            <w:szCs w:val="20"/>
          </w:rPr>
          <w:t>8</w:t>
        </w:r>
        <w:r w:rsidR="00194E7F">
          <w:rPr>
            <w:rFonts w:ascii="Arial" w:hAnsi="Arial" w:cs="Arial"/>
            <w:i/>
            <w:sz w:val="20"/>
            <w:szCs w:val="20"/>
          </w:rPr>
          <w:t>. 9. 2023</w:t>
        </w:r>
        <w:r w:rsidR="00194E7F">
          <w:rPr>
            <w:rFonts w:ascii="Arial" w:hAnsi="Arial" w:cs="Arial"/>
            <w:i/>
            <w:sz w:val="20"/>
            <w:szCs w:val="20"/>
          </w:rPr>
          <w:tab/>
        </w:r>
        <w:r w:rsidR="00194E7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94E7F">
          <w:rPr>
            <w:rFonts w:ascii="Arial" w:hAnsi="Arial" w:cs="Arial"/>
            <w:i/>
            <w:sz w:val="20"/>
            <w:szCs w:val="20"/>
          </w:rPr>
          <w:fldChar w:fldCharType="begin"/>
        </w:r>
        <w:r w:rsidR="00194E7F">
          <w:rPr>
            <w:rFonts w:ascii="Arial" w:hAnsi="Arial" w:cs="Arial"/>
            <w:i/>
            <w:sz w:val="20"/>
            <w:szCs w:val="20"/>
          </w:rPr>
          <w:instrText xml:space="preserve"> PAGE  \* Arabic </w:instrText>
        </w:r>
        <w:r w:rsidR="00194E7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194E7F">
          <w:rPr>
            <w:rFonts w:ascii="Arial" w:hAnsi="Arial" w:cs="Arial"/>
            <w:i/>
            <w:sz w:val="20"/>
            <w:szCs w:val="20"/>
          </w:rPr>
          <w:fldChar w:fldCharType="end"/>
        </w:r>
        <w:r w:rsidR="00194E7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194E7F">
          <w:rPr>
            <w:rFonts w:ascii="Arial" w:hAnsi="Arial" w:cs="Arial"/>
            <w:i/>
            <w:sz w:val="20"/>
            <w:szCs w:val="20"/>
          </w:rPr>
          <w:fldChar w:fldCharType="begin"/>
        </w:r>
        <w:r w:rsidR="00194E7F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94E7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12</w:t>
        </w:r>
        <w:r w:rsidR="00194E7F">
          <w:rPr>
            <w:rFonts w:ascii="Arial" w:hAnsi="Arial" w:cs="Arial"/>
            <w:i/>
            <w:sz w:val="20"/>
            <w:szCs w:val="20"/>
          </w:rPr>
          <w:fldChar w:fldCharType="end"/>
        </w:r>
        <w:r w:rsidR="00194E7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6B203CA" w14:textId="549EB899" w:rsidR="00194E7F" w:rsidRDefault="00AF776B" w:rsidP="00194E7F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4"/>
      </w:rPr>
    </w:pPr>
    <w:r>
      <w:rPr>
        <w:rFonts w:ascii="Arial" w:hAnsi="Arial" w:cs="Arial"/>
        <w:i/>
        <w:sz w:val="20"/>
        <w:szCs w:val="24"/>
      </w:rPr>
      <w:t xml:space="preserve">8. </w:t>
    </w:r>
    <w:r w:rsidR="00194E7F">
      <w:rPr>
        <w:rFonts w:ascii="Arial" w:hAnsi="Arial" w:cs="Arial"/>
        <w:i/>
        <w:sz w:val="20"/>
        <w:szCs w:val="24"/>
      </w:rPr>
      <w:t>Dotační programy Olomouckého kraje na r. 2024</w:t>
    </w:r>
  </w:p>
  <w:p w14:paraId="63048056" w14:textId="2ACEAD17" w:rsidR="007B5DE4" w:rsidRPr="00702E59" w:rsidRDefault="00702E59" w:rsidP="00346353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 w:rsidRPr="00702E59">
      <w:rPr>
        <w:rFonts w:ascii="Arial" w:hAnsi="Arial" w:cs="Arial"/>
        <w:i/>
        <w:sz w:val="20"/>
        <w:szCs w:val="20"/>
      </w:rPr>
      <w:t xml:space="preserve">Příloha č. </w:t>
    </w:r>
    <w:r w:rsidR="00194E7F">
      <w:rPr>
        <w:rFonts w:ascii="Arial" w:hAnsi="Arial" w:cs="Arial"/>
        <w:i/>
        <w:sz w:val="20"/>
        <w:szCs w:val="20"/>
      </w:rPr>
      <w:t>3</w:t>
    </w:r>
    <w:r w:rsidR="00996481" w:rsidRPr="00702E59">
      <w:rPr>
        <w:rFonts w:ascii="Arial" w:hAnsi="Arial" w:cs="Arial"/>
        <w:i/>
        <w:sz w:val="20"/>
        <w:szCs w:val="20"/>
      </w:rPr>
      <w:t xml:space="preserve"> </w:t>
    </w:r>
    <w:r w:rsidRPr="00702E59">
      <w:rPr>
        <w:rFonts w:ascii="Arial" w:hAnsi="Arial" w:cs="Arial"/>
        <w:i/>
        <w:sz w:val="20"/>
        <w:szCs w:val="20"/>
      </w:rPr>
      <w:t xml:space="preserve">– Vzorová veřejnoprávní smlouva o poskytnutí </w:t>
    </w:r>
    <w:r w:rsidR="007B5DE4">
      <w:rPr>
        <w:rFonts w:ascii="Arial" w:hAnsi="Arial" w:cs="Arial"/>
        <w:i/>
        <w:sz w:val="20"/>
        <w:szCs w:val="20"/>
      </w:rPr>
      <w:t>programové</w:t>
    </w:r>
    <w:r w:rsidR="00DE4815">
      <w:rPr>
        <w:rFonts w:ascii="Arial" w:hAnsi="Arial" w:cs="Arial"/>
        <w:i/>
        <w:sz w:val="20"/>
        <w:szCs w:val="20"/>
      </w:rPr>
      <w:t xml:space="preserve"> </w:t>
    </w:r>
    <w:r w:rsidRPr="00702E59">
      <w:rPr>
        <w:rFonts w:ascii="Arial" w:hAnsi="Arial" w:cs="Arial"/>
        <w:i/>
        <w:sz w:val="20"/>
        <w:szCs w:val="20"/>
      </w:rPr>
      <w:t xml:space="preserve">dotace na celoroční </w:t>
    </w:r>
    <w:r w:rsidR="007B5DE4" w:rsidRPr="00702E59">
      <w:rPr>
        <w:rFonts w:ascii="Arial" w:hAnsi="Arial" w:cs="Arial"/>
        <w:i/>
        <w:sz w:val="20"/>
        <w:szCs w:val="20"/>
      </w:rPr>
      <w:t xml:space="preserve">činnost fyzické osobě </w:t>
    </w:r>
    <w:r w:rsidR="007B5DE4" w:rsidRPr="00346353">
      <w:rPr>
        <w:rFonts w:ascii="Arial" w:eastAsia="Times New Roman" w:hAnsi="Arial" w:cs="Arial"/>
        <w:i/>
        <w:iCs/>
        <w:sz w:val="20"/>
        <w:szCs w:val="20"/>
        <w:lang w:eastAsia="cs-CZ"/>
      </w:rPr>
      <w:t>podnikateli</w:t>
    </w:r>
    <w:r w:rsidR="007B5DE4" w:rsidRPr="00702E59">
      <w:rPr>
        <w:rFonts w:ascii="Arial" w:hAnsi="Arial" w:cs="Arial"/>
        <w:i/>
        <w:sz w:val="20"/>
        <w:szCs w:val="20"/>
      </w:rPr>
      <w:t xml:space="preserve"> /Vzor 4/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931ED" w14:textId="77777777" w:rsidR="00FD2192" w:rsidRDefault="00FD2192" w:rsidP="00D40C40">
      <w:r>
        <w:separator/>
      </w:r>
    </w:p>
  </w:footnote>
  <w:footnote w:type="continuationSeparator" w:id="0">
    <w:p w14:paraId="65767157" w14:textId="77777777" w:rsidR="00FD2192" w:rsidRDefault="00FD2192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EA7AD43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4D51"/>
    <w:rsid w:val="000060A2"/>
    <w:rsid w:val="00006AE8"/>
    <w:rsid w:val="00007016"/>
    <w:rsid w:val="00007C56"/>
    <w:rsid w:val="000114CE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296"/>
    <w:rsid w:val="00034742"/>
    <w:rsid w:val="00034BE1"/>
    <w:rsid w:val="00034F6D"/>
    <w:rsid w:val="00036BFD"/>
    <w:rsid w:val="00036D9F"/>
    <w:rsid w:val="00037C0E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24BC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6D79"/>
    <w:rsid w:val="000D7241"/>
    <w:rsid w:val="000E05A6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5AE6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17B2"/>
    <w:rsid w:val="00121EDD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3F58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2E5"/>
    <w:rsid w:val="001876F7"/>
    <w:rsid w:val="00187FE4"/>
    <w:rsid w:val="00190C18"/>
    <w:rsid w:val="00192482"/>
    <w:rsid w:val="0019284F"/>
    <w:rsid w:val="00192E5A"/>
    <w:rsid w:val="00194DED"/>
    <w:rsid w:val="00194E7F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4A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2CD5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6EAA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1A39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20C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6E"/>
    <w:rsid w:val="002953E5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6113"/>
    <w:rsid w:val="002F0537"/>
    <w:rsid w:val="002F20BC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353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A8F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174B"/>
    <w:rsid w:val="003C45D9"/>
    <w:rsid w:val="003C45E5"/>
    <w:rsid w:val="003C4D17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C06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B40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662"/>
    <w:rsid w:val="004309C0"/>
    <w:rsid w:val="00430A6B"/>
    <w:rsid w:val="00431784"/>
    <w:rsid w:val="0043222D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22F"/>
    <w:rsid w:val="00486F4C"/>
    <w:rsid w:val="0049254A"/>
    <w:rsid w:val="00495FA8"/>
    <w:rsid w:val="004A007F"/>
    <w:rsid w:val="004A097B"/>
    <w:rsid w:val="004A27E8"/>
    <w:rsid w:val="004A3B4B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58A1"/>
    <w:rsid w:val="004E7A87"/>
    <w:rsid w:val="004F3C31"/>
    <w:rsid w:val="004F4043"/>
    <w:rsid w:val="004F44DE"/>
    <w:rsid w:val="004F4874"/>
    <w:rsid w:val="004F4A0D"/>
    <w:rsid w:val="004F4D85"/>
    <w:rsid w:val="004F5F05"/>
    <w:rsid w:val="004F648D"/>
    <w:rsid w:val="004F67FB"/>
    <w:rsid w:val="004F7CD6"/>
    <w:rsid w:val="004F7E64"/>
    <w:rsid w:val="00500ED2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4CE8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2838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0C5B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1034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6935"/>
    <w:rsid w:val="00641509"/>
    <w:rsid w:val="006423BD"/>
    <w:rsid w:val="00642E90"/>
    <w:rsid w:val="00644A22"/>
    <w:rsid w:val="00644F18"/>
    <w:rsid w:val="00652B86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1BE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21A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2082"/>
    <w:rsid w:val="007B44AB"/>
    <w:rsid w:val="007B4BDC"/>
    <w:rsid w:val="007B5DE4"/>
    <w:rsid w:val="007B6609"/>
    <w:rsid w:val="007B7621"/>
    <w:rsid w:val="007C018B"/>
    <w:rsid w:val="007C03DB"/>
    <w:rsid w:val="007C1C39"/>
    <w:rsid w:val="007C1E1B"/>
    <w:rsid w:val="007C2C5F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4D19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674C8"/>
    <w:rsid w:val="0088205B"/>
    <w:rsid w:val="00882BA6"/>
    <w:rsid w:val="00885BED"/>
    <w:rsid w:val="00892667"/>
    <w:rsid w:val="00894858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5B1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CB6"/>
    <w:rsid w:val="008F66A3"/>
    <w:rsid w:val="009025C1"/>
    <w:rsid w:val="009033DF"/>
    <w:rsid w:val="009060B3"/>
    <w:rsid w:val="00906785"/>
    <w:rsid w:val="00907127"/>
    <w:rsid w:val="0091068F"/>
    <w:rsid w:val="009119F6"/>
    <w:rsid w:val="0091283E"/>
    <w:rsid w:val="00912D3B"/>
    <w:rsid w:val="00913A38"/>
    <w:rsid w:val="00915CB7"/>
    <w:rsid w:val="0092003A"/>
    <w:rsid w:val="00920F13"/>
    <w:rsid w:val="0092133E"/>
    <w:rsid w:val="00924C5C"/>
    <w:rsid w:val="009253BE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1881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181"/>
    <w:rsid w:val="00972964"/>
    <w:rsid w:val="009732DC"/>
    <w:rsid w:val="0097374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9648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2B3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3537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1483"/>
    <w:rsid w:val="00A52C0C"/>
    <w:rsid w:val="00A54D36"/>
    <w:rsid w:val="00A5538A"/>
    <w:rsid w:val="00A607D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6B"/>
    <w:rsid w:val="00AF77E0"/>
    <w:rsid w:val="00B0006E"/>
    <w:rsid w:val="00B03153"/>
    <w:rsid w:val="00B03C1D"/>
    <w:rsid w:val="00B05653"/>
    <w:rsid w:val="00B05DE4"/>
    <w:rsid w:val="00B07224"/>
    <w:rsid w:val="00B07248"/>
    <w:rsid w:val="00B10198"/>
    <w:rsid w:val="00B109BB"/>
    <w:rsid w:val="00B11743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48F8"/>
    <w:rsid w:val="00B94BD0"/>
    <w:rsid w:val="00B96C39"/>
    <w:rsid w:val="00B976A4"/>
    <w:rsid w:val="00B97DCD"/>
    <w:rsid w:val="00BA3415"/>
    <w:rsid w:val="00BA4A30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4141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10514"/>
    <w:rsid w:val="00C11B75"/>
    <w:rsid w:val="00C11D63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09BA"/>
    <w:rsid w:val="00C415E3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4D0"/>
    <w:rsid w:val="00C74BFA"/>
    <w:rsid w:val="00C7578C"/>
    <w:rsid w:val="00C81BD7"/>
    <w:rsid w:val="00C828EA"/>
    <w:rsid w:val="00C83606"/>
    <w:rsid w:val="00C85276"/>
    <w:rsid w:val="00C862B3"/>
    <w:rsid w:val="00C875AA"/>
    <w:rsid w:val="00C877AD"/>
    <w:rsid w:val="00C90DC4"/>
    <w:rsid w:val="00C92651"/>
    <w:rsid w:val="00CA1090"/>
    <w:rsid w:val="00CA1832"/>
    <w:rsid w:val="00CA19C3"/>
    <w:rsid w:val="00CA24A0"/>
    <w:rsid w:val="00CA4AB9"/>
    <w:rsid w:val="00CA6DBC"/>
    <w:rsid w:val="00CB0A48"/>
    <w:rsid w:val="00CB2FA2"/>
    <w:rsid w:val="00CB5E83"/>
    <w:rsid w:val="00CB66EB"/>
    <w:rsid w:val="00CB6DAD"/>
    <w:rsid w:val="00CB787C"/>
    <w:rsid w:val="00CB7992"/>
    <w:rsid w:val="00CC19D2"/>
    <w:rsid w:val="00CC217E"/>
    <w:rsid w:val="00CC2FA0"/>
    <w:rsid w:val="00CC3A56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3C19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7A52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6F"/>
    <w:rsid w:val="00D43CF6"/>
    <w:rsid w:val="00D46165"/>
    <w:rsid w:val="00D556E1"/>
    <w:rsid w:val="00D558F4"/>
    <w:rsid w:val="00D61EA4"/>
    <w:rsid w:val="00D63EB0"/>
    <w:rsid w:val="00D6556E"/>
    <w:rsid w:val="00D65722"/>
    <w:rsid w:val="00D67D59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08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2FCE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107"/>
    <w:rsid w:val="00E02D59"/>
    <w:rsid w:val="00E031C5"/>
    <w:rsid w:val="00E039A3"/>
    <w:rsid w:val="00E05CB5"/>
    <w:rsid w:val="00E128AD"/>
    <w:rsid w:val="00E13318"/>
    <w:rsid w:val="00E21EF9"/>
    <w:rsid w:val="00E22986"/>
    <w:rsid w:val="00E262DF"/>
    <w:rsid w:val="00E26B33"/>
    <w:rsid w:val="00E276C5"/>
    <w:rsid w:val="00E31DAF"/>
    <w:rsid w:val="00E32C22"/>
    <w:rsid w:val="00E3383E"/>
    <w:rsid w:val="00E3496F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1BC4"/>
    <w:rsid w:val="00EA3E6A"/>
    <w:rsid w:val="00EA5E7D"/>
    <w:rsid w:val="00EA6532"/>
    <w:rsid w:val="00EA6756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28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6A3D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C98"/>
    <w:rsid w:val="00FB1031"/>
    <w:rsid w:val="00FB202F"/>
    <w:rsid w:val="00FB438D"/>
    <w:rsid w:val="00FB508C"/>
    <w:rsid w:val="00FB6560"/>
    <w:rsid w:val="00FC0C38"/>
    <w:rsid w:val="00FC1FD5"/>
    <w:rsid w:val="00FC4615"/>
    <w:rsid w:val="00FC4B12"/>
    <w:rsid w:val="00FC5F16"/>
    <w:rsid w:val="00FC65CA"/>
    <w:rsid w:val="00FD07DA"/>
    <w:rsid w:val="00FD2192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5E1034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E6C9-E678-4405-94C0-2ED9B5D0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4415</Words>
  <Characters>26054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6</cp:revision>
  <cp:lastPrinted>2018-08-24T12:55:00Z</cp:lastPrinted>
  <dcterms:created xsi:type="dcterms:W3CDTF">2023-08-09T14:12:00Z</dcterms:created>
  <dcterms:modified xsi:type="dcterms:W3CDTF">2023-09-05T08:34:00Z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