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84FAD" w14:textId="77777777" w:rsidR="004E1377" w:rsidRPr="00570AA0" w:rsidRDefault="004E1377" w:rsidP="004E1377">
      <w:pPr>
        <w:rPr>
          <w:rFonts w:ascii="Arial" w:hAnsi="Arial" w:cs="Arial"/>
        </w:rPr>
      </w:pPr>
      <w:bookmarkStart w:id="0" w:name="_GoBack"/>
      <w:bookmarkEnd w:id="0"/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9AD2171" wp14:editId="21E8A97F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55DF8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4269"/>
        <w:gridCol w:w="333"/>
        <w:gridCol w:w="4428"/>
        <w:gridCol w:w="609"/>
      </w:tblGrid>
      <w:tr w:rsidR="004E1377" w:rsidRPr="00570AA0" w14:paraId="216942C1" w14:textId="77777777" w:rsidTr="00E37A12">
        <w:trPr>
          <w:gridBefore w:val="1"/>
          <w:wBefore w:w="80" w:type="dxa"/>
          <w:trHeight w:val="3394"/>
        </w:trPr>
        <w:tc>
          <w:tcPr>
            <w:tcW w:w="9639" w:type="dxa"/>
            <w:gridSpan w:val="4"/>
          </w:tcPr>
          <w:p w14:paraId="45F29676" w14:textId="77777777" w:rsidR="004E1377" w:rsidRPr="00570AA0" w:rsidRDefault="004E1377" w:rsidP="00110075">
            <w:pPr>
              <w:pStyle w:val="Vbornadpis"/>
              <w:rPr>
                <w:rFonts w:cs="Arial"/>
              </w:rPr>
            </w:pPr>
          </w:p>
          <w:p w14:paraId="0682FC85" w14:textId="77777777" w:rsidR="004E1377" w:rsidRPr="005177F8" w:rsidRDefault="004E1377" w:rsidP="00110075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 xml:space="preserve">Zápis č. </w:t>
            </w:r>
            <w:r w:rsidR="005177F8" w:rsidRPr="005177F8">
              <w:rPr>
                <w:rFonts w:cs="Arial"/>
              </w:rPr>
              <w:t>1</w:t>
            </w:r>
            <w:r w:rsidR="0089505B">
              <w:rPr>
                <w:rFonts w:cs="Arial"/>
              </w:rPr>
              <w:t>4</w:t>
            </w:r>
          </w:p>
          <w:p w14:paraId="6A1E3C7A" w14:textId="77777777" w:rsidR="004E1377" w:rsidRPr="005177F8" w:rsidRDefault="004E1377" w:rsidP="00110075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 xml:space="preserve">ze zasedání Výboru </w:t>
            </w:r>
            <w:r w:rsidR="005177F8" w:rsidRPr="005177F8">
              <w:rPr>
                <w:rFonts w:cs="Arial"/>
              </w:rPr>
              <w:t>pro regionální rozvoj</w:t>
            </w:r>
          </w:p>
          <w:p w14:paraId="2502FD12" w14:textId="77777777" w:rsidR="004E1377" w:rsidRPr="005177F8" w:rsidRDefault="004E1377" w:rsidP="00110075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>Zastupitelstva Olomouckého kraje</w:t>
            </w:r>
          </w:p>
          <w:p w14:paraId="7EB372D4" w14:textId="77777777" w:rsidR="004E1377" w:rsidRPr="005177F8" w:rsidRDefault="004E1377" w:rsidP="00110075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177F8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5177F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89505B">
              <w:rPr>
                <w:rFonts w:ascii="Arial" w:hAnsi="Arial" w:cs="Arial"/>
                <w:b/>
                <w:sz w:val="32"/>
                <w:szCs w:val="32"/>
              </w:rPr>
              <w:t>7. 6</w:t>
            </w:r>
            <w:r w:rsidR="005177F8" w:rsidRPr="005177F8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5177F8">
              <w:rPr>
                <w:rFonts w:ascii="Arial" w:hAnsi="Arial" w:cs="Arial"/>
                <w:b/>
                <w:sz w:val="32"/>
                <w:szCs w:val="32"/>
              </w:rPr>
              <w:t xml:space="preserve"> 202</w:t>
            </w:r>
            <w:r w:rsidR="005177F8" w:rsidRPr="005177F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14:paraId="4549204F" w14:textId="77777777" w:rsidR="005C664E" w:rsidRPr="00570AA0" w:rsidRDefault="005C664E" w:rsidP="00110075">
            <w:pPr>
              <w:pStyle w:val="Vbornadpis"/>
              <w:rPr>
                <w:rFonts w:cs="Arial"/>
              </w:rPr>
            </w:pPr>
          </w:p>
        </w:tc>
      </w:tr>
      <w:tr w:rsidR="005C664E" w:rsidRPr="003E4042" w14:paraId="3F0BF8FD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A799" w14:textId="77777777" w:rsidR="005C664E" w:rsidRPr="003E4042" w:rsidRDefault="005C664E" w:rsidP="00110075">
            <w:pPr>
              <w:pStyle w:val="Vborptomni"/>
            </w:pPr>
            <w:r w:rsidRPr="003E4042">
              <w:t>Přítomni: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8F58" w14:textId="77777777" w:rsidR="005C664E" w:rsidRPr="003E4042" w:rsidRDefault="005C664E" w:rsidP="00110075">
            <w:pPr>
              <w:pStyle w:val="Vborptomni"/>
            </w:pPr>
            <w:r w:rsidRPr="003E4042">
              <w:t xml:space="preserve">Nepřítomni: </w:t>
            </w:r>
          </w:p>
        </w:tc>
      </w:tr>
      <w:tr w:rsidR="005C664E" w:rsidRPr="003E4042" w14:paraId="3AB018B3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C977" w14:textId="77777777" w:rsidR="0089505B" w:rsidRDefault="0089505B" w:rsidP="0089505B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Blišťanová Zdeňka, Mgr. Bc.</w:t>
            </w:r>
          </w:p>
          <w:p w14:paraId="614CC5FA" w14:textId="77777777" w:rsidR="00E37A12" w:rsidRPr="003E4042" w:rsidRDefault="00E37A12" w:rsidP="005C664E">
            <w:pPr>
              <w:pStyle w:val="Vborobd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Čech Martin</w:t>
            </w:r>
          </w:p>
          <w:p w14:paraId="5953E94D" w14:textId="77777777"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Hons Martin, Ing.</w:t>
            </w:r>
          </w:p>
          <w:p w14:paraId="032A14E1" w14:textId="77777777" w:rsidR="005C664E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Jüngling Lenka, Ing.</w:t>
            </w:r>
          </w:p>
          <w:p w14:paraId="006FB06B" w14:textId="77777777" w:rsidR="0089505B" w:rsidRPr="003E4042" w:rsidRDefault="0089505B" w:rsidP="0089505B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Kocián Miroslav, Ing.</w:t>
            </w:r>
          </w:p>
          <w:p w14:paraId="57CFA096" w14:textId="77777777" w:rsidR="00E37A12" w:rsidRPr="003E4042" w:rsidRDefault="00E37A12" w:rsidP="005C664E">
            <w:pPr>
              <w:pStyle w:val="Vborobd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Kouba Petr, Mgr.</w:t>
            </w:r>
          </w:p>
          <w:p w14:paraId="53506F4E" w14:textId="77777777" w:rsidR="005C664E" w:rsidRDefault="005C664E" w:rsidP="005C664E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Kryl Václav</w:t>
            </w:r>
          </w:p>
          <w:p w14:paraId="4FCAE1BF" w14:textId="77777777" w:rsidR="0019639C" w:rsidRDefault="0019639C" w:rsidP="00E37A12">
            <w:pPr>
              <w:pStyle w:val="Vborobdr"/>
              <w:tabs>
                <w:tab w:val="center" w:pos="2066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Lužný Ivo, Ing.</w:t>
            </w:r>
            <w:r w:rsidR="00E37A12">
              <w:rPr>
                <w:sz w:val="22"/>
                <w:szCs w:val="24"/>
              </w:rPr>
              <w:tab/>
            </w:r>
          </w:p>
          <w:p w14:paraId="35433122" w14:textId="77777777" w:rsidR="005C664E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Procházka Michal, Ing.</w:t>
            </w:r>
          </w:p>
          <w:p w14:paraId="6DC0A989" w14:textId="77777777" w:rsidR="005C664E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Rakušan Milan</w:t>
            </w:r>
          </w:p>
          <w:p w14:paraId="1334D1DA" w14:textId="77777777" w:rsidR="00373C1C" w:rsidRPr="003E4042" w:rsidRDefault="00373C1C" w:rsidP="00373C1C">
            <w:pPr>
              <w:pStyle w:val="Vborobdr"/>
              <w:rPr>
                <w:sz w:val="22"/>
                <w:szCs w:val="24"/>
              </w:rPr>
            </w:pPr>
            <w:r w:rsidRPr="00A5136B">
              <w:rPr>
                <w:sz w:val="22"/>
                <w:szCs w:val="24"/>
              </w:rPr>
              <w:t>Stawaritschová Jarmila, Bc.</w:t>
            </w:r>
          </w:p>
          <w:p w14:paraId="6C634D04" w14:textId="77777777"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 xml:space="preserve">Šťastný Roman, Mgr. </w:t>
            </w:r>
          </w:p>
          <w:p w14:paraId="388E94D4" w14:textId="77777777"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Vlazlo Tomáš</w:t>
            </w:r>
          </w:p>
          <w:p w14:paraId="50F064F4" w14:textId="77777777"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Vogel Jiří, Bc.</w:t>
            </w:r>
          </w:p>
          <w:p w14:paraId="315DB99C" w14:textId="77777777" w:rsidR="00373C1C" w:rsidRDefault="00373C1C" w:rsidP="00373C1C">
            <w:pPr>
              <w:pStyle w:val="Vborobdr"/>
              <w:ind w:left="0" w:firstLine="0"/>
            </w:pPr>
            <w:r w:rsidRPr="00D0686A">
              <w:rPr>
                <w:sz w:val="22"/>
                <w:szCs w:val="24"/>
              </w:rPr>
              <w:t>Zatloukal Ivo, Ing.</w:t>
            </w:r>
          </w:p>
          <w:p w14:paraId="73A66EC2" w14:textId="77777777" w:rsidR="005C664E" w:rsidRPr="00E37A12" w:rsidRDefault="005C664E" w:rsidP="00E37A12">
            <w:pPr>
              <w:pStyle w:val="Vborobdr"/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078E" w14:textId="77777777" w:rsidR="000D409D" w:rsidRPr="003E4042" w:rsidRDefault="000D409D" w:rsidP="000D409D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Sršeň Radim, Ing., Ph.D</w:t>
            </w:r>
          </w:p>
          <w:p w14:paraId="76D2AED2" w14:textId="77777777" w:rsidR="005C664E" w:rsidRDefault="005C664E" w:rsidP="005C664E">
            <w:pPr>
              <w:pStyle w:val="Vborptomni"/>
              <w:rPr>
                <w:b w:val="0"/>
              </w:rPr>
            </w:pPr>
          </w:p>
          <w:p w14:paraId="0B899F22" w14:textId="77777777" w:rsidR="00E37A12" w:rsidRPr="003E4042" w:rsidRDefault="00E37A12" w:rsidP="005C664E">
            <w:pPr>
              <w:pStyle w:val="Vborptomni"/>
              <w:rPr>
                <w:b w:val="0"/>
              </w:rPr>
            </w:pPr>
          </w:p>
          <w:p w14:paraId="39AAA41C" w14:textId="77777777" w:rsidR="005C664E" w:rsidRPr="003E4042" w:rsidRDefault="005C664E" w:rsidP="00110075">
            <w:pPr>
              <w:pStyle w:val="Vborptomni"/>
              <w:rPr>
                <w:b w:val="0"/>
              </w:rPr>
            </w:pPr>
            <w:r w:rsidRPr="003E4042">
              <w:t>Omluveni:</w:t>
            </w:r>
            <w:r w:rsidRPr="003E4042">
              <w:rPr>
                <w:b w:val="0"/>
              </w:rPr>
              <w:t xml:space="preserve"> </w:t>
            </w:r>
          </w:p>
          <w:p w14:paraId="626687F5" w14:textId="77777777" w:rsidR="0089505B" w:rsidRDefault="0089505B" w:rsidP="000D409D">
            <w:pPr>
              <w:pStyle w:val="Vborobd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Lebedová Eva, Mgr., Ph.D.</w:t>
            </w:r>
          </w:p>
          <w:p w14:paraId="127AAE47" w14:textId="77777777" w:rsidR="00373C1C" w:rsidRDefault="00373C1C" w:rsidP="00373C1C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Roubínek Pavel, Mgr.</w:t>
            </w:r>
          </w:p>
          <w:p w14:paraId="077C9F55" w14:textId="77777777" w:rsidR="000D409D" w:rsidRPr="003E4042" w:rsidRDefault="000D409D" w:rsidP="000D409D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Vitonský Daniel</w:t>
            </w:r>
          </w:p>
          <w:p w14:paraId="52F92292" w14:textId="77777777" w:rsidR="005C664E" w:rsidRPr="005C664E" w:rsidRDefault="005C664E" w:rsidP="000D409D">
            <w:pPr>
              <w:pStyle w:val="Vborobdr"/>
              <w:ind w:left="0" w:firstLine="0"/>
              <w:rPr>
                <w:b/>
              </w:rPr>
            </w:pPr>
          </w:p>
        </w:tc>
      </w:tr>
      <w:tr w:rsidR="005C664E" w:rsidRPr="003E4042" w14:paraId="75946655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66D1" w14:textId="77777777" w:rsidR="005C664E" w:rsidRPr="003E4042" w:rsidRDefault="005C664E" w:rsidP="00110075">
            <w:pPr>
              <w:pStyle w:val="Vborptomnitext"/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26F5" w14:textId="77777777" w:rsidR="005C664E" w:rsidRPr="003E4042" w:rsidRDefault="005C664E" w:rsidP="00110075">
            <w:pPr>
              <w:pStyle w:val="Vborptomni"/>
              <w:rPr>
                <w:b w:val="0"/>
              </w:rPr>
            </w:pPr>
          </w:p>
        </w:tc>
      </w:tr>
      <w:tr w:rsidR="005C664E" w:rsidRPr="003E4042" w14:paraId="2208E9D7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C935" w14:textId="77777777" w:rsidR="005C664E" w:rsidRPr="00662BF0" w:rsidRDefault="005C664E" w:rsidP="00110075">
            <w:pPr>
              <w:pStyle w:val="Vborptomnitext"/>
              <w:rPr>
                <w:b/>
              </w:rPr>
            </w:pPr>
            <w:r w:rsidRPr="003E4042">
              <w:rPr>
                <w:b/>
              </w:rPr>
              <w:t>Tajemník: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D9AF" w14:textId="77777777" w:rsidR="005C664E" w:rsidRPr="003E4042" w:rsidRDefault="005C664E" w:rsidP="00110075">
            <w:pPr>
              <w:pStyle w:val="Vborptomnitext"/>
              <w:rPr>
                <w:b/>
              </w:rPr>
            </w:pPr>
            <w:r w:rsidRPr="003E4042">
              <w:rPr>
                <w:b/>
              </w:rPr>
              <w:t>Hosté:</w:t>
            </w:r>
          </w:p>
        </w:tc>
      </w:tr>
      <w:tr w:rsidR="005C664E" w:rsidRPr="003E4042" w14:paraId="258DC9A4" w14:textId="77777777" w:rsidTr="00662BF0">
        <w:tblPrEx>
          <w:tblLook w:val="04A0" w:firstRow="1" w:lastRow="0" w:firstColumn="1" w:lastColumn="0" w:noHBand="0" w:noVBand="1"/>
        </w:tblPrEx>
        <w:trPr>
          <w:gridAfter w:val="1"/>
          <w:wAfter w:w="609" w:type="dxa"/>
          <w:trHeight w:val="1304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99B9" w14:textId="77777777" w:rsidR="005C664E" w:rsidRPr="003E4042" w:rsidRDefault="005C664E" w:rsidP="00110075">
            <w:pPr>
              <w:pStyle w:val="Vborptomnitext"/>
            </w:pPr>
            <w:r w:rsidRPr="003E4042">
              <w:t>Novotná Marta, Ing.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2606" w14:textId="77777777" w:rsidR="00C105C6" w:rsidRPr="00662BF0" w:rsidRDefault="00373C1C" w:rsidP="00110075">
            <w:pPr>
              <w:pStyle w:val="Vborptomnitext"/>
              <w:rPr>
                <w:szCs w:val="24"/>
              </w:rPr>
            </w:pPr>
            <w:r w:rsidRPr="00662BF0">
              <w:rPr>
                <w:szCs w:val="24"/>
              </w:rPr>
              <w:t>Hendrychová Irena, Ing.</w:t>
            </w:r>
          </w:p>
          <w:p w14:paraId="3BF48986" w14:textId="77777777" w:rsidR="00373C1C" w:rsidRDefault="00373C1C" w:rsidP="00110075">
            <w:pPr>
              <w:pStyle w:val="Vborptomnitext"/>
            </w:pPr>
            <w:r>
              <w:t>Vašíček Radovan, Bc.</w:t>
            </w:r>
          </w:p>
          <w:p w14:paraId="2F4CAF40" w14:textId="77777777" w:rsidR="00373C1C" w:rsidRDefault="00373C1C" w:rsidP="00110075">
            <w:pPr>
              <w:pStyle w:val="Vborptomnitext"/>
            </w:pPr>
          </w:p>
          <w:p w14:paraId="2BEBEE5D" w14:textId="77777777" w:rsidR="005C664E" w:rsidRPr="003E4042" w:rsidRDefault="005C664E" w:rsidP="00110075">
            <w:pPr>
              <w:pStyle w:val="Vborptomnitext"/>
              <w:rPr>
                <w:b/>
              </w:rPr>
            </w:pPr>
            <w:r w:rsidRPr="003E4042">
              <w:rPr>
                <w:b/>
              </w:rPr>
              <w:t>Garant za Radu Olomouckého kraje:</w:t>
            </w:r>
          </w:p>
          <w:p w14:paraId="15241D89" w14:textId="77777777" w:rsidR="005C664E" w:rsidRPr="003E4042" w:rsidRDefault="005D51DB" w:rsidP="00110075">
            <w:pPr>
              <w:pStyle w:val="Vborptomnitext"/>
            </w:pPr>
            <w:r w:rsidRPr="000D409D">
              <w:rPr>
                <w:szCs w:val="24"/>
              </w:rPr>
              <w:t>Šafařík Jan, Ing., MBA</w:t>
            </w:r>
          </w:p>
        </w:tc>
      </w:tr>
      <w:tr w:rsidR="00975D37" w:rsidRPr="00570AA0" w14:paraId="74A6D76D" w14:textId="77777777" w:rsidTr="00E37A1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0" w:type="dxa"/>
        </w:trPr>
        <w:tc>
          <w:tcPr>
            <w:tcW w:w="4602" w:type="dxa"/>
            <w:gridSpan w:val="2"/>
          </w:tcPr>
          <w:p w14:paraId="4B7D6D3F" w14:textId="77777777" w:rsidR="00376EF0" w:rsidRPr="00570AA0" w:rsidRDefault="00376EF0">
            <w:pPr>
              <w:pStyle w:val="Vborptomni"/>
            </w:pPr>
          </w:p>
        </w:tc>
        <w:tc>
          <w:tcPr>
            <w:tcW w:w="5036" w:type="dxa"/>
            <w:gridSpan w:val="2"/>
          </w:tcPr>
          <w:p w14:paraId="25D4ED78" w14:textId="77777777" w:rsidR="00975D37" w:rsidRPr="00570AA0" w:rsidRDefault="00975D37">
            <w:pPr>
              <w:pStyle w:val="Vborptomni"/>
            </w:pPr>
          </w:p>
        </w:tc>
      </w:tr>
    </w:tbl>
    <w:p w14:paraId="3FA371B3" w14:textId="77777777" w:rsidR="00A5136B" w:rsidRDefault="00A5136B">
      <w:pPr>
        <w:pStyle w:val="slo1text"/>
        <w:rPr>
          <w:rFonts w:cs="Arial"/>
          <w:b/>
        </w:rPr>
      </w:pPr>
    </w:p>
    <w:p w14:paraId="7C4DB8AA" w14:textId="77777777" w:rsidR="005D51DB" w:rsidRDefault="005D51DB">
      <w:pPr>
        <w:pStyle w:val="slo1text"/>
        <w:rPr>
          <w:rFonts w:cs="Arial"/>
          <w:b/>
        </w:rPr>
      </w:pPr>
    </w:p>
    <w:p w14:paraId="4CB24D64" w14:textId="77777777" w:rsidR="005D51DB" w:rsidRDefault="005D51DB">
      <w:pPr>
        <w:pStyle w:val="slo1text"/>
        <w:rPr>
          <w:rFonts w:cs="Arial"/>
          <w:b/>
        </w:rPr>
      </w:pPr>
    </w:p>
    <w:p w14:paraId="6F4FC413" w14:textId="77777777" w:rsidR="005D51DB" w:rsidRDefault="005D51DB">
      <w:pPr>
        <w:pStyle w:val="slo1text"/>
        <w:rPr>
          <w:rFonts w:cs="Arial"/>
          <w:b/>
        </w:rPr>
      </w:pPr>
    </w:p>
    <w:p w14:paraId="6222096E" w14:textId="77777777" w:rsidR="00975D37" w:rsidRPr="00B870E6" w:rsidRDefault="005C664E">
      <w:pPr>
        <w:pStyle w:val="slo1text"/>
        <w:rPr>
          <w:rFonts w:cs="Arial"/>
          <w:b/>
        </w:rPr>
      </w:pPr>
      <w:r w:rsidRPr="00B870E6">
        <w:rPr>
          <w:rFonts w:cs="Arial"/>
          <w:b/>
        </w:rPr>
        <w:lastRenderedPageBreak/>
        <w:t>Program:</w:t>
      </w:r>
    </w:p>
    <w:p w14:paraId="4ED0BCF7" w14:textId="77777777" w:rsidR="00975D37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Kontrola usnesení z minulého zasedání, schválení programu zasedání</w:t>
      </w:r>
    </w:p>
    <w:p w14:paraId="38EE412C" w14:textId="77777777"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Informace z jednání orgánů kraje</w:t>
      </w:r>
    </w:p>
    <w:p w14:paraId="27470EFA" w14:textId="77777777" w:rsidR="005C664E" w:rsidRPr="005C664E" w:rsidRDefault="00373C1C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>
        <w:rPr>
          <w:rFonts w:cs="Arial"/>
        </w:rPr>
        <w:t>Aktuální informvace z územního plánování</w:t>
      </w:r>
    </w:p>
    <w:p w14:paraId="6C164610" w14:textId="77777777" w:rsidR="005C664E" w:rsidRPr="005C664E" w:rsidRDefault="00373C1C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>
        <w:rPr>
          <w:rFonts w:cs="Arial"/>
        </w:rPr>
        <w:t>Aktivity na podporu podnikání a investic v roce 2023</w:t>
      </w:r>
    </w:p>
    <w:p w14:paraId="2D8ACB53" w14:textId="77777777" w:rsidR="005C664E" w:rsidRPr="005C664E" w:rsidRDefault="00373C1C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>
        <w:rPr>
          <w:rFonts w:cs="Arial"/>
        </w:rPr>
        <w:t>Individuální dotace v oblasti strategického rozvoje</w:t>
      </w:r>
    </w:p>
    <w:p w14:paraId="40A6FE34" w14:textId="77777777"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Různé</w:t>
      </w:r>
    </w:p>
    <w:p w14:paraId="6172DC91" w14:textId="77777777" w:rsidR="005C664E" w:rsidRDefault="005C664E" w:rsidP="005C664E">
      <w:pPr>
        <w:pStyle w:val="slo1text"/>
        <w:tabs>
          <w:tab w:val="clear" w:pos="567"/>
        </w:tabs>
        <w:rPr>
          <w:rFonts w:cs="Arial"/>
        </w:rPr>
      </w:pPr>
    </w:p>
    <w:p w14:paraId="0E84920D" w14:textId="77777777" w:rsidR="005C664E" w:rsidRDefault="005C664E" w:rsidP="005C664E">
      <w:pPr>
        <w:pStyle w:val="slo1text"/>
        <w:tabs>
          <w:tab w:val="clear" w:pos="567"/>
        </w:tabs>
        <w:rPr>
          <w:rFonts w:cs="Arial"/>
          <w:b/>
          <w:u w:val="single"/>
        </w:rPr>
      </w:pPr>
      <w:r w:rsidRPr="005C664E">
        <w:rPr>
          <w:rFonts w:cs="Arial"/>
          <w:b/>
          <w:u w:val="single"/>
        </w:rPr>
        <w:t>Zápis</w:t>
      </w:r>
      <w:r>
        <w:rPr>
          <w:rFonts w:cs="Arial"/>
          <w:b/>
          <w:u w:val="single"/>
        </w:rPr>
        <w:t>:</w:t>
      </w:r>
    </w:p>
    <w:p w14:paraId="0EE3BB5E" w14:textId="77777777" w:rsidR="005C664E" w:rsidRPr="002D5585" w:rsidRDefault="005C664E" w:rsidP="005C664E">
      <w:pPr>
        <w:pStyle w:val="slo1text"/>
        <w:numPr>
          <w:ilvl w:val="0"/>
          <w:numId w:val="28"/>
        </w:numPr>
        <w:rPr>
          <w:rFonts w:cs="Arial"/>
          <w:b/>
        </w:rPr>
      </w:pPr>
      <w:r w:rsidRPr="002D5585">
        <w:rPr>
          <w:rFonts w:cs="Arial"/>
          <w:b/>
        </w:rPr>
        <w:t>Kontrola usnesení z minulého zasedání, schválení programu zasedání</w:t>
      </w:r>
    </w:p>
    <w:p w14:paraId="5197B2EE" w14:textId="77777777" w:rsidR="005C664E" w:rsidRDefault="005C664E" w:rsidP="005C664E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Zasedání zahájil předseda V</w:t>
      </w:r>
      <w:r w:rsidR="008A2F08">
        <w:rPr>
          <w:rFonts w:cs="Arial"/>
        </w:rPr>
        <w:t>ýboru Mgr. Roman Šťastný, přivít</w:t>
      </w:r>
      <w:r w:rsidR="006975EF">
        <w:rPr>
          <w:rFonts w:cs="Arial"/>
        </w:rPr>
        <w:t>al členy Výboru a hosty</w:t>
      </w:r>
      <w:r w:rsidR="00883EBE">
        <w:rPr>
          <w:rFonts w:cs="Arial"/>
        </w:rPr>
        <w:t xml:space="preserve">. </w:t>
      </w:r>
      <w:r>
        <w:rPr>
          <w:rFonts w:cs="Arial"/>
        </w:rPr>
        <w:t>Po přivítání členů a hostů konstatova</w:t>
      </w:r>
      <w:r w:rsidR="00B921F5">
        <w:rPr>
          <w:rFonts w:cs="Arial"/>
        </w:rPr>
        <w:t>l</w:t>
      </w:r>
      <w:r>
        <w:rPr>
          <w:rFonts w:cs="Arial"/>
        </w:rPr>
        <w:t>, že Výbor je s ohledem na přítomnost nadpoloviční většiny členů usnášeníschopn</w:t>
      </w:r>
      <w:r w:rsidR="002F563B">
        <w:rPr>
          <w:rFonts w:cs="Arial"/>
        </w:rPr>
        <w:t>ý</w:t>
      </w:r>
      <w:r>
        <w:rPr>
          <w:rFonts w:cs="Arial"/>
        </w:rPr>
        <w:t>. Dále uvedl, že členům byla předem zaslána pozvánka s programem zasedání a podkladové materiály. Předseda Výboru následně vyzval členy k případným připomínkám či doplnění programu. S ohledem na to, že nevzešly žádné podněty, byl program jednohlasně přijat.</w:t>
      </w:r>
    </w:p>
    <w:p w14:paraId="43B82DA0" w14:textId="77777777" w:rsidR="005C664E" w:rsidRPr="00FB3CC1" w:rsidRDefault="006975EF" w:rsidP="00FB3C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informoval o personální změně ve Výboru, kdy</w:t>
      </w:r>
      <w:r w:rsidRPr="006975EF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ada Olomouckého kraje</w:t>
      </w:r>
      <w:r w:rsidRPr="006975EF">
        <w:rPr>
          <w:rFonts w:ascii="Arial" w:hAnsi="Arial" w:cs="Arial"/>
        </w:rPr>
        <w:t xml:space="preserve"> dne 27.</w:t>
      </w:r>
      <w:r>
        <w:rPr>
          <w:rFonts w:ascii="Arial" w:hAnsi="Arial" w:cs="Arial"/>
        </w:rPr>
        <w:t> 3. 2</w:t>
      </w:r>
      <w:r w:rsidRPr="006975EF">
        <w:rPr>
          <w:rFonts w:ascii="Arial" w:hAnsi="Arial" w:cs="Arial"/>
        </w:rPr>
        <w:t xml:space="preserve">023 vzala na vědomí návrh na odvolání člena Výboru pro regionální rozvoj </w:t>
      </w:r>
      <w:r>
        <w:rPr>
          <w:rFonts w:ascii="Arial" w:hAnsi="Arial" w:cs="Arial"/>
        </w:rPr>
        <w:t xml:space="preserve">Zastupitelstva Olomouckého kraje </w:t>
      </w:r>
      <w:r w:rsidRPr="006975EF">
        <w:rPr>
          <w:rFonts w:ascii="Arial" w:hAnsi="Arial" w:cs="Arial"/>
        </w:rPr>
        <w:t>a uložila předložit materiál na zasedání Z</w:t>
      </w:r>
      <w:r>
        <w:rPr>
          <w:rFonts w:ascii="Arial" w:hAnsi="Arial" w:cs="Arial"/>
        </w:rPr>
        <w:t>astupitelstva Olomouckého kraje. Na zasedání Zastupitelstvo Olomouckého kraje dne 24. 4. 2023 odvolalo pana Ing. arch. Tomáše Pejpka z funkce člena výboru ke dni 24. 4. 2023 a zvolilo novou členkou paní Mgr. Evu Lebedovou, Ph.D. s účinností od 25. 4. 2023. Mgr. Lebedová, Ph.D. se z dnešního zasedání Výboru omluvila, jmenovací dekret jí bude předán na dalším zasedání Výboru.</w:t>
      </w:r>
    </w:p>
    <w:p w14:paraId="0BBB32D0" w14:textId="77777777" w:rsidR="00FB3CC1" w:rsidRDefault="00FB3CC1" w:rsidP="00FB3CC1">
      <w:pPr>
        <w:spacing w:before="120" w:after="120"/>
        <w:jc w:val="both"/>
        <w:rPr>
          <w:rFonts w:cs="Arial"/>
        </w:rPr>
      </w:pPr>
      <w:r w:rsidRPr="00FB3CC1">
        <w:rPr>
          <w:rFonts w:ascii="Arial" w:hAnsi="Arial" w:cs="Arial"/>
        </w:rPr>
        <w:t xml:space="preserve">Resortní náměstek Ing. Jan Šafařík, MBA také přivítal členy a hosty výboru. </w:t>
      </w:r>
    </w:p>
    <w:p w14:paraId="27990751" w14:textId="77777777" w:rsidR="005C664E" w:rsidRDefault="009B3968" w:rsidP="005C664E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Na zasedání Výboru dne </w:t>
      </w:r>
      <w:r w:rsidR="00AB1FEF">
        <w:rPr>
          <w:rFonts w:cs="Arial"/>
        </w:rPr>
        <w:t>5. 4. 2023 byla přijata následující usnesení, ke kterým byly podány informace o plnění</w:t>
      </w:r>
      <w:r>
        <w:rPr>
          <w:rFonts w:cs="Arial"/>
        </w:rPr>
        <w:t>:</w:t>
      </w:r>
    </w:p>
    <w:p w14:paraId="34BA7948" w14:textId="77777777" w:rsidR="00AB1FEF" w:rsidRPr="00ED04FF" w:rsidRDefault="00AB1FEF" w:rsidP="00AB1FEF">
      <w:pPr>
        <w:pStyle w:val="Vbornzevusnesen"/>
        <w:spacing w:before="0"/>
        <w:rPr>
          <w:szCs w:val="24"/>
        </w:rPr>
      </w:pPr>
      <w:r w:rsidRPr="00ED04FF">
        <w:rPr>
          <w:szCs w:val="24"/>
        </w:rPr>
        <w:t>UVR/13/2/2023</w:t>
      </w:r>
      <w:r w:rsidR="00EF7EC8">
        <w:rPr>
          <w:szCs w:val="24"/>
        </w:rPr>
        <w:tab/>
      </w:r>
      <w:r w:rsidRPr="00ED04FF">
        <w:rPr>
          <w:szCs w:val="24"/>
        </w:rPr>
        <w:t>Strategie rozvoje územního obvodu Olomouckého kraje – vyhodnocení za rok 2022 a plnění monitorovacích indikátorů pro hodnocení strategie</w:t>
      </w:r>
    </w:p>
    <w:p w14:paraId="70CB843D" w14:textId="77777777" w:rsidR="00AB1FEF" w:rsidRPr="00ED04FF" w:rsidRDefault="00AB1FEF" w:rsidP="00AB1FEF">
      <w:pPr>
        <w:pStyle w:val="Tunproloentext"/>
        <w:ind w:left="720"/>
        <w:rPr>
          <w:b w:val="0"/>
          <w:bCs/>
          <w:spacing w:val="0"/>
          <w:szCs w:val="24"/>
          <w:lang w:eastAsia="en-US"/>
        </w:rPr>
      </w:pPr>
      <w:r w:rsidRPr="00ED04FF">
        <w:rPr>
          <w:bCs/>
          <w:spacing w:val="0"/>
          <w:szCs w:val="24"/>
          <w:lang w:eastAsia="en-US"/>
        </w:rPr>
        <w:t xml:space="preserve">bere na vědomí </w:t>
      </w:r>
      <w:r w:rsidRPr="00ED04FF">
        <w:rPr>
          <w:b w:val="0"/>
          <w:bCs/>
          <w:spacing w:val="0"/>
          <w:szCs w:val="24"/>
          <w:lang w:eastAsia="en-US"/>
        </w:rPr>
        <w:t>informace k Strategii rozvoje územního obvodu Olomouckého kraje – vyhodnocení za rok 2022 a plnění monitorovacích indikátorů pro hodnocení strategie</w:t>
      </w:r>
    </w:p>
    <w:p w14:paraId="4A9D0422" w14:textId="77777777" w:rsidR="00AB1FEF" w:rsidRPr="00ED04FF" w:rsidRDefault="00AB1FEF" w:rsidP="00AB1FEF">
      <w:pPr>
        <w:pStyle w:val="Tunproloentext"/>
        <w:ind w:left="720"/>
        <w:rPr>
          <w:b w:val="0"/>
          <w:bCs/>
          <w:spacing w:val="0"/>
          <w:szCs w:val="24"/>
          <w:lang w:eastAsia="en-US"/>
        </w:rPr>
      </w:pPr>
      <w:r w:rsidRPr="00ED04FF">
        <w:rPr>
          <w:bCs/>
          <w:spacing w:val="0"/>
          <w:szCs w:val="24"/>
          <w:lang w:eastAsia="en-US"/>
        </w:rPr>
        <w:t>doporučuje</w:t>
      </w:r>
      <w:r w:rsidRPr="00ED04FF">
        <w:rPr>
          <w:b w:val="0"/>
          <w:bCs/>
          <w:spacing w:val="0"/>
          <w:szCs w:val="24"/>
          <w:lang w:eastAsia="en-US"/>
        </w:rPr>
        <w:t xml:space="preserve"> Zastupitelstvu Olomouckého kraje vzít na vědomí Zprávu o plnění cílů Strategie rozvoje územního obvodu Olomouckého kraje za rok 2022</w:t>
      </w:r>
    </w:p>
    <w:p w14:paraId="04B45C74" w14:textId="77777777" w:rsidR="00AB1FEF" w:rsidRPr="00ED04FF" w:rsidRDefault="00AB1FEF" w:rsidP="00AB1FEF">
      <w:pPr>
        <w:pStyle w:val="Tunproloentext"/>
        <w:ind w:left="720"/>
        <w:rPr>
          <w:b w:val="0"/>
          <w:bCs/>
          <w:spacing w:val="0"/>
          <w:szCs w:val="24"/>
          <w:lang w:eastAsia="en-US"/>
        </w:rPr>
      </w:pPr>
      <w:r w:rsidRPr="00ED04FF">
        <w:rPr>
          <w:bCs/>
          <w:spacing w:val="0"/>
          <w:szCs w:val="24"/>
          <w:lang w:eastAsia="en-US"/>
        </w:rPr>
        <w:t xml:space="preserve">doporučuje </w:t>
      </w:r>
      <w:r w:rsidRPr="00ED04FF">
        <w:rPr>
          <w:b w:val="0"/>
          <w:bCs/>
          <w:spacing w:val="0"/>
          <w:szCs w:val="24"/>
          <w:lang w:eastAsia="en-US"/>
        </w:rPr>
        <w:t>Zastupitelstvu Olomouckého kraje schvállit Akční plán pro vlajkové projekty Strategie rozvoje územního obvodu na obdoví 2023 – 2025</w:t>
      </w:r>
    </w:p>
    <w:p w14:paraId="164B884A" w14:textId="77777777" w:rsidR="00AB1FEF" w:rsidRPr="00ED04FF" w:rsidRDefault="00AB1FEF" w:rsidP="00AB1FEF">
      <w:pPr>
        <w:pStyle w:val="Tunproloentext"/>
        <w:ind w:left="720"/>
        <w:rPr>
          <w:bCs/>
          <w:spacing w:val="0"/>
          <w:szCs w:val="24"/>
          <w:lang w:eastAsia="en-US"/>
        </w:rPr>
      </w:pPr>
      <w:r w:rsidRPr="00ED04FF">
        <w:rPr>
          <w:bCs/>
          <w:spacing w:val="0"/>
          <w:szCs w:val="24"/>
          <w:lang w:eastAsia="en-US"/>
        </w:rPr>
        <w:t>Výsledek: ZOK na svém zasedá</w:t>
      </w:r>
      <w:r>
        <w:rPr>
          <w:bCs/>
          <w:spacing w:val="0"/>
          <w:szCs w:val="24"/>
          <w:lang w:eastAsia="en-US"/>
        </w:rPr>
        <w:t>ní dne 24. 4. 2023 usnesením č. </w:t>
      </w:r>
      <w:r w:rsidRPr="00ED04FF">
        <w:rPr>
          <w:bCs/>
          <w:spacing w:val="0"/>
          <w:szCs w:val="24"/>
          <w:lang w:eastAsia="en-US"/>
        </w:rPr>
        <w:t xml:space="preserve">UZ/14/55/2023 vzalo na vědomí Zprávu o plnění cílů Strategie rozvoje územního obvodu Olomouckého kraje za rok 2022 a schválilo Akční plán pro vlajkové projekty Strategie rozvoje územního obvodu na období 2023-2025. </w:t>
      </w:r>
    </w:p>
    <w:p w14:paraId="6AB8308F" w14:textId="77777777" w:rsidR="00AB1FEF" w:rsidRPr="00ED04FF" w:rsidRDefault="00AB1FEF" w:rsidP="00AB1FEF">
      <w:pPr>
        <w:pStyle w:val="Vbornzevusnesen"/>
        <w:spacing w:before="0"/>
        <w:rPr>
          <w:szCs w:val="24"/>
        </w:rPr>
      </w:pPr>
    </w:p>
    <w:p w14:paraId="372BC833" w14:textId="77777777" w:rsidR="00EF7EC8" w:rsidRDefault="00EF7EC8" w:rsidP="00AB1FEF">
      <w:pPr>
        <w:pStyle w:val="Vbornzevusnesen"/>
        <w:spacing w:before="0"/>
        <w:rPr>
          <w:szCs w:val="24"/>
        </w:rPr>
      </w:pPr>
    </w:p>
    <w:p w14:paraId="25AC15BC" w14:textId="77777777" w:rsidR="00AB1FEF" w:rsidRPr="00ED04FF" w:rsidRDefault="00AB1FEF" w:rsidP="00AB1FEF">
      <w:pPr>
        <w:pStyle w:val="Vbornzevusnesen"/>
        <w:spacing w:before="0"/>
        <w:rPr>
          <w:szCs w:val="24"/>
        </w:rPr>
      </w:pPr>
      <w:r w:rsidRPr="00ED04FF">
        <w:rPr>
          <w:szCs w:val="24"/>
        </w:rPr>
        <w:lastRenderedPageBreak/>
        <w:t>UVR/13/5/2023</w:t>
      </w:r>
      <w:r w:rsidRPr="00ED04FF">
        <w:rPr>
          <w:szCs w:val="24"/>
        </w:rPr>
        <w:tab/>
        <w:t>Různé</w:t>
      </w:r>
    </w:p>
    <w:p w14:paraId="55CA9288" w14:textId="77777777" w:rsidR="00AB1FEF" w:rsidRPr="00ED04FF" w:rsidRDefault="00AB1FEF" w:rsidP="00AB1FEF">
      <w:pPr>
        <w:pStyle w:val="Tunproloentext"/>
        <w:ind w:left="720"/>
        <w:rPr>
          <w:bCs/>
          <w:spacing w:val="0"/>
          <w:szCs w:val="24"/>
          <w:lang w:eastAsia="en-US"/>
        </w:rPr>
      </w:pPr>
      <w:r w:rsidRPr="00ED04FF">
        <w:rPr>
          <w:bCs/>
          <w:spacing w:val="0"/>
          <w:szCs w:val="24"/>
          <w:lang w:eastAsia="en-US"/>
        </w:rPr>
        <w:t xml:space="preserve">bere na vědomí </w:t>
      </w:r>
      <w:r w:rsidRPr="00ED04FF">
        <w:rPr>
          <w:b w:val="0"/>
          <w:bCs/>
          <w:spacing w:val="0"/>
          <w:szCs w:val="24"/>
          <w:lang w:eastAsia="en-US"/>
        </w:rPr>
        <w:t>informace o žádostech předložených jako Individuální dotace 2023 z rozpočtu Olomouckého kraje</w:t>
      </w:r>
    </w:p>
    <w:p w14:paraId="57643EF3" w14:textId="77777777" w:rsidR="00AB1FEF" w:rsidRPr="00ED04FF" w:rsidRDefault="00AB1FEF" w:rsidP="00AB1FEF">
      <w:pPr>
        <w:pStyle w:val="Tunproloentext"/>
        <w:ind w:left="720"/>
        <w:rPr>
          <w:b w:val="0"/>
          <w:bCs/>
          <w:spacing w:val="0"/>
          <w:szCs w:val="24"/>
          <w:lang w:eastAsia="en-US"/>
        </w:rPr>
      </w:pPr>
      <w:r w:rsidRPr="00ED04FF">
        <w:rPr>
          <w:bCs/>
          <w:spacing w:val="0"/>
          <w:szCs w:val="24"/>
          <w:lang w:eastAsia="en-US"/>
        </w:rPr>
        <w:t xml:space="preserve">doporučuje </w:t>
      </w:r>
      <w:r w:rsidRPr="00ED04FF">
        <w:rPr>
          <w:b w:val="0"/>
          <w:bCs/>
          <w:spacing w:val="0"/>
          <w:szCs w:val="24"/>
          <w:lang w:eastAsia="en-US"/>
        </w:rPr>
        <w:t>Zastupitelstvu Olomouckého kraje nevyhovět žádosti o poskytnutí individuální dotace z rozpočtu Olomouckého kraje žadateli Vendula Patalová, fyzická osoba podnikající, IČO: 06266169, Beňov 41, 750 05 Přerov na založení reklamní agentury – pořízení vyšívacího stroje ve výši 300 000 Kč</w:t>
      </w:r>
    </w:p>
    <w:p w14:paraId="3BCFDE6C" w14:textId="77777777" w:rsidR="00AB1FEF" w:rsidRPr="00ED04FF" w:rsidRDefault="00AB1FEF" w:rsidP="00AB1FEF">
      <w:pPr>
        <w:pStyle w:val="Tunproloentext"/>
        <w:ind w:left="720"/>
        <w:rPr>
          <w:b w:val="0"/>
          <w:bCs/>
          <w:spacing w:val="0"/>
          <w:szCs w:val="24"/>
          <w:lang w:eastAsia="en-US"/>
        </w:rPr>
      </w:pPr>
      <w:r w:rsidRPr="00ED04FF">
        <w:rPr>
          <w:bCs/>
          <w:spacing w:val="0"/>
          <w:szCs w:val="24"/>
          <w:lang w:eastAsia="en-US"/>
        </w:rPr>
        <w:t xml:space="preserve">Výsledek: ZOK na svém zasedání dne </w:t>
      </w:r>
      <w:r>
        <w:rPr>
          <w:bCs/>
          <w:spacing w:val="0"/>
          <w:szCs w:val="24"/>
          <w:lang w:eastAsia="en-US"/>
        </w:rPr>
        <w:t>24. 4. 2023 usnesením č. </w:t>
      </w:r>
      <w:r w:rsidRPr="00ED04FF">
        <w:rPr>
          <w:bCs/>
          <w:spacing w:val="0"/>
          <w:szCs w:val="24"/>
          <w:lang w:eastAsia="en-US"/>
        </w:rPr>
        <w:t>UZ/14/56/2023 rozhodlo nevyhovět žádosti o poskytnutí individuální dotace z rozpočtu Olomouckého kraje žadateli Vendula Patalová, fyzická osoba podnikající, IČO: 06266169, Beňov 41, 750 05 Přerov na „Založení reklamní agentury – Vyšívací stroj“ ve výši 300 000 Kč.</w:t>
      </w:r>
    </w:p>
    <w:p w14:paraId="3094AF86" w14:textId="77777777" w:rsidR="00AB1FEF" w:rsidRDefault="00AB1FEF" w:rsidP="00AB1FEF">
      <w:pPr>
        <w:pStyle w:val="slo1text"/>
        <w:tabs>
          <w:tab w:val="clear" w:pos="567"/>
        </w:tabs>
        <w:rPr>
          <w:rFonts w:cs="Arial"/>
        </w:rPr>
      </w:pPr>
    </w:p>
    <w:p w14:paraId="531E7CCC" w14:textId="77777777" w:rsidR="002D5585" w:rsidRPr="002D5585" w:rsidRDefault="002D5585" w:rsidP="002D5585">
      <w:pPr>
        <w:pStyle w:val="slo1text"/>
        <w:numPr>
          <w:ilvl w:val="0"/>
          <w:numId w:val="28"/>
        </w:numPr>
        <w:rPr>
          <w:rFonts w:cs="Arial"/>
          <w:b/>
        </w:rPr>
      </w:pPr>
      <w:r w:rsidRPr="002D5585">
        <w:rPr>
          <w:rFonts w:cs="Arial"/>
          <w:b/>
        </w:rPr>
        <w:t>Informace z jednání orgánů kraje</w:t>
      </w:r>
    </w:p>
    <w:p w14:paraId="53A68523" w14:textId="77777777" w:rsidR="005C664E" w:rsidRDefault="002D5585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Ing. Novotná představila materiály projednané Radou Olomouckého kraje a Zastupitelstvem Olomouckého kraje, které byly předloženy Odborem strategického rozvoje kraje KÚOK, a to za období od zasedání Výboru dne </w:t>
      </w:r>
      <w:r w:rsidR="006B33DE">
        <w:rPr>
          <w:rFonts w:cs="Arial"/>
        </w:rPr>
        <w:t>5. 4</w:t>
      </w:r>
      <w:r w:rsidR="00EF7DDC">
        <w:rPr>
          <w:rFonts w:cs="Arial"/>
        </w:rPr>
        <w:t>. 2023</w:t>
      </w:r>
      <w:r>
        <w:rPr>
          <w:rFonts w:cs="Arial"/>
        </w:rPr>
        <w:t xml:space="preserve">. </w:t>
      </w:r>
    </w:p>
    <w:p w14:paraId="364E6030" w14:textId="77777777" w:rsidR="00B870E6" w:rsidRDefault="00B870E6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Seznam předložených materiálů je přílohou č. 1 zápisu.</w:t>
      </w:r>
    </w:p>
    <w:p w14:paraId="77CCEE6C" w14:textId="77777777" w:rsidR="0021638E" w:rsidRPr="0021638E" w:rsidRDefault="0021638E" w:rsidP="002D5585">
      <w:pPr>
        <w:pStyle w:val="slo1text"/>
        <w:tabs>
          <w:tab w:val="clear" w:pos="567"/>
        </w:tabs>
        <w:ind w:left="0" w:firstLine="0"/>
        <w:rPr>
          <w:rFonts w:cs="Arial"/>
          <w:u w:val="single"/>
        </w:rPr>
      </w:pPr>
      <w:r w:rsidRPr="0021638E">
        <w:rPr>
          <w:rFonts w:cs="Arial"/>
          <w:u w:val="single"/>
        </w:rPr>
        <w:t>Výstupy z diskuze:</w:t>
      </w:r>
    </w:p>
    <w:p w14:paraId="0BE38F09" w14:textId="5CAAC7C1" w:rsidR="0021638E" w:rsidRDefault="0021638E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Mgr. Šťastný se dotázal </w:t>
      </w:r>
      <w:r w:rsidR="009E3FA7">
        <w:rPr>
          <w:rFonts w:cs="Arial"/>
        </w:rPr>
        <w:t xml:space="preserve">na bližší informace </w:t>
      </w:r>
      <w:r>
        <w:rPr>
          <w:rFonts w:cs="Arial"/>
        </w:rPr>
        <w:t>k dotačnímu programu S</w:t>
      </w:r>
      <w:r w:rsidR="00FF67FF">
        <w:rPr>
          <w:rFonts w:cs="Arial"/>
        </w:rPr>
        <w:t>mart</w:t>
      </w:r>
      <w:r>
        <w:rPr>
          <w:rFonts w:cs="Arial"/>
        </w:rPr>
        <w:t xml:space="preserve"> region Olom</w:t>
      </w:r>
      <w:r w:rsidR="00646847">
        <w:rPr>
          <w:rFonts w:cs="Arial"/>
        </w:rPr>
        <w:t>oucký kraj 2023. Ing. Novotná</w:t>
      </w:r>
      <w:r w:rsidR="0046530A">
        <w:rPr>
          <w:rFonts w:cs="Arial"/>
        </w:rPr>
        <w:t xml:space="preserve"> sdělila</w:t>
      </w:r>
      <w:r w:rsidR="00646847">
        <w:rPr>
          <w:rFonts w:cs="Arial"/>
        </w:rPr>
        <w:t xml:space="preserve">, že je to dotační program, který se realizuje </w:t>
      </w:r>
      <w:r w:rsidR="009E3FA7">
        <w:rPr>
          <w:rFonts w:cs="Arial"/>
        </w:rPr>
        <w:t>teprve</w:t>
      </w:r>
      <w:r w:rsidR="00646847">
        <w:rPr>
          <w:rFonts w:cs="Arial"/>
        </w:rPr>
        <w:t xml:space="preserve"> druhým rokem. </w:t>
      </w:r>
      <w:r w:rsidR="00630BFF">
        <w:rPr>
          <w:rFonts w:cs="Arial"/>
        </w:rPr>
        <w:t>V rámci něj jsou realizovány dva dotační tituly, přičemž na každý</w:t>
      </w:r>
      <w:r w:rsidR="00646847">
        <w:rPr>
          <w:rFonts w:cs="Arial"/>
        </w:rPr>
        <w:t xml:space="preserve"> je alokován 1 mil. Kč. </w:t>
      </w:r>
      <w:r w:rsidR="00630BFF">
        <w:rPr>
          <w:rFonts w:cs="Arial"/>
        </w:rPr>
        <w:t xml:space="preserve">Gesčně patří dotační program zaměřený na Smart region panu radnímu Ing. Lyskovi. </w:t>
      </w:r>
      <w:r w:rsidR="001C3659" w:rsidRPr="00045DFA">
        <w:rPr>
          <w:rFonts w:cs="Arial"/>
        </w:rPr>
        <w:t>V dotačním titulu č. 1 jsou podporovány SMART opatření ze strany měst, městysů a obcí, nákup a instalace SMART vybavení v oblastech energetika, doprava, životní prostředí, e-Government. Realizace jednotilivých opatření musí být začleněna do komplexního projektu či strategie obce. Podpořený projekt musí navazovat na již zrealizované či připravované aktivity obce v oblasti SMART. V letošním roce nebyly podporovány projekty na budování elektronických úředních desek.</w:t>
      </w:r>
      <w:r w:rsidR="00646847">
        <w:rPr>
          <w:rFonts w:cs="Arial"/>
        </w:rPr>
        <w:t xml:space="preserve"> Zaměření dotačního titulu č. 1 bude </w:t>
      </w:r>
      <w:r w:rsidR="0046530A">
        <w:rPr>
          <w:rFonts w:cs="Arial"/>
        </w:rPr>
        <w:t>na podzim</w:t>
      </w:r>
      <w:r w:rsidR="00646847">
        <w:rPr>
          <w:rFonts w:cs="Arial"/>
        </w:rPr>
        <w:t> letošní</w:t>
      </w:r>
      <w:r w:rsidR="0046530A">
        <w:rPr>
          <w:rFonts w:cs="Arial"/>
        </w:rPr>
        <w:t xml:space="preserve">ho roku </w:t>
      </w:r>
      <w:r w:rsidR="00646847">
        <w:rPr>
          <w:rFonts w:cs="Arial"/>
        </w:rPr>
        <w:t xml:space="preserve">projednáváno i v území Olomouckého kraje s obcemi. Projekt Fakultní nemocnice Olomouc </w:t>
      </w:r>
      <w:r w:rsidR="0046530A">
        <w:rPr>
          <w:rFonts w:cs="Arial"/>
        </w:rPr>
        <w:t xml:space="preserve">v dotačním titulu č. 2 </w:t>
      </w:r>
      <w:r w:rsidR="00646847">
        <w:rPr>
          <w:rFonts w:cs="Arial"/>
        </w:rPr>
        <w:t xml:space="preserve">se týká osvětlení heliportu </w:t>
      </w:r>
      <w:r w:rsidR="009E3FA7">
        <w:rPr>
          <w:rFonts w:cs="Arial"/>
        </w:rPr>
        <w:t>v areálu nemocnice</w:t>
      </w:r>
      <w:r w:rsidR="00154621">
        <w:rPr>
          <w:rFonts w:cs="Arial"/>
        </w:rPr>
        <w:t>, bližší informace k projektu jsou součástí podklad</w:t>
      </w:r>
      <w:r w:rsidR="009E3FA7">
        <w:rPr>
          <w:rFonts w:cs="Arial"/>
        </w:rPr>
        <w:t>ových materiálů</w:t>
      </w:r>
      <w:r w:rsidR="00154621">
        <w:rPr>
          <w:rFonts w:cs="Arial"/>
        </w:rPr>
        <w:t xml:space="preserve"> na červnové Zastupitelstvo Olomouckého kraje</w:t>
      </w:r>
      <w:r w:rsidR="00646847">
        <w:rPr>
          <w:rFonts w:cs="Arial"/>
        </w:rPr>
        <w:t>.</w:t>
      </w:r>
    </w:p>
    <w:p w14:paraId="33F31207" w14:textId="77777777" w:rsidR="00E66878" w:rsidRDefault="00E66878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0F077482" w14:textId="77777777" w:rsidR="00C56872" w:rsidRDefault="00230A6F" w:rsidP="00C56872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Aktuální informace z územního plánování</w:t>
      </w:r>
    </w:p>
    <w:p w14:paraId="2C0D4A29" w14:textId="77777777" w:rsidR="00A563B1" w:rsidRDefault="00DF5653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S prezentací vystoupila Ing.</w:t>
      </w:r>
      <w:r w:rsidR="00205498">
        <w:rPr>
          <w:rFonts w:cs="Arial"/>
        </w:rPr>
        <w:t xml:space="preserve"> Irena</w:t>
      </w:r>
      <w:r>
        <w:rPr>
          <w:rFonts w:cs="Arial"/>
        </w:rPr>
        <w:t xml:space="preserve"> Hendrychová, vedoucí oddělení územního plánování na téma aktuální informace z územního plánování. </w:t>
      </w:r>
    </w:p>
    <w:p w14:paraId="14E2E3CF" w14:textId="1A76CCBA" w:rsidR="00630BFF" w:rsidRDefault="004949D6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Nejprve Ing. Hendrychová informovala o </w:t>
      </w:r>
      <w:r w:rsidR="00154621">
        <w:rPr>
          <w:rFonts w:cs="Arial"/>
        </w:rPr>
        <w:t xml:space="preserve">návrhu </w:t>
      </w:r>
      <w:r>
        <w:rPr>
          <w:rFonts w:cs="Arial"/>
        </w:rPr>
        <w:t>Zpráv</w:t>
      </w:r>
      <w:r w:rsidR="00154621">
        <w:rPr>
          <w:rFonts w:cs="Arial"/>
        </w:rPr>
        <w:t>y</w:t>
      </w:r>
      <w:r>
        <w:rPr>
          <w:rFonts w:cs="Arial"/>
        </w:rPr>
        <w:t xml:space="preserve"> o uplatňování Zásad územního rozvoje Olomouckého kraje (ZÚR OK) za uplynulé období 9/2019 </w:t>
      </w:r>
      <w:r w:rsidR="00423B18">
        <w:rPr>
          <w:rFonts w:cs="Arial"/>
        </w:rPr>
        <w:t>–</w:t>
      </w:r>
      <w:r>
        <w:rPr>
          <w:rFonts w:cs="Arial"/>
        </w:rPr>
        <w:t xml:space="preserve"> 6</w:t>
      </w:r>
      <w:r w:rsidR="00154621">
        <w:rPr>
          <w:rFonts w:cs="Arial"/>
        </w:rPr>
        <w:t>/2023, kter</w:t>
      </w:r>
      <w:r w:rsidR="00750161">
        <w:rPr>
          <w:rFonts w:cs="Arial"/>
        </w:rPr>
        <w:t>ý</w:t>
      </w:r>
      <w:r w:rsidR="00154621">
        <w:rPr>
          <w:rFonts w:cs="Arial"/>
        </w:rPr>
        <w:t xml:space="preserve"> byl zpracován oddělením územního plánování KÚOK v lednu roku 2023 a následně byl </w:t>
      </w:r>
      <w:r w:rsidR="00630BFF">
        <w:rPr>
          <w:rFonts w:cs="Arial"/>
        </w:rPr>
        <w:t xml:space="preserve">návrh </w:t>
      </w:r>
      <w:r w:rsidR="00154621">
        <w:rPr>
          <w:rFonts w:cs="Arial"/>
        </w:rPr>
        <w:t>projednán a nyní probíhá vyhodnocování projednání.</w:t>
      </w:r>
      <w:r w:rsidR="00630BFF">
        <w:rPr>
          <w:rFonts w:cs="Arial"/>
        </w:rPr>
        <w:t xml:space="preserve"> </w:t>
      </w:r>
      <w:r w:rsidR="00154621">
        <w:rPr>
          <w:rFonts w:cs="Arial"/>
        </w:rPr>
        <w:t>Bylo uplatněno cca 30 podnětů předem a dalších 15 v rámci projednání.</w:t>
      </w:r>
      <w:r w:rsidR="002B63E8">
        <w:rPr>
          <w:rFonts w:cs="Arial"/>
        </w:rPr>
        <w:t xml:space="preserve"> Předpo</w:t>
      </w:r>
      <w:r w:rsidR="00DB5E50">
        <w:rPr>
          <w:rFonts w:cs="Arial"/>
        </w:rPr>
        <w:t>kládá se vyhovění všem podnětům</w:t>
      </w:r>
      <w:r w:rsidR="00750161">
        <w:rPr>
          <w:rFonts w:cs="Arial"/>
        </w:rPr>
        <w:t>,</w:t>
      </w:r>
      <w:r w:rsidR="00DB5E50">
        <w:rPr>
          <w:rFonts w:cs="Arial"/>
        </w:rPr>
        <w:t xml:space="preserve"> tzn</w:t>
      </w:r>
      <w:r w:rsidR="00750161">
        <w:rPr>
          <w:rFonts w:cs="Arial"/>
        </w:rPr>
        <w:t>.</w:t>
      </w:r>
      <w:r w:rsidR="00DB5E50">
        <w:rPr>
          <w:rFonts w:cs="Arial"/>
        </w:rPr>
        <w:t xml:space="preserve"> že dojde k jejich prověření v následné úplné Aktualizaci č. 6 ZÚR OK. </w:t>
      </w:r>
    </w:p>
    <w:p w14:paraId="5F4A38AA" w14:textId="77777777" w:rsidR="00DB5E50" w:rsidRDefault="00DB5E50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Podle harmonogramu, který je nastavený se předpokládá, že Zpráva o uplatňování ZÚR OK</w:t>
      </w:r>
      <w:r w:rsidR="00630BFF">
        <w:rPr>
          <w:rFonts w:cs="Arial"/>
        </w:rPr>
        <w:t xml:space="preserve"> bude předložena na zasedání </w:t>
      </w:r>
      <w:r>
        <w:rPr>
          <w:rFonts w:cs="Arial"/>
        </w:rPr>
        <w:t>Zastupitelstva Olomouckého kraje v září 2023. Následně budou započaty práce na návrhu úplné A</w:t>
      </w:r>
      <w:r w:rsidR="00630BFF">
        <w:rPr>
          <w:rFonts w:cs="Arial"/>
        </w:rPr>
        <w:t>ktu</w:t>
      </w:r>
      <w:r>
        <w:rPr>
          <w:rFonts w:cs="Arial"/>
        </w:rPr>
        <w:t xml:space="preserve">alizace č. 6 ZÚR OK. </w:t>
      </w:r>
    </w:p>
    <w:p w14:paraId="3D6CC200" w14:textId="450D5E0D" w:rsidR="00503504" w:rsidRDefault="00DB5E50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lastRenderedPageBreak/>
        <w:t>Stávající platné ZÚR OK jsou v</w:t>
      </w:r>
      <w:r w:rsidR="00750161">
        <w:rPr>
          <w:rFonts w:cs="Arial"/>
        </w:rPr>
        <w:t xml:space="preserve">e znění </w:t>
      </w:r>
      <w:r>
        <w:rPr>
          <w:rFonts w:cs="Arial"/>
        </w:rPr>
        <w:t>Aktualizac</w:t>
      </w:r>
      <w:r w:rsidR="00750161">
        <w:rPr>
          <w:rFonts w:cs="Arial"/>
        </w:rPr>
        <w:t>e</w:t>
      </w:r>
      <w:r>
        <w:rPr>
          <w:rFonts w:cs="Arial"/>
        </w:rPr>
        <w:t xml:space="preserve"> č. 5 ZÚR OK, která byla vydaná Zastupitelstvem Olomouckého kraje dne 26. 9. 2022, nabyla účinnosti dne 22. 10. 2022. Tato aktualizace byla napadena žalobou Spolku Nízký Jeseník, u které dosud nebylo rozhodnuto a žalobou pan</w:t>
      </w:r>
      <w:r w:rsidR="00750161">
        <w:rPr>
          <w:rFonts w:cs="Arial"/>
        </w:rPr>
        <w:t>í</w:t>
      </w:r>
      <w:r>
        <w:rPr>
          <w:rFonts w:cs="Arial"/>
        </w:rPr>
        <w:t xml:space="preserve"> Lidmil</w:t>
      </w:r>
      <w:r w:rsidR="00056272">
        <w:rPr>
          <w:rFonts w:cs="Arial"/>
        </w:rPr>
        <w:t>y</w:t>
      </w:r>
      <w:r>
        <w:rPr>
          <w:rFonts w:cs="Arial"/>
        </w:rPr>
        <w:t xml:space="preserve"> Slížkové</w:t>
      </w:r>
      <w:r w:rsidR="00750161">
        <w:rPr>
          <w:rFonts w:cs="Arial"/>
        </w:rPr>
        <w:t>. Tato žaloba</w:t>
      </w:r>
      <w:r>
        <w:rPr>
          <w:rFonts w:cs="Arial"/>
        </w:rPr>
        <w:t xml:space="preserve"> byla odmítnuta z toho důvodu, že nebyla prokázána aktivní legitimace. Dále přednášející zmínila, že Aktualizace č. 5 zanesla do ZÚR OK vyjímku z ochrany </w:t>
      </w:r>
      <w:r w:rsidR="003A28EA">
        <w:rPr>
          <w:rFonts w:cs="Arial"/>
        </w:rPr>
        <w:t>kulturních krajinných oblastí</w:t>
      </w:r>
      <w:r w:rsidR="00503504">
        <w:rPr>
          <w:rFonts w:cs="Arial"/>
        </w:rPr>
        <w:t xml:space="preserve">, pokud jde o umísťování staveb a zařízení obnovitelných zdrojů energie uplatňujících se v krajině. </w:t>
      </w:r>
    </w:p>
    <w:p w14:paraId="105B5797" w14:textId="77777777" w:rsidR="00503504" w:rsidRDefault="00503504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Následně přednášejíc</w:t>
      </w:r>
      <w:r w:rsidR="0076293B">
        <w:rPr>
          <w:rFonts w:cs="Arial"/>
        </w:rPr>
        <w:t xml:space="preserve">í </w:t>
      </w:r>
      <w:r w:rsidR="00630BFF">
        <w:rPr>
          <w:rFonts w:cs="Arial"/>
        </w:rPr>
        <w:t>podala informace</w:t>
      </w:r>
      <w:r w:rsidR="0076293B">
        <w:rPr>
          <w:rFonts w:cs="Arial"/>
        </w:rPr>
        <w:t xml:space="preserve"> o aktuálním stavu ú</w:t>
      </w:r>
      <w:r>
        <w:rPr>
          <w:rFonts w:cs="Arial"/>
        </w:rPr>
        <w:t>zemních studií pořizovaných krajem. Sdělila, že probíhají práce ma pořízení Územní studie Prodloužení železnice z Koutů nad Desnou do Jeseníku III. V letošním roce se předpokládá započe</w:t>
      </w:r>
      <w:r w:rsidR="00630BFF">
        <w:rPr>
          <w:rFonts w:cs="Arial"/>
        </w:rPr>
        <w:t>t</w:t>
      </w:r>
      <w:r>
        <w:rPr>
          <w:rFonts w:cs="Arial"/>
        </w:rPr>
        <w:t>í prací na územních studiích Prověření úpravy trasování vodovodního přivaděče „V2 propojení vody D</w:t>
      </w:r>
      <w:r w:rsidR="00630BFF">
        <w:rPr>
          <w:rFonts w:cs="Arial"/>
        </w:rPr>
        <w:t>ubicko se skupinovým</w:t>
      </w:r>
      <w:r>
        <w:rPr>
          <w:rFonts w:cs="Arial"/>
        </w:rPr>
        <w:t xml:space="preserve"> vodovodem Litovel“ ve vztahu na těžbu a Obchvat Dlouhé Loučky – propojení silnic II/449 a III/4451. </w:t>
      </w:r>
    </w:p>
    <w:p w14:paraId="1B3BEA50" w14:textId="77777777" w:rsidR="00897C2D" w:rsidRDefault="00EF7DDC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Prezentace </w:t>
      </w:r>
      <w:r w:rsidR="00897C2D" w:rsidRPr="00065C3A">
        <w:rPr>
          <w:rFonts w:cs="Arial"/>
        </w:rPr>
        <w:t>je přílohou č. 2 zápisu.</w:t>
      </w:r>
    </w:p>
    <w:p w14:paraId="6498CA37" w14:textId="77777777" w:rsidR="00E418DD" w:rsidRPr="00E418DD" w:rsidRDefault="00E418DD" w:rsidP="00B870E6">
      <w:pPr>
        <w:pStyle w:val="slo1text"/>
        <w:tabs>
          <w:tab w:val="clear" w:pos="567"/>
        </w:tabs>
        <w:ind w:left="0" w:firstLine="0"/>
        <w:rPr>
          <w:rFonts w:cs="Arial"/>
          <w:u w:val="single"/>
        </w:rPr>
      </w:pPr>
      <w:r w:rsidRPr="00E418DD">
        <w:rPr>
          <w:rFonts w:cs="Arial"/>
          <w:u w:val="single"/>
        </w:rPr>
        <w:t>Výstupy z diskuze:</w:t>
      </w:r>
    </w:p>
    <w:p w14:paraId="549280F0" w14:textId="202CFDAF" w:rsidR="00897C2D" w:rsidRDefault="00503504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Z pléna vzešel dotaz na bližší informace k návrhu fotovoltaické elektrárny </w:t>
      </w:r>
      <w:r w:rsidR="00750161">
        <w:rPr>
          <w:rFonts w:cs="Arial"/>
        </w:rPr>
        <w:t xml:space="preserve">v </w:t>
      </w:r>
      <w:r>
        <w:rPr>
          <w:rFonts w:cs="Arial"/>
        </w:rPr>
        <w:t>obc</w:t>
      </w:r>
      <w:r w:rsidR="00750161">
        <w:rPr>
          <w:rFonts w:cs="Arial"/>
        </w:rPr>
        <w:t>i</w:t>
      </w:r>
      <w:r>
        <w:rPr>
          <w:rFonts w:cs="Arial"/>
        </w:rPr>
        <w:t xml:space="preserve"> Zborov v kulturní a krajinné oblasti </w:t>
      </w:r>
      <w:r w:rsidR="00750161">
        <w:rPr>
          <w:rFonts w:cs="Arial"/>
        </w:rPr>
        <w:t>KKO</w:t>
      </w:r>
      <w:r>
        <w:rPr>
          <w:rFonts w:cs="Arial"/>
        </w:rPr>
        <w:t xml:space="preserve">7 – Březná. Ing. Hendrychová reagovala, že obec Zborov má </w:t>
      </w:r>
      <w:r w:rsidR="007362EC">
        <w:rPr>
          <w:rFonts w:cs="Arial"/>
        </w:rPr>
        <w:t>v</w:t>
      </w:r>
      <w:r w:rsidR="005543EB">
        <w:rPr>
          <w:rFonts w:cs="Arial"/>
        </w:rPr>
        <w:t> územním plánu</w:t>
      </w:r>
      <w:r w:rsidR="007362EC">
        <w:rPr>
          <w:rFonts w:cs="Arial"/>
        </w:rPr>
        <w:t xml:space="preserve"> </w:t>
      </w:r>
      <w:r>
        <w:rPr>
          <w:rFonts w:cs="Arial"/>
        </w:rPr>
        <w:t>vymezenou plochu pro výstavbu fotovoltaické elektrárny</w:t>
      </w:r>
      <w:r w:rsidR="007362EC">
        <w:rPr>
          <w:rFonts w:cs="Arial"/>
        </w:rPr>
        <w:t xml:space="preserve">, </w:t>
      </w:r>
      <w:r w:rsidR="00630BFF">
        <w:rPr>
          <w:rFonts w:cs="Arial"/>
        </w:rPr>
        <w:t xml:space="preserve">která se nachází </w:t>
      </w:r>
      <w:r w:rsidR="007362EC">
        <w:rPr>
          <w:rFonts w:cs="Arial"/>
        </w:rPr>
        <w:t>mimo zastavěné území obce, ve volné krajině. Bohužel nedoká</w:t>
      </w:r>
      <w:r w:rsidR="002D30EA">
        <w:rPr>
          <w:rFonts w:cs="Arial"/>
        </w:rPr>
        <w:t xml:space="preserve">zala na místě </w:t>
      </w:r>
      <w:r w:rsidR="007362EC">
        <w:rPr>
          <w:rFonts w:cs="Arial"/>
        </w:rPr>
        <w:t>říct</w:t>
      </w:r>
      <w:r w:rsidR="00750161">
        <w:rPr>
          <w:rFonts w:cs="Arial"/>
        </w:rPr>
        <w:t xml:space="preserve"> podrobnosti k této ploše</w:t>
      </w:r>
      <w:r w:rsidR="002D30EA">
        <w:rPr>
          <w:rFonts w:cs="Arial"/>
        </w:rPr>
        <w:t xml:space="preserve">, </w:t>
      </w:r>
      <w:r w:rsidR="003C676B">
        <w:rPr>
          <w:rFonts w:cs="Arial"/>
        </w:rPr>
        <w:t xml:space="preserve">nicméně </w:t>
      </w:r>
      <w:r w:rsidR="00643FF1">
        <w:rPr>
          <w:rFonts w:cs="Arial"/>
        </w:rPr>
        <w:t xml:space="preserve">v rámci tohoto zápisu byl doplněn Hlavní výkres </w:t>
      </w:r>
      <w:r w:rsidR="003C676B">
        <w:rPr>
          <w:rFonts w:cs="Arial"/>
        </w:rPr>
        <w:t xml:space="preserve">ÚP Zborov </w:t>
      </w:r>
      <w:r w:rsidR="00643FF1">
        <w:rPr>
          <w:rFonts w:cs="Arial"/>
        </w:rPr>
        <w:t>(viz</w:t>
      </w:r>
      <w:r w:rsidR="003C676B">
        <w:rPr>
          <w:rFonts w:cs="Arial"/>
        </w:rPr>
        <w:t xml:space="preserve"> příloh</w:t>
      </w:r>
      <w:r w:rsidR="00643FF1">
        <w:rPr>
          <w:rFonts w:cs="Arial"/>
        </w:rPr>
        <w:t>a</w:t>
      </w:r>
      <w:r w:rsidR="003C676B">
        <w:rPr>
          <w:rFonts w:cs="Arial"/>
        </w:rPr>
        <w:t xml:space="preserve"> č. 6</w:t>
      </w:r>
      <w:r w:rsidR="00643FF1">
        <w:rPr>
          <w:rFonts w:cs="Arial"/>
        </w:rPr>
        <w:t>)</w:t>
      </w:r>
      <w:r w:rsidR="00750161">
        <w:rPr>
          <w:rFonts w:cs="Arial"/>
        </w:rPr>
        <w:t>.</w:t>
      </w:r>
    </w:p>
    <w:p w14:paraId="136952AE" w14:textId="5A690DCA" w:rsidR="007362EC" w:rsidRDefault="007362EC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Bc. Stawaritschová se dotázala na obchvat II/449, kdy v ZÚR OK je uvedeno velké území, které zasahuje do mnoha obcí, jedná se </w:t>
      </w:r>
      <w:r w:rsidR="005543EB">
        <w:rPr>
          <w:rFonts w:cs="Arial"/>
        </w:rPr>
        <w:t xml:space="preserve">území </w:t>
      </w:r>
      <w:r>
        <w:rPr>
          <w:rFonts w:cs="Arial"/>
        </w:rPr>
        <w:t>o</w:t>
      </w:r>
      <w:r w:rsidR="005543EB">
        <w:rPr>
          <w:rFonts w:cs="Arial"/>
        </w:rPr>
        <w:t>d</w:t>
      </w:r>
      <w:r>
        <w:rPr>
          <w:rFonts w:cs="Arial"/>
        </w:rPr>
        <w:t xml:space="preserve"> mimoúrovňové křížení v Hlušovicích až po </w:t>
      </w:r>
      <w:r w:rsidR="00630BFF">
        <w:rPr>
          <w:rFonts w:cs="Arial"/>
        </w:rPr>
        <w:t xml:space="preserve">obec </w:t>
      </w:r>
      <w:r>
        <w:rPr>
          <w:rFonts w:cs="Arial"/>
        </w:rPr>
        <w:t>Smržice. Za</w:t>
      </w:r>
      <w:r w:rsidR="00E44D76">
        <w:rPr>
          <w:rFonts w:cs="Arial"/>
        </w:rPr>
        <w:t>tím se jedná pouze o koridor v území, kte</w:t>
      </w:r>
      <w:r w:rsidR="005543EB">
        <w:rPr>
          <w:rFonts w:cs="Arial"/>
        </w:rPr>
        <w:t>rý se drží pro případný obchvat.</w:t>
      </w:r>
      <w:r w:rsidR="00630BFF">
        <w:rPr>
          <w:rFonts w:cs="Arial"/>
        </w:rPr>
        <w:t xml:space="preserve"> Zeptala se, jestli se</w:t>
      </w:r>
      <w:r w:rsidR="005543EB">
        <w:rPr>
          <w:rFonts w:cs="Arial"/>
        </w:rPr>
        <w:t xml:space="preserve"> </w:t>
      </w:r>
      <w:r w:rsidR="00630BFF">
        <w:rPr>
          <w:rFonts w:cs="Arial"/>
        </w:rPr>
        <w:t xml:space="preserve">plánuje, </w:t>
      </w:r>
      <w:r w:rsidR="005543EB">
        <w:rPr>
          <w:rFonts w:cs="Arial"/>
        </w:rPr>
        <w:t>že se s tím začne již něco dělat</w:t>
      </w:r>
      <w:r w:rsidR="00630BFF">
        <w:rPr>
          <w:rFonts w:cs="Arial"/>
        </w:rPr>
        <w:t xml:space="preserve">. </w:t>
      </w:r>
      <w:r w:rsidR="005543EB">
        <w:rPr>
          <w:rFonts w:cs="Arial"/>
        </w:rPr>
        <w:t>Ing. Hendrychová reagovala, že tyto informace nemá</w:t>
      </w:r>
      <w:r w:rsidR="000B7200">
        <w:rPr>
          <w:rFonts w:cs="Arial"/>
        </w:rPr>
        <w:t xml:space="preserve">. </w:t>
      </w:r>
      <w:r w:rsidR="00BB6578">
        <w:rPr>
          <w:rFonts w:cs="Arial"/>
        </w:rPr>
        <w:t>Samotnou realizační fázi má na starost příslušný orgán</w:t>
      </w:r>
      <w:r w:rsidR="000B7200">
        <w:rPr>
          <w:rFonts w:cs="Arial"/>
        </w:rPr>
        <w:t>, zde ODSH KÚOK</w:t>
      </w:r>
      <w:r w:rsidR="00BB6578">
        <w:rPr>
          <w:rFonts w:cs="Arial"/>
        </w:rPr>
        <w:t>. Pokud tedy</w:t>
      </w:r>
      <w:r w:rsidR="000B7200">
        <w:rPr>
          <w:rFonts w:cs="Arial"/>
        </w:rPr>
        <w:t xml:space="preserve"> nebyl uplatněn požadavek na úpravu či</w:t>
      </w:r>
      <w:r w:rsidR="00BB6578">
        <w:rPr>
          <w:rFonts w:cs="Arial"/>
        </w:rPr>
        <w:t xml:space="preserve"> vypu</w:t>
      </w:r>
      <w:r w:rsidR="000B7200">
        <w:rPr>
          <w:rFonts w:cs="Arial"/>
        </w:rPr>
        <w:t>štění tohoto koridoru</w:t>
      </w:r>
      <w:r w:rsidR="00BB6578">
        <w:rPr>
          <w:rFonts w:cs="Arial"/>
        </w:rPr>
        <w:t xml:space="preserve">, tak </w:t>
      </w:r>
      <w:r w:rsidR="000B7200">
        <w:rPr>
          <w:rFonts w:cs="Arial"/>
        </w:rPr>
        <w:t xml:space="preserve">toto nebude předmětem prověření v rámci Aktualizace č. 6 ZÚR OK. </w:t>
      </w:r>
      <w:r w:rsidR="00BB6578">
        <w:rPr>
          <w:rFonts w:cs="Arial"/>
        </w:rPr>
        <w:t xml:space="preserve"> </w:t>
      </w:r>
    </w:p>
    <w:p w14:paraId="4A95885F" w14:textId="77777777" w:rsidR="00BB6578" w:rsidRDefault="00BB6578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Mgr. Bc. Blišťanová doplnila, že na společném jednání Komise pro rozvoj strukturálně znevýhodněných oblastí Rady Olomouckého kraje a Komise pro dopravu Rady Olomouckého kraje bylo přijato usnesení, aby kraj vyvíjel tlak na stát, případně Správu železniční dopravní cesty a zajistila se elektrifikace železniční trati Bludov-Hanušovice-Jeseník.</w:t>
      </w:r>
    </w:p>
    <w:p w14:paraId="659D6FF6" w14:textId="52C73DF2" w:rsidR="00BB6578" w:rsidRDefault="00BB6578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Ing. Hendrychová upozornila, že kraj zpracovává územní studi</w:t>
      </w:r>
      <w:r w:rsidR="00D10F7A">
        <w:rPr>
          <w:rFonts w:cs="Arial"/>
        </w:rPr>
        <w:t>i</w:t>
      </w:r>
      <w:r>
        <w:rPr>
          <w:rFonts w:cs="Arial"/>
        </w:rPr>
        <w:t xml:space="preserve">, </w:t>
      </w:r>
      <w:r w:rsidR="00D10F7A">
        <w:rPr>
          <w:rFonts w:cs="Arial"/>
        </w:rPr>
        <w:t>což</w:t>
      </w:r>
      <w:r>
        <w:rPr>
          <w:rFonts w:cs="Arial"/>
        </w:rPr>
        <w:t xml:space="preserve"> územně plánovací dokument, který je nezávazný. Teprve až když se závěry z územní studie </w:t>
      </w:r>
      <w:r w:rsidR="000B7200">
        <w:rPr>
          <w:rFonts w:cs="Arial"/>
        </w:rPr>
        <w:t xml:space="preserve">převezmou </w:t>
      </w:r>
      <w:r>
        <w:rPr>
          <w:rFonts w:cs="Arial"/>
        </w:rPr>
        <w:t xml:space="preserve">do ZÚR OK, tak se to stává závazné. </w:t>
      </w:r>
    </w:p>
    <w:p w14:paraId="63DD2D32" w14:textId="77777777" w:rsidR="00230A6F" w:rsidRDefault="00230A6F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371BC888" w14:textId="77777777" w:rsidR="00B870E6" w:rsidRDefault="00230A6F" w:rsidP="00B870E6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Ak</w:t>
      </w:r>
      <w:r w:rsidR="00EE50FE">
        <w:rPr>
          <w:rFonts w:cs="Arial"/>
          <w:b/>
        </w:rPr>
        <w:t>tivity na podporu podnikání a investic v roce 2023</w:t>
      </w:r>
    </w:p>
    <w:p w14:paraId="3FE8DC6D" w14:textId="77777777" w:rsidR="00205498" w:rsidRDefault="00205498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Předseda výboru předal slovo Bc. Radovanu Vašíčkovi z oddělení regionálního rozvoje, který představil aktivity na podporu podnikání a investic v roce 2023. Nejprve sdělil, že Rada Olomouckého kraje vyhodnocuje plnění aktivit předchozího roku a stanovuje plán aktivit na další rok. Tento plán je sestaven v návaznosti na úspěšnost aktivit, potřeby Olomouckého kraje a partnerů v oblasti regionálního rozvoje a podnikatelů, dále také na základě schváleného rozpočtu v Zastupitelstvu Olomouckého kraje. </w:t>
      </w:r>
    </w:p>
    <w:p w14:paraId="635D2553" w14:textId="77777777" w:rsidR="007F03FF" w:rsidRDefault="00205498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Informoval, že podpora podnikatelského prostředí je ukotvena ve Strategii rozvoje územního obvodu Olomouckého kraje, základní cíle jsou definovány ve dvou prioritních oblastech, a to v prioritní oblasti A. Ekonomika a inovace a G.</w:t>
      </w:r>
      <w:r w:rsidR="00A0217E">
        <w:rPr>
          <w:rFonts w:cs="Arial"/>
        </w:rPr>
        <w:t xml:space="preserve"> </w:t>
      </w:r>
      <w:r>
        <w:rPr>
          <w:rFonts w:cs="Arial"/>
        </w:rPr>
        <w:t xml:space="preserve">Veřejná správa, řízení rozvoje a bezpečnost. </w:t>
      </w:r>
    </w:p>
    <w:p w14:paraId="076DD84B" w14:textId="77777777" w:rsidR="00205498" w:rsidRPr="007F03FF" w:rsidRDefault="00205498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lastRenderedPageBreak/>
        <w:t xml:space="preserve">Dále sdělil že podpora podnikání probíhá ve spolupráci s partnery a investory v Olomouckém kraji, </w:t>
      </w:r>
      <w:r w:rsidR="007F03FF">
        <w:rPr>
          <w:rFonts w:cs="Arial"/>
        </w:rPr>
        <w:t xml:space="preserve"> a to </w:t>
      </w:r>
      <w:r w:rsidR="00A36E60">
        <w:rPr>
          <w:rFonts w:cs="Arial"/>
        </w:rPr>
        <w:t xml:space="preserve">např. </w:t>
      </w:r>
      <w:r>
        <w:rPr>
          <w:rFonts w:cs="Arial"/>
        </w:rPr>
        <w:t>s</w:t>
      </w:r>
      <w:r w:rsidR="00A36E60">
        <w:rPr>
          <w:rFonts w:cs="Arial"/>
        </w:rPr>
        <w:t> </w:t>
      </w:r>
      <w:r>
        <w:rPr>
          <w:rFonts w:cs="Arial"/>
        </w:rPr>
        <w:t>CzechInveste</w:t>
      </w:r>
      <w:r w:rsidR="00A36E60">
        <w:rPr>
          <w:rFonts w:cs="Arial"/>
        </w:rPr>
        <w:t xml:space="preserve">m, Svazem průmyslu a dopravy, Agenturou pro podnikání a investice, Inovačním centrem Olomouckého kraje, Úřadem práce. </w:t>
      </w:r>
      <w:r w:rsidR="0087519E">
        <w:rPr>
          <w:rFonts w:cs="Arial"/>
        </w:rPr>
        <w:t>Olomoucký kraj podporuje podnikání také prostřednictvím individuálních dotací v oblasti strategického rozvoje kraje</w:t>
      </w:r>
      <w:r w:rsidR="002E358E">
        <w:rPr>
          <w:rFonts w:cs="Arial"/>
        </w:rPr>
        <w:t xml:space="preserve">, pořádáním burz práce, účastí na veletrzích a soutěžích souvisejících s podnikáním. Olomoucký kraj je také zpracovatelem mnoha propagačních publikací a materiálů, mezi které patří Významné firmy Olomouckého kraje, Katalog regionální produkce Olomouckého kraje, Informace o Olomouckém kraji pro podnikatele, Olomoucký kraj – Region pro chytré investice a podobně. Všechny publikace jsou ke stažení na webových stránkách regionálního </w:t>
      </w:r>
      <w:r w:rsidR="002E358E" w:rsidRPr="002E358E">
        <w:rPr>
          <w:rFonts w:cs="Arial"/>
          <w:szCs w:val="24"/>
        </w:rPr>
        <w:t>rozvoje (</w:t>
      </w:r>
      <w:hyperlink r:id="rId10" w:history="1">
        <w:r w:rsidR="002E358E" w:rsidRPr="002E358E">
          <w:rPr>
            <w:rStyle w:val="Hypertextovodkaz"/>
            <w:rFonts w:cs="Arial"/>
            <w:szCs w:val="24"/>
          </w:rPr>
          <w:t>https://www.olkraj.cz/regionalni-rozvoj-a-podnikani-cl-5140.html</w:t>
        </w:r>
      </w:hyperlink>
      <w:r w:rsidR="002E358E" w:rsidRPr="002E358E">
        <w:rPr>
          <w:rFonts w:cs="Arial"/>
          <w:szCs w:val="24"/>
        </w:rPr>
        <w:t xml:space="preserve">). </w:t>
      </w:r>
      <w:r w:rsidR="002E358E">
        <w:rPr>
          <w:rFonts w:cs="Arial"/>
          <w:szCs w:val="24"/>
        </w:rPr>
        <w:t xml:space="preserve">Podpora inovací, výzkumu a inovačního podnikání je také zahrnuta v RIS3 strategii Olomouckého kraje. </w:t>
      </w:r>
    </w:p>
    <w:p w14:paraId="1C0F6162" w14:textId="77777777" w:rsidR="002E358E" w:rsidRDefault="002E358E" w:rsidP="009338B9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Další oblastí, které se přednášející věnoval byla problematika rozvoje průmyslové infrastruktury regionu. Sdělil, že Olomoucký kraj dlouhodobě spolupracuje s regionální kanceláří CzechInvest Olomouc</w:t>
      </w:r>
      <w:r w:rsidR="009F4A73">
        <w:rPr>
          <w:rFonts w:cs="Arial"/>
          <w:szCs w:val="24"/>
        </w:rPr>
        <w:t xml:space="preserve"> na tzv. regionální brownfieldové jednotce. </w:t>
      </w:r>
    </w:p>
    <w:p w14:paraId="15179F8E" w14:textId="77777777" w:rsidR="009F4A73" w:rsidRDefault="009F4A73" w:rsidP="009338B9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Olomoucký kraj podporuje podnikání také tím, že vede databázi podniků z území a pracuje s daty z programu Albertina Bisnode.</w:t>
      </w:r>
    </w:p>
    <w:p w14:paraId="4650D1D8" w14:textId="77777777" w:rsidR="009F4A73" w:rsidRPr="002E358E" w:rsidRDefault="009F4A73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  <w:szCs w:val="24"/>
        </w:rPr>
        <w:t xml:space="preserve">Další aktivitou na podporu podnikatelského sektoru je organizování a pravidelná účast na jednáních, např. Teritoriální pakt zaměstnanosti Olomouckého kraje, Regionální Sektorová dohoda v oblasti textilu, oděvního průmyslu, Rady hospodářské a sociální dohody Olomouckého kraje. </w:t>
      </w:r>
    </w:p>
    <w:p w14:paraId="258F1B58" w14:textId="77777777" w:rsidR="00897C2D" w:rsidRDefault="00897C2D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Prezentace je přílohou č. 3 zápisu.</w:t>
      </w:r>
    </w:p>
    <w:p w14:paraId="7E18CA91" w14:textId="77777777" w:rsidR="00B870E6" w:rsidRPr="001B55D6" w:rsidRDefault="001B55D6" w:rsidP="00B870E6">
      <w:pPr>
        <w:pStyle w:val="slo1text"/>
        <w:tabs>
          <w:tab w:val="clear" w:pos="567"/>
        </w:tabs>
        <w:rPr>
          <w:rFonts w:cs="Arial"/>
          <w:u w:val="single"/>
        </w:rPr>
      </w:pPr>
      <w:r w:rsidRPr="001B55D6">
        <w:rPr>
          <w:rFonts w:cs="Arial"/>
          <w:u w:val="single"/>
        </w:rPr>
        <w:t>Výstupy z diskuze:</w:t>
      </w:r>
    </w:p>
    <w:p w14:paraId="18202772" w14:textId="77777777" w:rsidR="00D97D5D" w:rsidRDefault="006B4E9C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Pan náměstek</w:t>
      </w:r>
      <w:r w:rsidR="007F03FF">
        <w:rPr>
          <w:rFonts w:cs="Arial"/>
        </w:rPr>
        <w:t xml:space="preserve"> Ing. Šafařík, MBA</w:t>
      </w:r>
      <w:r>
        <w:rPr>
          <w:rFonts w:cs="Arial"/>
        </w:rPr>
        <w:t xml:space="preserve"> doplnil k publikacím, které jsou vydávány Olomouckým kraje, že byla snaha </w:t>
      </w:r>
      <w:r w:rsidR="00964761">
        <w:rPr>
          <w:rFonts w:cs="Arial"/>
        </w:rPr>
        <w:t>vydat</w:t>
      </w:r>
      <w:r>
        <w:rPr>
          <w:rFonts w:cs="Arial"/>
        </w:rPr>
        <w:t xml:space="preserve"> kuchařku Olomouckého kraje ve spolupráci s p</w:t>
      </w:r>
      <w:r w:rsidR="001F5DD8">
        <w:rPr>
          <w:rFonts w:cs="Arial"/>
        </w:rPr>
        <w:t>anem</w:t>
      </w:r>
      <w:r>
        <w:rPr>
          <w:rFonts w:cs="Arial"/>
        </w:rPr>
        <w:t xml:space="preserve"> Paulusem, který působí v Olomouci. Bohužel porada vedení Olomouckého kraje tomuto nápadu na zpracování kuchařky nevyjádřila podporu</w:t>
      </w:r>
      <w:r w:rsidR="007F03FF">
        <w:rPr>
          <w:rFonts w:cs="Arial"/>
        </w:rPr>
        <w:t xml:space="preserve"> a tak nebude realizována</w:t>
      </w:r>
      <w:r>
        <w:rPr>
          <w:rFonts w:cs="Arial"/>
        </w:rPr>
        <w:t>.</w:t>
      </w:r>
    </w:p>
    <w:p w14:paraId="2496032D" w14:textId="77777777" w:rsidR="006B4E9C" w:rsidRPr="00A1021D" w:rsidRDefault="006B4E9C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2A04A91F" w14:textId="77777777" w:rsidR="00B870E6" w:rsidRDefault="00230A6F" w:rsidP="00DC50E8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Individuální dotace v oblasti strategického rozvoje</w:t>
      </w:r>
    </w:p>
    <w:p w14:paraId="0FD8C097" w14:textId="77777777" w:rsidR="00230A6F" w:rsidRDefault="006B4E9C" w:rsidP="00D7401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Ing. Novotná, vedoucí oddělení regionálního rozvoje vystoupila s informací ohledně předložených žádostí o individuální dotace v oblasti strategického rozvoje. </w:t>
      </w:r>
    </w:p>
    <w:p w14:paraId="0961086C" w14:textId="77777777" w:rsidR="006B4E9C" w:rsidRDefault="006B4E9C" w:rsidP="00D7401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Nejprve sdělila, že žádost, která bude předložena Zastupitelstvu Olomouckého kraje je žádost Regionální agentury pro rozvoj střední Moravy, která žádá </w:t>
      </w:r>
      <w:r w:rsidR="00AD62E1">
        <w:rPr>
          <w:rFonts w:cs="Arial"/>
        </w:rPr>
        <w:t xml:space="preserve">o individuální dotaci </w:t>
      </w:r>
      <w:r>
        <w:rPr>
          <w:rFonts w:cs="Arial"/>
        </w:rPr>
        <w:t>na pokrytí své činnosti od ledna do prosince letošního roku. Žádost byla podána na výši dotace 1</w:t>
      </w:r>
      <w:r w:rsidR="00AD62E1">
        <w:rPr>
          <w:rFonts w:cs="Arial"/>
        </w:rPr>
        <w:t>,5 mil. </w:t>
      </w:r>
      <w:r>
        <w:rPr>
          <w:rFonts w:cs="Arial"/>
        </w:rPr>
        <w:t>Kč. Rada O</w:t>
      </w:r>
      <w:r w:rsidR="00AD62E1">
        <w:rPr>
          <w:rFonts w:cs="Arial"/>
        </w:rPr>
        <w:t>lomouc</w:t>
      </w:r>
      <w:r>
        <w:rPr>
          <w:rFonts w:cs="Arial"/>
        </w:rPr>
        <w:t>kého kraje na základě předchozích projednání na poradě vedení doporučuje Zastupitelstvu Olomouckého kraje schválit dotaci ve výši 100 tis. K</w:t>
      </w:r>
      <w:r w:rsidR="00AD62E1">
        <w:rPr>
          <w:rFonts w:cs="Arial"/>
        </w:rPr>
        <w:t xml:space="preserve">č, což je stejná částka, která byla Regionální agentuře pro rozvoj střední Moravy přiznána v loňském roce. </w:t>
      </w:r>
    </w:p>
    <w:p w14:paraId="6A8CC71C" w14:textId="77777777" w:rsidR="00AD62E1" w:rsidRDefault="00AD62E1" w:rsidP="00D7401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Další žádost, která bude předložena Zastupitelstvu Olomouckého kraje je žádost obce Měrotín, kdy část je investiční a část neinvestiční dotace, která souvisí s pořízením bezobslužného systému prodejny včetně potřebného vybavení. </w:t>
      </w:r>
      <w:r w:rsidR="001467FA">
        <w:rPr>
          <w:rFonts w:cs="Arial"/>
        </w:rPr>
        <w:t>Jedná se o</w:t>
      </w:r>
      <w:r>
        <w:rPr>
          <w:rFonts w:cs="Arial"/>
        </w:rPr>
        <w:t xml:space="preserve"> obec nemá prodejnu, a tedy po vzoru pilotní obce v Pardubickém kraji se obec Měrotín rozhodla zavést systém bezobslužné prodejny, který bude sloužit i okolním obcím. </w:t>
      </w:r>
    </w:p>
    <w:p w14:paraId="35BF7FFF" w14:textId="77777777" w:rsidR="00AD62E1" w:rsidRDefault="00AD62E1" w:rsidP="00D7401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Dále Ing. Novotná informovala o dotacích předložených jako individuální dotace v oblasti strategického rozvoje, které jsou v kompetenci Rady Olomouckého kraje.</w:t>
      </w:r>
      <w:r w:rsidR="001467FA">
        <w:rPr>
          <w:rFonts w:cs="Arial"/>
        </w:rPr>
        <w:t xml:space="preserve"> </w:t>
      </w:r>
      <w:r>
        <w:rPr>
          <w:rFonts w:cs="Arial"/>
        </w:rPr>
        <w:t xml:space="preserve">Jedná se o dotaci Krajskému sdružení Národní sítě místních akčních skupin ČR Olomouckého kraje, Asociace dobrovolných svazků obcí České republiky, z. s. a Sdružení místních samospráv České </w:t>
      </w:r>
      <w:r>
        <w:rPr>
          <w:rFonts w:cs="Arial"/>
        </w:rPr>
        <w:lastRenderedPageBreak/>
        <w:t>republiky, z. s. Všem těmto žádostem o individuální žádosti Rada Olomouckého kraje vyhověla.</w:t>
      </w:r>
    </w:p>
    <w:p w14:paraId="0E9E3906" w14:textId="77777777" w:rsidR="00C2361B" w:rsidRPr="00D7401A" w:rsidRDefault="00164C6F" w:rsidP="00D7401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Materiál</w:t>
      </w:r>
      <w:r w:rsidR="00230A6F">
        <w:rPr>
          <w:rFonts w:cs="Arial"/>
        </w:rPr>
        <w:t>y</w:t>
      </w:r>
      <w:r w:rsidR="00C2361B">
        <w:rPr>
          <w:rFonts w:cs="Arial"/>
        </w:rPr>
        <w:t xml:space="preserve"> j</w:t>
      </w:r>
      <w:r w:rsidR="00230A6F">
        <w:rPr>
          <w:rFonts w:cs="Arial"/>
        </w:rPr>
        <w:t>sou</w:t>
      </w:r>
      <w:r w:rsidR="00C2361B">
        <w:rPr>
          <w:rFonts w:cs="Arial"/>
        </w:rPr>
        <w:t xml:space="preserve"> přílohou č. </w:t>
      </w:r>
      <w:r w:rsidR="00EE50FE">
        <w:rPr>
          <w:rFonts w:cs="Arial"/>
        </w:rPr>
        <w:t>4</w:t>
      </w:r>
      <w:r w:rsidR="00230A6F">
        <w:rPr>
          <w:rFonts w:cs="Arial"/>
        </w:rPr>
        <w:t xml:space="preserve"> a </w:t>
      </w:r>
      <w:r w:rsidR="00EE50FE">
        <w:rPr>
          <w:rFonts w:cs="Arial"/>
        </w:rPr>
        <w:t>5</w:t>
      </w:r>
      <w:r w:rsidR="00C2361B">
        <w:rPr>
          <w:rFonts w:cs="Arial"/>
        </w:rPr>
        <w:t xml:space="preserve"> zápisu.</w:t>
      </w:r>
    </w:p>
    <w:p w14:paraId="66FE576C" w14:textId="77777777" w:rsidR="0079208F" w:rsidRDefault="0079208F" w:rsidP="00A06C9D">
      <w:pPr>
        <w:pStyle w:val="slo1text"/>
        <w:tabs>
          <w:tab w:val="clear" w:pos="567"/>
        </w:tabs>
        <w:ind w:left="0" w:firstLine="0"/>
        <w:rPr>
          <w:rFonts w:cs="Arial"/>
          <w:u w:val="single"/>
        </w:rPr>
      </w:pPr>
      <w:r w:rsidRPr="0079208F">
        <w:rPr>
          <w:rFonts w:cs="Arial"/>
          <w:u w:val="single"/>
        </w:rPr>
        <w:t>Výstupy z diskuze:</w:t>
      </w:r>
    </w:p>
    <w:p w14:paraId="466CA592" w14:textId="77777777" w:rsidR="008728AA" w:rsidRDefault="008728AA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8728AA">
        <w:rPr>
          <w:rFonts w:cs="Arial"/>
        </w:rPr>
        <w:t>Mgr. Š</w:t>
      </w:r>
      <w:r>
        <w:rPr>
          <w:rFonts w:cs="Arial"/>
        </w:rPr>
        <w:t xml:space="preserve">ťastný se </w:t>
      </w:r>
      <w:r w:rsidR="001467FA">
        <w:rPr>
          <w:rFonts w:cs="Arial"/>
        </w:rPr>
        <w:t>zepta</w:t>
      </w:r>
      <w:r>
        <w:rPr>
          <w:rFonts w:cs="Arial"/>
        </w:rPr>
        <w:t>l, zda v obci Měrotín se bude jednat o první případ tzv. chytrého obchodu na území Olomouckého kraje. Pan náměstek Ing. Šafařík, MBA reagoval, že se jedná o první obchůdek tohoto typu v Olomouckém kraji. Dále sdělil, že se jedná o pilotní projekt, a proto dostal podporu.</w:t>
      </w:r>
      <w:r w:rsidR="001467FA">
        <w:rPr>
          <w:rFonts w:cs="Arial"/>
        </w:rPr>
        <w:t xml:space="preserve"> </w:t>
      </w:r>
      <w:r w:rsidR="00830627">
        <w:rPr>
          <w:rFonts w:cs="Arial"/>
        </w:rPr>
        <w:t xml:space="preserve">Ing. Šafařík, MBA dále informoval, že v obci Měrotín plánují, že bude obchod spojen s malou kavárnou. </w:t>
      </w:r>
    </w:p>
    <w:p w14:paraId="5118BBFD" w14:textId="77777777" w:rsidR="00830627" w:rsidRDefault="00830627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Mgr. Šťastný se </w:t>
      </w:r>
      <w:r w:rsidR="001467FA">
        <w:rPr>
          <w:rFonts w:cs="Arial"/>
        </w:rPr>
        <w:t>doptal</w:t>
      </w:r>
      <w:r>
        <w:rPr>
          <w:rFonts w:cs="Arial"/>
        </w:rPr>
        <w:t>, zda obchod</w:t>
      </w:r>
      <w:r w:rsidR="001467FA">
        <w:rPr>
          <w:rFonts w:cs="Arial"/>
        </w:rPr>
        <w:t xml:space="preserve"> bude</w:t>
      </w:r>
      <w:r>
        <w:rPr>
          <w:rFonts w:cs="Arial"/>
        </w:rPr>
        <w:t xml:space="preserve"> v obci Měrotín </w:t>
      </w:r>
      <w:r w:rsidR="001514B6">
        <w:rPr>
          <w:rFonts w:cs="Arial"/>
        </w:rPr>
        <w:t>bude</w:t>
      </w:r>
      <w:r>
        <w:rPr>
          <w:rFonts w:cs="Arial"/>
        </w:rPr>
        <w:t xml:space="preserve"> provozován </w:t>
      </w:r>
      <w:r w:rsidR="001467FA">
        <w:rPr>
          <w:rFonts w:cs="Arial"/>
        </w:rPr>
        <w:t xml:space="preserve">obcí samostatně nebo </w:t>
      </w:r>
      <w:r>
        <w:rPr>
          <w:rFonts w:cs="Arial"/>
        </w:rPr>
        <w:t>v kooperaci s družstvem, COOPem a podobně. Ing. Šafařík, MBA odpověděl, že obec hledá partnera, cca měsíc zpět jednali s paní, která jim to odmítla</w:t>
      </w:r>
      <w:r w:rsidR="001514B6">
        <w:rPr>
          <w:rFonts w:cs="Arial"/>
        </w:rPr>
        <w:t>.</w:t>
      </w:r>
      <w:r w:rsidR="003F0E5D">
        <w:rPr>
          <w:rFonts w:cs="Arial"/>
        </w:rPr>
        <w:t xml:space="preserve"> </w:t>
      </w:r>
      <w:r w:rsidR="001514B6">
        <w:rPr>
          <w:rFonts w:cs="Arial"/>
        </w:rPr>
        <w:t>N</w:t>
      </w:r>
      <w:r w:rsidR="003F0E5D">
        <w:rPr>
          <w:rFonts w:cs="Arial"/>
        </w:rPr>
        <w:t xml:space="preserve">yní dle posledních informací jednají s někým </w:t>
      </w:r>
      <w:r w:rsidR="001467FA">
        <w:rPr>
          <w:rFonts w:cs="Arial"/>
        </w:rPr>
        <w:t>dalším. Pan náměstek Ing. Šafařík, MBA tvrdí, že není důležité, kdo obchod provozuje, ale je stěžejní, že lidé si mají možnost nakoupit.</w:t>
      </w:r>
    </w:p>
    <w:p w14:paraId="3CF0AC9B" w14:textId="77777777" w:rsidR="003F0E5D" w:rsidRPr="008728AA" w:rsidRDefault="003F0E5D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Dále z pléna vzešel dotaz, zda bude v obchodě možno platit i hotovostí nebo pouze bezhotovostně. Ing. Šafařík, MBA se domnívá, že bude možno platit pouze bezhotovostně. Obsluha bude v obchodě první rok, aby se systémem naučila pracovat zákazníky.</w:t>
      </w:r>
    </w:p>
    <w:p w14:paraId="781A8C06" w14:textId="77777777" w:rsidR="001B7E25" w:rsidRPr="007761A8" w:rsidRDefault="001B7E25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2D7ABA97" w14:textId="77777777" w:rsidR="00B870E6" w:rsidRPr="00B870E6" w:rsidRDefault="00B870E6" w:rsidP="00B870E6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Různé</w:t>
      </w:r>
    </w:p>
    <w:p w14:paraId="585508CC" w14:textId="77777777" w:rsidR="005060CA" w:rsidRDefault="005060CA" w:rsidP="005060C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Mgr. Šťastný informoval, že další zasedání Výboru proběhne </w:t>
      </w:r>
      <w:r w:rsidR="0089505B">
        <w:rPr>
          <w:rFonts w:cs="Arial"/>
        </w:rPr>
        <w:t>6. září</w:t>
      </w:r>
      <w:r>
        <w:rPr>
          <w:rFonts w:cs="Arial"/>
        </w:rPr>
        <w:t xml:space="preserve"> 2023</w:t>
      </w:r>
      <w:r w:rsidR="00623CD9">
        <w:rPr>
          <w:rFonts w:cs="Arial"/>
        </w:rPr>
        <w:t xml:space="preserve"> od </w:t>
      </w:r>
      <w:r w:rsidR="0089505B">
        <w:rPr>
          <w:rFonts w:cs="Arial"/>
        </w:rPr>
        <w:t>14</w:t>
      </w:r>
      <w:r w:rsidR="00623CD9">
        <w:rPr>
          <w:rFonts w:cs="Arial"/>
        </w:rPr>
        <w:t>:00</w:t>
      </w:r>
      <w:r>
        <w:rPr>
          <w:rFonts w:cs="Arial"/>
        </w:rPr>
        <w:t xml:space="preserve"> v zasedací místnosti č. 320 Krajského úřadu Olomouckého kraje. Dle plánu práce Výboru bude mezi probíranými tématy: </w:t>
      </w:r>
    </w:p>
    <w:p w14:paraId="513F610F" w14:textId="77777777" w:rsidR="005060CA" w:rsidRDefault="0089505B" w:rsidP="005060CA">
      <w:pPr>
        <w:pStyle w:val="slo1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Informace k vyhlašovaným dotačním programům z rozpočtu Olomouckého kraje na rok 2024;</w:t>
      </w:r>
    </w:p>
    <w:p w14:paraId="077B6C52" w14:textId="77777777" w:rsidR="005060CA" w:rsidRDefault="0089505B" w:rsidP="005060CA">
      <w:pPr>
        <w:pStyle w:val="slo1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Aktuální informace z oblasti kotlíkových dotací</w:t>
      </w:r>
    </w:p>
    <w:p w14:paraId="24F74089" w14:textId="77777777" w:rsidR="007F2BF4" w:rsidRDefault="007F2BF4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3C738AD5" w14:textId="77777777" w:rsidR="001514B6" w:rsidRDefault="001514B6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37A1D6A9" w14:textId="77777777" w:rsidR="00975D37" w:rsidRDefault="00975D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F74237">
        <w:rPr>
          <w:rFonts w:cs="Arial"/>
        </w:rPr>
        <w:t xml:space="preserve">V Olomouci dne </w:t>
      </w:r>
      <w:r w:rsidR="00230A6F">
        <w:rPr>
          <w:rFonts w:cs="Arial"/>
        </w:rPr>
        <w:t>7. 6</w:t>
      </w:r>
      <w:r w:rsidR="00206160" w:rsidRPr="00F74237">
        <w:rPr>
          <w:rFonts w:cs="Arial"/>
        </w:rPr>
        <w:t>. 2023</w:t>
      </w:r>
    </w:p>
    <w:p w14:paraId="56B4DD98" w14:textId="77777777" w:rsidR="00F74237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73A60601" w14:textId="77777777" w:rsidR="00F74237" w:rsidRPr="00F74237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434142E2" w14:textId="77777777" w:rsidR="00975D37" w:rsidRPr="00ED3B94" w:rsidRDefault="00975D37">
      <w:pPr>
        <w:pStyle w:val="Podpis"/>
        <w:rPr>
          <w:rFonts w:cs="Arial"/>
          <w:szCs w:val="24"/>
        </w:rPr>
      </w:pPr>
      <w:r w:rsidRPr="00ED3B94">
        <w:rPr>
          <w:rFonts w:cs="Arial"/>
          <w:szCs w:val="24"/>
        </w:rPr>
        <w:t>……………………………….</w:t>
      </w:r>
    </w:p>
    <w:p w14:paraId="39AFAEF2" w14:textId="77777777" w:rsidR="00975D37" w:rsidRPr="00ED3B94" w:rsidRDefault="00900A46">
      <w:pPr>
        <w:pStyle w:val="Podpis"/>
        <w:rPr>
          <w:rFonts w:cs="Arial"/>
          <w:szCs w:val="24"/>
        </w:rPr>
      </w:pPr>
      <w:r w:rsidRPr="00ED3B94">
        <w:rPr>
          <w:rFonts w:cs="Arial"/>
          <w:szCs w:val="24"/>
        </w:rPr>
        <w:t>Mgr. Roman Šťastný</w:t>
      </w:r>
    </w:p>
    <w:p w14:paraId="23D74166" w14:textId="77777777" w:rsidR="00975D37" w:rsidRPr="00ED3B94" w:rsidRDefault="00900A46">
      <w:pPr>
        <w:pStyle w:val="Podpis"/>
        <w:rPr>
          <w:rFonts w:cs="Arial"/>
          <w:szCs w:val="24"/>
        </w:rPr>
      </w:pPr>
      <w:r w:rsidRPr="00ED3B94">
        <w:rPr>
          <w:rFonts w:cs="Arial"/>
          <w:szCs w:val="24"/>
        </w:rPr>
        <w:t>předseda Vý</w:t>
      </w:r>
      <w:r w:rsidR="00975D37" w:rsidRPr="00ED3B94">
        <w:rPr>
          <w:rFonts w:cs="Arial"/>
          <w:szCs w:val="24"/>
        </w:rPr>
        <w:t>boru</w:t>
      </w:r>
    </w:p>
    <w:p w14:paraId="13F4A479" w14:textId="77777777" w:rsidR="005060CA" w:rsidRDefault="005060CA" w:rsidP="00ED3B94">
      <w:pPr>
        <w:pStyle w:val="Vborplohy"/>
        <w:jc w:val="both"/>
        <w:rPr>
          <w:b/>
          <w:szCs w:val="22"/>
        </w:rPr>
      </w:pPr>
    </w:p>
    <w:p w14:paraId="2B567533" w14:textId="77777777" w:rsidR="0019639C" w:rsidRDefault="00975D37" w:rsidP="00ED3B94">
      <w:pPr>
        <w:pStyle w:val="Vborplohy"/>
        <w:jc w:val="both"/>
        <w:rPr>
          <w:szCs w:val="22"/>
        </w:rPr>
      </w:pPr>
      <w:r w:rsidRPr="0019639C">
        <w:rPr>
          <w:b/>
          <w:szCs w:val="22"/>
        </w:rPr>
        <w:t>Přílohy</w:t>
      </w:r>
      <w:r w:rsidRPr="00570AA0">
        <w:rPr>
          <w:szCs w:val="22"/>
        </w:rPr>
        <w:t xml:space="preserve">: </w:t>
      </w:r>
      <w:r w:rsidR="00897C2D">
        <w:rPr>
          <w:szCs w:val="22"/>
        </w:rPr>
        <w:tab/>
      </w:r>
    </w:p>
    <w:p w14:paraId="2EDAE4B1" w14:textId="77777777" w:rsidR="00975D37" w:rsidRPr="00EE20AD" w:rsidRDefault="0019639C" w:rsidP="00ED3B94">
      <w:pPr>
        <w:pStyle w:val="Vborplohy"/>
        <w:jc w:val="both"/>
        <w:rPr>
          <w:sz w:val="24"/>
          <w:szCs w:val="24"/>
        </w:rPr>
      </w:pPr>
      <w:r w:rsidRPr="00EE20AD">
        <w:rPr>
          <w:sz w:val="24"/>
          <w:szCs w:val="24"/>
        </w:rPr>
        <w:t xml:space="preserve">Příloha č. 1 </w:t>
      </w:r>
      <w:r w:rsidR="00ED3B94">
        <w:rPr>
          <w:szCs w:val="24"/>
        </w:rPr>
        <w:t>–</w:t>
      </w:r>
      <w:r w:rsidRPr="00ED3B94">
        <w:rPr>
          <w:rFonts w:cs="Times New Roman"/>
          <w:noProof/>
          <w:sz w:val="24"/>
          <w:szCs w:val="24"/>
        </w:rPr>
        <w:t xml:space="preserve"> </w:t>
      </w:r>
      <w:r w:rsidR="00897C2D" w:rsidRPr="00EE20AD">
        <w:rPr>
          <w:sz w:val="24"/>
          <w:szCs w:val="24"/>
        </w:rPr>
        <w:t>Informace z jednání orgánů kraje</w:t>
      </w:r>
    </w:p>
    <w:p w14:paraId="1E8438DD" w14:textId="77777777" w:rsidR="00230A6F" w:rsidRDefault="0019639C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 w:rsidRPr="00EE20AD">
        <w:rPr>
          <w:szCs w:val="24"/>
        </w:rPr>
        <w:t xml:space="preserve">Příloha č. 2 </w:t>
      </w:r>
      <w:r w:rsidR="00ED3B94">
        <w:rPr>
          <w:szCs w:val="24"/>
        </w:rPr>
        <w:t>–</w:t>
      </w:r>
      <w:r w:rsidR="00EE50FE">
        <w:rPr>
          <w:szCs w:val="24"/>
        </w:rPr>
        <w:t xml:space="preserve"> Prezentace Aktuální informace z územního plánování</w:t>
      </w:r>
    </w:p>
    <w:p w14:paraId="5186329A" w14:textId="77777777" w:rsidR="00230A6F" w:rsidRDefault="0019639C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 w:rsidRPr="00EE20AD">
        <w:rPr>
          <w:szCs w:val="24"/>
        </w:rPr>
        <w:t xml:space="preserve">Příloha č. 3 </w:t>
      </w:r>
      <w:r w:rsidR="00ED3B94">
        <w:rPr>
          <w:szCs w:val="24"/>
        </w:rPr>
        <w:t>–</w:t>
      </w:r>
      <w:r w:rsidR="00EE50FE">
        <w:rPr>
          <w:szCs w:val="24"/>
        </w:rPr>
        <w:t xml:space="preserve"> Prezentace Aktivity na podporu podnikání a investic v roce 2023</w:t>
      </w:r>
    </w:p>
    <w:p w14:paraId="61883D21" w14:textId="77777777" w:rsidR="003C676B" w:rsidRDefault="0019639C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 w:rsidRPr="00EE20AD">
        <w:rPr>
          <w:szCs w:val="24"/>
        </w:rPr>
        <w:t xml:space="preserve">Příloha č. </w:t>
      </w:r>
      <w:r w:rsidR="00EE50FE">
        <w:rPr>
          <w:szCs w:val="24"/>
        </w:rPr>
        <w:t xml:space="preserve">4 a 5 </w:t>
      </w:r>
      <w:r w:rsidR="00EE20AD">
        <w:rPr>
          <w:szCs w:val="24"/>
        </w:rPr>
        <w:t xml:space="preserve">– </w:t>
      </w:r>
      <w:r w:rsidR="00ED3B94">
        <w:rPr>
          <w:szCs w:val="24"/>
        </w:rPr>
        <w:t>Materiály k žádostem</w:t>
      </w:r>
      <w:r w:rsidR="00EE20AD">
        <w:rPr>
          <w:szCs w:val="24"/>
        </w:rPr>
        <w:t xml:space="preserve"> o poskytnutí individuálních dotací v</w:t>
      </w:r>
      <w:r w:rsidR="00ED3B94">
        <w:rPr>
          <w:szCs w:val="24"/>
        </w:rPr>
        <w:t xml:space="preserve"> oblasti </w:t>
      </w:r>
      <w:r w:rsidR="00EE20AD">
        <w:rPr>
          <w:szCs w:val="24"/>
        </w:rPr>
        <w:t>strategického rozvoje</w:t>
      </w:r>
    </w:p>
    <w:p w14:paraId="24502041" w14:textId="674EA641" w:rsidR="00897C2D" w:rsidRPr="00ED3B94" w:rsidRDefault="003C676B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>
        <w:rPr>
          <w:szCs w:val="24"/>
        </w:rPr>
        <w:t xml:space="preserve">Příloha č. 6 – </w:t>
      </w:r>
      <w:r w:rsidR="00643FF1">
        <w:rPr>
          <w:szCs w:val="24"/>
        </w:rPr>
        <w:t xml:space="preserve">Hlavní výkres </w:t>
      </w:r>
      <w:r>
        <w:rPr>
          <w:szCs w:val="24"/>
        </w:rPr>
        <w:t xml:space="preserve">ÚP Zborov </w:t>
      </w:r>
      <w:r w:rsidR="00EE20AD">
        <w:rPr>
          <w:szCs w:val="24"/>
        </w:rPr>
        <w:t xml:space="preserve"> </w:t>
      </w:r>
      <w:r w:rsidR="00164C6F" w:rsidRPr="00ED3B94">
        <w:rPr>
          <w:szCs w:val="24"/>
        </w:rPr>
        <w:t xml:space="preserve"> </w:t>
      </w:r>
    </w:p>
    <w:p w14:paraId="30F21D14" w14:textId="77777777" w:rsidR="00897C2D" w:rsidRPr="00570AA0" w:rsidRDefault="00897C2D">
      <w:pPr>
        <w:pStyle w:val="Vborplohy"/>
        <w:rPr>
          <w:szCs w:val="22"/>
        </w:rPr>
      </w:pPr>
    </w:p>
    <w:p w14:paraId="53525C56" w14:textId="77777777" w:rsidR="00975D37" w:rsidRPr="00570AA0" w:rsidRDefault="00975D37">
      <w:pPr>
        <w:pStyle w:val="Zkladntext"/>
        <w:rPr>
          <w:rFonts w:cs="Arial"/>
        </w:rPr>
      </w:pPr>
    </w:p>
    <w:sectPr w:rsidR="00975D37" w:rsidRPr="00570A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5E944" w14:textId="77777777" w:rsidR="00384B8D" w:rsidRDefault="00384B8D">
      <w:r>
        <w:separator/>
      </w:r>
    </w:p>
  </w:endnote>
  <w:endnote w:type="continuationSeparator" w:id="0">
    <w:p w14:paraId="70F0C934" w14:textId="77777777" w:rsidR="00384B8D" w:rsidRDefault="0038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2575" w14:textId="77777777" w:rsidR="001467FA" w:rsidRDefault="00146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9D43" w14:textId="4DD48EA5" w:rsidR="001467FA" w:rsidRPr="00FD67F2" w:rsidRDefault="001467FA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9273D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9273D">
      <w:rPr>
        <w:rFonts w:ascii="Arial" w:hAnsi="Arial" w:cs="Arial"/>
        <w:i/>
        <w:noProof/>
        <w:sz w:val="20"/>
        <w:szCs w:val="20"/>
      </w:rPr>
      <w:t>7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FDDA5" w14:textId="77777777" w:rsidR="001467FA" w:rsidRDefault="00146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85BEE" w14:textId="77777777" w:rsidR="00384B8D" w:rsidRDefault="00384B8D">
      <w:r>
        <w:separator/>
      </w:r>
    </w:p>
  </w:footnote>
  <w:footnote w:type="continuationSeparator" w:id="0">
    <w:p w14:paraId="4166FC95" w14:textId="77777777" w:rsidR="00384B8D" w:rsidRDefault="0038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1D23" w14:textId="77777777" w:rsidR="001467FA" w:rsidRDefault="00146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C1A8" w14:textId="77777777" w:rsidR="001467FA" w:rsidRDefault="001467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36DE7" w14:textId="77777777" w:rsidR="001467FA" w:rsidRDefault="00146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202F8"/>
    <w:multiLevelType w:val="hybridMultilevel"/>
    <w:tmpl w:val="C07A8F24"/>
    <w:lvl w:ilvl="0" w:tplc="430C9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051"/>
    <w:multiLevelType w:val="hybridMultilevel"/>
    <w:tmpl w:val="BC442D58"/>
    <w:lvl w:ilvl="0" w:tplc="123AB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433E7"/>
    <w:multiLevelType w:val="hybridMultilevel"/>
    <w:tmpl w:val="ACE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37127"/>
    <w:multiLevelType w:val="hybridMultilevel"/>
    <w:tmpl w:val="F1E46BA4"/>
    <w:lvl w:ilvl="0" w:tplc="763C3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FD3F73"/>
    <w:multiLevelType w:val="hybridMultilevel"/>
    <w:tmpl w:val="35125700"/>
    <w:lvl w:ilvl="0" w:tplc="831060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77A6"/>
    <w:multiLevelType w:val="hybridMultilevel"/>
    <w:tmpl w:val="C97E840E"/>
    <w:lvl w:ilvl="0" w:tplc="551C8F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15"/>
  </w:num>
  <w:num w:numId="5">
    <w:abstractNumId w:val="10"/>
  </w:num>
  <w:num w:numId="6">
    <w:abstractNumId w:val="26"/>
  </w:num>
  <w:num w:numId="7">
    <w:abstractNumId w:val="5"/>
  </w:num>
  <w:num w:numId="8">
    <w:abstractNumId w:val="14"/>
  </w:num>
  <w:num w:numId="9">
    <w:abstractNumId w:val="22"/>
  </w:num>
  <w:num w:numId="10">
    <w:abstractNumId w:val="3"/>
  </w:num>
  <w:num w:numId="11">
    <w:abstractNumId w:val="25"/>
  </w:num>
  <w:num w:numId="12">
    <w:abstractNumId w:val="28"/>
  </w:num>
  <w:num w:numId="13">
    <w:abstractNumId w:val="24"/>
  </w:num>
  <w:num w:numId="14">
    <w:abstractNumId w:val="27"/>
  </w:num>
  <w:num w:numId="15">
    <w:abstractNumId w:val="8"/>
  </w:num>
  <w:num w:numId="16">
    <w:abstractNumId w:val="16"/>
  </w:num>
  <w:num w:numId="17">
    <w:abstractNumId w:val="19"/>
  </w:num>
  <w:num w:numId="18">
    <w:abstractNumId w:val="18"/>
  </w:num>
  <w:num w:numId="19">
    <w:abstractNumId w:val="13"/>
  </w:num>
  <w:num w:numId="20">
    <w:abstractNumId w:val="4"/>
  </w:num>
  <w:num w:numId="21">
    <w:abstractNumId w:val="21"/>
  </w:num>
  <w:num w:numId="22">
    <w:abstractNumId w:val="0"/>
  </w:num>
  <w:num w:numId="23">
    <w:abstractNumId w:val="6"/>
  </w:num>
  <w:num w:numId="24">
    <w:abstractNumId w:val="17"/>
  </w:num>
  <w:num w:numId="25">
    <w:abstractNumId w:val="1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3"/>
  </w:num>
  <w:num w:numId="29">
    <w:abstractNumId w:val="9"/>
  </w:num>
  <w:num w:numId="30">
    <w:abstractNumId w:val="1"/>
  </w:num>
  <w:num w:numId="31">
    <w:abstractNumId w:val="29"/>
  </w:num>
  <w:num w:numId="32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17FD"/>
    <w:rsid w:val="000076B9"/>
    <w:rsid w:val="00011F42"/>
    <w:rsid w:val="00052E94"/>
    <w:rsid w:val="00056272"/>
    <w:rsid w:val="000604BD"/>
    <w:rsid w:val="00065C3A"/>
    <w:rsid w:val="00073E5E"/>
    <w:rsid w:val="000B7200"/>
    <w:rsid w:val="000B7615"/>
    <w:rsid w:val="000D26F3"/>
    <w:rsid w:val="000D409D"/>
    <w:rsid w:val="00110075"/>
    <w:rsid w:val="00112C2C"/>
    <w:rsid w:val="00117D2E"/>
    <w:rsid w:val="00130BC6"/>
    <w:rsid w:val="001467FA"/>
    <w:rsid w:val="001514B6"/>
    <w:rsid w:val="00154621"/>
    <w:rsid w:val="00161D08"/>
    <w:rsid w:val="00164C6F"/>
    <w:rsid w:val="00187F04"/>
    <w:rsid w:val="0019639C"/>
    <w:rsid w:val="001B1E5D"/>
    <w:rsid w:val="001B55D6"/>
    <w:rsid w:val="001B7E25"/>
    <w:rsid w:val="001C1EFD"/>
    <w:rsid w:val="001C334D"/>
    <w:rsid w:val="001C3659"/>
    <w:rsid w:val="001D6F43"/>
    <w:rsid w:val="001F5DD8"/>
    <w:rsid w:val="001F6056"/>
    <w:rsid w:val="001F6C25"/>
    <w:rsid w:val="00205498"/>
    <w:rsid w:val="00206160"/>
    <w:rsid w:val="0021638E"/>
    <w:rsid w:val="00230A6F"/>
    <w:rsid w:val="00285CF5"/>
    <w:rsid w:val="002B09DB"/>
    <w:rsid w:val="002B63E8"/>
    <w:rsid w:val="002C720E"/>
    <w:rsid w:val="002D30EA"/>
    <w:rsid w:val="002D5585"/>
    <w:rsid w:val="002D7DAD"/>
    <w:rsid w:val="002E358E"/>
    <w:rsid w:val="002F563B"/>
    <w:rsid w:val="00320BA1"/>
    <w:rsid w:val="003510F6"/>
    <w:rsid w:val="003707C8"/>
    <w:rsid w:val="00373C1C"/>
    <w:rsid w:val="00376EF0"/>
    <w:rsid w:val="00383E57"/>
    <w:rsid w:val="00384B8D"/>
    <w:rsid w:val="00386403"/>
    <w:rsid w:val="0039124B"/>
    <w:rsid w:val="003A28EA"/>
    <w:rsid w:val="003B0C9D"/>
    <w:rsid w:val="003C676B"/>
    <w:rsid w:val="003D34A9"/>
    <w:rsid w:val="003F0E5D"/>
    <w:rsid w:val="0040165F"/>
    <w:rsid w:val="00423B18"/>
    <w:rsid w:val="0043546D"/>
    <w:rsid w:val="00457712"/>
    <w:rsid w:val="0046530A"/>
    <w:rsid w:val="004949D6"/>
    <w:rsid w:val="004A2B08"/>
    <w:rsid w:val="004E1377"/>
    <w:rsid w:val="004E490F"/>
    <w:rsid w:val="004F399F"/>
    <w:rsid w:val="00503504"/>
    <w:rsid w:val="005060CA"/>
    <w:rsid w:val="005177F8"/>
    <w:rsid w:val="00523988"/>
    <w:rsid w:val="00526048"/>
    <w:rsid w:val="00526B0B"/>
    <w:rsid w:val="005330E3"/>
    <w:rsid w:val="005543EB"/>
    <w:rsid w:val="00570AA0"/>
    <w:rsid w:val="005736D6"/>
    <w:rsid w:val="00573C16"/>
    <w:rsid w:val="005C664E"/>
    <w:rsid w:val="005D51DB"/>
    <w:rsid w:val="00623CD9"/>
    <w:rsid w:val="00630BFF"/>
    <w:rsid w:val="00643FF1"/>
    <w:rsid w:val="00646847"/>
    <w:rsid w:val="006626C4"/>
    <w:rsid w:val="00662BF0"/>
    <w:rsid w:val="00687835"/>
    <w:rsid w:val="00690BB6"/>
    <w:rsid w:val="00695D83"/>
    <w:rsid w:val="006975EF"/>
    <w:rsid w:val="006B33DE"/>
    <w:rsid w:val="006B4E9C"/>
    <w:rsid w:val="006B50C5"/>
    <w:rsid w:val="006B69CB"/>
    <w:rsid w:val="007123B2"/>
    <w:rsid w:val="00714167"/>
    <w:rsid w:val="00722786"/>
    <w:rsid w:val="007362EC"/>
    <w:rsid w:val="00744BDF"/>
    <w:rsid w:val="00750161"/>
    <w:rsid w:val="0076293B"/>
    <w:rsid w:val="00775B3B"/>
    <w:rsid w:val="007761A8"/>
    <w:rsid w:val="0079208F"/>
    <w:rsid w:val="007D3003"/>
    <w:rsid w:val="007D45D6"/>
    <w:rsid w:val="007E2955"/>
    <w:rsid w:val="007E318C"/>
    <w:rsid w:val="007F03FF"/>
    <w:rsid w:val="007F2BF4"/>
    <w:rsid w:val="0080028F"/>
    <w:rsid w:val="008271F3"/>
    <w:rsid w:val="00830627"/>
    <w:rsid w:val="008728AA"/>
    <w:rsid w:val="0087519E"/>
    <w:rsid w:val="00882ED9"/>
    <w:rsid w:val="00883EBE"/>
    <w:rsid w:val="0089505B"/>
    <w:rsid w:val="00895CDE"/>
    <w:rsid w:val="00897C2D"/>
    <w:rsid w:val="008A0C12"/>
    <w:rsid w:val="008A2F08"/>
    <w:rsid w:val="00900A46"/>
    <w:rsid w:val="009119A6"/>
    <w:rsid w:val="009338B9"/>
    <w:rsid w:val="00964761"/>
    <w:rsid w:val="00975D37"/>
    <w:rsid w:val="009A046B"/>
    <w:rsid w:val="009B3968"/>
    <w:rsid w:val="009E3FA7"/>
    <w:rsid w:val="009F4A73"/>
    <w:rsid w:val="00A0217E"/>
    <w:rsid w:val="00A06C9D"/>
    <w:rsid w:val="00A1021D"/>
    <w:rsid w:val="00A264FD"/>
    <w:rsid w:val="00A36E60"/>
    <w:rsid w:val="00A37D6E"/>
    <w:rsid w:val="00A5136B"/>
    <w:rsid w:val="00A563B1"/>
    <w:rsid w:val="00A76F6F"/>
    <w:rsid w:val="00AB1FEF"/>
    <w:rsid w:val="00AC58AB"/>
    <w:rsid w:val="00AD06B5"/>
    <w:rsid w:val="00AD5092"/>
    <w:rsid w:val="00AD62E1"/>
    <w:rsid w:val="00AE1FBE"/>
    <w:rsid w:val="00B2719B"/>
    <w:rsid w:val="00B51654"/>
    <w:rsid w:val="00B870E6"/>
    <w:rsid w:val="00B921F5"/>
    <w:rsid w:val="00BB6578"/>
    <w:rsid w:val="00BC3349"/>
    <w:rsid w:val="00BE422F"/>
    <w:rsid w:val="00C01844"/>
    <w:rsid w:val="00C06141"/>
    <w:rsid w:val="00C105C6"/>
    <w:rsid w:val="00C2361B"/>
    <w:rsid w:val="00C50AD3"/>
    <w:rsid w:val="00C52DF4"/>
    <w:rsid w:val="00C56872"/>
    <w:rsid w:val="00C66D5B"/>
    <w:rsid w:val="00C67E7B"/>
    <w:rsid w:val="00C90E96"/>
    <w:rsid w:val="00CC0E5B"/>
    <w:rsid w:val="00CF3AC8"/>
    <w:rsid w:val="00D0686A"/>
    <w:rsid w:val="00D10F7A"/>
    <w:rsid w:val="00D1513D"/>
    <w:rsid w:val="00D318DA"/>
    <w:rsid w:val="00D466B9"/>
    <w:rsid w:val="00D7401A"/>
    <w:rsid w:val="00D97D5D"/>
    <w:rsid w:val="00DB5E50"/>
    <w:rsid w:val="00DC50E8"/>
    <w:rsid w:val="00DF5653"/>
    <w:rsid w:val="00E37A12"/>
    <w:rsid w:val="00E418DD"/>
    <w:rsid w:val="00E44D76"/>
    <w:rsid w:val="00E66878"/>
    <w:rsid w:val="00EB1A48"/>
    <w:rsid w:val="00EB34A5"/>
    <w:rsid w:val="00ED3B94"/>
    <w:rsid w:val="00EE20AD"/>
    <w:rsid w:val="00EE4A7C"/>
    <w:rsid w:val="00EE50FE"/>
    <w:rsid w:val="00EF7DDC"/>
    <w:rsid w:val="00EF7EC8"/>
    <w:rsid w:val="00F026EE"/>
    <w:rsid w:val="00F74237"/>
    <w:rsid w:val="00F8113E"/>
    <w:rsid w:val="00F9273D"/>
    <w:rsid w:val="00FB3CC1"/>
    <w:rsid w:val="00FC3657"/>
    <w:rsid w:val="00FC7379"/>
    <w:rsid w:val="00FD26BD"/>
    <w:rsid w:val="00FD67F2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19D438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Normln"/>
    <w:rsid w:val="00DC50E8"/>
    <w:pPr>
      <w:widowControl w:val="0"/>
      <w:pBdr>
        <w:top w:val="single" w:sz="4" w:space="1" w:color="auto"/>
      </w:pBdr>
      <w:tabs>
        <w:tab w:val="num" w:pos="567"/>
      </w:tabs>
      <w:jc w:val="both"/>
    </w:pPr>
    <w:rPr>
      <w:rFonts w:ascii="Arial" w:hAnsi="Arial"/>
      <w:noProof/>
      <w:sz w:val="16"/>
      <w:szCs w:val="20"/>
    </w:rPr>
  </w:style>
  <w:style w:type="paragraph" w:styleId="Odstavecseseznamem">
    <w:name w:val="List Paragraph"/>
    <w:basedOn w:val="Normln"/>
    <w:uiPriority w:val="34"/>
    <w:qFormat/>
    <w:rsid w:val="00883E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5060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rsid w:val="002E3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olkraj.cz/regionalni-rozvoj-a-podnikani-cl-5140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AAEA-14BB-4C53-AFF6-D8BF226C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2219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2</cp:revision>
  <cp:lastPrinted>2003-04-01T06:44:00Z</cp:lastPrinted>
  <dcterms:created xsi:type="dcterms:W3CDTF">2023-06-26T06:32:00Z</dcterms:created>
  <dcterms:modified xsi:type="dcterms:W3CDTF">2023-06-26T06:32:00Z</dcterms:modified>
</cp:coreProperties>
</file>