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39F8010E" w:rsidR="00A559EF" w:rsidRDefault="00265693" w:rsidP="00A559EF">
      <w:pPr>
        <w:pStyle w:val="nzvy"/>
        <w:rPr>
          <w:sz w:val="2"/>
          <w:szCs w:val="2"/>
        </w:rPr>
      </w:pPr>
      <w:r>
        <w:rPr>
          <w:sz w:val="2"/>
          <w:szCs w:val="2"/>
        </w:rPr>
        <w:t xml:space="preserve">. </w:t>
      </w:r>
    </w:p>
    <w:p w14:paraId="0D785BE9" w14:textId="083B3044" w:rsidR="00A559EF" w:rsidRDefault="00265693" w:rsidP="00A559EF">
      <w:pPr>
        <w:pStyle w:val="nzvy"/>
        <w:rPr>
          <w:sz w:val="2"/>
          <w:szCs w:val="2"/>
        </w:rPr>
      </w:pPr>
      <w:r>
        <w:rPr>
          <w:sz w:val="2"/>
          <w:szCs w:val="2"/>
        </w:rPr>
        <w:t xml:space="preserve">. </w:t>
      </w: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82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82"/>
      </w:tblGrid>
      <w:tr w:rsidR="00644945" w:rsidRPr="003D08BC" w14:paraId="0B97FBCC" w14:textId="77777777" w:rsidTr="00AF3ED7">
        <w:trPr>
          <w:trHeight w:val="13002"/>
        </w:trPr>
        <w:tc>
          <w:tcPr>
            <w:tcW w:w="9382" w:type="dxa"/>
          </w:tcPr>
          <w:p w14:paraId="04BFCA71" w14:textId="6D530D2A" w:rsidR="00644945" w:rsidRPr="004105A9" w:rsidRDefault="00644945" w:rsidP="006D5C99">
            <w:pPr>
              <w:rPr>
                <w:b/>
              </w:rPr>
            </w:pPr>
            <w:r w:rsidRPr="004105A9">
              <w:rPr>
                <w:b/>
              </w:rPr>
              <w:t>Důvodová zpráva</w:t>
            </w:r>
          </w:p>
          <w:p w14:paraId="72F77231" w14:textId="74C65D6C" w:rsidR="006F0BEB" w:rsidRPr="00257F24" w:rsidRDefault="00E622A2" w:rsidP="008769FA">
            <w:pPr>
              <w:jc w:val="both"/>
            </w:pPr>
            <w:r w:rsidRPr="00257F24">
              <w:t>V této důvodové zprávě</w:t>
            </w:r>
            <w:r w:rsidR="00265693" w:rsidRPr="00257F24">
              <w:t xml:space="preserve"> </w:t>
            </w:r>
            <w:r w:rsidR="00940DE3" w:rsidRPr="00257F24">
              <w:t xml:space="preserve">předkládá </w:t>
            </w:r>
            <w:r w:rsidR="00697B73">
              <w:t>Rada</w:t>
            </w:r>
            <w:r w:rsidR="00644945" w:rsidRPr="00257F24">
              <w:t xml:space="preserve"> Olomouckého kraje</w:t>
            </w:r>
            <w:r w:rsidR="005A2D12" w:rsidRPr="00257F24">
              <w:t xml:space="preserve"> (ROK)</w:t>
            </w:r>
            <w:r w:rsidR="00644945" w:rsidRPr="00257F24">
              <w:t xml:space="preserve"> </w:t>
            </w:r>
            <w:r w:rsidR="005C0E92">
              <w:t>Zastupitel</w:t>
            </w:r>
            <w:r w:rsidR="00697B73">
              <w:t xml:space="preserve">stvu Olomouckého kraje (ZOK) </w:t>
            </w:r>
            <w:r w:rsidRPr="00257F24">
              <w:t xml:space="preserve">k opakovanému projednání </w:t>
            </w:r>
            <w:r w:rsidR="00644945" w:rsidRPr="00257F24">
              <w:t>žádost o poskytnutí indi</w:t>
            </w:r>
            <w:r w:rsidR="00F537B8" w:rsidRPr="00257F24">
              <w:t xml:space="preserve">viduální dotace na projekt </w:t>
            </w:r>
            <w:r w:rsidR="00F078FC" w:rsidRPr="00257F24">
              <w:t>„</w:t>
            </w:r>
            <w:r w:rsidR="00F537B8" w:rsidRPr="00257F24">
              <w:t>Nejste sami – mobilní hospic pro děti a dospělé</w:t>
            </w:r>
            <w:r w:rsidR="00F078FC" w:rsidRPr="00257F24">
              <w:t>“</w:t>
            </w:r>
            <w:r w:rsidR="00644945" w:rsidRPr="00257F24">
              <w:t xml:space="preserve">. Žádost byla podána dne </w:t>
            </w:r>
            <w:r w:rsidR="00F537B8" w:rsidRPr="00257F24">
              <w:t>16. 5.</w:t>
            </w:r>
            <w:r w:rsidR="00265693" w:rsidRPr="00257F24">
              <w:t xml:space="preserve"> 2017.</w:t>
            </w:r>
          </w:p>
          <w:p w14:paraId="5C74EDED" w14:textId="48ECACE0" w:rsidR="000E7E19" w:rsidRPr="00257F24" w:rsidRDefault="00265693" w:rsidP="00946CC7">
            <w:pPr>
              <w:jc w:val="both"/>
            </w:pPr>
            <w:r w:rsidRPr="00257F24">
              <w:t xml:space="preserve">Tato žádost </w:t>
            </w:r>
            <w:r w:rsidR="00FF0A6C" w:rsidRPr="00257F24">
              <w:t xml:space="preserve">byla </w:t>
            </w:r>
            <w:r w:rsidR="005A2D12" w:rsidRPr="00257F24">
              <w:t>projednána</w:t>
            </w:r>
            <w:r w:rsidRPr="00257F24">
              <w:t xml:space="preserve"> </w:t>
            </w:r>
            <w:r w:rsidR="005A2D12" w:rsidRPr="00257F24">
              <w:t>na schůzi ROK dne 2. 6. 2017 a s </w:t>
            </w:r>
            <w:r w:rsidR="003D46C3" w:rsidRPr="00257F24">
              <w:t>nedoporučující</w:t>
            </w:r>
            <w:r w:rsidR="005A2D12" w:rsidRPr="00257F24">
              <w:t xml:space="preserve">m stanoviskem předložena k projednání na </w:t>
            </w:r>
            <w:r w:rsidR="000E7E19" w:rsidRPr="00257F24">
              <w:t xml:space="preserve">zasedání </w:t>
            </w:r>
            <w:r w:rsidR="000D7FA8">
              <w:t>ZOK</w:t>
            </w:r>
            <w:r w:rsidR="004C11F3" w:rsidRPr="00257F24">
              <w:t xml:space="preserve"> dne 19. 6. 2017</w:t>
            </w:r>
            <w:r w:rsidRPr="00257F24">
              <w:t xml:space="preserve">. </w:t>
            </w:r>
            <w:r w:rsidR="000E7E19" w:rsidRPr="00257F24">
              <w:t>Materiál byl předložen spolu s další žádostí o individuální dotaci. Následně bylo</w:t>
            </w:r>
            <w:r w:rsidR="003D46C3" w:rsidRPr="00257F24">
              <w:t xml:space="preserve"> ZOK </w:t>
            </w:r>
            <w:r w:rsidR="000E7E19" w:rsidRPr="00257F24">
              <w:t>rozhodnuto, že o každé žádosti</w:t>
            </w:r>
            <w:r w:rsidR="003D46C3" w:rsidRPr="00257F24">
              <w:t xml:space="preserve"> bude hlasováno</w:t>
            </w:r>
            <w:r w:rsidR="000E7E19" w:rsidRPr="00257F24">
              <w:t xml:space="preserve"> samostatně. Přijaté usnesení </w:t>
            </w:r>
            <w:r w:rsidR="00257F24" w:rsidRPr="00257F24">
              <w:t xml:space="preserve">č. </w:t>
            </w:r>
            <w:r w:rsidR="000E7E19" w:rsidRPr="00257F24">
              <w:t>UZ/5/35/2017 se však vztahovalo pouze ke druhé projednávané žádosti jiného žadatele,</w:t>
            </w:r>
            <w:r w:rsidR="00FF0A6C" w:rsidRPr="00257F24">
              <w:t xml:space="preserve"> </w:t>
            </w:r>
            <w:r w:rsidR="000E7E19" w:rsidRPr="00257F24">
              <w:t>k žádosti žadatele Nejste sami - mobilní hospic, z.ú. nezaujalo Z</w:t>
            </w:r>
            <w:r w:rsidR="00FF0A6C" w:rsidRPr="00257F24">
              <w:t>OK</w:t>
            </w:r>
            <w:r w:rsidR="000E7E19" w:rsidRPr="00257F24">
              <w:t xml:space="preserve"> žádné stanovisko, žádost</w:t>
            </w:r>
            <w:r w:rsidR="00FF0A6C" w:rsidRPr="00257F24">
              <w:t xml:space="preserve"> nebyla schválena ani zamítnuta, o žádosti nebylo rozhodnuto.</w:t>
            </w:r>
            <w:r w:rsidR="000E7E19" w:rsidRPr="00257F24">
              <w:t xml:space="preserve"> </w:t>
            </w:r>
            <w:r w:rsidR="00FF0A6C" w:rsidRPr="00257F24">
              <w:t>Z</w:t>
            </w:r>
            <w:r w:rsidR="005A2D12" w:rsidRPr="00257F24">
              <w:t> </w:t>
            </w:r>
            <w:r w:rsidR="000E7E19" w:rsidRPr="00257F24">
              <w:t>přepis</w:t>
            </w:r>
            <w:r w:rsidR="00FF0A6C" w:rsidRPr="00257F24">
              <w:t>u</w:t>
            </w:r>
            <w:r w:rsidR="000E7E19" w:rsidRPr="00257F24">
              <w:t xml:space="preserve"> záznamu ze zasedán</w:t>
            </w:r>
            <w:r w:rsidR="00FF0A6C" w:rsidRPr="00257F24">
              <w:t>í ZOK dne 19. 6.2017</w:t>
            </w:r>
            <w:r w:rsidR="000E7E19" w:rsidRPr="00257F24">
              <w:t xml:space="preserve"> vyplývá, že žádost bude nutné znovu projednat. Bylo hlasováno o protinávrhu, který nebyl přijat, poté bylo hlasováno o návrhu, který nebyl schválen, takže žádost musí být znovu předložena na jednání.</w:t>
            </w:r>
          </w:p>
          <w:p w14:paraId="43282DAA" w14:textId="06B2FCF8" w:rsidR="000E7E19" w:rsidRPr="003D08BC" w:rsidRDefault="001C747D" w:rsidP="00946CC7">
            <w:pPr>
              <w:jc w:val="both"/>
            </w:pPr>
            <w:r w:rsidRPr="00257F24">
              <w:t>Předkladate</w:t>
            </w:r>
            <w:r w:rsidR="003D46C3" w:rsidRPr="00257F24">
              <w:t>l a zpracovatel</w:t>
            </w:r>
            <w:r w:rsidRPr="00257F24">
              <w:t xml:space="preserve"> </w:t>
            </w:r>
            <w:r w:rsidRPr="00F927AC">
              <w:t>nyní</w:t>
            </w:r>
            <w:r w:rsidR="000D7FA8" w:rsidRPr="00F927AC">
              <w:t xml:space="preserve"> s doporučujícím stanoviskem ROK</w:t>
            </w:r>
            <w:r w:rsidRPr="00257F24">
              <w:t xml:space="preserve"> </w:t>
            </w:r>
            <w:r w:rsidR="000D7FA8">
              <w:t xml:space="preserve">znovu </w:t>
            </w:r>
            <w:r w:rsidRPr="00257F24">
              <w:t xml:space="preserve">předkládají </w:t>
            </w:r>
            <w:r w:rsidR="000D7FA8">
              <w:t>žádost Z</w:t>
            </w:r>
            <w:r w:rsidR="003D46C3" w:rsidRPr="00257F24">
              <w:t xml:space="preserve">OK </w:t>
            </w:r>
            <w:r w:rsidRPr="00257F24">
              <w:t>k opakovanému projednání.</w:t>
            </w:r>
            <w:r>
              <w:t xml:space="preserve"> </w:t>
            </w:r>
          </w:p>
          <w:p w14:paraId="271BF2E6" w14:textId="77777777" w:rsidR="002F50FF" w:rsidRPr="003D08BC" w:rsidRDefault="002F50FF" w:rsidP="008769FA">
            <w:pPr>
              <w:jc w:val="both"/>
            </w:pPr>
          </w:p>
          <w:p w14:paraId="5CE85EDD" w14:textId="4F675F8F" w:rsidR="002F50FF" w:rsidRPr="003D08BC" w:rsidRDefault="00644945" w:rsidP="008769FA">
            <w:pPr>
              <w:jc w:val="both"/>
            </w:pPr>
            <w:r w:rsidRPr="003D08BC">
              <w:rPr>
                <w:b/>
              </w:rPr>
              <w:t>Žadatel:</w:t>
            </w:r>
            <w:r w:rsidRPr="003D08BC">
              <w:t xml:space="preserve"> </w:t>
            </w:r>
            <w:r w:rsidR="00F537B8" w:rsidRPr="003D08BC">
              <w:t>Nejste sami – mobilní hospic, z.ú</w:t>
            </w:r>
            <w:r w:rsidR="00AF3ED7" w:rsidRPr="003D08BC">
              <w:t>.</w:t>
            </w:r>
            <w:r w:rsidRPr="003D08BC">
              <w:t xml:space="preserve"> </w:t>
            </w:r>
          </w:p>
          <w:p w14:paraId="5A36FCA6" w14:textId="5F8EFC5F" w:rsidR="002F50FF" w:rsidRPr="003D08BC" w:rsidRDefault="00644945" w:rsidP="008769FA">
            <w:pPr>
              <w:jc w:val="both"/>
            </w:pPr>
            <w:r w:rsidRPr="003D08BC">
              <w:t>I</w:t>
            </w:r>
            <w:r w:rsidR="002F50FF" w:rsidRPr="003D08BC">
              <w:t>Č</w:t>
            </w:r>
            <w:r w:rsidR="003C47C5" w:rsidRPr="003D08BC">
              <w:t>:</w:t>
            </w:r>
            <w:r w:rsidR="002F50FF" w:rsidRPr="003D08BC">
              <w:t xml:space="preserve"> </w:t>
            </w:r>
            <w:r w:rsidR="00F537B8" w:rsidRPr="003D08BC">
              <w:t>04871243</w:t>
            </w:r>
            <w:r w:rsidRPr="003D08BC">
              <w:t xml:space="preserve">     </w:t>
            </w:r>
          </w:p>
          <w:p w14:paraId="66630149" w14:textId="24AF5CF9" w:rsidR="00644945" w:rsidRPr="003D08BC" w:rsidRDefault="00AF3ED7" w:rsidP="008769FA">
            <w:pPr>
              <w:jc w:val="both"/>
            </w:pPr>
            <w:r w:rsidRPr="003D08BC">
              <w:t>s</w:t>
            </w:r>
            <w:r w:rsidR="00644945" w:rsidRPr="003D08BC">
              <w:t>ídlo</w:t>
            </w:r>
            <w:r w:rsidR="002F50FF" w:rsidRPr="003D08BC">
              <w:t>:</w:t>
            </w:r>
            <w:r w:rsidR="00644945" w:rsidRPr="003D08BC">
              <w:t xml:space="preserve"> </w:t>
            </w:r>
            <w:r w:rsidR="00F537B8" w:rsidRPr="003D08BC">
              <w:t>Wellnerova 301/20, 779 00 Olomouc</w:t>
            </w:r>
          </w:p>
          <w:p w14:paraId="24D0450D" w14:textId="77777777" w:rsidR="002F50FF" w:rsidRPr="003D08BC" w:rsidRDefault="002F50FF" w:rsidP="008769FA">
            <w:pPr>
              <w:jc w:val="both"/>
              <w:rPr>
                <w:b/>
              </w:rPr>
            </w:pPr>
          </w:p>
          <w:p w14:paraId="2750775F" w14:textId="2F45DA14" w:rsidR="00644945" w:rsidRPr="003D08BC" w:rsidRDefault="00893D6C" w:rsidP="008769FA">
            <w:pPr>
              <w:jc w:val="both"/>
              <w:rPr>
                <w:b/>
              </w:rPr>
            </w:pPr>
            <w:r>
              <w:rPr>
                <w:b/>
              </w:rPr>
              <w:t>Údaje o projektu</w:t>
            </w:r>
          </w:p>
          <w:p w14:paraId="7F92641A" w14:textId="39F7E49F" w:rsidR="00F537B8" w:rsidRPr="003D08BC" w:rsidRDefault="00644945" w:rsidP="008769FA">
            <w:pPr>
              <w:autoSpaceDE w:val="0"/>
              <w:jc w:val="both"/>
            </w:pPr>
            <w:r w:rsidRPr="003D08BC">
              <w:rPr>
                <w:b/>
              </w:rPr>
              <w:t xml:space="preserve">Popis </w:t>
            </w:r>
            <w:r w:rsidR="00893D6C">
              <w:rPr>
                <w:b/>
              </w:rPr>
              <w:t>projektu</w:t>
            </w:r>
            <w:r w:rsidRPr="003D08BC">
              <w:rPr>
                <w:b/>
              </w:rPr>
              <w:t>:</w:t>
            </w:r>
            <w:r w:rsidRPr="003D08BC">
              <w:t xml:space="preserve"> </w:t>
            </w:r>
            <w:r w:rsidR="00F537B8" w:rsidRPr="003D08BC">
              <w:rPr>
                <w:rFonts w:cs="Arial"/>
                <w:szCs w:val="24"/>
              </w:rPr>
              <w:t>Nejste sami</w:t>
            </w:r>
            <w:r w:rsidR="006F0BEB">
              <w:rPr>
                <w:rFonts w:cs="Arial"/>
                <w:szCs w:val="24"/>
              </w:rPr>
              <w:t xml:space="preserve"> </w:t>
            </w:r>
            <w:r w:rsidR="00FF0A6C">
              <w:rPr>
                <w:rFonts w:cs="Arial"/>
                <w:szCs w:val="24"/>
              </w:rPr>
              <w:t>–</w:t>
            </w:r>
            <w:r w:rsidR="006F0BEB">
              <w:rPr>
                <w:rFonts w:cs="Arial"/>
                <w:szCs w:val="24"/>
              </w:rPr>
              <w:t xml:space="preserve"> </w:t>
            </w:r>
            <w:r w:rsidR="00F537B8" w:rsidRPr="003D08BC">
              <w:rPr>
                <w:rFonts w:cs="Arial"/>
                <w:szCs w:val="24"/>
              </w:rPr>
              <w:t>mobilní hospic, z.ú. poskytuje své odborné lékařské a zdravotnické služby vzhledem k</w:t>
            </w:r>
            <w:r w:rsidR="00FF0A6C">
              <w:rPr>
                <w:rFonts w:cs="Arial"/>
                <w:szCs w:val="24"/>
              </w:rPr>
              <w:t> </w:t>
            </w:r>
            <w:r w:rsidR="00F537B8" w:rsidRPr="003D08BC">
              <w:rPr>
                <w:rFonts w:cs="Arial"/>
                <w:szCs w:val="24"/>
              </w:rPr>
              <w:t>nedostatečným finančním možnostem na území Olomouce a okolí (dojezdová vzdálenost do 40 km od Olomouce) od 1. září 2016. Od tohoto data zajišťuje profesionální mobilní specializovanou paliativní péči v</w:t>
            </w:r>
            <w:r w:rsidR="00FF0A6C">
              <w:rPr>
                <w:rFonts w:cs="Arial"/>
                <w:szCs w:val="24"/>
              </w:rPr>
              <w:t> </w:t>
            </w:r>
            <w:r w:rsidR="00F537B8" w:rsidRPr="003D08BC">
              <w:rPr>
                <w:rFonts w:cs="Arial"/>
                <w:szCs w:val="24"/>
              </w:rPr>
              <w:t>přirozeném prostředí dospělých a dětských pacientů, kteří se nachází v</w:t>
            </w:r>
            <w:r w:rsidR="00FF0A6C">
              <w:rPr>
                <w:rFonts w:cs="Arial"/>
                <w:szCs w:val="24"/>
              </w:rPr>
              <w:t> </w:t>
            </w:r>
            <w:r w:rsidR="00F537B8" w:rsidRPr="003D08BC">
              <w:rPr>
                <w:rFonts w:cs="Arial"/>
                <w:szCs w:val="24"/>
              </w:rPr>
              <w:t>terminálním stádiu své nemoci či umírání. V</w:t>
            </w:r>
            <w:r w:rsidR="00FF0A6C">
              <w:rPr>
                <w:rFonts w:cs="Arial"/>
                <w:szCs w:val="24"/>
              </w:rPr>
              <w:t> </w:t>
            </w:r>
            <w:r w:rsidR="00F537B8" w:rsidRPr="003D08BC">
              <w:rPr>
                <w:rFonts w:cs="Arial"/>
                <w:szCs w:val="24"/>
              </w:rPr>
              <w:t>Olomouckém kraji se díky této službě poprvé otevřela možnost pro tyto pacienty a jejich rodiny, aby své poslední dny mohli strávit ve svém domácím prostředí, obklopeni svými nejbližšími. Osoby, které se rozhodnou zemřít doma tak mají v</w:t>
            </w:r>
            <w:r w:rsidR="00FF0A6C">
              <w:rPr>
                <w:rFonts w:cs="Arial"/>
                <w:szCs w:val="24"/>
              </w:rPr>
              <w:t> </w:t>
            </w:r>
            <w:r w:rsidR="00F537B8" w:rsidRPr="003D08BC">
              <w:rPr>
                <w:rFonts w:cs="Arial"/>
                <w:szCs w:val="24"/>
              </w:rPr>
              <w:t>zádech oporu mulitidisciplinárního týmu, který se věnuje jak samotnému nemocnému pacientovi, tak doprovázející rodině.</w:t>
            </w:r>
          </w:p>
          <w:p w14:paraId="2E172678" w14:textId="7FF2DEDC" w:rsidR="00F537B8" w:rsidRPr="003D08BC" w:rsidRDefault="00F537B8" w:rsidP="00F537B8">
            <w:pPr>
              <w:autoSpaceDE w:val="0"/>
              <w:jc w:val="both"/>
              <w:rPr>
                <w:rFonts w:cs="Arial"/>
                <w:szCs w:val="24"/>
              </w:rPr>
            </w:pPr>
            <w:r w:rsidRPr="003D08BC">
              <w:rPr>
                <w:rFonts w:cs="Arial"/>
                <w:szCs w:val="24"/>
              </w:rPr>
              <w:t>Služby jsou v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duchu hospicového hnutí poskytovány z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pohledu komplexního přístupu k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člověku. Tedy služeb, které zajišťují a naplňují biologické, psychologické, sociální i duchovní aspekty života člověka nevyléčitelně nemocného i jeho rodiny.</w:t>
            </w:r>
          </w:p>
          <w:p w14:paraId="492B8829" w14:textId="02043EA7" w:rsidR="00F537B8" w:rsidRPr="003D08BC" w:rsidRDefault="00F537B8" w:rsidP="00F537B8">
            <w:pPr>
              <w:autoSpaceDE w:val="0"/>
              <w:jc w:val="both"/>
              <w:rPr>
                <w:rFonts w:cs="Arial"/>
                <w:szCs w:val="24"/>
              </w:rPr>
            </w:pPr>
            <w:r w:rsidRPr="003D08BC">
              <w:rPr>
                <w:rFonts w:cs="Arial"/>
                <w:szCs w:val="24"/>
              </w:rPr>
              <w:t>Záměrem je v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tomto roce poskytnout komplexní službu cca 80 smrtelně nemocným dospělým a přibližně 12 smrtelně nemocným dětský</w:t>
            </w:r>
            <w:bookmarkStart w:id="0" w:name="_GoBack"/>
            <w:bookmarkEnd w:id="0"/>
            <w:r w:rsidRPr="003D08BC">
              <w:rPr>
                <w:rFonts w:cs="Arial"/>
                <w:szCs w:val="24"/>
              </w:rPr>
              <w:t>m pacientům. Cílem naší služby je poskytnout klientům takové lékařské, sesterské a další doprovodné zajištění, které umírajícím zajistí důstojně strávené poslední chvíle bez bolesti, ostatních doprovodných symptomů nevyléčitelné nemoci, včetně klidného odchodu ve svém domově, ve společnosti svých nejbližších a přátel. Domácí hospicová služba je poskytovaná nepřetržitě 7dní v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týdnu, 365 dní v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roce.</w:t>
            </w:r>
          </w:p>
          <w:p w14:paraId="26135A13" w14:textId="2392A982" w:rsidR="00F537B8" w:rsidRPr="003D08BC" w:rsidRDefault="00F537B8" w:rsidP="00F537B8">
            <w:pPr>
              <w:autoSpaceDE w:val="0"/>
              <w:jc w:val="both"/>
              <w:rPr>
                <w:rFonts w:cs="Arial"/>
                <w:szCs w:val="24"/>
              </w:rPr>
            </w:pPr>
            <w:r w:rsidRPr="003D08BC">
              <w:rPr>
                <w:rFonts w:cs="Arial"/>
                <w:szCs w:val="24"/>
              </w:rPr>
              <w:t>Jedním z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důvodů založení této chybějící služby v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našem regionu byla její neexistence, ale také negativní data vyplývající z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opakovaných statistických šetření, která hovoří o 80% obyvatel, kteří si přejí strávit poslední dny svého života doma a zde také zemřít.</w:t>
            </w:r>
          </w:p>
          <w:p w14:paraId="3A9AC426" w14:textId="09DD0374" w:rsidR="00F537B8" w:rsidRPr="003D08BC" w:rsidRDefault="00F537B8" w:rsidP="002F50FF">
            <w:pPr>
              <w:jc w:val="both"/>
            </w:pPr>
            <w:r w:rsidRPr="003D08BC">
              <w:rPr>
                <w:rFonts w:cs="Arial"/>
                <w:szCs w:val="24"/>
              </w:rPr>
              <w:t>Reálně má tuto možnost v</w:t>
            </w:r>
            <w:r w:rsidR="00FF0A6C">
              <w:rPr>
                <w:rFonts w:cs="Arial"/>
                <w:szCs w:val="24"/>
              </w:rPr>
              <w:t> </w:t>
            </w:r>
            <w:r w:rsidRPr="003D08BC">
              <w:rPr>
                <w:rFonts w:cs="Arial"/>
                <w:szCs w:val="24"/>
              </w:rPr>
              <w:t>naší republice zatím pouze kolem 5% obyvatel, což je zcela mizivé číslo i oproti jiným členských státům.</w:t>
            </w:r>
          </w:p>
          <w:p w14:paraId="65580185" w14:textId="77777777" w:rsidR="00F537B8" w:rsidRPr="003D08BC" w:rsidRDefault="00F537B8" w:rsidP="002F50FF">
            <w:pPr>
              <w:jc w:val="both"/>
            </w:pPr>
          </w:p>
          <w:p w14:paraId="3A49EB83" w14:textId="524D62FD" w:rsidR="00644945" w:rsidRPr="003D08BC" w:rsidRDefault="00893D6C" w:rsidP="002F50FF">
            <w:pPr>
              <w:jc w:val="both"/>
            </w:pPr>
            <w:r>
              <w:rPr>
                <w:b/>
              </w:rPr>
              <w:t>Datum realizace projektu</w:t>
            </w:r>
            <w:r w:rsidR="00644945" w:rsidRPr="003D08BC">
              <w:rPr>
                <w:b/>
              </w:rPr>
              <w:t>:</w:t>
            </w:r>
            <w:r w:rsidR="00644945" w:rsidRPr="003D08BC">
              <w:t xml:space="preserve"> </w:t>
            </w:r>
            <w:r w:rsidR="00F537B8" w:rsidRPr="003D08BC">
              <w:t>1. 1. 2017 – 31. 12</w:t>
            </w:r>
            <w:r w:rsidR="00644945" w:rsidRPr="003D08BC">
              <w:t xml:space="preserve">. 2017 </w:t>
            </w:r>
          </w:p>
          <w:p w14:paraId="40DCC0A7" w14:textId="6E82CBB4" w:rsidR="00644945" w:rsidRPr="003D08BC" w:rsidRDefault="00E14B00" w:rsidP="002F50FF">
            <w:pPr>
              <w:jc w:val="both"/>
            </w:pPr>
            <w:r w:rsidRPr="003D08BC">
              <w:rPr>
                <w:b/>
              </w:rPr>
              <w:t>Celkové náklady na akci</w:t>
            </w:r>
            <w:r w:rsidR="00644945" w:rsidRPr="003D08BC">
              <w:rPr>
                <w:b/>
              </w:rPr>
              <w:t xml:space="preserve">: </w:t>
            </w:r>
            <w:r w:rsidR="00F537B8" w:rsidRPr="003D08BC">
              <w:t>2 250 000</w:t>
            </w:r>
            <w:r w:rsidR="00644945" w:rsidRPr="003D08BC">
              <w:t>,- Kč</w:t>
            </w:r>
          </w:p>
          <w:p w14:paraId="6FD7AC1E" w14:textId="0184D0FE" w:rsidR="00644945" w:rsidRPr="003D08BC" w:rsidRDefault="00644945" w:rsidP="002F50FF">
            <w:pPr>
              <w:jc w:val="both"/>
            </w:pPr>
            <w:r w:rsidRPr="003D08BC">
              <w:rPr>
                <w:b/>
              </w:rPr>
              <w:t xml:space="preserve">Požadovaná částka: </w:t>
            </w:r>
            <w:r w:rsidR="00F537B8" w:rsidRPr="003D08BC">
              <w:rPr>
                <w:b/>
              </w:rPr>
              <w:t>1 000 000</w:t>
            </w:r>
            <w:r w:rsidRPr="003D08BC">
              <w:rPr>
                <w:b/>
              </w:rPr>
              <w:t>,- Kč</w:t>
            </w:r>
            <w:r w:rsidR="002F50FF" w:rsidRPr="003D08BC">
              <w:t xml:space="preserve"> (</w:t>
            </w:r>
            <w:r w:rsidR="00F537B8" w:rsidRPr="003D08BC">
              <w:rPr>
                <w:rFonts w:cs="Arial"/>
                <w:szCs w:val="24"/>
              </w:rPr>
              <w:t>zajištění nepřetržité lékařské a sesterské pohotovosti – úhrada nákladů</w:t>
            </w:r>
            <w:r w:rsidR="00893D6C">
              <w:rPr>
                <w:rFonts w:cs="Arial"/>
                <w:szCs w:val="24"/>
              </w:rPr>
              <w:t xml:space="preserve"> na provoz</w:t>
            </w:r>
            <w:r w:rsidR="002F50FF" w:rsidRPr="003D08BC">
              <w:t>)</w:t>
            </w:r>
            <w:r w:rsidR="00AF3ED7" w:rsidRPr="003D08BC">
              <w:t>.</w:t>
            </w:r>
          </w:p>
          <w:p w14:paraId="70010682" w14:textId="784D8B22" w:rsidR="00AA6FB7" w:rsidRDefault="001138E7" w:rsidP="00AA6FB7">
            <w:pPr>
              <w:jc w:val="both"/>
            </w:pPr>
            <w:r w:rsidRPr="00A9269C">
              <w:rPr>
                <w:b/>
              </w:rPr>
              <w:t xml:space="preserve">Financování žádosti: </w:t>
            </w:r>
            <w:r w:rsidR="00AA6FB7" w:rsidRPr="00A9269C">
              <w:t>Finanční prostředky budou použity z rozpočtu Olomouckého kraje - rezervy na individuální dotace. Po konzultaci s Odborem ekonomickým bylo ověřeno, že tato částka není vyčerpána. Po schválení žádosti orgány Olomouckého kraje bude provedena příslušná rozpočtová změna.</w:t>
            </w:r>
          </w:p>
          <w:p w14:paraId="2B14BDA5" w14:textId="77777777" w:rsidR="001138E7" w:rsidRPr="003D08BC" w:rsidRDefault="001138E7" w:rsidP="00A039F0">
            <w:pPr>
              <w:jc w:val="both"/>
              <w:rPr>
                <w:b/>
              </w:rPr>
            </w:pPr>
          </w:p>
          <w:p w14:paraId="6741AA12" w14:textId="28C3E280" w:rsidR="00644945" w:rsidRPr="00257F24" w:rsidRDefault="00644945" w:rsidP="002F50FF">
            <w:pPr>
              <w:jc w:val="both"/>
            </w:pPr>
            <w:r w:rsidRPr="003D08BC">
              <w:rPr>
                <w:b/>
              </w:rPr>
              <w:t>Stanovisko vedení OK:</w:t>
            </w:r>
            <w:r w:rsidRPr="003D08BC">
              <w:t xml:space="preserve"> </w:t>
            </w:r>
            <w:r w:rsidR="00F078FC" w:rsidRPr="00257F24">
              <w:t>doporučující</w:t>
            </w:r>
          </w:p>
          <w:p w14:paraId="53A1F9A3" w14:textId="505BB1F6" w:rsidR="004D5B01" w:rsidRPr="00257F24" w:rsidRDefault="0008409C" w:rsidP="002F50FF">
            <w:pPr>
              <w:jc w:val="both"/>
            </w:pPr>
            <w:r w:rsidRPr="00257F24">
              <w:t xml:space="preserve">Odůvodnění: </w:t>
            </w:r>
            <w:r w:rsidR="004D5B01" w:rsidRPr="00257F24">
              <w:t xml:space="preserve"> </w:t>
            </w:r>
            <w:r w:rsidRPr="00257F24">
              <w:t xml:space="preserve">vedení OK na svém jednání dne 24. 7. 2017 přehodnotilo své původně </w:t>
            </w:r>
            <w:r w:rsidR="00E622A2" w:rsidRPr="00257F24">
              <w:t>zamítavé stanovisko a dop</w:t>
            </w:r>
            <w:r w:rsidR="001C747D" w:rsidRPr="00257F24">
              <w:t>o</w:t>
            </w:r>
            <w:r w:rsidR="00E622A2" w:rsidRPr="00257F24">
              <w:t>ručilo</w:t>
            </w:r>
            <w:r w:rsidRPr="00257F24">
              <w:t xml:space="preserve"> </w:t>
            </w:r>
            <w:r w:rsidR="001C747D" w:rsidRPr="00257F24">
              <w:t xml:space="preserve">žádosti </w:t>
            </w:r>
            <w:r w:rsidR="003D46C3" w:rsidRPr="00257F24">
              <w:t>částečně vyhovět a poskytnout dotaci</w:t>
            </w:r>
            <w:r w:rsidR="001C747D" w:rsidRPr="00257F24">
              <w:t xml:space="preserve"> ve výši 500 </w:t>
            </w:r>
            <w:r w:rsidRPr="00257F24">
              <w:t>000,- Kč</w:t>
            </w:r>
            <w:r w:rsidR="001C747D" w:rsidRPr="00257F24">
              <w:t xml:space="preserve"> </w:t>
            </w:r>
            <w:r w:rsidR="00893D6C" w:rsidRPr="00257F24">
              <w:t xml:space="preserve">na druhé pololetí 2017 za </w:t>
            </w:r>
            <w:r w:rsidR="00257F24" w:rsidRPr="00257F24">
              <w:t>stanovených</w:t>
            </w:r>
            <w:r w:rsidR="00893D6C" w:rsidRPr="00257F24">
              <w:t xml:space="preserve"> podmínek. </w:t>
            </w:r>
          </w:p>
          <w:p w14:paraId="5D265D70" w14:textId="1E48618F" w:rsidR="00644945" w:rsidRPr="00257F24" w:rsidRDefault="00644945" w:rsidP="002F50FF">
            <w:pPr>
              <w:jc w:val="both"/>
            </w:pPr>
            <w:r w:rsidRPr="00257F24">
              <w:rPr>
                <w:b/>
              </w:rPr>
              <w:t>Stanovisko odboru zdravotnictví:</w:t>
            </w:r>
            <w:r w:rsidRPr="00257F24">
              <w:t xml:space="preserve"> </w:t>
            </w:r>
            <w:r w:rsidR="001110A8" w:rsidRPr="00257F24">
              <w:t>neutrální</w:t>
            </w:r>
            <w:r w:rsidRPr="00257F24">
              <w:t xml:space="preserve"> </w:t>
            </w:r>
          </w:p>
          <w:p w14:paraId="356DD80F" w14:textId="34097BC3" w:rsidR="00644945" w:rsidRPr="00257F24" w:rsidRDefault="00AF3ED7" w:rsidP="00A039F0">
            <w:pPr>
              <w:jc w:val="both"/>
            </w:pPr>
            <w:r w:rsidRPr="00257F24">
              <w:t>Odůvodnění:</w:t>
            </w:r>
            <w:r w:rsidR="00644945" w:rsidRPr="00257F24">
              <w:t xml:space="preserve"> </w:t>
            </w:r>
            <w:r w:rsidR="00F537B8" w:rsidRPr="00257F24">
              <w:rPr>
                <w:rFonts w:cs="Arial"/>
                <w:szCs w:val="24"/>
              </w:rPr>
              <w:t>Odbor zdravotnictví administruje v</w:t>
            </w:r>
            <w:r w:rsidR="00FF0A6C" w:rsidRPr="00257F24">
              <w:rPr>
                <w:rFonts w:cs="Arial"/>
                <w:szCs w:val="24"/>
              </w:rPr>
              <w:t> </w:t>
            </w:r>
            <w:r w:rsidR="00F537B8" w:rsidRPr="00257F24">
              <w:rPr>
                <w:rFonts w:cs="Arial"/>
                <w:szCs w:val="24"/>
              </w:rPr>
              <w:t>roce 2017 dotační program na podporu zdraví a zdravého životního stylu, který však svým zaměřením ani výší prostředků neodpovídá zám</w:t>
            </w:r>
            <w:r w:rsidR="001110A8" w:rsidRPr="00257F24">
              <w:rPr>
                <w:rFonts w:cs="Arial"/>
                <w:szCs w:val="24"/>
              </w:rPr>
              <w:t>ěru projektu mobilního hospice. Informujeme, že poskytované</w:t>
            </w:r>
            <w:r w:rsidR="00F537B8" w:rsidRPr="00257F24">
              <w:rPr>
                <w:rFonts w:cs="Arial"/>
                <w:szCs w:val="24"/>
              </w:rPr>
              <w:t xml:space="preserve"> služby nejsou ani částečně hrazeny z</w:t>
            </w:r>
            <w:r w:rsidR="00FF0A6C" w:rsidRPr="00257F24">
              <w:rPr>
                <w:rFonts w:cs="Arial"/>
                <w:szCs w:val="24"/>
              </w:rPr>
              <w:t> </w:t>
            </w:r>
            <w:r w:rsidR="001110A8" w:rsidRPr="00257F24">
              <w:rPr>
                <w:rFonts w:cs="Arial"/>
                <w:szCs w:val="24"/>
              </w:rPr>
              <w:t>veřejného zdravotního pojištění. Jedná</w:t>
            </w:r>
            <w:r w:rsidR="0013028A" w:rsidRPr="00257F24">
              <w:rPr>
                <w:rFonts w:cs="Arial"/>
                <w:szCs w:val="24"/>
              </w:rPr>
              <w:t xml:space="preserve"> se</w:t>
            </w:r>
            <w:r w:rsidR="001110A8" w:rsidRPr="00257F24">
              <w:rPr>
                <w:rFonts w:cs="Arial"/>
                <w:szCs w:val="24"/>
              </w:rPr>
              <w:t xml:space="preserve"> </w:t>
            </w:r>
            <w:r w:rsidR="00577DC4" w:rsidRPr="00257F24">
              <w:rPr>
                <w:rFonts w:cs="Arial"/>
                <w:szCs w:val="24"/>
              </w:rPr>
              <w:t xml:space="preserve">proto </w:t>
            </w:r>
            <w:r w:rsidR="001110A8" w:rsidRPr="00257F24">
              <w:rPr>
                <w:rFonts w:cs="Arial"/>
                <w:szCs w:val="24"/>
              </w:rPr>
              <w:t xml:space="preserve">o </w:t>
            </w:r>
            <w:r w:rsidR="00577DC4" w:rsidRPr="00257F24">
              <w:rPr>
                <w:rFonts w:cs="Arial"/>
                <w:szCs w:val="24"/>
              </w:rPr>
              <w:t>v</w:t>
            </w:r>
            <w:r w:rsidR="00FF0A6C" w:rsidRPr="00257F24">
              <w:rPr>
                <w:rFonts w:cs="Arial"/>
                <w:szCs w:val="24"/>
              </w:rPr>
              <w:t> </w:t>
            </w:r>
            <w:r w:rsidR="00577DC4" w:rsidRPr="00257F24">
              <w:rPr>
                <w:rFonts w:cs="Arial"/>
                <w:szCs w:val="24"/>
              </w:rPr>
              <w:t xml:space="preserve">současné době </w:t>
            </w:r>
            <w:r w:rsidR="001110A8" w:rsidRPr="00257F24">
              <w:rPr>
                <w:rFonts w:cs="Arial"/>
                <w:szCs w:val="24"/>
              </w:rPr>
              <w:t>obtížně dostupnou</w:t>
            </w:r>
            <w:r w:rsidR="00577DC4" w:rsidRPr="00257F24">
              <w:rPr>
                <w:rFonts w:cs="Arial"/>
                <w:szCs w:val="24"/>
              </w:rPr>
              <w:t xml:space="preserve"> službu</w:t>
            </w:r>
            <w:r w:rsidR="00F537B8" w:rsidRPr="00257F24">
              <w:rPr>
                <w:rFonts w:cs="Arial"/>
                <w:szCs w:val="24"/>
              </w:rPr>
              <w:t>.</w:t>
            </w:r>
          </w:p>
          <w:p w14:paraId="52068440" w14:textId="14AFA156" w:rsidR="00644945" w:rsidRPr="00257F24" w:rsidRDefault="00644945" w:rsidP="006D5C99">
            <w:pPr>
              <w:rPr>
                <w:b/>
              </w:rPr>
            </w:pPr>
            <w:r w:rsidRPr="00257F24">
              <w:rPr>
                <w:b/>
              </w:rPr>
              <w:t xml:space="preserve">Stanovisko poradního orgánu: </w:t>
            </w:r>
          </w:p>
          <w:p w14:paraId="1270409F" w14:textId="01A8E543" w:rsidR="00430E40" w:rsidRPr="00257F24" w:rsidRDefault="00430E40" w:rsidP="00267186">
            <w:pPr>
              <w:jc w:val="both"/>
            </w:pPr>
            <w:r w:rsidRPr="00257F24">
              <w:t xml:space="preserve">Poradní orgán – Výbor pro zdravotnictví </w:t>
            </w:r>
            <w:r w:rsidR="000D7FA8">
              <w:t>ZOK</w:t>
            </w:r>
            <w:r w:rsidRPr="00257F24">
              <w:t xml:space="preserve"> – jmenoval na svém jednání dne 22. 2. 2017 pětičlennou hodnotící komisi, která je oprávněna se k</w:t>
            </w:r>
            <w:r w:rsidR="00FF0A6C" w:rsidRPr="00257F24">
              <w:t> </w:t>
            </w:r>
            <w:r w:rsidRPr="00257F24">
              <w:t>žádostem o individuální dotace vyjadřovat. Žádost byla se členy hodnotící komise projednána e-mailem. K</w:t>
            </w:r>
            <w:r w:rsidR="00FF0A6C" w:rsidRPr="00257F24">
              <w:t> </w:t>
            </w:r>
            <w:r w:rsidRPr="00257F24">
              <w:t>žádosti se ve stanoveném termínu vyjádřili 4 členové hodnotící komise, přičemž tři byli pro schválení dotace a jeden s</w:t>
            </w:r>
            <w:r w:rsidR="00FF0A6C" w:rsidRPr="00257F24">
              <w:t> </w:t>
            </w:r>
            <w:r w:rsidRPr="00257F24">
              <w:t>poskytnutím dotace nesouhlasil; jeden člen komise se k</w:t>
            </w:r>
            <w:r w:rsidR="00FF0A6C" w:rsidRPr="00257F24">
              <w:t> </w:t>
            </w:r>
            <w:r w:rsidRPr="00257F24">
              <w:t>žádosti ve stanoveném termínu nevyjádřil.</w:t>
            </w:r>
          </w:p>
          <w:p w14:paraId="7A9A48FF" w14:textId="77777777" w:rsidR="00644945" w:rsidRPr="00257F24" w:rsidRDefault="00644945" w:rsidP="006D5C99"/>
          <w:p w14:paraId="220931E7" w14:textId="4A033908" w:rsidR="00893D6C" w:rsidRPr="00257F24" w:rsidRDefault="00893D6C" w:rsidP="00893D6C">
            <w:pPr>
              <w:jc w:val="both"/>
            </w:pPr>
            <w:r w:rsidRPr="00257F24">
              <w:t>Vedení OK na svém jednání dne 24. 7. 2017 doporučilo žádosti částečně vyhovět a poskytnout dotaci ve výši 500 000,- Kč</w:t>
            </w:r>
            <w:r w:rsidR="004105A9" w:rsidRPr="00257F24">
              <w:t xml:space="preserve"> na náklady na provoz žadatele, vzniklé v období od 1. 7. 2017 do 31. 12. 2017.</w:t>
            </w:r>
            <w:r w:rsidR="00946CC7">
              <w:t xml:space="preserve"> Uznatelné náklady budou přesně nadefinovány ve smlouvě.</w:t>
            </w:r>
            <w:r w:rsidR="004105A9" w:rsidRPr="00257F24">
              <w:t xml:space="preserve"> Dotace bude poskytnuta ve dvou splátkách. Poskytnutí dotace ve schválené výši je vázáno na splnění podmínek </w:t>
            </w:r>
            <w:r w:rsidRPr="00257F24">
              <w:t>uvedených ve smlouvě o poskytnutí dotace</w:t>
            </w:r>
            <w:r w:rsidR="00257F24" w:rsidRPr="00257F24">
              <w:t>, která je P</w:t>
            </w:r>
            <w:r w:rsidR="004105A9" w:rsidRPr="00257F24">
              <w:t>řílohou</w:t>
            </w:r>
            <w:r w:rsidR="00257F24" w:rsidRPr="00257F24">
              <w:t xml:space="preserve"> č. 1</w:t>
            </w:r>
            <w:r w:rsidR="004105A9" w:rsidRPr="00257F24">
              <w:t xml:space="preserve"> této důvodové zprávy. </w:t>
            </w:r>
          </w:p>
          <w:p w14:paraId="2369639D" w14:textId="77777777" w:rsidR="00257F24" w:rsidRPr="00257F24" w:rsidRDefault="00257F24" w:rsidP="00893D6C">
            <w:pPr>
              <w:jc w:val="both"/>
            </w:pPr>
          </w:p>
          <w:p w14:paraId="58AA4464" w14:textId="462DE927" w:rsidR="008B1AD7" w:rsidRDefault="005C0E92" w:rsidP="00F927AC">
            <w:pPr>
              <w:shd w:val="clear" w:color="auto" w:fill="FFFFFF" w:themeFill="background1"/>
              <w:jc w:val="both"/>
              <w:rPr>
                <w:rFonts w:cs="Arial"/>
                <w:szCs w:val="24"/>
              </w:rPr>
            </w:pPr>
            <w:r>
              <w:t>Rada Olomouckého kraje doporučuje Zastupitelstvu Olomouckého kraje</w:t>
            </w:r>
            <w:r w:rsidR="00644945" w:rsidRPr="00257F24">
              <w:t xml:space="preserve"> </w:t>
            </w:r>
            <w:r w:rsidR="001110A8" w:rsidRPr="00257F24">
              <w:rPr>
                <w:rFonts w:cs="Arial"/>
                <w:szCs w:val="24"/>
              </w:rPr>
              <w:t>vzí</w:t>
            </w:r>
            <w:r w:rsidR="00B61E61" w:rsidRPr="00257F24">
              <w:rPr>
                <w:rFonts w:cs="Arial"/>
                <w:szCs w:val="24"/>
              </w:rPr>
              <w:t xml:space="preserve">t na vědomí důvodovou zprávu, </w:t>
            </w:r>
            <w:r w:rsidR="00EB1DA8" w:rsidRPr="00257F24">
              <w:rPr>
                <w:rFonts w:cs="Arial"/>
                <w:szCs w:val="24"/>
              </w:rPr>
              <w:t>částečně vyhovět žádosti o individuální dotaci</w:t>
            </w:r>
            <w:r w:rsidR="0008409C" w:rsidRPr="00257F24">
              <w:rPr>
                <w:rFonts w:cs="Arial"/>
                <w:szCs w:val="24"/>
              </w:rPr>
              <w:t xml:space="preserve"> </w:t>
            </w:r>
            <w:r w:rsidR="00B61E61" w:rsidRPr="00257F24">
              <w:rPr>
                <w:rFonts w:cs="Arial"/>
                <w:szCs w:val="24"/>
              </w:rPr>
              <w:t>na projekt „</w:t>
            </w:r>
            <w:r w:rsidR="00B61E61" w:rsidRPr="00257F24">
              <w:t>Nejste sami – mobilní hospic pro děti a dospělé</w:t>
            </w:r>
            <w:r w:rsidR="00B61E61" w:rsidRPr="00F927AC">
              <w:rPr>
                <w:shd w:val="clear" w:color="auto" w:fill="FFFFFF" w:themeFill="background1"/>
              </w:rPr>
              <w:t>“</w:t>
            </w:r>
            <w:r w:rsidR="001E651C" w:rsidRPr="00F927AC">
              <w:rPr>
                <w:rFonts w:cs="Arial"/>
                <w:szCs w:val="24"/>
                <w:shd w:val="clear" w:color="auto" w:fill="FFFFFF" w:themeFill="background1"/>
              </w:rPr>
              <w:t xml:space="preserve"> </w:t>
            </w:r>
            <w:r w:rsidR="001E651C" w:rsidRPr="00F927AC">
              <w:rPr>
                <w:rFonts w:cs="Arial"/>
                <w:szCs w:val="24"/>
              </w:rPr>
              <w:t>a schválit</w:t>
            </w:r>
            <w:r w:rsidR="000715B9" w:rsidRPr="00F927AC">
              <w:rPr>
                <w:rFonts w:cs="Arial"/>
                <w:szCs w:val="24"/>
              </w:rPr>
              <w:t xml:space="preserve"> </w:t>
            </w:r>
            <w:r w:rsidR="00257F24" w:rsidRPr="00F927AC">
              <w:rPr>
                <w:rFonts w:cs="Arial"/>
                <w:szCs w:val="24"/>
              </w:rPr>
              <w:t xml:space="preserve">žadateli </w:t>
            </w:r>
            <w:r w:rsidR="000715B9" w:rsidRPr="00F927AC">
              <w:rPr>
                <w:rFonts w:cs="Arial"/>
                <w:szCs w:val="24"/>
              </w:rPr>
              <w:t xml:space="preserve">dotaci </w:t>
            </w:r>
            <w:r w:rsidR="0008409C" w:rsidRPr="00F927AC">
              <w:rPr>
                <w:rFonts w:cs="Arial"/>
                <w:szCs w:val="24"/>
              </w:rPr>
              <w:t>ve výši 5</w:t>
            </w:r>
            <w:r w:rsidR="002625F8" w:rsidRPr="00F927AC">
              <w:rPr>
                <w:rFonts w:cs="Arial"/>
                <w:szCs w:val="24"/>
              </w:rPr>
              <w:t xml:space="preserve">00 000,- Kč </w:t>
            </w:r>
            <w:r w:rsidR="00257F24" w:rsidRPr="00F927AC">
              <w:rPr>
                <w:rFonts w:cs="Arial"/>
                <w:szCs w:val="24"/>
              </w:rPr>
              <w:t xml:space="preserve">za podmínek stanovených ve smlouvě </w:t>
            </w:r>
            <w:r w:rsidR="003D46C3" w:rsidRPr="00F927AC">
              <w:rPr>
                <w:rFonts w:cs="Arial"/>
                <w:szCs w:val="24"/>
              </w:rPr>
              <w:t>a</w:t>
            </w:r>
            <w:r w:rsidR="00257F24" w:rsidRPr="00F927AC">
              <w:rPr>
                <w:rFonts w:cs="Arial"/>
                <w:szCs w:val="24"/>
              </w:rPr>
              <w:t> </w:t>
            </w:r>
            <w:r w:rsidR="00E622A2" w:rsidRPr="00F927AC">
              <w:rPr>
                <w:rFonts w:cs="Arial"/>
                <w:szCs w:val="24"/>
              </w:rPr>
              <w:t>souhlasit</w:t>
            </w:r>
            <w:r w:rsidR="00744574" w:rsidRPr="00F927AC">
              <w:rPr>
                <w:rFonts w:cs="Arial"/>
                <w:szCs w:val="24"/>
              </w:rPr>
              <w:t xml:space="preserve"> s</w:t>
            </w:r>
            <w:r w:rsidR="00FF0A6C" w:rsidRPr="00F927AC">
              <w:rPr>
                <w:rFonts w:cs="Arial"/>
                <w:szCs w:val="24"/>
              </w:rPr>
              <w:t> </w:t>
            </w:r>
            <w:r w:rsidR="00744574" w:rsidRPr="00F927AC">
              <w:rPr>
                <w:rFonts w:cs="Arial"/>
                <w:szCs w:val="24"/>
              </w:rPr>
              <w:t xml:space="preserve">uzavřením veřejnoprávní smlouvy mezi Olomouckým krajem a </w:t>
            </w:r>
            <w:r w:rsidR="003D46C3" w:rsidRPr="00F927AC">
              <w:rPr>
                <w:rFonts w:cs="Arial"/>
                <w:szCs w:val="24"/>
              </w:rPr>
              <w:t xml:space="preserve">žadatelem </w:t>
            </w:r>
            <w:r w:rsidR="00B15A77" w:rsidRPr="00F927AC">
              <w:rPr>
                <w:rFonts w:cs="Arial"/>
                <w:szCs w:val="24"/>
              </w:rPr>
              <w:t>Nejste sami – mobilní hospic</w:t>
            </w:r>
            <w:r w:rsidR="001E651C" w:rsidRPr="00F927AC">
              <w:rPr>
                <w:rFonts w:cs="Arial"/>
                <w:szCs w:val="24"/>
              </w:rPr>
              <w:t>,</w:t>
            </w:r>
            <w:r w:rsidR="00B15A77" w:rsidRPr="00F927AC">
              <w:rPr>
                <w:rFonts w:cs="Arial"/>
                <w:szCs w:val="24"/>
              </w:rPr>
              <w:t xml:space="preserve"> z.ú</w:t>
            </w:r>
            <w:r w:rsidR="00744574" w:rsidRPr="00F927AC">
              <w:rPr>
                <w:rFonts w:cs="Arial"/>
                <w:szCs w:val="24"/>
              </w:rPr>
              <w:t>.</w:t>
            </w:r>
            <w:r w:rsidR="00B61E61" w:rsidRPr="00F927AC">
              <w:rPr>
                <w:rFonts w:cs="Arial"/>
                <w:color w:val="000000"/>
                <w:szCs w:val="24"/>
              </w:rPr>
              <w:t xml:space="preserve"> </w:t>
            </w:r>
            <w:r w:rsidR="00B61E61" w:rsidRPr="00F927AC">
              <w:rPr>
                <w:rFonts w:cs="Arial"/>
                <w:szCs w:val="24"/>
              </w:rPr>
              <w:t>ve znění</w:t>
            </w:r>
            <w:r w:rsidR="00B61E61" w:rsidRPr="00257F24">
              <w:rPr>
                <w:rFonts w:cs="Arial"/>
                <w:szCs w:val="24"/>
              </w:rPr>
              <w:t xml:space="preserve"> dle Přílohy č. 1 důvodové </w:t>
            </w:r>
            <w:r w:rsidR="00B61E61" w:rsidRPr="00AA6FB7">
              <w:rPr>
                <w:rFonts w:cs="Arial"/>
                <w:szCs w:val="24"/>
              </w:rPr>
              <w:t xml:space="preserve">zprávy. </w:t>
            </w:r>
          </w:p>
          <w:p w14:paraId="02C646B5" w14:textId="73614E36" w:rsidR="00AF3ED7" w:rsidRPr="003D08BC" w:rsidRDefault="00AF3ED7" w:rsidP="00F927AC">
            <w:pPr>
              <w:shd w:val="clear" w:color="auto" w:fill="FFFFFF" w:themeFill="background1"/>
              <w:jc w:val="both"/>
              <w:rPr>
                <w:rFonts w:cs="Arial"/>
                <w:szCs w:val="24"/>
              </w:rPr>
            </w:pPr>
          </w:p>
          <w:p w14:paraId="6729C897" w14:textId="77777777" w:rsidR="00416165" w:rsidRDefault="00416165" w:rsidP="0041616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Přílohy: </w:t>
            </w:r>
          </w:p>
          <w:p w14:paraId="50206459" w14:textId="19E7B137" w:rsidR="00416165" w:rsidRPr="00AF3ED7" w:rsidRDefault="00416165" w:rsidP="0041616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Příloha č.1 – Smlouva o poskytnutí </w:t>
            </w:r>
            <w:r w:rsidRPr="004F0175">
              <w:rPr>
                <w:rFonts w:cs="Arial"/>
                <w:szCs w:val="24"/>
              </w:rPr>
              <w:t>dotace</w:t>
            </w:r>
            <w:r w:rsidR="002379D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Nejste sami – </w:t>
            </w:r>
            <w:r w:rsidR="00B15A77">
              <w:rPr>
                <w:rFonts w:cs="Arial"/>
                <w:szCs w:val="24"/>
              </w:rPr>
              <w:t>mobilní hospic, z.ú.</w:t>
            </w:r>
          </w:p>
          <w:p w14:paraId="77A3FC1F" w14:textId="5C518F5E" w:rsidR="00AF3ED7" w:rsidRDefault="00AF3ED7" w:rsidP="006D5C99"/>
          <w:p w14:paraId="5EDF9D78" w14:textId="0F126D49" w:rsidR="00416165" w:rsidRDefault="00416165" w:rsidP="006D5C99"/>
          <w:p w14:paraId="575ECC4E" w14:textId="4BBC5656" w:rsidR="00EB1DA8" w:rsidRDefault="00EB1DA8" w:rsidP="006D5C99"/>
          <w:p w14:paraId="7065C734" w14:textId="7FADB9B9" w:rsidR="00416165" w:rsidRPr="003D08BC" w:rsidRDefault="00416165" w:rsidP="006D5C99"/>
        </w:tc>
      </w:tr>
    </w:tbl>
    <w:p w14:paraId="592FD07C" w14:textId="70DF5933" w:rsidR="00A559EF" w:rsidRDefault="00FF0A6C" w:rsidP="00A559EF">
      <w:pPr>
        <w:pStyle w:val="nzvy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(ZOK)</w:t>
      </w:r>
    </w:p>
    <w:sectPr w:rsidR="00A559EF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23836" w14:textId="77777777" w:rsidR="00EC5D84" w:rsidRDefault="00EC5D84">
      <w:r>
        <w:separator/>
      </w:r>
    </w:p>
  </w:endnote>
  <w:endnote w:type="continuationSeparator" w:id="0">
    <w:p w14:paraId="1BE7F1CD" w14:textId="77777777" w:rsidR="00EC5D84" w:rsidRDefault="00EC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2D3C9832" w:rsidR="00371F4A" w:rsidRPr="00CA4A45" w:rsidRDefault="005C0E92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>
      <w:rPr>
        <w:i/>
        <w:sz w:val="20"/>
        <w:szCs w:val="24"/>
      </w:rPr>
      <w:t>18. 9</w:t>
    </w:r>
    <w:r w:rsidR="00267186">
      <w:rPr>
        <w:i/>
        <w:sz w:val="20"/>
        <w:szCs w:val="24"/>
      </w:rPr>
      <w:t>. 2017</w:t>
    </w:r>
    <w:r w:rsidR="00371F4A" w:rsidRPr="00CA4A45">
      <w:rPr>
        <w:i/>
        <w:sz w:val="20"/>
        <w:szCs w:val="24"/>
      </w:rPr>
      <w:tab/>
    </w:r>
    <w:r w:rsidR="00371F4A" w:rsidRPr="00CA4A45">
      <w:rPr>
        <w:i/>
        <w:sz w:val="20"/>
        <w:szCs w:val="24"/>
      </w:rPr>
      <w:tab/>
    </w:r>
    <w:r w:rsidR="00371F4A" w:rsidRPr="00CA4A45">
      <w:rPr>
        <w:i/>
        <w:sz w:val="20"/>
      </w:rPr>
      <w:t xml:space="preserve">Strana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F23350">
      <w:rPr>
        <w:i/>
        <w:noProof/>
        <w:sz w:val="20"/>
      </w:rPr>
      <w:t>2</w:t>
    </w:r>
    <w:r w:rsidR="00371F4A" w:rsidRPr="00CA4A45">
      <w:rPr>
        <w:i/>
        <w:sz w:val="20"/>
      </w:rPr>
      <w:fldChar w:fldCharType="end"/>
    </w:r>
    <w:r w:rsidR="00371F4A" w:rsidRPr="00CA4A45">
      <w:rPr>
        <w:i/>
        <w:sz w:val="20"/>
      </w:rPr>
      <w:t xml:space="preserve"> (celkem </w:t>
    </w:r>
    <w:r w:rsidR="0076012B">
      <w:rPr>
        <w:i/>
        <w:sz w:val="20"/>
      </w:rPr>
      <w:t>2</w:t>
    </w:r>
    <w:r w:rsidR="00371F4A" w:rsidRPr="00CA4A45">
      <w:rPr>
        <w:i/>
        <w:sz w:val="20"/>
      </w:rPr>
      <w:t>)</w:t>
    </w:r>
  </w:p>
  <w:p w14:paraId="52DC9540" w14:textId="0B344277" w:rsidR="00EF7DD1" w:rsidRPr="00EF7DD1" w:rsidRDefault="00F23350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39.</w:t>
    </w:r>
    <w:r w:rsidR="00371F4A" w:rsidRPr="00CA4A45">
      <w:rPr>
        <w:i/>
        <w:sz w:val="20"/>
        <w:szCs w:val="24"/>
      </w:rPr>
      <w:t xml:space="preserve"> - Žádos</w:t>
    </w:r>
    <w:r w:rsidR="00371F4A">
      <w:rPr>
        <w:i/>
        <w:sz w:val="20"/>
        <w:szCs w:val="24"/>
      </w:rPr>
      <w:t>t</w:t>
    </w:r>
    <w:r w:rsidR="00371F4A" w:rsidRPr="00CA4A45">
      <w:rPr>
        <w:i/>
        <w:sz w:val="20"/>
        <w:szCs w:val="24"/>
      </w:rPr>
      <w:t xml:space="preserve"> o poskytnutí individuální dotac</w:t>
    </w:r>
    <w:r w:rsidR="00371F4A">
      <w:rPr>
        <w:i/>
        <w:sz w:val="20"/>
        <w:szCs w:val="24"/>
      </w:rPr>
      <w:t>e</w:t>
    </w:r>
    <w:r w:rsidR="00371F4A" w:rsidRPr="00CA4A45">
      <w:rPr>
        <w:i/>
        <w:sz w:val="20"/>
        <w:szCs w:val="24"/>
      </w:rPr>
      <w:t xml:space="preserve"> v oblasti zdravotnictví</w:t>
    </w:r>
    <w:r w:rsidR="00EF7DD1" w:rsidRPr="00EF7DD1">
      <w:t xml:space="preserve"> </w:t>
    </w:r>
    <w:r w:rsidR="00E823A1">
      <w:t>–</w:t>
    </w:r>
    <w:r w:rsidR="00EF7DD1">
      <w:t xml:space="preserve"> </w:t>
    </w:r>
    <w:r w:rsidR="00E823A1">
      <w:rPr>
        <w:i/>
        <w:sz w:val="20"/>
        <w:szCs w:val="24"/>
      </w:rPr>
      <w:t>Nejste sami – mobilní hospic</w:t>
    </w:r>
  </w:p>
  <w:p w14:paraId="617DEA83" w14:textId="6AD781B6" w:rsidR="00371F4A" w:rsidRPr="00CA4A45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676A" w14:textId="77777777" w:rsidR="00EC5D84" w:rsidRDefault="00EC5D84">
      <w:r>
        <w:separator/>
      </w:r>
    </w:p>
  </w:footnote>
  <w:footnote w:type="continuationSeparator" w:id="0">
    <w:p w14:paraId="5E18CA44" w14:textId="77777777" w:rsidR="00EC5D84" w:rsidRDefault="00EC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40D92"/>
    <w:rsid w:val="00045320"/>
    <w:rsid w:val="00056F67"/>
    <w:rsid w:val="000622FD"/>
    <w:rsid w:val="00064C7D"/>
    <w:rsid w:val="000715B9"/>
    <w:rsid w:val="00072763"/>
    <w:rsid w:val="00077704"/>
    <w:rsid w:val="000803E7"/>
    <w:rsid w:val="000828CE"/>
    <w:rsid w:val="0008409C"/>
    <w:rsid w:val="00091613"/>
    <w:rsid w:val="00095661"/>
    <w:rsid w:val="000A0F1F"/>
    <w:rsid w:val="000B450A"/>
    <w:rsid w:val="000B4D2B"/>
    <w:rsid w:val="000C1005"/>
    <w:rsid w:val="000C156A"/>
    <w:rsid w:val="000C4E8C"/>
    <w:rsid w:val="000D5C4F"/>
    <w:rsid w:val="000D6357"/>
    <w:rsid w:val="000D7FA8"/>
    <w:rsid w:val="000E7E19"/>
    <w:rsid w:val="000F5028"/>
    <w:rsid w:val="000F69F4"/>
    <w:rsid w:val="000F6BB5"/>
    <w:rsid w:val="00107F25"/>
    <w:rsid w:val="00110BC4"/>
    <w:rsid w:val="001110A8"/>
    <w:rsid w:val="00111132"/>
    <w:rsid w:val="001138E7"/>
    <w:rsid w:val="00114A8E"/>
    <w:rsid w:val="00114B5A"/>
    <w:rsid w:val="00125AB2"/>
    <w:rsid w:val="0013028A"/>
    <w:rsid w:val="00130CB2"/>
    <w:rsid w:val="001331BB"/>
    <w:rsid w:val="00135F77"/>
    <w:rsid w:val="00141FA7"/>
    <w:rsid w:val="001501E2"/>
    <w:rsid w:val="0015260E"/>
    <w:rsid w:val="001538CA"/>
    <w:rsid w:val="00153B63"/>
    <w:rsid w:val="0015538B"/>
    <w:rsid w:val="0016223A"/>
    <w:rsid w:val="00171651"/>
    <w:rsid w:val="0017695E"/>
    <w:rsid w:val="001965D8"/>
    <w:rsid w:val="001A1256"/>
    <w:rsid w:val="001B32C0"/>
    <w:rsid w:val="001B405A"/>
    <w:rsid w:val="001B5A02"/>
    <w:rsid w:val="001C2894"/>
    <w:rsid w:val="001C2B03"/>
    <w:rsid w:val="001C39C8"/>
    <w:rsid w:val="001C747D"/>
    <w:rsid w:val="001D4AFF"/>
    <w:rsid w:val="001D71D4"/>
    <w:rsid w:val="001E5AE7"/>
    <w:rsid w:val="001E651C"/>
    <w:rsid w:val="001F1150"/>
    <w:rsid w:val="0020035F"/>
    <w:rsid w:val="0020625E"/>
    <w:rsid w:val="0020652E"/>
    <w:rsid w:val="00206FC9"/>
    <w:rsid w:val="00207ACD"/>
    <w:rsid w:val="002172CB"/>
    <w:rsid w:val="0022203B"/>
    <w:rsid w:val="002229DB"/>
    <w:rsid w:val="00224076"/>
    <w:rsid w:val="002364CD"/>
    <w:rsid w:val="00236D22"/>
    <w:rsid w:val="00237553"/>
    <w:rsid w:val="002379D7"/>
    <w:rsid w:val="00237B82"/>
    <w:rsid w:val="00243798"/>
    <w:rsid w:val="00244685"/>
    <w:rsid w:val="00247C8F"/>
    <w:rsid w:val="00254726"/>
    <w:rsid w:val="00257F24"/>
    <w:rsid w:val="002625F8"/>
    <w:rsid w:val="002645A2"/>
    <w:rsid w:val="00265693"/>
    <w:rsid w:val="002658C1"/>
    <w:rsid w:val="00267186"/>
    <w:rsid w:val="00271B28"/>
    <w:rsid w:val="00282147"/>
    <w:rsid w:val="00282223"/>
    <w:rsid w:val="00286ACC"/>
    <w:rsid w:val="00290D52"/>
    <w:rsid w:val="002A3D15"/>
    <w:rsid w:val="002A5C1C"/>
    <w:rsid w:val="002A717A"/>
    <w:rsid w:val="002B3CC7"/>
    <w:rsid w:val="002C40F8"/>
    <w:rsid w:val="002F188B"/>
    <w:rsid w:val="002F50FF"/>
    <w:rsid w:val="002F6D10"/>
    <w:rsid w:val="003019EC"/>
    <w:rsid w:val="00302D65"/>
    <w:rsid w:val="00302EB4"/>
    <w:rsid w:val="003032A2"/>
    <w:rsid w:val="00305086"/>
    <w:rsid w:val="003059DF"/>
    <w:rsid w:val="0031105F"/>
    <w:rsid w:val="00315633"/>
    <w:rsid w:val="00316DBF"/>
    <w:rsid w:val="00320CC7"/>
    <w:rsid w:val="003631E1"/>
    <w:rsid w:val="00363C22"/>
    <w:rsid w:val="00366EE9"/>
    <w:rsid w:val="00371F4A"/>
    <w:rsid w:val="00387F3E"/>
    <w:rsid w:val="003963DA"/>
    <w:rsid w:val="003A12E9"/>
    <w:rsid w:val="003B0742"/>
    <w:rsid w:val="003B6D3C"/>
    <w:rsid w:val="003C0F82"/>
    <w:rsid w:val="003C47C5"/>
    <w:rsid w:val="003D08BC"/>
    <w:rsid w:val="003D21FE"/>
    <w:rsid w:val="003D46C3"/>
    <w:rsid w:val="003E0666"/>
    <w:rsid w:val="003F01FF"/>
    <w:rsid w:val="003F5B7F"/>
    <w:rsid w:val="003F7812"/>
    <w:rsid w:val="004021C9"/>
    <w:rsid w:val="004105A9"/>
    <w:rsid w:val="004152AD"/>
    <w:rsid w:val="004160F4"/>
    <w:rsid w:val="00416165"/>
    <w:rsid w:val="00430E40"/>
    <w:rsid w:val="00434B17"/>
    <w:rsid w:val="00444E96"/>
    <w:rsid w:val="004542BB"/>
    <w:rsid w:val="00462A64"/>
    <w:rsid w:val="0047347C"/>
    <w:rsid w:val="00493D22"/>
    <w:rsid w:val="004A142F"/>
    <w:rsid w:val="004A3112"/>
    <w:rsid w:val="004A3242"/>
    <w:rsid w:val="004A5317"/>
    <w:rsid w:val="004A5605"/>
    <w:rsid w:val="004B0F11"/>
    <w:rsid w:val="004B7839"/>
    <w:rsid w:val="004C11F3"/>
    <w:rsid w:val="004C3EA3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20ADA"/>
    <w:rsid w:val="00524BED"/>
    <w:rsid w:val="0053059A"/>
    <w:rsid w:val="0053138C"/>
    <w:rsid w:val="00536392"/>
    <w:rsid w:val="00545E42"/>
    <w:rsid w:val="0056106A"/>
    <w:rsid w:val="005719CC"/>
    <w:rsid w:val="00571B35"/>
    <w:rsid w:val="00577DC4"/>
    <w:rsid w:val="0058497D"/>
    <w:rsid w:val="00596932"/>
    <w:rsid w:val="005A2D12"/>
    <w:rsid w:val="005A3493"/>
    <w:rsid w:val="005A3826"/>
    <w:rsid w:val="005A3E7F"/>
    <w:rsid w:val="005C0E92"/>
    <w:rsid w:val="005C1D6A"/>
    <w:rsid w:val="005C25E7"/>
    <w:rsid w:val="005C2D74"/>
    <w:rsid w:val="005E157D"/>
    <w:rsid w:val="005E40A9"/>
    <w:rsid w:val="005F4249"/>
    <w:rsid w:val="005F4FC7"/>
    <w:rsid w:val="005F515F"/>
    <w:rsid w:val="006038D8"/>
    <w:rsid w:val="006127FB"/>
    <w:rsid w:val="00637807"/>
    <w:rsid w:val="00644945"/>
    <w:rsid w:val="00647B25"/>
    <w:rsid w:val="006572EB"/>
    <w:rsid w:val="00662101"/>
    <w:rsid w:val="00662A3C"/>
    <w:rsid w:val="00673038"/>
    <w:rsid w:val="006859C7"/>
    <w:rsid w:val="006920D0"/>
    <w:rsid w:val="00697B73"/>
    <w:rsid w:val="006A0AB5"/>
    <w:rsid w:val="006B1403"/>
    <w:rsid w:val="006B7E16"/>
    <w:rsid w:val="006D3CDF"/>
    <w:rsid w:val="006D6DD3"/>
    <w:rsid w:val="006F06F9"/>
    <w:rsid w:val="006F0BEB"/>
    <w:rsid w:val="006F3F2C"/>
    <w:rsid w:val="006F534C"/>
    <w:rsid w:val="00710CD9"/>
    <w:rsid w:val="007126F5"/>
    <w:rsid w:val="0071454B"/>
    <w:rsid w:val="00714895"/>
    <w:rsid w:val="00715FDE"/>
    <w:rsid w:val="00743BC3"/>
    <w:rsid w:val="00744574"/>
    <w:rsid w:val="007515AE"/>
    <w:rsid w:val="0076012B"/>
    <w:rsid w:val="00762A3E"/>
    <w:rsid w:val="00764B9B"/>
    <w:rsid w:val="007659AD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D1F93"/>
    <w:rsid w:val="007E339A"/>
    <w:rsid w:val="007E4159"/>
    <w:rsid w:val="007E5377"/>
    <w:rsid w:val="00806E9A"/>
    <w:rsid w:val="00813BEC"/>
    <w:rsid w:val="0081758F"/>
    <w:rsid w:val="00820251"/>
    <w:rsid w:val="008221D0"/>
    <w:rsid w:val="00824D26"/>
    <w:rsid w:val="00836B27"/>
    <w:rsid w:val="00837DDB"/>
    <w:rsid w:val="00871612"/>
    <w:rsid w:val="008769FA"/>
    <w:rsid w:val="008850F1"/>
    <w:rsid w:val="00886F9D"/>
    <w:rsid w:val="00891999"/>
    <w:rsid w:val="00893D6C"/>
    <w:rsid w:val="00895365"/>
    <w:rsid w:val="008A1CAB"/>
    <w:rsid w:val="008A4C27"/>
    <w:rsid w:val="008B1AD7"/>
    <w:rsid w:val="008B49E2"/>
    <w:rsid w:val="008B7C8D"/>
    <w:rsid w:val="008C16E3"/>
    <w:rsid w:val="008C3F50"/>
    <w:rsid w:val="008D0CFF"/>
    <w:rsid w:val="008D1962"/>
    <w:rsid w:val="0091180B"/>
    <w:rsid w:val="00911B60"/>
    <w:rsid w:val="00915AE1"/>
    <w:rsid w:val="009171C2"/>
    <w:rsid w:val="0092683B"/>
    <w:rsid w:val="0093014D"/>
    <w:rsid w:val="00940DE3"/>
    <w:rsid w:val="0094319B"/>
    <w:rsid w:val="00945647"/>
    <w:rsid w:val="00946CC7"/>
    <w:rsid w:val="00950E97"/>
    <w:rsid w:val="00951E26"/>
    <w:rsid w:val="00965D80"/>
    <w:rsid w:val="00971445"/>
    <w:rsid w:val="00973C35"/>
    <w:rsid w:val="00977556"/>
    <w:rsid w:val="00977AA9"/>
    <w:rsid w:val="009807E9"/>
    <w:rsid w:val="0098476A"/>
    <w:rsid w:val="00985F37"/>
    <w:rsid w:val="0099189B"/>
    <w:rsid w:val="009949E8"/>
    <w:rsid w:val="009A0C09"/>
    <w:rsid w:val="009B1AF4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39F0"/>
    <w:rsid w:val="00A06604"/>
    <w:rsid w:val="00A106CE"/>
    <w:rsid w:val="00A1287D"/>
    <w:rsid w:val="00A1658B"/>
    <w:rsid w:val="00A17BA0"/>
    <w:rsid w:val="00A253AB"/>
    <w:rsid w:val="00A3244C"/>
    <w:rsid w:val="00A340AB"/>
    <w:rsid w:val="00A37689"/>
    <w:rsid w:val="00A559EF"/>
    <w:rsid w:val="00A563A0"/>
    <w:rsid w:val="00A61429"/>
    <w:rsid w:val="00A73F40"/>
    <w:rsid w:val="00A74577"/>
    <w:rsid w:val="00A9269C"/>
    <w:rsid w:val="00AA6FB7"/>
    <w:rsid w:val="00AA751C"/>
    <w:rsid w:val="00AC6935"/>
    <w:rsid w:val="00AD3FDD"/>
    <w:rsid w:val="00AD4E3C"/>
    <w:rsid w:val="00AF0E3B"/>
    <w:rsid w:val="00AF3ED7"/>
    <w:rsid w:val="00AF59F0"/>
    <w:rsid w:val="00B1590E"/>
    <w:rsid w:val="00B15A77"/>
    <w:rsid w:val="00B36CBA"/>
    <w:rsid w:val="00B5140B"/>
    <w:rsid w:val="00B51997"/>
    <w:rsid w:val="00B52402"/>
    <w:rsid w:val="00B61E61"/>
    <w:rsid w:val="00B634C8"/>
    <w:rsid w:val="00B64E2C"/>
    <w:rsid w:val="00BA2706"/>
    <w:rsid w:val="00BA6DB5"/>
    <w:rsid w:val="00BB4C3E"/>
    <w:rsid w:val="00BC3132"/>
    <w:rsid w:val="00BD0A08"/>
    <w:rsid w:val="00BD128C"/>
    <w:rsid w:val="00BE1108"/>
    <w:rsid w:val="00BE32BB"/>
    <w:rsid w:val="00BE3D37"/>
    <w:rsid w:val="00BE7A55"/>
    <w:rsid w:val="00C0196E"/>
    <w:rsid w:val="00C02276"/>
    <w:rsid w:val="00C06F00"/>
    <w:rsid w:val="00C13810"/>
    <w:rsid w:val="00C327CB"/>
    <w:rsid w:val="00C32DD7"/>
    <w:rsid w:val="00C564AB"/>
    <w:rsid w:val="00C635B2"/>
    <w:rsid w:val="00C826D1"/>
    <w:rsid w:val="00C83500"/>
    <w:rsid w:val="00C90CD1"/>
    <w:rsid w:val="00CA69D3"/>
    <w:rsid w:val="00CA7B46"/>
    <w:rsid w:val="00CB1D62"/>
    <w:rsid w:val="00CB37BD"/>
    <w:rsid w:val="00CB53B7"/>
    <w:rsid w:val="00CB7A3A"/>
    <w:rsid w:val="00CB7FBF"/>
    <w:rsid w:val="00CC381E"/>
    <w:rsid w:val="00CC56F5"/>
    <w:rsid w:val="00CC5BC0"/>
    <w:rsid w:val="00CD5A7B"/>
    <w:rsid w:val="00CE1AB5"/>
    <w:rsid w:val="00CF3502"/>
    <w:rsid w:val="00D079EE"/>
    <w:rsid w:val="00D14F49"/>
    <w:rsid w:val="00D17F6D"/>
    <w:rsid w:val="00D2100B"/>
    <w:rsid w:val="00D264FC"/>
    <w:rsid w:val="00D54820"/>
    <w:rsid w:val="00D5490C"/>
    <w:rsid w:val="00D56D82"/>
    <w:rsid w:val="00D70130"/>
    <w:rsid w:val="00D811E3"/>
    <w:rsid w:val="00D81D67"/>
    <w:rsid w:val="00D92430"/>
    <w:rsid w:val="00DA067A"/>
    <w:rsid w:val="00DC2947"/>
    <w:rsid w:val="00DC6BC2"/>
    <w:rsid w:val="00DE49F2"/>
    <w:rsid w:val="00DE5773"/>
    <w:rsid w:val="00DF416D"/>
    <w:rsid w:val="00E0186B"/>
    <w:rsid w:val="00E046DA"/>
    <w:rsid w:val="00E10930"/>
    <w:rsid w:val="00E14B00"/>
    <w:rsid w:val="00E216B6"/>
    <w:rsid w:val="00E23E90"/>
    <w:rsid w:val="00E248FA"/>
    <w:rsid w:val="00E35ED2"/>
    <w:rsid w:val="00E57C7B"/>
    <w:rsid w:val="00E622A2"/>
    <w:rsid w:val="00E67954"/>
    <w:rsid w:val="00E75AC9"/>
    <w:rsid w:val="00E761F0"/>
    <w:rsid w:val="00E80078"/>
    <w:rsid w:val="00E823A1"/>
    <w:rsid w:val="00E946DD"/>
    <w:rsid w:val="00E96429"/>
    <w:rsid w:val="00EA7E3C"/>
    <w:rsid w:val="00EB1DA8"/>
    <w:rsid w:val="00EC38D2"/>
    <w:rsid w:val="00EC5D84"/>
    <w:rsid w:val="00ED6EB2"/>
    <w:rsid w:val="00ED7BBA"/>
    <w:rsid w:val="00EE225F"/>
    <w:rsid w:val="00EE5E8B"/>
    <w:rsid w:val="00EF63AC"/>
    <w:rsid w:val="00EF7DD1"/>
    <w:rsid w:val="00F05ED2"/>
    <w:rsid w:val="00F078FC"/>
    <w:rsid w:val="00F166CE"/>
    <w:rsid w:val="00F20B0F"/>
    <w:rsid w:val="00F23350"/>
    <w:rsid w:val="00F26283"/>
    <w:rsid w:val="00F272A5"/>
    <w:rsid w:val="00F47505"/>
    <w:rsid w:val="00F537B8"/>
    <w:rsid w:val="00F61040"/>
    <w:rsid w:val="00F70162"/>
    <w:rsid w:val="00F73D6B"/>
    <w:rsid w:val="00F745D4"/>
    <w:rsid w:val="00F92236"/>
    <w:rsid w:val="00F92421"/>
    <w:rsid w:val="00F927AC"/>
    <w:rsid w:val="00FB1F50"/>
    <w:rsid w:val="00FB36CB"/>
    <w:rsid w:val="00FB4445"/>
    <w:rsid w:val="00FB58BC"/>
    <w:rsid w:val="00FB67E0"/>
    <w:rsid w:val="00FD3F4A"/>
    <w:rsid w:val="00FF0A6C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80DBCC8C-6B61-4CE4-A3D8-3182DF7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90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74F7-8A9F-443E-89CC-E31A51ED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Ministrová Sylva</cp:lastModifiedBy>
  <cp:revision>2</cp:revision>
  <cp:lastPrinted>2016-03-08T07:07:00Z</cp:lastPrinted>
  <dcterms:created xsi:type="dcterms:W3CDTF">2017-08-30T10:05:00Z</dcterms:created>
  <dcterms:modified xsi:type="dcterms:W3CDTF">2017-08-30T10:05:00Z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