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9FA11" w14:textId="77777777" w:rsidR="009A3DA5" w:rsidRPr="00EF304D" w:rsidRDefault="009A3DA5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000000" w:themeColor="text1"/>
          <w:sz w:val="24"/>
          <w:szCs w:val="24"/>
          <w:lang w:eastAsia="cs-CZ"/>
        </w:rPr>
      </w:pPr>
      <w:bookmarkStart w:id="0" w:name="_GoBack"/>
      <w:bookmarkEnd w:id="0"/>
    </w:p>
    <w:p w14:paraId="7B6B1B50" w14:textId="77777777" w:rsidR="009A3DA5" w:rsidRPr="00EF304D" w:rsidRDefault="0081612B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  <w:r w:rsidRPr="00EF304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Veřejnoprávní s</w:t>
      </w:r>
      <w:r w:rsidR="009A3DA5" w:rsidRPr="00EF304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mlouva o poskytnutí dotace</w:t>
      </w:r>
    </w:p>
    <w:p w14:paraId="5703D4A8" w14:textId="77777777" w:rsidR="009A3DA5" w:rsidRPr="00EF304D" w:rsidRDefault="00BA4E35" w:rsidP="006B40A3">
      <w:pPr>
        <w:ind w:left="0" w:firstLine="0"/>
        <w:jc w:val="center"/>
        <w:rPr>
          <w:rFonts w:ascii="Arial" w:eastAsia="Times New Roman" w:hAnsi="Arial" w:cs="Arial"/>
          <w:i/>
          <w:color w:val="000000" w:themeColor="text1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lang w:eastAsia="cs-CZ"/>
        </w:rPr>
        <w:t>uzavřená v souladu s § 159 a násl. zákona č. </w:t>
      </w:r>
      <w:r w:rsidR="009A3DA5" w:rsidRPr="00EF304D">
        <w:rPr>
          <w:rFonts w:ascii="Arial" w:eastAsia="Times New Roman" w:hAnsi="Arial" w:cs="Arial"/>
          <w:color w:val="000000" w:themeColor="text1"/>
          <w:lang w:eastAsia="cs-CZ"/>
        </w:rPr>
        <w:t>500/2004</w:t>
      </w:r>
      <w:r w:rsidRPr="00EF304D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9A3DA5" w:rsidRPr="00EF304D">
        <w:rPr>
          <w:rFonts w:ascii="Arial" w:eastAsia="Times New Roman" w:hAnsi="Arial" w:cs="Arial"/>
          <w:color w:val="000000" w:themeColor="text1"/>
          <w:lang w:eastAsia="cs-CZ"/>
        </w:rPr>
        <w:t>Sb., správní řád, ve znění pozdějších právních předpisů, a se zákonem č. 250/2000 Sb., o rozpočtových pravidlech územních rozpočtů, ve zně</w:t>
      </w:r>
      <w:r w:rsidRPr="00EF304D">
        <w:rPr>
          <w:rFonts w:ascii="Arial" w:eastAsia="Times New Roman" w:hAnsi="Arial" w:cs="Arial"/>
          <w:color w:val="000000" w:themeColor="text1"/>
          <w:lang w:eastAsia="cs-CZ"/>
        </w:rPr>
        <w:t>ní pozdějších právních předpisů</w:t>
      </w:r>
    </w:p>
    <w:p w14:paraId="49020FF7" w14:textId="77777777" w:rsidR="009A3DA5" w:rsidRPr="00EF304D" w:rsidRDefault="009A3DA5" w:rsidP="006B40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</w:p>
    <w:p w14:paraId="6F2B55E3" w14:textId="77777777" w:rsidR="009A3DA5" w:rsidRPr="00EF304D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Olomoucký kraj</w:t>
      </w:r>
    </w:p>
    <w:p w14:paraId="6C8AD987" w14:textId="42D0DB4A" w:rsidR="009A3DA5" w:rsidRPr="00EF304D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Jeremenkova </w:t>
      </w:r>
      <w:r w:rsidR="00CD7573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1191/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40a, </w:t>
      </w:r>
      <w:r w:rsidR="00CD7573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Hodolany,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779 11 Olomouc</w:t>
      </w:r>
    </w:p>
    <w:p w14:paraId="25C7F7D2" w14:textId="77777777" w:rsidR="009A3DA5" w:rsidRPr="00EF304D" w:rsidRDefault="009A3DA5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IČ: 60609460</w:t>
      </w:r>
    </w:p>
    <w:p w14:paraId="037AFCCC" w14:textId="77777777" w:rsidR="009A3DA5" w:rsidRPr="00EF304D" w:rsidRDefault="009A3DA5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DIČ: CZ60609460</w:t>
      </w:r>
    </w:p>
    <w:p w14:paraId="2040D8DB" w14:textId="77777777" w:rsidR="009A3DA5" w:rsidRPr="00EF304D" w:rsidRDefault="009A3DA5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  ....................................…………</w:t>
      </w:r>
    </w:p>
    <w:p w14:paraId="72CC0C9E" w14:textId="77777777" w:rsidR="009A3DA5" w:rsidRPr="00EF304D" w:rsidRDefault="009A3DA5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</w:p>
    <w:p w14:paraId="190CF90B" w14:textId="77777777" w:rsidR="009A3DA5" w:rsidRPr="00EF304D" w:rsidRDefault="009A3DA5" w:rsidP="009A3DA5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EF30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poskytovatel“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21BAE75A" w14:textId="77777777" w:rsidR="009A3DA5" w:rsidRPr="00EF304D" w:rsidRDefault="009A3DA5" w:rsidP="006B40A3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1A4A1EB2" w14:textId="77777777" w:rsidR="009A3DA5" w:rsidRPr="00EF304D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</w:t>
      </w:r>
    </w:p>
    <w:p w14:paraId="28885294" w14:textId="77777777" w:rsidR="009A3DA5" w:rsidRPr="00EF304D" w:rsidRDefault="009A3DA5" w:rsidP="006B40A3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10D4CF49" w14:textId="2BE96760" w:rsidR="009A3DA5" w:rsidRPr="00EF304D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Obchodní firma</w:t>
      </w:r>
      <w:r w:rsidR="00A94063"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/ název</w:t>
      </w:r>
      <w:r w:rsidR="000E7D2F"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právnické</w:t>
      </w:r>
      <w:r w:rsidR="004B4999"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0E7D2F"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osoby</w:t>
      </w:r>
    </w:p>
    <w:p w14:paraId="4F20DCFD" w14:textId="77777777" w:rsidR="00093D1C" w:rsidRPr="00EF304D" w:rsidRDefault="00093D1C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</w:t>
      </w:r>
      <w:r w:rsidR="00A94063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 ……………………………………………………………</w:t>
      </w:r>
    </w:p>
    <w:p w14:paraId="3ACABBF7" w14:textId="77777777" w:rsidR="000E7D2F" w:rsidRPr="00EF304D" w:rsidRDefault="000E7D2F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IČ:</w:t>
      </w:r>
      <w:r w:rsidR="00792EE9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……………</w:t>
      </w:r>
    </w:p>
    <w:p w14:paraId="0E99B558" w14:textId="77777777" w:rsidR="000E7D2F" w:rsidRPr="00EF304D" w:rsidRDefault="000E7D2F" w:rsidP="00792EE9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</w:t>
      </w:r>
      <w:r w:rsidRPr="00EF30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: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C02FE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……………… </w:t>
      </w:r>
    </w:p>
    <w:p w14:paraId="39CEB6CD" w14:textId="77777777" w:rsidR="00792EE9" w:rsidRPr="00EF304D" w:rsidRDefault="00792EE9" w:rsidP="00792EE9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  ....................................…………</w:t>
      </w:r>
      <w:r w:rsidR="004618C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4A47BB67" w14:textId="77777777" w:rsidR="000E7D2F" w:rsidRPr="00EF304D" w:rsidRDefault="00644A29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Údaj o zápisu ve veřejném </w:t>
      </w:r>
      <w:r w:rsidR="00D604F5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jiném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rejstříku</w:t>
      </w:r>
      <w:r w:rsidR="00FC54D0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………</w:t>
      </w:r>
    </w:p>
    <w:p w14:paraId="3CED2B98" w14:textId="77777777" w:rsidR="009A3DA5" w:rsidRPr="00EF304D" w:rsidRDefault="009A3DA5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="00FC54D0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………</w:t>
      </w:r>
    </w:p>
    <w:p w14:paraId="71AE4380" w14:textId="77777777" w:rsidR="009A3DA5" w:rsidRPr="00EF304D" w:rsidRDefault="009A3DA5" w:rsidP="009A3DA5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EF30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45608B2C" w14:textId="77777777" w:rsidR="009A3DA5" w:rsidRPr="00EF304D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uzavírají níže uvedeného dne, měsíce a roku</w:t>
      </w:r>
      <w:r w:rsidR="002804E7"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</w:r>
      <w:r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tuto smlouvu o poskytnutí dotace:</w:t>
      </w:r>
    </w:p>
    <w:p w14:paraId="23C7F2A0" w14:textId="77777777" w:rsidR="009A3DA5" w:rsidRPr="00EF304D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I.</w:t>
      </w:r>
    </w:p>
    <w:p w14:paraId="48B39D38" w14:textId="075039B5" w:rsidR="00BA6A34" w:rsidRPr="00EF304D" w:rsidRDefault="00BA6A34" w:rsidP="00BA6A34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EF304D">
        <w:rPr>
          <w:rFonts w:ascii="Arial" w:hAnsi="Arial" w:cs="Arial"/>
          <w:b/>
          <w:color w:val="000000" w:themeColor="text1"/>
          <w:sz w:val="24"/>
          <w:szCs w:val="24"/>
        </w:rPr>
        <w:t>podpory a stabilizace personálního zabezpečení lůžkových zdravotních služeb</w:t>
      </w:r>
      <w:r w:rsidRPr="00EF304D">
        <w:rPr>
          <w:rFonts w:ascii="Arial" w:hAnsi="Arial" w:cs="Arial"/>
          <w:color w:val="000000" w:themeColor="text1"/>
          <w:sz w:val="24"/>
          <w:szCs w:val="24"/>
        </w:rPr>
        <w:t xml:space="preserve"> poskytovaných zaměstnanci</w:t>
      </w:r>
      <w:r w:rsidR="006B40A3" w:rsidRPr="00EF304D">
        <w:rPr>
          <w:rFonts w:ascii="Arial" w:hAnsi="Arial" w:cs="Arial"/>
          <w:color w:val="000000" w:themeColor="text1"/>
          <w:sz w:val="24"/>
          <w:szCs w:val="24"/>
        </w:rPr>
        <w:t>, kteří jsou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EF304D">
        <w:rPr>
          <w:rFonts w:ascii="Arial" w:hAnsi="Arial" w:cs="Arial"/>
          <w:color w:val="000000" w:themeColor="text1"/>
          <w:sz w:val="24"/>
          <w:szCs w:val="24"/>
        </w:rPr>
        <w:t>definov</w:t>
      </w:r>
      <w:r w:rsidR="006B40A3" w:rsidRPr="00EF304D">
        <w:rPr>
          <w:rFonts w:ascii="Arial" w:hAnsi="Arial" w:cs="Arial"/>
          <w:color w:val="000000" w:themeColor="text1"/>
          <w:sz w:val="24"/>
          <w:szCs w:val="24"/>
        </w:rPr>
        <w:t>á</w:t>
      </w:r>
      <w:r w:rsidRPr="00EF304D">
        <w:rPr>
          <w:rFonts w:ascii="Arial" w:hAnsi="Arial" w:cs="Arial"/>
          <w:color w:val="000000" w:themeColor="text1"/>
          <w:sz w:val="24"/>
          <w:szCs w:val="24"/>
        </w:rPr>
        <w:t>ni</w:t>
      </w:r>
      <w:r w:rsidR="00BE47A3" w:rsidRPr="00EF304D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Pr="00EF304D">
        <w:rPr>
          <w:rFonts w:ascii="Arial" w:hAnsi="Arial" w:cs="Arial"/>
          <w:color w:val="000000" w:themeColor="text1"/>
          <w:sz w:val="24"/>
          <w:szCs w:val="24"/>
        </w:rPr>
        <w:t xml:space="preserve"> čl. II. odst. 1</w:t>
      </w:r>
      <w:r w:rsidR="00421B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21B73" w:rsidRPr="00EF304D">
        <w:rPr>
          <w:rFonts w:ascii="Arial" w:hAnsi="Arial" w:cs="Arial"/>
          <w:color w:val="000000" w:themeColor="text1"/>
          <w:sz w:val="24"/>
          <w:szCs w:val="24"/>
        </w:rPr>
        <w:t>Dotace se poskytne na</w:t>
      </w:r>
      <w:r w:rsidR="00026852" w:rsidRPr="00D84AB6">
        <w:rPr>
          <w:rFonts w:ascii="Arial" w:hAnsi="Arial" w:cs="Arial"/>
          <w:color w:val="000000" w:themeColor="text1"/>
          <w:sz w:val="24"/>
          <w:szCs w:val="24"/>
        </w:rPr>
        <w:t xml:space="preserve">  navýšení zvláštního příplatku za soustavné poskytování</w:t>
      </w:r>
      <w:r w:rsidR="00026852" w:rsidRPr="00421B73">
        <w:rPr>
          <w:rFonts w:ascii="Arial" w:hAnsi="Arial" w:cs="Arial"/>
          <w:color w:val="000000" w:themeColor="text1"/>
          <w:sz w:val="24"/>
          <w:szCs w:val="24"/>
        </w:rPr>
        <w:t xml:space="preserve"> zdravotních služeb zdravotnickými pracovníky vykonávajícími nelékařské zdravotnické povolání bez odborného dohledu poskytovaných střídavě ve třísměnném nebo nepřetržitém provozním režimu u poskytovatelů zdravotních služeb lůžkové péče dle bodu 10 skupiny III. Přílohy č. 7 nařízení vlády č. 564/2006 Sb., o platových poměrech zaměstnanců ve veřejných službách a správě, ve znění pozdějších předpisů nebo na analogické zvýšení mzdy zaměst</w:t>
      </w:r>
      <w:r w:rsidR="00026852" w:rsidRPr="00421B73">
        <w:rPr>
          <w:rFonts w:ascii="Arial" w:hAnsi="Arial" w:cs="Arial"/>
          <w:color w:val="000000" w:themeColor="text1"/>
          <w:sz w:val="24"/>
          <w:szCs w:val="24"/>
        </w:rPr>
        <w:lastRenderedPageBreak/>
        <w:t>nanců odměňovaných mzdou splňujících definici dle tohoto bodu, s výjimkou pobytových zařízení sociálních služeb. Dotace není určena na výdaje plynoucí z dohod o pracích konaných mimo pracovní poměr (</w:t>
      </w:r>
      <w:r w:rsidR="004B4999" w:rsidRPr="00421B73">
        <w:rPr>
          <w:rFonts w:ascii="Arial" w:hAnsi="Arial" w:cs="Arial"/>
          <w:color w:val="000000" w:themeColor="text1"/>
          <w:sz w:val="24"/>
          <w:szCs w:val="24"/>
        </w:rPr>
        <w:t>dohoda o pracovní činnosti a dohoda o provedení práce</w:t>
      </w:r>
      <w:r w:rsidR="00026852" w:rsidRPr="00EF304D">
        <w:rPr>
          <w:rFonts w:ascii="Arial" w:hAnsi="Arial" w:cs="Arial"/>
          <w:color w:val="000000" w:themeColor="text1"/>
          <w:sz w:val="24"/>
          <w:szCs w:val="24"/>
        </w:rPr>
        <w:t>)</w:t>
      </w:r>
      <w:r w:rsidRPr="00EF30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A356EB" w14:textId="129FF39E" w:rsidR="00BA6A34" w:rsidRPr="00EF304D" w:rsidRDefault="00BA6A34" w:rsidP="00BA6A34">
      <w:pPr>
        <w:spacing w:after="120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EF304D">
        <w:rPr>
          <w:rFonts w:ascii="Arial" w:hAnsi="Arial" w:cs="Arial"/>
          <w:color w:val="000000" w:themeColor="text1"/>
          <w:sz w:val="24"/>
          <w:szCs w:val="24"/>
        </w:rPr>
        <w:t>Na poskytnutí dotace není právní nárok.</w:t>
      </w:r>
    </w:p>
    <w:p w14:paraId="5E51222C" w14:textId="3E92807D" w:rsidR="009A3DA5" w:rsidRPr="00EF304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bude poskytnuta převodem na bankovní účet příjemce uvedený v záhlaví této smlouvy do </w:t>
      </w:r>
      <w:r w:rsidR="000A5E02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10 </w:t>
      </w:r>
      <w:r w:rsidR="00037C8F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pracovních</w:t>
      </w:r>
      <w:r w:rsidR="004B4999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dnů ode dne </w:t>
      </w:r>
      <w:r w:rsidR="00D26F7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nabytí účinnosti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</w:t>
      </w:r>
      <w:r w:rsidRPr="00EF304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23202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den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poskytnutí dotace </w:t>
      </w:r>
      <w:r w:rsidR="002E4AC7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se pro účely této smlo</w:t>
      </w:r>
      <w:r w:rsidR="00C21B03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</w:t>
      </w:r>
      <w:r w:rsidR="002E4AC7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 považuje</w:t>
      </w:r>
      <w:r w:rsidR="00723202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den </w:t>
      </w:r>
      <w:r w:rsidR="00D26F7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odepsání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finančních prostředků </w:t>
      </w:r>
      <w:r w:rsidR="00C93442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 účtu poskytovatele</w:t>
      </w:r>
      <w:r w:rsidR="00913B0F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ve prospěch účtu příjemce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</w:p>
    <w:p w14:paraId="37C37A9E" w14:textId="77777777" w:rsidR="009A3DA5" w:rsidRPr="00EF304D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II.</w:t>
      </w:r>
    </w:p>
    <w:p w14:paraId="6143CA53" w14:textId="05FEFFCF" w:rsidR="009A3DA5" w:rsidRPr="00EF304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dotaci přijímá a zavazuje se ji použít výlučně v souladu s účelem poskytnutí dotace dle čl. I odst.</w:t>
      </w:r>
      <w:r w:rsidR="004B4999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1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D205D2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 pravidly Dotačního programu </w:t>
      </w:r>
      <w:r w:rsidR="007500FA" w:rsidRPr="00EF304D">
        <w:rPr>
          <w:rFonts w:ascii="Arial" w:hAnsi="Arial" w:cs="Arial"/>
          <w:bCs/>
          <w:color w:val="000000" w:themeColor="text1"/>
          <w:sz w:val="24"/>
          <w:szCs w:val="24"/>
        </w:rPr>
        <w:t xml:space="preserve">ke stabilizaci vybraných zdravotnických nelékařských pracovníků ve směnném provozu v Olomouckém kraji </w:t>
      </w:r>
      <w:r w:rsidR="00C524A4" w:rsidRPr="00EF30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(dále také jen „Pravidla“)</w:t>
      </w:r>
      <w:r w:rsidR="00AC34BB" w:rsidRPr="00EF30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musí být použita hospodárně. </w:t>
      </w:r>
    </w:p>
    <w:p w14:paraId="46B1B0B0" w14:textId="5FCA97E1" w:rsidR="004B4999" w:rsidRPr="00EF304D" w:rsidRDefault="00BE47A3" w:rsidP="00E30A9D">
      <w:pPr>
        <w:pStyle w:val="Odstavecseseznamem"/>
        <w:spacing w:after="120"/>
        <w:ind w:left="567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</w:rPr>
        <w:t>Příjemcův z</w:t>
      </w:r>
      <w:r w:rsidR="00BA6A34" w:rsidRPr="00EF304D">
        <w:rPr>
          <w:rFonts w:ascii="Arial" w:eastAsia="Times New Roman" w:hAnsi="Arial" w:cs="Arial"/>
          <w:color w:val="000000" w:themeColor="text1"/>
          <w:sz w:val="24"/>
          <w:szCs w:val="24"/>
        </w:rPr>
        <w:t>aměstnanec, jehož se týká poskytovaná dotace, musí vykonávat práci „soustavné poskytování zdravotních služeb zdravotnickými pracovníky vykonávajícími nelékařské zdravotnické povolání bez odborného dohledu střídavě ve třísměnném nebo nepřetržitém provozním režimu u poskytovatelů zdravotních služeb lůžkové péče“, jde o práce uvedené v Příloze č. 7, III. skupině, bod 10. nařízení vlády č. 564/2006 Sb.</w:t>
      </w:r>
      <w:r w:rsidR="000131F0" w:rsidRPr="00EF304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BA6A34" w:rsidRPr="00EF3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131F0" w:rsidRPr="00EF3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platových poměrech zaměstnanců ve veřejných službách a správě, ve znění pozdějších předpisů, s výjimkou pobytových zařízení sociálních služeb. </w:t>
      </w:r>
      <w:r w:rsidR="00BA6A34" w:rsidRPr="00EF304D">
        <w:rPr>
          <w:rFonts w:ascii="Arial" w:eastAsia="Times New Roman" w:hAnsi="Arial" w:cs="Arial"/>
          <w:color w:val="000000" w:themeColor="text1"/>
          <w:sz w:val="24"/>
          <w:szCs w:val="24"/>
        </w:rPr>
        <w:t>(dále jen „příslušný zaměstnanec“).</w:t>
      </w:r>
    </w:p>
    <w:p w14:paraId="2C38D589" w14:textId="33D236B5" w:rsidR="005010D4" w:rsidRPr="00421B73" w:rsidRDefault="00786901" w:rsidP="00C84C9A">
      <w:pPr>
        <w:pStyle w:val="Default"/>
        <w:numPr>
          <w:ilvl w:val="0"/>
          <w:numId w:val="34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</w:rPr>
      </w:pPr>
      <w:r w:rsidRPr="00EF304D">
        <w:rPr>
          <w:rFonts w:ascii="Arial" w:hAnsi="Arial" w:cs="Arial"/>
          <w:bCs/>
          <w:color w:val="000000" w:themeColor="text1"/>
        </w:rPr>
        <w:t xml:space="preserve">Dotace se poskytuje ve výši 2000 * 1,34 Kč za každého přepočteného pracovníka </w:t>
      </w:r>
      <w:r w:rsidR="00A6300C" w:rsidRPr="00EF304D">
        <w:rPr>
          <w:rFonts w:ascii="Arial" w:hAnsi="Arial" w:cs="Arial"/>
          <w:bCs/>
          <w:color w:val="000000" w:themeColor="text1"/>
        </w:rPr>
        <w:t xml:space="preserve">poskytovatele zdravotnických služeb se sídlem </w:t>
      </w:r>
      <w:r w:rsidR="00771E72" w:rsidRPr="00EF304D">
        <w:rPr>
          <w:rFonts w:ascii="Arial" w:hAnsi="Arial" w:cs="Arial"/>
          <w:bCs/>
          <w:color w:val="000000" w:themeColor="text1"/>
        </w:rPr>
        <w:t xml:space="preserve">na území </w:t>
      </w:r>
      <w:r w:rsidR="00A6300C" w:rsidRPr="00EF304D">
        <w:rPr>
          <w:rFonts w:ascii="Arial" w:hAnsi="Arial" w:cs="Arial"/>
          <w:bCs/>
          <w:color w:val="000000" w:themeColor="text1"/>
        </w:rPr>
        <w:t> Olomoucké</w:t>
      </w:r>
      <w:r w:rsidR="00771E72" w:rsidRPr="00EF304D">
        <w:rPr>
          <w:rFonts w:ascii="Arial" w:hAnsi="Arial" w:cs="Arial"/>
          <w:bCs/>
          <w:color w:val="000000" w:themeColor="text1"/>
        </w:rPr>
        <w:t>ho</w:t>
      </w:r>
      <w:r w:rsidR="00A6300C" w:rsidRPr="00EF304D">
        <w:rPr>
          <w:rFonts w:ascii="Arial" w:hAnsi="Arial" w:cs="Arial"/>
          <w:bCs/>
          <w:color w:val="000000" w:themeColor="text1"/>
        </w:rPr>
        <w:t xml:space="preserve"> kraj</w:t>
      </w:r>
      <w:r w:rsidR="00771E72" w:rsidRPr="00EF304D">
        <w:rPr>
          <w:rFonts w:ascii="Arial" w:hAnsi="Arial" w:cs="Arial"/>
          <w:bCs/>
          <w:color w:val="000000" w:themeColor="text1"/>
        </w:rPr>
        <w:t>e</w:t>
      </w:r>
      <w:r w:rsidR="00A6300C" w:rsidRPr="00EF304D">
        <w:rPr>
          <w:rFonts w:ascii="Arial" w:hAnsi="Arial" w:cs="Arial"/>
          <w:bCs/>
          <w:color w:val="000000" w:themeColor="text1"/>
        </w:rPr>
        <w:t xml:space="preserve"> </w:t>
      </w:r>
      <w:r w:rsidRPr="00EF304D">
        <w:rPr>
          <w:rFonts w:ascii="Arial" w:hAnsi="Arial" w:cs="Arial"/>
          <w:bCs/>
          <w:color w:val="000000" w:themeColor="text1"/>
        </w:rPr>
        <w:t>splňujícího definici a měsíc, po který zaměstnanec pobíral zvýšený zvláštní příplatek k platu nebo analogicky zvýšenou mzdu oproti období před 1. 7. 2017. Dotace je poskytnuta pouze v případě, že byl příslušnému zaměstnanci navýšen zvláštní příplatek k platu nebo analogicky zvýšena mzda o nejméně 2000 Kč hrubého měsíčně (v případě kratší pracovní doby – nižšího úvazku – je částka poměrně krácena</w:t>
      </w:r>
      <w:r w:rsidR="00A875EE" w:rsidRPr="00EF304D">
        <w:rPr>
          <w:rFonts w:ascii="Arial" w:hAnsi="Arial" w:cs="Arial"/>
          <w:bCs/>
          <w:color w:val="000000" w:themeColor="text1"/>
        </w:rPr>
        <w:t>. Stejné poměrné krácení se uplatní v případě neodpracované doby zaměstnancem z důvodu překážek v práci na straně zaměstnance – např. pracovní neschopnost, dovolená)</w:t>
      </w:r>
      <w:r w:rsidRPr="00EF304D">
        <w:rPr>
          <w:rFonts w:ascii="Arial" w:hAnsi="Arial" w:cs="Arial"/>
          <w:bCs/>
          <w:color w:val="000000" w:themeColor="text1"/>
        </w:rPr>
        <w:t>. T</w:t>
      </w:r>
      <w:r w:rsidR="00A0364E">
        <w:rPr>
          <w:rFonts w:ascii="Arial" w:hAnsi="Arial" w:cs="Arial"/>
          <w:bCs/>
          <w:color w:val="000000" w:themeColor="text1"/>
        </w:rPr>
        <w:t>o</w:t>
      </w:r>
      <w:r w:rsidRPr="00EF304D">
        <w:rPr>
          <w:rFonts w:ascii="Arial" w:hAnsi="Arial" w:cs="Arial"/>
          <w:bCs/>
          <w:color w:val="000000" w:themeColor="text1"/>
        </w:rPr>
        <w:t xml:space="preserve">to </w:t>
      </w:r>
      <w:r w:rsidR="00A0364E">
        <w:rPr>
          <w:rFonts w:ascii="Arial" w:hAnsi="Arial" w:cs="Arial"/>
          <w:bCs/>
          <w:color w:val="000000" w:themeColor="text1"/>
        </w:rPr>
        <w:t xml:space="preserve">navýšení </w:t>
      </w:r>
      <w:r w:rsidRPr="00EF304D">
        <w:rPr>
          <w:rFonts w:ascii="Arial" w:hAnsi="Arial" w:cs="Arial"/>
          <w:bCs/>
          <w:color w:val="000000" w:themeColor="text1"/>
        </w:rPr>
        <w:t>z</w:t>
      </w:r>
      <w:r w:rsidR="00A0364E">
        <w:rPr>
          <w:rFonts w:ascii="Arial" w:hAnsi="Arial" w:cs="Arial"/>
          <w:bCs/>
          <w:color w:val="000000" w:themeColor="text1"/>
        </w:rPr>
        <w:t>vláštního příplatku nebo analogické navýšení mzdy</w:t>
      </w:r>
      <w:r w:rsidRPr="00EF304D">
        <w:rPr>
          <w:rFonts w:ascii="Arial" w:hAnsi="Arial" w:cs="Arial"/>
          <w:bCs/>
          <w:color w:val="000000" w:themeColor="text1"/>
        </w:rPr>
        <w:t xml:space="preserve"> musí být účinn</w:t>
      </w:r>
      <w:r w:rsidR="00A0364E">
        <w:rPr>
          <w:rFonts w:ascii="Arial" w:hAnsi="Arial" w:cs="Arial"/>
          <w:bCs/>
          <w:color w:val="000000" w:themeColor="text1"/>
        </w:rPr>
        <w:t>é</w:t>
      </w:r>
      <w:r w:rsidRPr="00EF304D">
        <w:rPr>
          <w:rFonts w:ascii="Arial" w:hAnsi="Arial" w:cs="Arial"/>
          <w:bCs/>
          <w:color w:val="000000" w:themeColor="text1"/>
        </w:rPr>
        <w:t xml:space="preserve"> ve všech měsících, na které je dotace žádána. Zaměstnanec nesmí být v souvislosti s přiznáním zvýšeného zvláštního příplatku k platu nebo s analogickým navýšením mzdy krácen v jiných složkách platu nebo mzdy. V </w:t>
      </w:r>
      <w:r w:rsidR="00771E72" w:rsidRPr="00EF304D">
        <w:rPr>
          <w:rFonts w:ascii="Arial" w:hAnsi="Arial" w:cs="Arial"/>
          <w:bCs/>
          <w:color w:val="000000" w:themeColor="text1"/>
        </w:rPr>
        <w:t xml:space="preserve">případě, že by zaměstnanec byl v souvislosti s přiznáním zvýšeného zvláštního příplatku k platu nebo s analogickým navýšením mzdy krácen v jiných složkách platu nebo mzdy, </w:t>
      </w:r>
      <w:r w:rsidRPr="00EF304D">
        <w:rPr>
          <w:rFonts w:ascii="Arial" w:hAnsi="Arial" w:cs="Arial"/>
          <w:bCs/>
          <w:color w:val="000000" w:themeColor="text1"/>
        </w:rPr>
        <w:t xml:space="preserve">je povinností </w:t>
      </w:r>
      <w:r w:rsidR="00421B73" w:rsidRPr="00EF304D">
        <w:rPr>
          <w:rFonts w:ascii="Arial" w:hAnsi="Arial" w:cs="Arial"/>
          <w:bCs/>
          <w:color w:val="000000" w:themeColor="text1"/>
        </w:rPr>
        <w:t>příjemce</w:t>
      </w:r>
      <w:r w:rsidR="00421B73" w:rsidRPr="00D84AB6">
        <w:rPr>
          <w:rFonts w:ascii="Arial" w:hAnsi="Arial" w:cs="Arial"/>
          <w:bCs/>
          <w:color w:val="000000" w:themeColor="text1"/>
        </w:rPr>
        <w:t xml:space="preserve"> </w:t>
      </w:r>
      <w:r w:rsidRPr="00D84AB6">
        <w:rPr>
          <w:rFonts w:ascii="Arial" w:hAnsi="Arial" w:cs="Arial"/>
          <w:bCs/>
          <w:color w:val="000000" w:themeColor="text1"/>
        </w:rPr>
        <w:t>vrátit příslušnou část přidělené dotace.</w:t>
      </w:r>
      <w:r w:rsidRPr="00421B73">
        <w:rPr>
          <w:rFonts w:ascii="Arial" w:hAnsi="Arial" w:cs="Arial"/>
          <w:bCs/>
          <w:color w:val="000000" w:themeColor="text1"/>
        </w:rPr>
        <w:t xml:space="preserve"> V případě nižšího na</w:t>
      </w:r>
      <w:r w:rsidRPr="00421B73">
        <w:rPr>
          <w:rFonts w:ascii="Arial" w:hAnsi="Arial" w:cs="Arial"/>
          <w:bCs/>
          <w:color w:val="000000" w:themeColor="text1"/>
        </w:rPr>
        <w:lastRenderedPageBreak/>
        <w:t>výšení než o 2 000 Kč hrubého na úvazek 1,0 je příjemce povinen dotaci vrátit.</w:t>
      </w:r>
      <w:r w:rsidR="005010D4" w:rsidRPr="00421B73">
        <w:rPr>
          <w:rFonts w:ascii="Arial" w:hAnsi="Arial" w:cs="Arial"/>
          <w:bCs/>
          <w:color w:val="000000" w:themeColor="text1"/>
        </w:rPr>
        <w:t xml:space="preserve"> </w:t>
      </w:r>
      <w:r w:rsidR="002537AF" w:rsidRPr="00421B73">
        <w:rPr>
          <w:rFonts w:ascii="Arial" w:hAnsi="Arial" w:cs="Arial"/>
          <w:bCs/>
          <w:color w:val="000000" w:themeColor="text1"/>
        </w:rPr>
        <w:t xml:space="preserve">Každému zaměstnanci, na jehož zvýšení zvláštního příplatku (nebo analogické zvýšení mzdy ve zvlášť sledované zvláštní složce mzdy) byla obdržena dotace, musí být zvýšený </w:t>
      </w:r>
      <w:r w:rsidR="00932129" w:rsidRPr="00421B73">
        <w:rPr>
          <w:rFonts w:ascii="Arial" w:hAnsi="Arial" w:cs="Arial"/>
          <w:bCs/>
          <w:color w:val="000000" w:themeColor="text1"/>
        </w:rPr>
        <w:t xml:space="preserve">zvláštní </w:t>
      </w:r>
      <w:r w:rsidR="002537AF" w:rsidRPr="00421B73">
        <w:rPr>
          <w:rFonts w:ascii="Arial" w:hAnsi="Arial" w:cs="Arial"/>
          <w:bCs/>
          <w:color w:val="000000" w:themeColor="text1"/>
        </w:rPr>
        <w:t xml:space="preserve">příplatek k platu nebo analogicky zvýšená mzda (o 2000 Kč hrubého měsíčně na úvazek 1,0) skutečně vyplacena. V případě nevyplacení vzniká příjemci povinnost nespotřebovanou část dotace vrátit. </w:t>
      </w:r>
      <w:r w:rsidR="005010D4" w:rsidRPr="00421B73">
        <w:rPr>
          <w:rFonts w:ascii="Arial" w:hAnsi="Arial" w:cs="Arial"/>
          <w:color w:val="000000" w:themeColor="text1"/>
        </w:rPr>
        <w:t>Dotace není určena na výdaje plynoucí z dohod o pracích konaných mimo pracovní poměr (</w:t>
      </w:r>
      <w:r w:rsidR="004B4999" w:rsidRPr="00421B73">
        <w:rPr>
          <w:rFonts w:ascii="Arial" w:hAnsi="Arial" w:cs="Arial"/>
          <w:color w:val="000000" w:themeColor="text1"/>
        </w:rPr>
        <w:t>dohoda o pracovní činnosti a dohoda o provedení práce</w:t>
      </w:r>
      <w:r w:rsidR="005010D4" w:rsidRPr="00421B73">
        <w:rPr>
          <w:rFonts w:ascii="Arial" w:hAnsi="Arial" w:cs="Arial"/>
          <w:color w:val="000000" w:themeColor="text1"/>
        </w:rPr>
        <w:t>).</w:t>
      </w:r>
    </w:p>
    <w:p w14:paraId="66F9F3AB" w14:textId="77777777" w:rsidR="009A3DA5" w:rsidRPr="00421B73" w:rsidRDefault="009A3DA5" w:rsidP="009A3DA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4D54F1F4" w14:textId="2C4796C5" w:rsidR="008B4920" w:rsidRPr="00421B73" w:rsidRDefault="00A8464B" w:rsidP="008B4920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vést dotaci ve svém účetnictví odděleně a účtovat o dotaci pomocí analytického členění </w:t>
      </w:r>
      <w:r w:rsidR="00A875EE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nákladových </w:t>
      </w: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účtů</w:t>
      </w:r>
      <w:r w:rsidR="00A875EE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16FD756" w14:textId="77777777" w:rsidR="008B4920" w:rsidRPr="00421B73" w:rsidRDefault="008B4920" w:rsidP="00CA5E95">
      <w:pPr>
        <w:pStyle w:val="Default"/>
        <w:ind w:left="426"/>
        <w:jc w:val="both"/>
        <w:rPr>
          <w:rFonts w:ascii="Arial" w:hAnsi="Arial" w:cs="Arial"/>
          <w:color w:val="000000" w:themeColor="text1"/>
        </w:rPr>
      </w:pPr>
    </w:p>
    <w:p w14:paraId="25098183" w14:textId="22897C9F" w:rsidR="00CA5E95" w:rsidRPr="00421B73" w:rsidRDefault="00CA5E95" w:rsidP="008B4920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421B73">
        <w:rPr>
          <w:rFonts w:ascii="Arial" w:hAnsi="Arial" w:cs="Arial"/>
          <w:color w:val="000000" w:themeColor="text1"/>
          <w:sz w:val="24"/>
          <w:szCs w:val="24"/>
        </w:rPr>
        <w:t>Prostředky dotace je možné čerpat na uznatelné náklady projektu vzniklé od 1. 7. 2017 do 31. 12. 2017</w:t>
      </w:r>
      <w:r w:rsidR="00AF5D8F" w:rsidRPr="00421B73">
        <w:rPr>
          <w:rFonts w:ascii="Arial" w:hAnsi="Arial" w:cs="Arial"/>
          <w:color w:val="000000" w:themeColor="text1"/>
        </w:rPr>
        <w:t xml:space="preserve">. </w:t>
      </w:r>
      <w:r w:rsidR="00932129" w:rsidRPr="00421B73">
        <w:rPr>
          <w:rFonts w:ascii="Arial" w:hAnsi="Arial" w:cs="Arial"/>
          <w:color w:val="000000" w:themeColor="text1"/>
          <w:sz w:val="24"/>
          <w:szCs w:val="24"/>
        </w:rPr>
        <w:t xml:space="preserve"> Dotaci lze použít</w:t>
      </w:r>
      <w:r w:rsidR="00AF5D8F" w:rsidRPr="00421B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21B73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8B4920" w:rsidRPr="00421B73">
        <w:rPr>
          <w:rFonts w:ascii="Arial" w:hAnsi="Arial" w:cs="Arial"/>
          <w:color w:val="000000" w:themeColor="text1"/>
          <w:sz w:val="24"/>
          <w:szCs w:val="24"/>
        </w:rPr>
        <w:t>31</w:t>
      </w:r>
      <w:r w:rsidRPr="00421B73">
        <w:rPr>
          <w:rFonts w:ascii="Arial" w:hAnsi="Arial" w:cs="Arial"/>
          <w:color w:val="000000" w:themeColor="text1"/>
          <w:sz w:val="24"/>
          <w:szCs w:val="24"/>
        </w:rPr>
        <w:t>. 1. 2018.</w:t>
      </w:r>
    </w:p>
    <w:p w14:paraId="1899BB5E" w14:textId="774EC5DE" w:rsidR="00D8176C" w:rsidRPr="00421B73" w:rsidRDefault="00D8176C" w:rsidP="008B492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poskytovateli, případně také Ministerstvu zdravotnictví, Nejvyššímu kontrolnímu úřadu a Ministerstvu financí, provedení kontroly dodržení účelu a podmínek použití poskytnuté dotace. Při této kontrole je příjemce povinen vyvíjet veškerou poskytovatelem požadovanou součinnost</w:t>
      </w:r>
      <w:r w:rsidR="00E8333E" w:rsidRPr="00421B73">
        <w:rPr>
          <w:rFonts w:ascii="Arial" w:hAnsi="Arial" w:cs="Arial"/>
          <w:color w:val="000000" w:themeColor="text1"/>
        </w:rPr>
        <w:t xml:space="preserve"> </w:t>
      </w:r>
      <w:r w:rsidR="00E8333E" w:rsidRPr="00421B73">
        <w:rPr>
          <w:rFonts w:ascii="Arial" w:hAnsi="Arial" w:cs="Arial"/>
          <w:color w:val="000000" w:themeColor="text1"/>
          <w:sz w:val="24"/>
          <w:szCs w:val="24"/>
        </w:rPr>
        <w:t>a doložit výše uvedené skutečnosti předložením prvotních účetních dokladů, resp. originálů dokladů, které tyto skutečnosti prokazují</w:t>
      </w: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6C4932CE" w14:textId="0F7EA274" w:rsidR="009A3DA5" w:rsidRPr="00421B73" w:rsidRDefault="009A3DA5" w:rsidP="0033360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nejpozději do </w:t>
      </w:r>
      <w:r w:rsidR="00934A5C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31</w:t>
      </w:r>
      <w:r w:rsidR="00DA1C65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1. 201</w:t>
      </w:r>
      <w:r w:rsidR="00096ABD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8</w:t>
      </w: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předložit poskytovateli </w:t>
      </w:r>
      <w:r w:rsidR="00637B49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finanční</w:t>
      </w:r>
      <w:r w:rsidR="00A875EE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vyúčtování dotace (dále jen „vyúčtování</w:t>
      </w:r>
      <w:r w:rsidR="00453D92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</w:t>
      </w:r>
      <w:r w:rsidR="00740FAD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které j</w:t>
      </w:r>
      <w:r w:rsidR="00333608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="00637B49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přílohou </w:t>
      </w:r>
      <w:r w:rsidR="00934A5C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č. 1 </w:t>
      </w:r>
      <w:r w:rsidR="00740FAD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této </w:t>
      </w:r>
      <w:r w:rsidR="00637B49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smlouvy.</w:t>
      </w:r>
      <w:r w:rsidR="00D31EA7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875EE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Finanční vyúčtování bude obsahovat:</w:t>
      </w:r>
    </w:p>
    <w:p w14:paraId="17A0A4F4" w14:textId="70432892" w:rsidR="006B6F1C" w:rsidRPr="00421B73" w:rsidRDefault="006B6F1C" w:rsidP="00333608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jmenný seznam</w:t>
      </w:r>
      <w:r w:rsidR="00037C2C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seznam podle osobních čísel </w:t>
      </w: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příslušných zaměstnanců, kterým byl vyplacen </w:t>
      </w:r>
      <w:r w:rsidR="004B4999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zvýšený zvláštní</w:t>
      </w: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příplatek </w:t>
      </w:r>
      <w:r w:rsidR="00037C2C"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 platu nebo analogicky zvýšená mzda </w:t>
      </w: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jednotlivých měsících,</w:t>
      </w:r>
    </w:p>
    <w:p w14:paraId="263747BE" w14:textId="3392D67B" w:rsidR="006B6F1C" w:rsidRPr="00421B73" w:rsidRDefault="006B6F1C" w:rsidP="00333608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výši úvazku,</w:t>
      </w:r>
    </w:p>
    <w:p w14:paraId="746622A5" w14:textId="6460E61D" w:rsidR="006B6F1C" w:rsidRPr="00EF304D" w:rsidRDefault="006B6F1C" w:rsidP="00333608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výši nároku na</w:t>
      </w:r>
      <w:r w:rsidR="00A0364E" w:rsidRPr="00A0364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0364E" w:rsidRPr="00AA5A2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zvláštní příplatek k platu nebo analogicky zvýšen</w:t>
      </w:r>
      <w:r w:rsidR="00A0364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ou</w:t>
      </w:r>
      <w:r w:rsidR="00A0364E" w:rsidRPr="00AA5A2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mzd</w:t>
      </w:r>
      <w:r w:rsidR="00A0364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</w:t>
      </w:r>
      <w:r w:rsidRPr="00421B7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</w:t>
      </w:r>
      <w:r w:rsidR="00037C2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skutečně </w:t>
      </w:r>
      <w:r w:rsidR="00934A5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odpracované </w:t>
      </w:r>
      <w:r w:rsidR="00037C2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doby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),</w:t>
      </w:r>
    </w:p>
    <w:p w14:paraId="2C17847B" w14:textId="54DBFA6F" w:rsidR="007D718F" w:rsidRPr="00EF304D" w:rsidRDefault="007D718F" w:rsidP="00333608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kopie </w:t>
      </w:r>
      <w:r w:rsidR="00333608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anonymizovaných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mzdových listů příslušných zaměstnanců</w:t>
      </w:r>
      <w:r w:rsidR="00037C2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kterým byl vyplacen zvýšený zvláštní příplatek k platu nebo analogicky zvýšená mzda,</w:t>
      </w:r>
      <w:r w:rsidR="00333608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se zachováním osobního čísla zaměstnance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A387947" w14:textId="38214FBA" w:rsidR="00740FAD" w:rsidRPr="00EF304D" w:rsidRDefault="00A9730D" w:rsidP="00333608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Příloha č. 1 je pro příjemce k dispozici </w:t>
      </w:r>
      <w:r w:rsidR="00740FAD" w:rsidRPr="00EF30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i </w:t>
      </w:r>
      <w:r w:rsidRPr="00EF30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v elektronické formě na webu poskytovatele</w:t>
      </w:r>
      <w:r w:rsidR="00037C2C" w:rsidRPr="00EF30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="00037C2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sekci Dotační programy</w:t>
      </w:r>
      <w:r w:rsidRPr="00EF30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  <w:r w:rsidR="004E1978" w:rsidRPr="00EF30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</w:p>
    <w:p w14:paraId="4391843E" w14:textId="70FC607E" w:rsidR="00A9730D" w:rsidRPr="00EF304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dotace nebyla použita v celé výši ve lhůtě uvedené v čl. II</w:t>
      </w:r>
      <w:r w:rsidR="0011234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odst. </w:t>
      </w:r>
      <w:r w:rsidR="002B63F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smlouvy,</w:t>
      </w:r>
      <w:r w:rsidRPr="00EF30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je příjemce povinen vrátit nevyčerpanou část dotace na účet poskytovatele nejpozději </w:t>
      </w:r>
      <w:r w:rsidR="001156EB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31. 1. 2018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408B0422" w14:textId="1E2D20A6" w:rsidR="009A3DA5" w:rsidRPr="00EF304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V případě, že příjemce použije dotaci nebo její část na jiný účel než účel sjednaný touto smlouvou v čl. I</w:t>
      </w:r>
      <w:r w:rsidR="00A4623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odst. </w:t>
      </w:r>
      <w:r w:rsidR="00A4623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poruší některou z jiných podmínek použití dotace, stanovených v čl. II</w:t>
      </w:r>
      <w:r w:rsidR="00A4623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odst. 1</w:t>
      </w:r>
      <w:r w:rsidR="00932129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2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smlouvy, nebo poruší některou z povinností uvedených v této smlouvě, dopustí se porušení rozpočtové kázně ve smyslu ust. §</w:t>
      </w:r>
      <w:r w:rsidR="0063512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22 zákona č. 250/2000</w:t>
      </w:r>
      <w:r w:rsidR="0063512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Sb., o rozpočtových pravidlech územních rozpočtů, ve znění pozdějších předpisů. Pokud příjemce předloží vyúčtování v termínu stanoveném v čl. II</w:t>
      </w:r>
      <w:r w:rsidR="0011234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odst. </w:t>
      </w:r>
      <w:r w:rsidR="00A4623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5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 smlouvy, ale vyúčtování nebud</w:t>
      </w:r>
      <w:r w:rsidR="00037C2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obsahovat všechny náležitosti stanovené v čl. II</w:t>
      </w:r>
      <w:r w:rsidR="0011234A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odst. </w:t>
      </w:r>
      <w:r w:rsidR="0094272D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5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této smlouvy, dopustí se příjemce porušení rozpočtové kázně až v případě, že nedoplní nebo neopraví chybné nebo neúplné vyúčtování </w:t>
      </w:r>
      <w:r w:rsidR="00037C2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lhůtě </w:t>
      </w:r>
      <w:r w:rsidR="00F7196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5</w:t>
      </w:r>
      <w:r w:rsidR="00CF3E0F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037C2C"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kalendářních </w:t>
      </w: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dnů ode dne doručení výzvy poskytovatele.</w:t>
      </w:r>
    </w:p>
    <w:p w14:paraId="302A5C60" w14:textId="77777777" w:rsidR="009A3DA5" w:rsidRPr="00EF304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F304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1691D" w:rsidRPr="0071691D" w14:paraId="3D2D77FF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A86A" w14:textId="77777777" w:rsidR="009A3DA5" w:rsidRPr="00EF304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C6AC" w14:textId="77777777" w:rsidR="009A3DA5" w:rsidRPr="00EF304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71691D" w:rsidRPr="0071691D" w14:paraId="547064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31A5" w14:textId="636E912F" w:rsidR="009A3DA5" w:rsidRPr="00EF304D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</w:t>
            </w:r>
            <w:r w:rsidR="006B6F1C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vyúčtování </w:t>
            </w: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o využití dotace s prodlením do </w:t>
            </w:r>
            <w:r w:rsidR="00FA3319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4</w:t>
            </w: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898A" w14:textId="77777777" w:rsidR="009A3DA5" w:rsidRPr="00EF304D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2%</w:t>
            </w:r>
          </w:p>
        </w:tc>
      </w:tr>
      <w:tr w:rsidR="0071691D" w:rsidRPr="0071691D" w14:paraId="3BD32CF5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165E" w14:textId="7C61C3A9" w:rsidR="009A3DA5" w:rsidRPr="00EF304D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</w:t>
            </w:r>
            <w:r w:rsidR="006B6F1C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vyúčtování </w:t>
            </w: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o využití dotace s prodlením do </w:t>
            </w:r>
            <w:r w:rsidR="00FA3319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8</w:t>
            </w: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794" w14:textId="77777777" w:rsidR="009A3DA5" w:rsidRPr="00EF304D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71691D" w:rsidRPr="0071691D" w14:paraId="7A1A67BE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8295" w14:textId="7B62DE04" w:rsidR="009A3DA5" w:rsidRPr="00EF304D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doplněného </w:t>
            </w:r>
            <w:r w:rsidR="006B6F1C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vyúčtování </w:t>
            </w: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o využití dotace s prodlením do 1</w:t>
            </w:r>
            <w:r w:rsidR="00FA3319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2</w:t>
            </w: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kalendářních dnů od marného uplynutí náhradní lhůty, uvedené ve výzvě k doplnění </w:t>
            </w:r>
            <w:r w:rsidR="006B6F1C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54DD" w14:textId="77777777" w:rsidR="009A3DA5" w:rsidRPr="00EF304D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71691D" w14:paraId="36FB30D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CC79" w14:textId="77777777" w:rsidR="009A3DA5" w:rsidRPr="00EF304D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1FE3" w14:textId="77777777" w:rsidR="009A3DA5" w:rsidRPr="00EF304D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F304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</w:tbl>
    <w:p w14:paraId="5D8C843C" w14:textId="77777777" w:rsidR="009A3DA5" w:rsidRPr="00EF304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</w:p>
    <w:p w14:paraId="72B9E87B" w14:textId="4FC7BC8B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</w:t>
      </w:r>
      <w:r w:rsidR="0071691D">
        <w:rPr>
          <w:rFonts w:ascii="Arial" w:eastAsia="Times New Roman" w:hAnsi="Arial" w:cs="Arial"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dle této smlouvy povinen vrátit dotaci nebo její část, </w:t>
      </w:r>
      <w:r w:rsidR="0071691D">
        <w:rPr>
          <w:rFonts w:ascii="Arial" w:eastAsia="Times New Roman" w:hAnsi="Arial" w:cs="Arial"/>
          <w:sz w:val="24"/>
          <w:szCs w:val="24"/>
          <w:lang w:eastAsia="cs-CZ"/>
        </w:rPr>
        <w:t xml:space="preserve">nebo zaplatit odvod, sankci či penále,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</w:t>
      </w:r>
      <w:r w:rsidR="0071691D">
        <w:rPr>
          <w:rFonts w:ascii="Arial" w:eastAsia="Times New Roman" w:hAnsi="Arial" w:cs="Arial"/>
          <w:sz w:val="24"/>
          <w:szCs w:val="24"/>
          <w:lang w:eastAsia="cs-CZ"/>
        </w:rPr>
        <w:t xml:space="preserve">v roce, kdy dotaci obdržel (2017),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6452FD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71691D">
        <w:rPr>
          <w:rFonts w:ascii="Arial" w:eastAsia="Times New Roman" w:hAnsi="Arial" w:cs="Arial"/>
          <w:sz w:val="24"/>
          <w:szCs w:val="24"/>
          <w:lang w:eastAsia="cs-CZ"/>
        </w:rPr>
        <w:t xml:space="preserve"> 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691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vrací dotaci nebo její část následující rok (2018), potom použije k úhradě účet poskytovatele č. </w:t>
      </w:r>
      <w:r w:rsidR="006452FD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71691D">
        <w:rPr>
          <w:rFonts w:ascii="Arial" w:eastAsia="Times New Roman" w:hAnsi="Arial" w:cs="Arial"/>
          <w:sz w:val="24"/>
          <w:szCs w:val="24"/>
          <w:lang w:eastAsia="cs-CZ"/>
        </w:rPr>
        <w:t xml:space="preserve"> . </w:t>
      </w:r>
      <w:r w:rsidR="00D40813" w:rsidRPr="00D40813">
        <w:rPr>
          <w:rFonts w:ascii="Arial" w:hAnsi="Arial" w:cs="Arial"/>
          <w:sz w:val="24"/>
          <w:szCs w:val="24"/>
        </w:rPr>
        <w:t>Pří</w:t>
      </w:r>
      <w:r w:rsidR="0071691D">
        <w:rPr>
          <w:rFonts w:ascii="Arial" w:hAnsi="Arial" w:cs="Arial"/>
          <w:sz w:val="24"/>
          <w:szCs w:val="24"/>
        </w:rPr>
        <w:t>jemce hradí</w:t>
      </w:r>
      <w:r w:rsidR="00D40813" w:rsidRPr="00D40813">
        <w:rPr>
          <w:rFonts w:ascii="Arial" w:hAnsi="Arial" w:cs="Arial"/>
          <w:sz w:val="24"/>
          <w:szCs w:val="24"/>
        </w:rPr>
        <w:t xml:space="preserve"> odvod</w:t>
      </w:r>
      <w:r w:rsidR="0071691D">
        <w:rPr>
          <w:rFonts w:ascii="Arial" w:hAnsi="Arial" w:cs="Arial"/>
          <w:sz w:val="24"/>
          <w:szCs w:val="24"/>
        </w:rPr>
        <w:t>, sankci</w:t>
      </w:r>
      <w:r w:rsidR="00D40813" w:rsidRPr="00D40813">
        <w:rPr>
          <w:rFonts w:ascii="Arial" w:hAnsi="Arial" w:cs="Arial"/>
          <w:sz w:val="24"/>
          <w:szCs w:val="24"/>
        </w:rPr>
        <w:t xml:space="preserve"> či penále na účet poskytovatele č. </w:t>
      </w:r>
      <w:r w:rsidR="006452FD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D40813" w:rsidRPr="00D40813">
        <w:rPr>
          <w:rFonts w:ascii="Arial" w:hAnsi="Arial" w:cs="Arial"/>
          <w:sz w:val="24"/>
          <w:szCs w:val="24"/>
        </w:rPr>
        <w:t xml:space="preserve">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6118AC18" w14:textId="51DD9060" w:rsidR="009A3DA5" w:rsidRPr="007D7C33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</w:t>
      </w:r>
      <w:r w:rsidR="0033360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CF3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691D">
        <w:rPr>
          <w:rFonts w:ascii="Arial" w:eastAsia="Times New Roman" w:hAnsi="Arial" w:cs="Arial"/>
          <w:sz w:val="24"/>
          <w:szCs w:val="24"/>
          <w:lang w:eastAsia="cs-CZ"/>
        </w:rPr>
        <w:t xml:space="preserve">pracovních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</w:t>
      </w:r>
      <w:r w:rsidRPr="007D7C33">
        <w:rPr>
          <w:rFonts w:ascii="Arial" w:eastAsia="Times New Roman" w:hAnsi="Arial" w:cs="Arial"/>
          <w:sz w:val="24"/>
          <w:szCs w:val="24"/>
          <w:lang w:eastAsia="cs-CZ"/>
        </w:rPr>
        <w:t>poskytovatele předem informovat.</w:t>
      </w:r>
    </w:p>
    <w:p w14:paraId="0A8F06D7" w14:textId="77777777" w:rsidR="00427F54" w:rsidRPr="00421B73" w:rsidRDefault="00427F5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1B73">
        <w:rPr>
          <w:rFonts w:ascii="Arial" w:eastAsia="Times New Roman" w:hAnsi="Arial" w:cs="Arial"/>
          <w:iCs/>
          <w:sz w:val="24"/>
          <w:szCs w:val="24"/>
          <w:lang w:eastAsia="cs-CZ"/>
        </w:rPr>
        <w:t>V případě, že by poskytovatel musel - v důsledku porušení podmínek této dotace příjemcem – hradit vůči státnímu rozpočtu</w:t>
      </w:r>
      <w:r w:rsidR="004E6623" w:rsidRPr="00421B7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21B73">
        <w:rPr>
          <w:rFonts w:ascii="Arial" w:eastAsia="Times New Roman" w:hAnsi="Arial" w:cs="Arial"/>
          <w:iCs/>
          <w:sz w:val="24"/>
          <w:szCs w:val="24"/>
          <w:lang w:eastAsia="cs-CZ"/>
        </w:rPr>
        <w:t>jakékoli sankce, je příjemce povinen poskytovateli tyto sankce v plné výši uhradit.</w:t>
      </w:r>
    </w:p>
    <w:p w14:paraId="2C060BB9" w14:textId="77777777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7C3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nemá neuhrazené závazky po lhůtě splatnosti vůči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7EFC72B9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5CA1E17" w14:textId="77777777" w:rsidR="00170EC7" w:rsidRPr="00F2171A" w:rsidRDefault="009A3DA5" w:rsidP="00F217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25F12E00" w14:textId="77777777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307E8114" w14:textId="77777777" w:rsidR="00B96E96" w:rsidRPr="00F2171A" w:rsidRDefault="00F2171A" w:rsidP="00F2171A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02AB642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2040A60" w14:textId="77777777" w:rsidR="00B83CAC" w:rsidRDefault="009A3DA5" w:rsidP="00037C8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09B924" w14:textId="6DA0F0C5" w:rsidR="00B83CAC" w:rsidRPr="00B83CAC" w:rsidRDefault="00B83CAC" w:rsidP="00B83C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37C8F">
        <w:rPr>
          <w:rFonts w:ascii="Arial" w:hAnsi="Arial" w:cs="Arial"/>
          <w:sz w:val="24"/>
          <w:szCs w:val="24"/>
        </w:rPr>
        <w:t>Dotace nezakládá veřejnou podporu, jelikož není naplněna podmínka ovlivnění obchodu mezi členskými státy. Vliv dotace na trhy a spotřebitele v sousedních členských státech je nanejvýše nepatrný, zboží nebo služby poskytované příjemcem jsou čistě lokálního charakteru a podpora nemá za následek přilákání poptávky nebo investic do dotyčného regionu a nevytváří překážky pro usazování podniků z jiných členských států. Účel a příjemce dotace zaručuje výhradně lokální charakter zaměřený pouze na obyvatelstvo daného regionu.</w:t>
      </w:r>
    </w:p>
    <w:p w14:paraId="41814ADB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182190E9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5AB132FD" w14:textId="1D59D0A6" w:rsidR="00EF304D" w:rsidRDefault="009A3DA5" w:rsidP="00EF304D">
      <w:pPr>
        <w:spacing w:before="480" w:after="4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6FD0F62B" w14:textId="77777777" w:rsidTr="00CB674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42B20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31730AF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37D0C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B674B" w14:paraId="3B54F049" w14:textId="77777777" w:rsidTr="00CB674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ABBDF" w14:textId="28C9BDB2" w:rsidR="00CB674B" w:rsidRDefault="00CB674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63F3E" w14:textId="77777777" w:rsidR="00CB674B" w:rsidRDefault="00CB674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54B29791" w14:textId="4D34290F" w:rsidR="00A34824" w:rsidRPr="00FE3DFD" w:rsidRDefault="00A34824" w:rsidP="00CB674B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4824" w:rsidRPr="00FE3DFD" w:rsidSect="006B40A3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581B0" w14:textId="77777777" w:rsidR="000B747A" w:rsidRDefault="000B747A" w:rsidP="00D40C40">
      <w:r>
        <w:separator/>
      </w:r>
    </w:p>
  </w:endnote>
  <w:endnote w:type="continuationSeparator" w:id="0">
    <w:p w14:paraId="50A4375D" w14:textId="77777777" w:rsidR="000B747A" w:rsidRDefault="000B747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56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5386454"/>
          <w:docPartObj>
            <w:docPartGallery w:val="Page Numbers (Bottom of Page)"/>
            <w:docPartUnique/>
          </w:docPartObj>
        </w:sdtPr>
        <w:sdtEndPr/>
        <w:sdtContent>
          <w:p w14:paraId="30D206E0" w14:textId="052F7BC9" w:rsidR="00CB674B" w:rsidRDefault="00B82AAF" w:rsidP="00CB674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2AAF"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</w: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t>. 2017                                                   </w: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Strana </w: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instrText>PAGE   \* MERGEFORMAT</w:instrTex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4654B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1</w: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CB674B">
              <w:rPr>
                <w:bCs/>
                <w:sz w:val="24"/>
                <w:szCs w:val="24"/>
              </w:rPr>
              <w:fldChar w:fldCharType="begin"/>
            </w:r>
            <w:r w:rsidR="00CB674B">
              <w:rPr>
                <w:bCs/>
              </w:rPr>
              <w:instrText>NUMPAGES</w:instrText>
            </w:r>
            <w:r w:rsidR="00CB674B">
              <w:rPr>
                <w:bCs/>
                <w:sz w:val="24"/>
                <w:szCs w:val="24"/>
              </w:rPr>
              <w:fldChar w:fldCharType="separate"/>
            </w:r>
            <w:r w:rsidR="004654B3">
              <w:rPr>
                <w:bCs/>
                <w:noProof/>
              </w:rPr>
              <w:t>1</w:t>
            </w:r>
            <w:r w:rsidR="00CB674B">
              <w:rPr>
                <w:bCs/>
                <w:sz w:val="24"/>
                <w:szCs w:val="24"/>
              </w:rPr>
              <w:fldChar w:fldCharType="end"/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4446A3C" w14:textId="77BE00E2" w:rsidR="00F84A95" w:rsidRDefault="00B82AAF" w:rsidP="00CB674B">
            <w:pPr>
              <w:pStyle w:val="Zpat"/>
              <w:ind w:left="284" w:hanging="284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</w:t>
            </w:r>
            <w:r w:rsidR="00CB674B">
              <w:rPr>
                <w:rFonts w:ascii="Arial" w:hAnsi="Arial" w:cs="Arial"/>
                <w:i/>
                <w:iCs/>
                <w:sz w:val="20"/>
                <w:szCs w:val="20"/>
              </w:rPr>
              <w:t>. – Dotační program ke stabilizaci vybraných zdravotnických nelékařských pracovníků ve směnném provozu v Olomouckém kraji</w:t>
            </w:r>
          </w:p>
          <w:p w14:paraId="5744E340" w14:textId="77777777" w:rsidR="00F84A95" w:rsidRPr="00F84A95" w:rsidRDefault="00F84A95" w:rsidP="00F84A95">
            <w:pPr>
              <w:pStyle w:val="Zhlav"/>
              <w:jc w:val="left"/>
              <w:rPr>
                <w:rFonts w:ascii="Times New Roman" w:hAnsi="Times New Roman" w:cs="Times New Roman"/>
                <w:i/>
              </w:rPr>
            </w:pPr>
            <w:r w:rsidRPr="00F84A95">
              <w:rPr>
                <w:rFonts w:ascii="Times New Roman" w:hAnsi="Times New Roman" w:cs="Times New Roman"/>
                <w:i/>
              </w:rPr>
              <w:t>Příloha č. 3 – Vzorová veřejnoprávní smlouva o poskytnutí dotace</w:t>
            </w:r>
          </w:p>
          <w:p w14:paraId="5973A9A4" w14:textId="11C7ACFF" w:rsidR="006B40A3" w:rsidRPr="00CB674B" w:rsidRDefault="000B747A" w:rsidP="00CB674B">
            <w:pPr>
              <w:pStyle w:val="Zpat"/>
              <w:ind w:left="284" w:hanging="284"/>
              <w:jc w:val="left"/>
              <w:rPr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3D249CC9" w14:textId="77777777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9F9353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A598" w14:textId="77777777" w:rsidR="000B747A" w:rsidRDefault="000B747A" w:rsidP="00D40C40">
      <w:r>
        <w:separator/>
      </w:r>
    </w:p>
  </w:footnote>
  <w:footnote w:type="continuationSeparator" w:id="0">
    <w:p w14:paraId="3B0E7751" w14:textId="77777777" w:rsidR="000B747A" w:rsidRDefault="000B747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D629" w14:textId="3523C4A1" w:rsidR="00A807DD" w:rsidRPr="00F84A95" w:rsidRDefault="00A807DD" w:rsidP="00A807DD">
    <w:pPr>
      <w:pStyle w:val="Zhlav"/>
      <w:jc w:val="center"/>
      <w:rPr>
        <w:rFonts w:ascii="Times New Roman" w:hAnsi="Times New Roman" w:cs="Times New Roman"/>
        <w:i/>
      </w:rPr>
    </w:pPr>
    <w:r w:rsidRPr="00F84A95">
      <w:rPr>
        <w:rFonts w:ascii="Times New Roman" w:hAnsi="Times New Roman" w:cs="Times New Roman"/>
        <w:i/>
      </w:rPr>
      <w:t>Příloha č. 3 – Vzorová veřejnoprávní smlouva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9CA"/>
    <w:multiLevelType w:val="hybridMultilevel"/>
    <w:tmpl w:val="AC0CD97A"/>
    <w:lvl w:ilvl="0" w:tplc="35C6613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0D7954"/>
    <w:multiLevelType w:val="hybridMultilevel"/>
    <w:tmpl w:val="A1A006B0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23F2AC2"/>
    <w:multiLevelType w:val="hybridMultilevel"/>
    <w:tmpl w:val="A7BE9D7C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E7A67"/>
    <w:multiLevelType w:val="hybridMultilevel"/>
    <w:tmpl w:val="618A8332"/>
    <w:lvl w:ilvl="0" w:tplc="2F80B83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8"/>
  </w:num>
  <w:num w:numId="4">
    <w:abstractNumId w:val="36"/>
  </w:num>
  <w:num w:numId="5">
    <w:abstractNumId w:val="19"/>
  </w:num>
  <w:num w:numId="6">
    <w:abstractNumId w:val="33"/>
  </w:num>
  <w:num w:numId="7">
    <w:abstractNumId w:val="10"/>
  </w:num>
  <w:num w:numId="8">
    <w:abstractNumId w:val="21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23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6"/>
  </w:num>
  <w:num w:numId="23">
    <w:abstractNumId w:val="5"/>
  </w:num>
  <w:num w:numId="24">
    <w:abstractNumId w:val="4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</w:num>
  <w:num w:numId="29">
    <w:abstractNumId w:val="22"/>
  </w:num>
  <w:num w:numId="30">
    <w:abstractNumId w:val="24"/>
  </w:num>
  <w:num w:numId="31">
    <w:abstractNumId w:val="14"/>
  </w:num>
  <w:num w:numId="32">
    <w:abstractNumId w:val="37"/>
  </w:num>
  <w:num w:numId="33">
    <w:abstractNumId w:val="32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3"/>
  </w:num>
  <w:num w:numId="44">
    <w:abstractNumId w:val="9"/>
  </w:num>
  <w:num w:numId="45">
    <w:abstractNumId w:val="7"/>
  </w:num>
  <w:num w:numId="4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2E"/>
    <w:rsid w:val="000047EB"/>
    <w:rsid w:val="00006AE8"/>
    <w:rsid w:val="00011BB9"/>
    <w:rsid w:val="000131F0"/>
    <w:rsid w:val="000145AB"/>
    <w:rsid w:val="00014A64"/>
    <w:rsid w:val="00016E18"/>
    <w:rsid w:val="000217E7"/>
    <w:rsid w:val="00025AAA"/>
    <w:rsid w:val="00026852"/>
    <w:rsid w:val="00032265"/>
    <w:rsid w:val="0003337C"/>
    <w:rsid w:val="00033452"/>
    <w:rsid w:val="000335E1"/>
    <w:rsid w:val="00033B9E"/>
    <w:rsid w:val="00034BE1"/>
    <w:rsid w:val="00034F6D"/>
    <w:rsid w:val="00036D9F"/>
    <w:rsid w:val="00037C2C"/>
    <w:rsid w:val="00037C8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005E"/>
    <w:rsid w:val="00071CAE"/>
    <w:rsid w:val="0007343C"/>
    <w:rsid w:val="0007359B"/>
    <w:rsid w:val="000735C1"/>
    <w:rsid w:val="00074127"/>
    <w:rsid w:val="00074F9D"/>
    <w:rsid w:val="000751EF"/>
    <w:rsid w:val="000759C4"/>
    <w:rsid w:val="00075A41"/>
    <w:rsid w:val="00075CC3"/>
    <w:rsid w:val="00080043"/>
    <w:rsid w:val="000812E1"/>
    <w:rsid w:val="00083577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96ABD"/>
    <w:rsid w:val="00096FC6"/>
    <w:rsid w:val="000A1C1C"/>
    <w:rsid w:val="000A2109"/>
    <w:rsid w:val="000A5E02"/>
    <w:rsid w:val="000A6591"/>
    <w:rsid w:val="000B0318"/>
    <w:rsid w:val="000B06AF"/>
    <w:rsid w:val="000B1B0F"/>
    <w:rsid w:val="000B2B07"/>
    <w:rsid w:val="000B4B4A"/>
    <w:rsid w:val="000B747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0E17"/>
    <w:rsid w:val="0010380F"/>
    <w:rsid w:val="00104DA7"/>
    <w:rsid w:val="00105061"/>
    <w:rsid w:val="0011234A"/>
    <w:rsid w:val="001156E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1B99"/>
    <w:rsid w:val="001429D2"/>
    <w:rsid w:val="001436D1"/>
    <w:rsid w:val="001455DA"/>
    <w:rsid w:val="00150850"/>
    <w:rsid w:val="00150D31"/>
    <w:rsid w:val="00153478"/>
    <w:rsid w:val="00154952"/>
    <w:rsid w:val="00155C44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882"/>
    <w:rsid w:val="001C2C2C"/>
    <w:rsid w:val="001C33D7"/>
    <w:rsid w:val="001C4112"/>
    <w:rsid w:val="001C66E4"/>
    <w:rsid w:val="001C688C"/>
    <w:rsid w:val="001D1DD2"/>
    <w:rsid w:val="001D3285"/>
    <w:rsid w:val="001D3A9C"/>
    <w:rsid w:val="001D42CD"/>
    <w:rsid w:val="001D6533"/>
    <w:rsid w:val="001E21D4"/>
    <w:rsid w:val="001E3DCD"/>
    <w:rsid w:val="001E478A"/>
    <w:rsid w:val="001E5401"/>
    <w:rsid w:val="001E5DE6"/>
    <w:rsid w:val="001E61B2"/>
    <w:rsid w:val="001E6716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853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24EC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7AF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1960"/>
    <w:rsid w:val="002750F1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3FA"/>
    <w:rsid w:val="002B7EE1"/>
    <w:rsid w:val="002C0CA8"/>
    <w:rsid w:val="002C1669"/>
    <w:rsid w:val="002C270B"/>
    <w:rsid w:val="002C2880"/>
    <w:rsid w:val="002C2940"/>
    <w:rsid w:val="002C34F4"/>
    <w:rsid w:val="002C4E03"/>
    <w:rsid w:val="002C6503"/>
    <w:rsid w:val="002D2C99"/>
    <w:rsid w:val="002D5445"/>
    <w:rsid w:val="002E127B"/>
    <w:rsid w:val="002E22EC"/>
    <w:rsid w:val="002E4AC7"/>
    <w:rsid w:val="002E6113"/>
    <w:rsid w:val="002E62B4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26C18"/>
    <w:rsid w:val="00333608"/>
    <w:rsid w:val="0033568D"/>
    <w:rsid w:val="00337CC7"/>
    <w:rsid w:val="003407BA"/>
    <w:rsid w:val="00341E0B"/>
    <w:rsid w:val="00343694"/>
    <w:rsid w:val="003454CB"/>
    <w:rsid w:val="00345810"/>
    <w:rsid w:val="00345E5F"/>
    <w:rsid w:val="003475F9"/>
    <w:rsid w:val="003476F7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87A26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0ED5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3B6D"/>
    <w:rsid w:val="00404AEA"/>
    <w:rsid w:val="00405AFE"/>
    <w:rsid w:val="00405D22"/>
    <w:rsid w:val="0040637C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1B73"/>
    <w:rsid w:val="004224D5"/>
    <w:rsid w:val="00422A0D"/>
    <w:rsid w:val="0042559C"/>
    <w:rsid w:val="00426D57"/>
    <w:rsid w:val="00427F54"/>
    <w:rsid w:val="004309C0"/>
    <w:rsid w:val="004316AC"/>
    <w:rsid w:val="00431784"/>
    <w:rsid w:val="00432F4F"/>
    <w:rsid w:val="00433E9B"/>
    <w:rsid w:val="00437D00"/>
    <w:rsid w:val="00441050"/>
    <w:rsid w:val="00442164"/>
    <w:rsid w:val="004421B5"/>
    <w:rsid w:val="00442EF4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B3"/>
    <w:rsid w:val="004654F3"/>
    <w:rsid w:val="004678B6"/>
    <w:rsid w:val="00470ECC"/>
    <w:rsid w:val="00474E49"/>
    <w:rsid w:val="004754B6"/>
    <w:rsid w:val="004754F5"/>
    <w:rsid w:val="004769EC"/>
    <w:rsid w:val="004811A3"/>
    <w:rsid w:val="00483A65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B4999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1978"/>
    <w:rsid w:val="004E2514"/>
    <w:rsid w:val="004E3838"/>
    <w:rsid w:val="004E5862"/>
    <w:rsid w:val="004E6623"/>
    <w:rsid w:val="004E7A87"/>
    <w:rsid w:val="004F1FAC"/>
    <w:rsid w:val="004F44DE"/>
    <w:rsid w:val="004F4874"/>
    <w:rsid w:val="004F4A0D"/>
    <w:rsid w:val="004F648D"/>
    <w:rsid w:val="004F7E64"/>
    <w:rsid w:val="005010D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2454"/>
    <w:rsid w:val="005333B5"/>
    <w:rsid w:val="005349A1"/>
    <w:rsid w:val="00541DCB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2513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B6899"/>
    <w:rsid w:val="005C24FA"/>
    <w:rsid w:val="005C30DE"/>
    <w:rsid w:val="005C321D"/>
    <w:rsid w:val="005C47AE"/>
    <w:rsid w:val="005C5D6C"/>
    <w:rsid w:val="005C5D7D"/>
    <w:rsid w:val="005C6693"/>
    <w:rsid w:val="005C6701"/>
    <w:rsid w:val="005C69C9"/>
    <w:rsid w:val="005C7142"/>
    <w:rsid w:val="005D0194"/>
    <w:rsid w:val="005D0D68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EBD"/>
    <w:rsid w:val="00602ABD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30CE"/>
    <w:rsid w:val="006250D3"/>
    <w:rsid w:val="006264E0"/>
    <w:rsid w:val="006304D1"/>
    <w:rsid w:val="00632D35"/>
    <w:rsid w:val="0063512A"/>
    <w:rsid w:val="00637B49"/>
    <w:rsid w:val="00644896"/>
    <w:rsid w:val="00644A22"/>
    <w:rsid w:val="00644A29"/>
    <w:rsid w:val="00644F18"/>
    <w:rsid w:val="006452FD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3C7"/>
    <w:rsid w:val="006902A8"/>
    <w:rsid w:val="00690949"/>
    <w:rsid w:val="00691B34"/>
    <w:rsid w:val="00695FFD"/>
    <w:rsid w:val="006A0B33"/>
    <w:rsid w:val="006A5892"/>
    <w:rsid w:val="006A7CB9"/>
    <w:rsid w:val="006B1973"/>
    <w:rsid w:val="006B3B2A"/>
    <w:rsid w:val="006B40A3"/>
    <w:rsid w:val="006B4F48"/>
    <w:rsid w:val="006B6F1C"/>
    <w:rsid w:val="006B7765"/>
    <w:rsid w:val="006C061A"/>
    <w:rsid w:val="006C0D2D"/>
    <w:rsid w:val="006C43C7"/>
    <w:rsid w:val="006C452D"/>
    <w:rsid w:val="006D0AC7"/>
    <w:rsid w:val="006D101C"/>
    <w:rsid w:val="006D300F"/>
    <w:rsid w:val="006D6288"/>
    <w:rsid w:val="006E07ED"/>
    <w:rsid w:val="006E098C"/>
    <w:rsid w:val="006E33A0"/>
    <w:rsid w:val="006E4022"/>
    <w:rsid w:val="006E5BA7"/>
    <w:rsid w:val="006F07FC"/>
    <w:rsid w:val="006F1BEC"/>
    <w:rsid w:val="006F1E84"/>
    <w:rsid w:val="006F2817"/>
    <w:rsid w:val="006F7040"/>
    <w:rsid w:val="00701BCD"/>
    <w:rsid w:val="00703505"/>
    <w:rsid w:val="00705445"/>
    <w:rsid w:val="00711102"/>
    <w:rsid w:val="00711590"/>
    <w:rsid w:val="007117EC"/>
    <w:rsid w:val="00711FD7"/>
    <w:rsid w:val="00713A90"/>
    <w:rsid w:val="0071401C"/>
    <w:rsid w:val="0071691D"/>
    <w:rsid w:val="00720FB1"/>
    <w:rsid w:val="0072192A"/>
    <w:rsid w:val="00722527"/>
    <w:rsid w:val="00723202"/>
    <w:rsid w:val="007235E1"/>
    <w:rsid w:val="007326D0"/>
    <w:rsid w:val="00735623"/>
    <w:rsid w:val="00735E1F"/>
    <w:rsid w:val="007360D6"/>
    <w:rsid w:val="00740FAD"/>
    <w:rsid w:val="0074166E"/>
    <w:rsid w:val="007500B1"/>
    <w:rsid w:val="007500FA"/>
    <w:rsid w:val="00751BA1"/>
    <w:rsid w:val="0075231C"/>
    <w:rsid w:val="007539B0"/>
    <w:rsid w:val="00753A89"/>
    <w:rsid w:val="00755220"/>
    <w:rsid w:val="00760308"/>
    <w:rsid w:val="00760673"/>
    <w:rsid w:val="00762A0A"/>
    <w:rsid w:val="00762D41"/>
    <w:rsid w:val="0076386E"/>
    <w:rsid w:val="00763E5A"/>
    <w:rsid w:val="00764D1B"/>
    <w:rsid w:val="00766F9F"/>
    <w:rsid w:val="00771E72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901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49D9"/>
    <w:rsid w:val="007A6D92"/>
    <w:rsid w:val="007A74CE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4342"/>
    <w:rsid w:val="007D5B93"/>
    <w:rsid w:val="007D718F"/>
    <w:rsid w:val="007D7C33"/>
    <w:rsid w:val="007E0009"/>
    <w:rsid w:val="007E0CAA"/>
    <w:rsid w:val="007E1FDA"/>
    <w:rsid w:val="007E5D6A"/>
    <w:rsid w:val="007E6038"/>
    <w:rsid w:val="007E6705"/>
    <w:rsid w:val="007E68A5"/>
    <w:rsid w:val="007F1AAB"/>
    <w:rsid w:val="007F3DD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612B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37A8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977E5"/>
    <w:rsid w:val="0089782C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4920"/>
    <w:rsid w:val="008B53A7"/>
    <w:rsid w:val="008B5721"/>
    <w:rsid w:val="008B6046"/>
    <w:rsid w:val="008C0948"/>
    <w:rsid w:val="008C2755"/>
    <w:rsid w:val="008C32B0"/>
    <w:rsid w:val="008C3EF5"/>
    <w:rsid w:val="008C3F73"/>
    <w:rsid w:val="008C3FA4"/>
    <w:rsid w:val="008C5549"/>
    <w:rsid w:val="008C57F6"/>
    <w:rsid w:val="008C65B2"/>
    <w:rsid w:val="008C7242"/>
    <w:rsid w:val="008C79A0"/>
    <w:rsid w:val="008D21BF"/>
    <w:rsid w:val="008D5340"/>
    <w:rsid w:val="008D6E0F"/>
    <w:rsid w:val="008D747A"/>
    <w:rsid w:val="008E0178"/>
    <w:rsid w:val="008E3C74"/>
    <w:rsid w:val="008F03FB"/>
    <w:rsid w:val="008F4077"/>
    <w:rsid w:val="00901011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03E0"/>
    <w:rsid w:val="00932129"/>
    <w:rsid w:val="009329EC"/>
    <w:rsid w:val="009332E1"/>
    <w:rsid w:val="00933519"/>
    <w:rsid w:val="00934A5C"/>
    <w:rsid w:val="00935CA8"/>
    <w:rsid w:val="00937749"/>
    <w:rsid w:val="00937AB9"/>
    <w:rsid w:val="00937E04"/>
    <w:rsid w:val="0094272D"/>
    <w:rsid w:val="0094476E"/>
    <w:rsid w:val="009456A0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40C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3D"/>
    <w:rsid w:val="009D2BF2"/>
    <w:rsid w:val="009D3C93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96D"/>
    <w:rsid w:val="009F0AA3"/>
    <w:rsid w:val="009F0F5D"/>
    <w:rsid w:val="009F5618"/>
    <w:rsid w:val="009F5C46"/>
    <w:rsid w:val="009F7302"/>
    <w:rsid w:val="009F73BA"/>
    <w:rsid w:val="009F7A34"/>
    <w:rsid w:val="009F7BD5"/>
    <w:rsid w:val="00A00413"/>
    <w:rsid w:val="00A01A43"/>
    <w:rsid w:val="00A0364E"/>
    <w:rsid w:val="00A0381B"/>
    <w:rsid w:val="00A046EF"/>
    <w:rsid w:val="00A05B6A"/>
    <w:rsid w:val="00A063DD"/>
    <w:rsid w:val="00A07499"/>
    <w:rsid w:val="00A1282D"/>
    <w:rsid w:val="00A13F14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23C"/>
    <w:rsid w:val="00A541B8"/>
    <w:rsid w:val="00A54D36"/>
    <w:rsid w:val="00A54FE4"/>
    <w:rsid w:val="00A5538A"/>
    <w:rsid w:val="00A56708"/>
    <w:rsid w:val="00A61A61"/>
    <w:rsid w:val="00A61C4B"/>
    <w:rsid w:val="00A6300C"/>
    <w:rsid w:val="00A64BA5"/>
    <w:rsid w:val="00A67461"/>
    <w:rsid w:val="00A75905"/>
    <w:rsid w:val="00A77A0F"/>
    <w:rsid w:val="00A807DD"/>
    <w:rsid w:val="00A80BA4"/>
    <w:rsid w:val="00A821AE"/>
    <w:rsid w:val="00A82275"/>
    <w:rsid w:val="00A82E58"/>
    <w:rsid w:val="00A8464B"/>
    <w:rsid w:val="00A85253"/>
    <w:rsid w:val="00A87597"/>
    <w:rsid w:val="00A875A5"/>
    <w:rsid w:val="00A875EE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5D8F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27EA4"/>
    <w:rsid w:val="00B3180F"/>
    <w:rsid w:val="00B31966"/>
    <w:rsid w:val="00B35CA7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4B39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2AAF"/>
    <w:rsid w:val="00B830D3"/>
    <w:rsid w:val="00B835E5"/>
    <w:rsid w:val="00B83CAC"/>
    <w:rsid w:val="00B84F71"/>
    <w:rsid w:val="00B86E4E"/>
    <w:rsid w:val="00B90562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6A34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0CB3"/>
    <w:rsid w:val="00BD2179"/>
    <w:rsid w:val="00BD2B04"/>
    <w:rsid w:val="00BD33C8"/>
    <w:rsid w:val="00BD447C"/>
    <w:rsid w:val="00BD4EDE"/>
    <w:rsid w:val="00BD5F8F"/>
    <w:rsid w:val="00BD789A"/>
    <w:rsid w:val="00BE1A65"/>
    <w:rsid w:val="00BE27D0"/>
    <w:rsid w:val="00BE3BFB"/>
    <w:rsid w:val="00BE47A3"/>
    <w:rsid w:val="00BE5F39"/>
    <w:rsid w:val="00BF160F"/>
    <w:rsid w:val="00BF30CC"/>
    <w:rsid w:val="00BF54F8"/>
    <w:rsid w:val="00BF7C43"/>
    <w:rsid w:val="00C00392"/>
    <w:rsid w:val="00C032F6"/>
    <w:rsid w:val="00C052C9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4A12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75D6B"/>
    <w:rsid w:val="00C81BD7"/>
    <w:rsid w:val="00C82552"/>
    <w:rsid w:val="00C828EA"/>
    <w:rsid w:val="00C84C9A"/>
    <w:rsid w:val="00C8717E"/>
    <w:rsid w:val="00C874A7"/>
    <w:rsid w:val="00C875AA"/>
    <w:rsid w:val="00C877AD"/>
    <w:rsid w:val="00C87CAD"/>
    <w:rsid w:val="00C90DC4"/>
    <w:rsid w:val="00C92651"/>
    <w:rsid w:val="00C93442"/>
    <w:rsid w:val="00CA19C3"/>
    <w:rsid w:val="00CA1E00"/>
    <w:rsid w:val="00CA24A0"/>
    <w:rsid w:val="00CA5E95"/>
    <w:rsid w:val="00CB0A48"/>
    <w:rsid w:val="00CB5336"/>
    <w:rsid w:val="00CB66EB"/>
    <w:rsid w:val="00CB674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573"/>
    <w:rsid w:val="00CD76D2"/>
    <w:rsid w:val="00CD7A67"/>
    <w:rsid w:val="00CE0F98"/>
    <w:rsid w:val="00CE25FD"/>
    <w:rsid w:val="00CE52FC"/>
    <w:rsid w:val="00CF025F"/>
    <w:rsid w:val="00CF0805"/>
    <w:rsid w:val="00CF3A83"/>
    <w:rsid w:val="00CF3E0F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EC6"/>
    <w:rsid w:val="00D15D0F"/>
    <w:rsid w:val="00D17D01"/>
    <w:rsid w:val="00D2045B"/>
    <w:rsid w:val="00D205D2"/>
    <w:rsid w:val="00D20B9A"/>
    <w:rsid w:val="00D2142F"/>
    <w:rsid w:val="00D21A4D"/>
    <w:rsid w:val="00D23F5E"/>
    <w:rsid w:val="00D26F7A"/>
    <w:rsid w:val="00D27336"/>
    <w:rsid w:val="00D275FF"/>
    <w:rsid w:val="00D30F0E"/>
    <w:rsid w:val="00D31EA7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EC7"/>
    <w:rsid w:val="00D604F5"/>
    <w:rsid w:val="00D61EA4"/>
    <w:rsid w:val="00D6556E"/>
    <w:rsid w:val="00D704F9"/>
    <w:rsid w:val="00D70888"/>
    <w:rsid w:val="00D739F9"/>
    <w:rsid w:val="00D73EC7"/>
    <w:rsid w:val="00D74FAE"/>
    <w:rsid w:val="00D772F5"/>
    <w:rsid w:val="00D8021D"/>
    <w:rsid w:val="00D80504"/>
    <w:rsid w:val="00D815C4"/>
    <w:rsid w:val="00D8176C"/>
    <w:rsid w:val="00D846F0"/>
    <w:rsid w:val="00D84AB6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100"/>
    <w:rsid w:val="00D97207"/>
    <w:rsid w:val="00DA1C65"/>
    <w:rsid w:val="00DA2B55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0A9D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3E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304D"/>
    <w:rsid w:val="00EF4E27"/>
    <w:rsid w:val="00EF5D55"/>
    <w:rsid w:val="00EF7269"/>
    <w:rsid w:val="00F00BC9"/>
    <w:rsid w:val="00F02174"/>
    <w:rsid w:val="00F05C7D"/>
    <w:rsid w:val="00F05E6D"/>
    <w:rsid w:val="00F076A0"/>
    <w:rsid w:val="00F10111"/>
    <w:rsid w:val="00F10B07"/>
    <w:rsid w:val="00F14AA0"/>
    <w:rsid w:val="00F159F9"/>
    <w:rsid w:val="00F1792E"/>
    <w:rsid w:val="00F21160"/>
    <w:rsid w:val="00F2171A"/>
    <w:rsid w:val="00F2534C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2C49"/>
    <w:rsid w:val="00F43A5D"/>
    <w:rsid w:val="00F46633"/>
    <w:rsid w:val="00F50DE0"/>
    <w:rsid w:val="00F54368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962"/>
    <w:rsid w:val="00F71C83"/>
    <w:rsid w:val="00F71D70"/>
    <w:rsid w:val="00F73535"/>
    <w:rsid w:val="00F74BCF"/>
    <w:rsid w:val="00F76698"/>
    <w:rsid w:val="00F819A1"/>
    <w:rsid w:val="00F84A95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3319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4D0"/>
    <w:rsid w:val="00FC5F16"/>
    <w:rsid w:val="00FC65CA"/>
    <w:rsid w:val="00FD07DA"/>
    <w:rsid w:val="00FD34A2"/>
    <w:rsid w:val="00FE2CD1"/>
    <w:rsid w:val="00FE2EE2"/>
    <w:rsid w:val="00FE3476"/>
    <w:rsid w:val="00FE3DFD"/>
    <w:rsid w:val="00FF00A6"/>
    <w:rsid w:val="00FF11EA"/>
    <w:rsid w:val="00FF217C"/>
    <w:rsid w:val="00FF3129"/>
    <w:rsid w:val="00FF4506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8E1D"/>
  <w15:docId w15:val="{C29BF61D-EF50-4860-87F8-685EBC6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Default">
    <w:name w:val="Default"/>
    <w:rsid w:val="00A8464B"/>
    <w:pPr>
      <w:autoSpaceDE w:val="0"/>
      <w:autoSpaceDN w:val="0"/>
      <w:adjustRightInd w:val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F304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7553-1023-4EB6-9459-EA767917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1888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Ministrová Sylva</cp:lastModifiedBy>
  <cp:revision>2</cp:revision>
  <cp:lastPrinted>2017-08-02T06:20:00Z</cp:lastPrinted>
  <dcterms:created xsi:type="dcterms:W3CDTF">2017-08-31T08:49:00Z</dcterms:created>
  <dcterms:modified xsi:type="dcterms:W3CDTF">2017-08-31T08:49:00Z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