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29" w:rsidRDefault="00244C29" w:rsidP="00244C29">
      <w:pPr>
        <w:ind w:left="2127"/>
        <w:jc w:val="right"/>
        <w:rPr>
          <w:b/>
          <w:lang w:eastAsia="en-US"/>
        </w:rPr>
      </w:pPr>
      <w:bookmarkStart w:id="0" w:name="_GoBack"/>
      <w:bookmarkEnd w:id="0"/>
      <w:r w:rsidRPr="00375912">
        <w:rPr>
          <w:b/>
          <w:sz w:val="52"/>
          <w:szCs w:val="52"/>
        </w:rPr>
        <w:t>NOVÁ VERZE</w:t>
      </w:r>
      <w:r w:rsidRPr="00AD19AC">
        <w:rPr>
          <w:b/>
          <w:lang w:eastAsia="en-US"/>
        </w:rPr>
        <w:t xml:space="preserve"> </w:t>
      </w:r>
    </w:p>
    <w:p w:rsidR="00904B6B" w:rsidRPr="00AD19AC" w:rsidRDefault="00904B6B" w:rsidP="000730E9">
      <w:pPr>
        <w:rPr>
          <w:b/>
          <w:lang w:eastAsia="en-US"/>
        </w:rPr>
      </w:pPr>
      <w:r w:rsidRPr="00AD19AC">
        <w:rPr>
          <w:b/>
          <w:lang w:eastAsia="en-US"/>
        </w:rPr>
        <w:t>Důvodová zpráva:</w:t>
      </w:r>
      <w:r w:rsidR="00A717A0" w:rsidRPr="00AD19AC">
        <w:rPr>
          <w:b/>
          <w:lang w:eastAsia="en-US"/>
        </w:rPr>
        <w:t xml:space="preserve">      </w:t>
      </w:r>
    </w:p>
    <w:p w:rsidR="000775F0" w:rsidRPr="004F3A46" w:rsidRDefault="007D1C3B" w:rsidP="007D1C3B">
      <w:pPr>
        <w:spacing w:line="264" w:lineRule="auto"/>
        <w:rPr>
          <w:szCs w:val="24"/>
        </w:rPr>
      </w:pPr>
      <w:r w:rsidRPr="004F3A46">
        <w:rPr>
          <w:b/>
          <w:szCs w:val="24"/>
        </w:rPr>
        <w:t xml:space="preserve">V této důvodové zprávě předkládá Rada Olomouckého kraje Zastupitelstvu Olomouckého kraje k projednání návrh na rozdělení </w:t>
      </w:r>
      <w:r w:rsidR="000C2BF1" w:rsidRPr="004F3A46">
        <w:rPr>
          <w:szCs w:val="24"/>
        </w:rPr>
        <w:t xml:space="preserve"> </w:t>
      </w:r>
    </w:p>
    <w:p w:rsidR="000775F0" w:rsidRPr="00207D8B" w:rsidRDefault="001C28CF" w:rsidP="008B7E6E">
      <w:pPr>
        <w:pStyle w:val="Zkladntext3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07D8B">
        <w:rPr>
          <w:sz w:val="24"/>
          <w:szCs w:val="24"/>
        </w:rPr>
        <w:t xml:space="preserve">finančních prostředků </w:t>
      </w:r>
      <w:r w:rsidR="00A905AC" w:rsidRPr="00207D8B">
        <w:rPr>
          <w:sz w:val="24"/>
          <w:szCs w:val="24"/>
        </w:rPr>
        <w:t xml:space="preserve">navýšení </w:t>
      </w:r>
      <w:r w:rsidR="008538A7" w:rsidRPr="00207D8B">
        <w:rPr>
          <w:sz w:val="24"/>
          <w:szCs w:val="24"/>
        </w:rPr>
        <w:t>účelové dotace</w:t>
      </w:r>
      <w:r w:rsidR="005556A8" w:rsidRPr="00207D8B">
        <w:rPr>
          <w:sz w:val="24"/>
          <w:szCs w:val="24"/>
        </w:rPr>
        <w:t xml:space="preserve"> </w:t>
      </w:r>
      <w:r w:rsidR="00E85952" w:rsidRPr="00207D8B">
        <w:rPr>
          <w:sz w:val="24"/>
          <w:szCs w:val="24"/>
        </w:rPr>
        <w:t>na financování běžných výdajů souvisejících s poskytováním základních druhů a forem sociálních služeb</w:t>
      </w:r>
      <w:r w:rsidR="004164F6" w:rsidRPr="00207D8B">
        <w:rPr>
          <w:sz w:val="24"/>
          <w:szCs w:val="24"/>
        </w:rPr>
        <w:t xml:space="preserve"> na rok 201</w:t>
      </w:r>
      <w:r w:rsidR="00CC1B0D" w:rsidRPr="00207D8B">
        <w:rPr>
          <w:sz w:val="24"/>
          <w:szCs w:val="24"/>
        </w:rPr>
        <w:t>7</w:t>
      </w:r>
      <w:r w:rsidR="00E80208" w:rsidRPr="00207D8B">
        <w:rPr>
          <w:sz w:val="24"/>
          <w:szCs w:val="24"/>
        </w:rPr>
        <w:t xml:space="preserve"> (dále jen „</w:t>
      </w:r>
      <w:r w:rsidR="005D5245" w:rsidRPr="00207D8B">
        <w:rPr>
          <w:sz w:val="24"/>
          <w:szCs w:val="24"/>
        </w:rPr>
        <w:t>účelov</w:t>
      </w:r>
      <w:r w:rsidR="008538A7" w:rsidRPr="00207D8B">
        <w:rPr>
          <w:sz w:val="24"/>
          <w:szCs w:val="24"/>
        </w:rPr>
        <w:t xml:space="preserve">á </w:t>
      </w:r>
      <w:r w:rsidR="00E80208" w:rsidRPr="00207D8B">
        <w:rPr>
          <w:sz w:val="24"/>
          <w:szCs w:val="24"/>
        </w:rPr>
        <w:t>dotace“)</w:t>
      </w:r>
      <w:r w:rsidRPr="00207D8B">
        <w:rPr>
          <w:sz w:val="24"/>
          <w:szCs w:val="24"/>
        </w:rPr>
        <w:t xml:space="preserve"> poskytnutých Olomouckému kraji na základě Dodatku č. </w:t>
      </w:r>
      <w:r w:rsidR="00CC1B0D" w:rsidRPr="00207D8B">
        <w:rPr>
          <w:sz w:val="24"/>
          <w:szCs w:val="24"/>
        </w:rPr>
        <w:t>1</w:t>
      </w:r>
      <w:r w:rsidRPr="00207D8B">
        <w:rPr>
          <w:sz w:val="24"/>
          <w:szCs w:val="24"/>
        </w:rPr>
        <w:t xml:space="preserve"> k</w:t>
      </w:r>
      <w:r w:rsidR="00C9767F" w:rsidRPr="00207D8B">
        <w:rPr>
          <w:sz w:val="24"/>
          <w:szCs w:val="24"/>
        </w:rPr>
        <w:t> </w:t>
      </w:r>
      <w:r w:rsidRPr="00207D8B">
        <w:rPr>
          <w:sz w:val="24"/>
          <w:szCs w:val="24"/>
        </w:rPr>
        <w:t>Rozhodnutí</w:t>
      </w:r>
      <w:r w:rsidR="00C9767F" w:rsidRPr="00207D8B">
        <w:rPr>
          <w:sz w:val="24"/>
          <w:szCs w:val="24"/>
        </w:rPr>
        <w:t xml:space="preserve"> č. 1 </w:t>
      </w:r>
      <w:r w:rsidR="00CC1B0D" w:rsidRPr="00207D8B">
        <w:rPr>
          <w:sz w:val="24"/>
          <w:szCs w:val="24"/>
        </w:rPr>
        <w:t xml:space="preserve">o poskytnutí dotace z kapitoly 313 – MPSV státního rozpočtu na rok 2017 ze dne </w:t>
      </w:r>
      <w:r w:rsidR="00C9767F" w:rsidRPr="00207D8B">
        <w:rPr>
          <w:sz w:val="24"/>
          <w:szCs w:val="24"/>
        </w:rPr>
        <w:t>1</w:t>
      </w:r>
      <w:r w:rsidR="005D735B" w:rsidRPr="00207D8B">
        <w:rPr>
          <w:sz w:val="24"/>
          <w:szCs w:val="24"/>
        </w:rPr>
        <w:t>3</w:t>
      </w:r>
      <w:r w:rsidR="00C9767F" w:rsidRPr="00207D8B">
        <w:rPr>
          <w:sz w:val="24"/>
          <w:szCs w:val="24"/>
        </w:rPr>
        <w:t>. 6. 2017</w:t>
      </w:r>
      <w:r w:rsidR="00EF7635" w:rsidRPr="00207D8B">
        <w:rPr>
          <w:sz w:val="24"/>
          <w:szCs w:val="24"/>
        </w:rPr>
        <w:t xml:space="preserve"> (dále v textu a tabulkové příloze „Dofinancování č. 1“);</w:t>
      </w:r>
    </w:p>
    <w:p w:rsidR="000775F0" w:rsidRPr="004F3A46" w:rsidRDefault="009E7AF7" w:rsidP="008B7E6E">
      <w:pPr>
        <w:pStyle w:val="Zkladntext3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4F3A46">
        <w:rPr>
          <w:sz w:val="24"/>
          <w:szCs w:val="24"/>
        </w:rPr>
        <w:t>finančních prostředků</w:t>
      </w:r>
      <w:r w:rsidR="006558B0" w:rsidRPr="004F3A46">
        <w:rPr>
          <w:sz w:val="24"/>
          <w:szCs w:val="24"/>
        </w:rPr>
        <w:t xml:space="preserve"> z</w:t>
      </w:r>
      <w:r w:rsidR="008538A7" w:rsidRPr="004F3A46">
        <w:rPr>
          <w:sz w:val="24"/>
          <w:szCs w:val="24"/>
        </w:rPr>
        <w:t> účelové dotace</w:t>
      </w:r>
      <w:r w:rsidRPr="004F3A46">
        <w:rPr>
          <w:sz w:val="24"/>
          <w:szCs w:val="24"/>
        </w:rPr>
        <w:t xml:space="preserve">, na které </w:t>
      </w:r>
      <w:r w:rsidR="006558B0" w:rsidRPr="004F3A46">
        <w:rPr>
          <w:sz w:val="24"/>
          <w:szCs w:val="24"/>
        </w:rPr>
        <w:t xml:space="preserve">některým poskytovatelům sociálních služeb </w:t>
      </w:r>
      <w:r w:rsidRPr="004F3A46">
        <w:rPr>
          <w:sz w:val="24"/>
          <w:szCs w:val="24"/>
        </w:rPr>
        <w:t xml:space="preserve">zanikl nárok z důvodu </w:t>
      </w:r>
      <w:r w:rsidR="006558B0" w:rsidRPr="004F3A46">
        <w:rPr>
          <w:sz w:val="24"/>
          <w:szCs w:val="24"/>
        </w:rPr>
        <w:t>zahájení jejich financování od 1. 4. 201</w:t>
      </w:r>
      <w:r w:rsidR="00CC1B0D" w:rsidRPr="004F3A46">
        <w:rPr>
          <w:sz w:val="24"/>
          <w:szCs w:val="24"/>
        </w:rPr>
        <w:t>7</w:t>
      </w:r>
      <w:r w:rsidR="006558B0" w:rsidRPr="004F3A46">
        <w:rPr>
          <w:sz w:val="24"/>
          <w:szCs w:val="24"/>
        </w:rPr>
        <w:t xml:space="preserve"> </w:t>
      </w:r>
      <w:r w:rsidRPr="004F3A46">
        <w:rPr>
          <w:sz w:val="24"/>
          <w:szCs w:val="24"/>
        </w:rPr>
        <w:t xml:space="preserve">prostřednictvím Individuálního projektu Olomouckého kraje </w:t>
      </w:r>
      <w:r w:rsidR="006558B0" w:rsidRPr="004F3A46">
        <w:rPr>
          <w:sz w:val="24"/>
          <w:szCs w:val="24"/>
        </w:rPr>
        <w:t>„Služby sociál</w:t>
      </w:r>
      <w:r w:rsidR="0069226A" w:rsidRPr="004F3A46">
        <w:rPr>
          <w:sz w:val="24"/>
          <w:szCs w:val="24"/>
        </w:rPr>
        <w:t>ní prevence v Olomouckém kraji“ a</w:t>
      </w:r>
    </w:p>
    <w:p w:rsidR="00E0137A" w:rsidRPr="00207D8B" w:rsidRDefault="0069226A" w:rsidP="00234872">
      <w:pPr>
        <w:pStyle w:val="Zkladntext3"/>
        <w:numPr>
          <w:ilvl w:val="0"/>
          <w:numId w:val="13"/>
        </w:numPr>
        <w:spacing w:line="276" w:lineRule="auto"/>
        <w:rPr>
          <w:szCs w:val="24"/>
        </w:rPr>
      </w:pPr>
      <w:r w:rsidRPr="00207D8B">
        <w:rPr>
          <w:sz w:val="24"/>
          <w:szCs w:val="24"/>
        </w:rPr>
        <w:t xml:space="preserve">finančních prostředků navýšení účelové dotace </w:t>
      </w:r>
      <w:r w:rsidR="00B96D6D" w:rsidRPr="00207D8B">
        <w:rPr>
          <w:sz w:val="24"/>
          <w:szCs w:val="24"/>
        </w:rPr>
        <w:t>přislíbené</w:t>
      </w:r>
      <w:r w:rsidRPr="00207D8B">
        <w:rPr>
          <w:sz w:val="24"/>
          <w:szCs w:val="24"/>
        </w:rPr>
        <w:t xml:space="preserve"> Olomouckému kraji</w:t>
      </w:r>
      <w:r w:rsidR="00B96D6D" w:rsidRPr="00207D8B">
        <w:rPr>
          <w:sz w:val="24"/>
          <w:szCs w:val="24"/>
        </w:rPr>
        <w:t xml:space="preserve"> dopisem Mgr. Davida Pospíšila, zástupce náměstkyně pro řízení sekce sociální a rodinné politiky MPSV Mgr. Zuzany Jentschke Stöcklové a ředitele Odboru sociálních služeb, sociální práce a sociálního bydlení MPSV, zaslaným hejtmanovi Olomouckého kraje Ladislavu Oklešťkovi elektronickou poštou</w:t>
      </w:r>
      <w:r w:rsidRPr="00207D8B">
        <w:rPr>
          <w:sz w:val="24"/>
          <w:szCs w:val="24"/>
        </w:rPr>
        <w:t xml:space="preserve"> </w:t>
      </w:r>
      <w:r w:rsidR="00B96D6D" w:rsidRPr="00207D8B">
        <w:rPr>
          <w:sz w:val="24"/>
          <w:szCs w:val="24"/>
        </w:rPr>
        <w:t xml:space="preserve">dne 6. 9. </w:t>
      </w:r>
      <w:r w:rsidR="00060AA0" w:rsidRPr="00207D8B">
        <w:rPr>
          <w:sz w:val="24"/>
          <w:szCs w:val="24"/>
        </w:rPr>
        <w:t>2017 (dále</w:t>
      </w:r>
      <w:r w:rsidR="00EF7635" w:rsidRPr="00207D8B">
        <w:rPr>
          <w:sz w:val="24"/>
          <w:szCs w:val="24"/>
        </w:rPr>
        <w:t xml:space="preserve"> v textu a tabulkové příloze „Dofinancování č. 2“)</w:t>
      </w:r>
      <w:r w:rsidR="00B96D6D" w:rsidRPr="00207D8B">
        <w:rPr>
          <w:sz w:val="24"/>
          <w:szCs w:val="24"/>
        </w:rPr>
        <w:t xml:space="preserve"> </w:t>
      </w:r>
    </w:p>
    <w:p w:rsidR="005D735B" w:rsidRPr="00207D8B" w:rsidRDefault="00E12672" w:rsidP="00E0137A">
      <w:pPr>
        <w:pStyle w:val="Zkladntext3"/>
        <w:spacing w:line="276" w:lineRule="auto"/>
        <w:rPr>
          <w:b w:val="0"/>
          <w:sz w:val="24"/>
          <w:szCs w:val="24"/>
        </w:rPr>
      </w:pPr>
      <w:r w:rsidRPr="00207D8B">
        <w:rPr>
          <w:b w:val="0"/>
          <w:sz w:val="24"/>
          <w:szCs w:val="24"/>
        </w:rPr>
        <w:t xml:space="preserve">K navýšení </w:t>
      </w:r>
      <w:r w:rsidR="008538A7" w:rsidRPr="00207D8B">
        <w:rPr>
          <w:b w:val="0"/>
          <w:sz w:val="24"/>
          <w:szCs w:val="24"/>
        </w:rPr>
        <w:t>účelové dotace</w:t>
      </w:r>
      <w:r w:rsidRPr="00207D8B">
        <w:rPr>
          <w:b w:val="0"/>
          <w:sz w:val="24"/>
          <w:szCs w:val="24"/>
        </w:rPr>
        <w:t xml:space="preserve"> krajům </w:t>
      </w:r>
      <w:r w:rsidR="00EF7635" w:rsidRPr="00207D8B">
        <w:rPr>
          <w:b w:val="0"/>
          <w:sz w:val="24"/>
          <w:szCs w:val="24"/>
        </w:rPr>
        <w:t xml:space="preserve">(Dofinancování č. 1) </w:t>
      </w:r>
      <w:r w:rsidRPr="00207D8B">
        <w:rPr>
          <w:b w:val="0"/>
          <w:sz w:val="24"/>
          <w:szCs w:val="24"/>
        </w:rPr>
        <w:t>přistoupilo Ministerstvo práce a sociálních věcí ČR</w:t>
      </w:r>
      <w:r w:rsidR="007051B3">
        <w:rPr>
          <w:b w:val="0"/>
          <w:sz w:val="24"/>
          <w:szCs w:val="24"/>
        </w:rPr>
        <w:t xml:space="preserve"> (d</w:t>
      </w:r>
      <w:r w:rsidR="00400C57">
        <w:rPr>
          <w:b w:val="0"/>
          <w:sz w:val="24"/>
          <w:szCs w:val="24"/>
        </w:rPr>
        <w:t>á</w:t>
      </w:r>
      <w:r w:rsidR="007051B3">
        <w:rPr>
          <w:b w:val="0"/>
          <w:sz w:val="24"/>
          <w:szCs w:val="24"/>
        </w:rPr>
        <w:t xml:space="preserve">le jen „MPSV“) </w:t>
      </w:r>
      <w:r w:rsidRPr="00207D8B">
        <w:rPr>
          <w:b w:val="0"/>
          <w:sz w:val="24"/>
          <w:szCs w:val="24"/>
        </w:rPr>
        <w:t xml:space="preserve">v přímé souvislosti s novelou nařízení vlády </w:t>
      </w:r>
      <w:r w:rsidR="004020EC">
        <w:rPr>
          <w:b w:val="0"/>
          <w:sz w:val="24"/>
          <w:szCs w:val="24"/>
        </w:rPr>
        <w:br/>
      </w:r>
      <w:r w:rsidRPr="00207D8B">
        <w:rPr>
          <w:b w:val="0"/>
          <w:sz w:val="24"/>
          <w:szCs w:val="24"/>
        </w:rPr>
        <w:t xml:space="preserve">č. 564/2006 Sb., o platových poměrech zaměstnanců ve veřejných službách a správě, ve znění pozdějších předpisů, kterou schválila vláda 31. 5. 2017 s účinností od 1. 7. 2017. Přijatá novela </w:t>
      </w:r>
      <w:r w:rsidR="005D735B" w:rsidRPr="00207D8B">
        <w:rPr>
          <w:b w:val="0"/>
          <w:sz w:val="24"/>
          <w:szCs w:val="24"/>
        </w:rPr>
        <w:t xml:space="preserve">má dopad </w:t>
      </w:r>
      <w:r w:rsidRPr="00207D8B">
        <w:rPr>
          <w:b w:val="0"/>
          <w:sz w:val="24"/>
          <w:szCs w:val="24"/>
        </w:rPr>
        <w:t>do rozpočtů poskytovatelů sociálních služeb</w:t>
      </w:r>
      <w:r w:rsidR="005D735B" w:rsidRPr="00207D8B">
        <w:rPr>
          <w:b w:val="0"/>
          <w:sz w:val="24"/>
          <w:szCs w:val="24"/>
        </w:rPr>
        <w:t xml:space="preserve"> – </w:t>
      </w:r>
      <w:r w:rsidRPr="00207D8B">
        <w:rPr>
          <w:b w:val="0"/>
          <w:sz w:val="24"/>
          <w:szCs w:val="24"/>
        </w:rPr>
        <w:t>sociálním</w:t>
      </w:r>
      <w:r w:rsidR="005D735B" w:rsidRPr="00207D8B">
        <w:rPr>
          <w:b w:val="0"/>
          <w:sz w:val="24"/>
          <w:szCs w:val="24"/>
        </w:rPr>
        <w:t xml:space="preserve"> </w:t>
      </w:r>
      <w:r w:rsidRPr="00207D8B">
        <w:rPr>
          <w:b w:val="0"/>
          <w:sz w:val="24"/>
          <w:szCs w:val="24"/>
        </w:rPr>
        <w:t xml:space="preserve">pracovníkům a pracovníkům v sociálních </w:t>
      </w:r>
      <w:r w:rsidR="00EB7096" w:rsidRPr="00207D8B">
        <w:rPr>
          <w:b w:val="0"/>
          <w:sz w:val="24"/>
          <w:szCs w:val="24"/>
        </w:rPr>
        <w:t xml:space="preserve">službách </w:t>
      </w:r>
      <w:r w:rsidR="005D735B" w:rsidRPr="00207D8B">
        <w:rPr>
          <w:b w:val="0"/>
          <w:sz w:val="24"/>
          <w:szCs w:val="24"/>
        </w:rPr>
        <w:t xml:space="preserve">byly od července zvýšeny </w:t>
      </w:r>
      <w:r w:rsidRPr="00207D8B">
        <w:rPr>
          <w:b w:val="0"/>
          <w:sz w:val="24"/>
          <w:szCs w:val="24"/>
        </w:rPr>
        <w:t xml:space="preserve">platové tarify o 23 </w:t>
      </w:r>
      <w:r w:rsidR="00A149A3" w:rsidRPr="00207D8B">
        <w:rPr>
          <w:b w:val="0"/>
          <w:sz w:val="24"/>
          <w:szCs w:val="24"/>
        </w:rPr>
        <w:t>%</w:t>
      </w:r>
      <w:r w:rsidR="00724CA1" w:rsidRPr="00207D8B">
        <w:rPr>
          <w:b w:val="0"/>
          <w:sz w:val="24"/>
          <w:szCs w:val="24"/>
        </w:rPr>
        <w:t>, ostatním pracovníkům o 9,4</w:t>
      </w:r>
      <w:r w:rsidR="00A149A3" w:rsidRPr="00207D8B">
        <w:rPr>
          <w:b w:val="0"/>
          <w:sz w:val="24"/>
          <w:szCs w:val="24"/>
        </w:rPr>
        <w:t xml:space="preserve"> </w:t>
      </w:r>
      <w:r w:rsidR="00724CA1" w:rsidRPr="00207D8B">
        <w:rPr>
          <w:b w:val="0"/>
          <w:sz w:val="24"/>
          <w:szCs w:val="24"/>
        </w:rPr>
        <w:t>%</w:t>
      </w:r>
      <w:r w:rsidR="005D735B" w:rsidRPr="00207D8B">
        <w:rPr>
          <w:b w:val="0"/>
          <w:sz w:val="24"/>
          <w:szCs w:val="24"/>
        </w:rPr>
        <w:t>.</w:t>
      </w:r>
    </w:p>
    <w:p w:rsidR="0054556E" w:rsidRPr="004F3A46" w:rsidRDefault="0054556E" w:rsidP="0054556E">
      <w:pPr>
        <w:rPr>
          <w:rFonts w:cs="Times New Roman"/>
        </w:rPr>
      </w:pPr>
      <w:r w:rsidRPr="004F3A46">
        <w:rPr>
          <w:bCs/>
        </w:rPr>
        <w:t xml:space="preserve">Při modelaci návrhů na rozdělení dotace vyšla najevo skutečnost, že řada sociálních služeb by nemohla být dofinancována, protože v období pro podávání žádostí o účelovou dotaci ze státního rozpočtu na rok 2017 (tzn. v termínu </w:t>
      </w:r>
      <w:r w:rsidRPr="004F3A46">
        <w:t xml:space="preserve">od 1. 10. 2016 do 7. 11. 2016) nebyly informace o takto významném navýšení platových tarifů známy a ani je nebylo možno jakkoli predikovat. Poskytovatelé sociálních služeb tedy podali požadavek na výši dotace na základě v té době známých skutečností a u mnoha z nich byl tento požadavek plně uspokojen již v řádném kole dotačního řízení, o kterém rozhodovalo Zastupitelstvo Olomouckého kraje na svém jednání v únoru letošního roku. </w:t>
      </w:r>
    </w:p>
    <w:p w:rsidR="0054556E" w:rsidRPr="00AD19AC" w:rsidRDefault="0054556E" w:rsidP="0054556E">
      <w:r w:rsidRPr="00AD19AC">
        <w:t>Dofinancování sociální služby nad rámec požadavku o dotaci by bylo porušením zákona č.</w:t>
      </w:r>
      <w:r w:rsidR="00A149A3">
        <w:t> </w:t>
      </w:r>
      <w:r w:rsidRPr="00AD19AC">
        <w:t>218/2000 Sb.,</w:t>
      </w:r>
      <w:r w:rsidRPr="00AD19AC">
        <w:rPr>
          <w:i/>
          <w:iCs/>
        </w:rPr>
        <w:t xml:space="preserve"> </w:t>
      </w:r>
      <w:r w:rsidRPr="00AD19AC">
        <w:rPr>
          <w:iCs/>
        </w:rPr>
        <w:t>o rozpočtových pravidlech a o změně některých souvisejících zákonů</w:t>
      </w:r>
      <w:r w:rsidR="00A149A3">
        <w:rPr>
          <w:iCs/>
        </w:rPr>
        <w:t xml:space="preserve">, </w:t>
      </w:r>
      <w:r w:rsidR="00535A01">
        <w:rPr>
          <w:iCs/>
        </w:rPr>
        <w:br/>
      </w:r>
      <w:r w:rsidR="00A149A3">
        <w:rPr>
          <w:iCs/>
        </w:rPr>
        <w:t xml:space="preserve">ve znění pozdějších předpisů </w:t>
      </w:r>
      <w:r w:rsidRPr="00AD19AC">
        <w:rPr>
          <w:iCs/>
        </w:rPr>
        <w:t>(rozpočtová pravidla), podle kterého je dotace krajům poskytována.</w:t>
      </w:r>
      <w:r w:rsidRPr="00AD19AC">
        <w:rPr>
          <w:i/>
          <w:iCs/>
        </w:rPr>
        <w:t xml:space="preserve"> </w:t>
      </w:r>
      <w:r w:rsidRPr="00AD19AC">
        <w:t xml:space="preserve"> Nejvhodnějším (a</w:t>
      </w:r>
      <w:r w:rsidR="00A149A3">
        <w:t> </w:t>
      </w:r>
      <w:r w:rsidRPr="00AD19AC">
        <w:t xml:space="preserve">vzhledem k výše uvedenému jediným možným řešením této situace) bylo vyhlášení mimořádného kola dotačního řízení, v rámci kterého bylo </w:t>
      </w:r>
      <w:r w:rsidRPr="00AD19AC">
        <w:lastRenderedPageBreak/>
        <w:t>poskytovatelům sociálních služeb umožněno podat žádost o dotaci, která navýšení osobních nákladů zohledňuje, a zároveň tak je jednoznačně naplněn v souvislosti s financováním sociálních služeb opakovaně deklarovaný a zdůrazňovaný transparentní, rovný a</w:t>
      </w:r>
      <w:r w:rsidR="00A149A3">
        <w:t> </w:t>
      </w:r>
      <w:r w:rsidRPr="00AD19AC">
        <w:t xml:space="preserve">nediskriminační přístup ke všem poskytovatelům bez rozdílu právních forem (odměňovaných platem i mzdou). </w:t>
      </w:r>
    </w:p>
    <w:p w:rsidR="0054556E" w:rsidRPr="00AD19AC" w:rsidRDefault="0054556E" w:rsidP="0054556E">
      <w:pPr>
        <w:rPr>
          <w:bCs/>
        </w:rPr>
      </w:pPr>
      <w:r w:rsidRPr="00AD19AC">
        <w:t xml:space="preserve">Rada Olomouckého kraje svým usnesením č. UR/18/3/2017 schválila vyhlášení mimořádného kola dotačního řízení Programu finanční podpory poskytování sociálních služeb v Olomouckém kraji (dále jen „Program“), Podprogramu č. 1 na své mimořádné schůzi konané dne 19. června 2017. </w:t>
      </w:r>
      <w:r w:rsidRPr="00AD19AC">
        <w:rPr>
          <w:bCs/>
        </w:rPr>
        <w:t>Časový harmonogram mimořádného kola byl vypracován s ohledem na termíny a lhůty týkající se dotačního řízení dle zákona č. 250/2000 Sb., o</w:t>
      </w:r>
      <w:r w:rsidR="00A149A3">
        <w:rPr>
          <w:bCs/>
        </w:rPr>
        <w:t> </w:t>
      </w:r>
      <w:r w:rsidRPr="00AD19AC">
        <w:rPr>
          <w:bCs/>
          <w:iCs/>
        </w:rPr>
        <w:t>rozpočtových pravidlech územních rozpočtů</w:t>
      </w:r>
      <w:r w:rsidR="00A149A3">
        <w:rPr>
          <w:bCs/>
          <w:iCs/>
        </w:rPr>
        <w:t>, ve znění pozdějších předpisů</w:t>
      </w:r>
      <w:r w:rsidRPr="00AD19AC">
        <w:rPr>
          <w:bCs/>
          <w:iCs/>
        </w:rPr>
        <w:t>.</w:t>
      </w:r>
    </w:p>
    <w:p w:rsidR="00113184" w:rsidRDefault="0054556E" w:rsidP="00113184">
      <w:r w:rsidRPr="00AD19AC">
        <w:t>Dotační řízení bylo vyhlášeno 21. června</w:t>
      </w:r>
      <w:r w:rsidR="00EE555F">
        <w:rPr>
          <w:color w:val="FF0000"/>
        </w:rPr>
        <w:t xml:space="preserve"> </w:t>
      </w:r>
      <w:r w:rsidR="00EE555F" w:rsidRPr="00EE555F">
        <w:t>2017</w:t>
      </w:r>
      <w:r w:rsidRPr="00AD19AC">
        <w:t xml:space="preserve">. Poskytovatelé mohli podávat žádosti v termínu od 21. července do 11. srpna 2017. </w:t>
      </w:r>
    </w:p>
    <w:p w:rsidR="0054556E" w:rsidRPr="00AD19AC" w:rsidRDefault="0054556E" w:rsidP="0054556E"/>
    <w:p w:rsidR="00AF0ACC" w:rsidRPr="00F93CF6" w:rsidRDefault="00AF0ACC" w:rsidP="00F93CF6">
      <w:pPr>
        <w:pStyle w:val="Nadpis1"/>
      </w:pPr>
      <w:r w:rsidRPr="00F93CF6">
        <w:t xml:space="preserve">Celková částka účelové dotace navrhovaná k rozdělení – popis </w:t>
      </w:r>
    </w:p>
    <w:p w:rsidR="002568B4" w:rsidRPr="00113184" w:rsidRDefault="002568B4" w:rsidP="00F93CF6">
      <w:pPr>
        <w:pStyle w:val="Nadpis2"/>
        <w:rPr>
          <w:b/>
        </w:rPr>
      </w:pPr>
      <w:r w:rsidRPr="00113184">
        <w:rPr>
          <w:b/>
        </w:rPr>
        <w:t xml:space="preserve">Dofinancování č. 1 </w:t>
      </w:r>
    </w:p>
    <w:p w:rsidR="00AF0ACC" w:rsidRPr="00AD19AC" w:rsidRDefault="00AF0ACC" w:rsidP="008B7E6E">
      <w:pPr>
        <w:rPr>
          <w:bCs/>
          <w:szCs w:val="24"/>
        </w:rPr>
      </w:pPr>
      <w:r w:rsidRPr="00AD19AC">
        <w:rPr>
          <w:bCs/>
          <w:szCs w:val="24"/>
        </w:rPr>
        <w:t>Na základě Rozhodnutí č. 1 o poskytnutí dotace z kapitoly 313 – MPSV státního rozpočtu na rok 2017 ze dne 3. 1. 2017 byla Olomouckému kraji poskytn</w:t>
      </w:r>
      <w:r w:rsidR="00EE555F">
        <w:rPr>
          <w:bCs/>
          <w:szCs w:val="24"/>
        </w:rPr>
        <w:t>uta účelová dotace, ve výši 689 </w:t>
      </w:r>
      <w:r w:rsidRPr="00AD19AC">
        <w:rPr>
          <w:bCs/>
          <w:szCs w:val="24"/>
        </w:rPr>
        <w:t xml:space="preserve">181 000 Kč. Tyto finanční prostředky byly usnesením </w:t>
      </w:r>
      <w:r w:rsidR="005E526F" w:rsidRPr="00AD19AC">
        <w:rPr>
          <w:bCs/>
          <w:szCs w:val="24"/>
        </w:rPr>
        <w:t xml:space="preserve">ZOK </w:t>
      </w:r>
      <w:r w:rsidRPr="00AD19AC">
        <w:rPr>
          <w:bCs/>
          <w:szCs w:val="24"/>
        </w:rPr>
        <w:t xml:space="preserve">č. UZ/3/44/2017 ze dne </w:t>
      </w:r>
      <w:r w:rsidR="00B833AA">
        <w:rPr>
          <w:bCs/>
          <w:szCs w:val="24"/>
        </w:rPr>
        <w:br/>
      </w:r>
      <w:r w:rsidRPr="00AD19AC">
        <w:rPr>
          <w:bCs/>
          <w:szCs w:val="24"/>
        </w:rPr>
        <w:t>27. 2. 2017 v souladu s pra</w:t>
      </w:r>
      <w:r w:rsidR="00872E90" w:rsidRPr="00AD19AC">
        <w:rPr>
          <w:bCs/>
          <w:szCs w:val="24"/>
        </w:rPr>
        <w:t xml:space="preserve">vidly Podprogramu č. 1 Programu </w:t>
      </w:r>
      <w:r w:rsidRPr="00AD19AC">
        <w:rPr>
          <w:bCs/>
          <w:szCs w:val="24"/>
        </w:rPr>
        <w:t xml:space="preserve">přerozděleny jednotlivým </w:t>
      </w:r>
      <w:r w:rsidR="00872E90" w:rsidRPr="00AD19AC">
        <w:rPr>
          <w:bCs/>
          <w:szCs w:val="24"/>
        </w:rPr>
        <w:t>p</w:t>
      </w:r>
      <w:r w:rsidRPr="00AD19AC">
        <w:rPr>
          <w:bCs/>
          <w:szCs w:val="24"/>
        </w:rPr>
        <w:t xml:space="preserve">oskytovatelům sociálních služeb na jimi zajišťované služby. </w:t>
      </w:r>
    </w:p>
    <w:p w:rsidR="00B65C8C" w:rsidRPr="004F3A46" w:rsidRDefault="00B65C8C" w:rsidP="008B7E6E">
      <w:pPr>
        <w:rPr>
          <w:bCs/>
          <w:szCs w:val="24"/>
        </w:rPr>
      </w:pPr>
      <w:r w:rsidRPr="004F3A46">
        <w:rPr>
          <w:bCs/>
          <w:szCs w:val="24"/>
        </w:rPr>
        <w:t xml:space="preserve">Dodatkem k Rozhodnutí č. 1 </w:t>
      </w:r>
      <w:r w:rsidR="0054556E" w:rsidRPr="004F3A46">
        <w:rPr>
          <w:bCs/>
          <w:szCs w:val="24"/>
        </w:rPr>
        <w:t xml:space="preserve">ze dne 13. 6. </w:t>
      </w:r>
      <w:r w:rsidR="0054556E" w:rsidRPr="00207D8B">
        <w:rPr>
          <w:bCs/>
          <w:szCs w:val="24"/>
        </w:rPr>
        <w:t xml:space="preserve">2017 </w:t>
      </w:r>
      <w:r w:rsidR="00F20020" w:rsidRPr="00207D8B">
        <w:rPr>
          <w:bCs/>
          <w:szCs w:val="24"/>
        </w:rPr>
        <w:t xml:space="preserve">(viz Příloha č. 3 důvodové zprávy) </w:t>
      </w:r>
      <w:r w:rsidRPr="00207D8B">
        <w:rPr>
          <w:bCs/>
          <w:szCs w:val="24"/>
        </w:rPr>
        <w:t>byla</w:t>
      </w:r>
      <w:r w:rsidRPr="004F3A46">
        <w:rPr>
          <w:bCs/>
          <w:szCs w:val="24"/>
        </w:rPr>
        <w:t xml:space="preserve"> </w:t>
      </w:r>
      <w:r w:rsidRPr="004F3A46">
        <w:rPr>
          <w:szCs w:val="24"/>
        </w:rPr>
        <w:t xml:space="preserve">účelová dotace určená </w:t>
      </w:r>
      <w:r w:rsidRPr="004F3A46">
        <w:rPr>
          <w:bCs/>
          <w:szCs w:val="24"/>
        </w:rPr>
        <w:t xml:space="preserve">pro Olomoucký kraj </w:t>
      </w:r>
      <w:r w:rsidRPr="004F3A46">
        <w:rPr>
          <w:b/>
          <w:bCs/>
          <w:szCs w:val="24"/>
        </w:rPr>
        <w:t xml:space="preserve">navýšena o částku </w:t>
      </w:r>
      <w:r w:rsidRPr="004F3A46">
        <w:rPr>
          <w:b/>
          <w:bCs/>
          <w:szCs w:val="24"/>
          <w:u w:val="single"/>
        </w:rPr>
        <w:t>89 815 000 Kč</w:t>
      </w:r>
      <w:r w:rsidRPr="004F3A46">
        <w:rPr>
          <w:b/>
          <w:bCs/>
          <w:szCs w:val="24"/>
        </w:rPr>
        <w:t xml:space="preserve"> na celkovou částku </w:t>
      </w:r>
      <w:r w:rsidRPr="004F3A46">
        <w:rPr>
          <w:b/>
          <w:bCs/>
          <w:szCs w:val="24"/>
          <w:u w:val="single"/>
        </w:rPr>
        <w:t>778 996 000 Kč</w:t>
      </w:r>
      <w:r w:rsidRPr="004F3A46">
        <w:rPr>
          <w:b/>
          <w:bCs/>
          <w:szCs w:val="24"/>
        </w:rPr>
        <w:t xml:space="preserve">. </w:t>
      </w:r>
      <w:r w:rsidR="0069226A" w:rsidRPr="004F3A46">
        <w:rPr>
          <w:bCs/>
          <w:szCs w:val="24"/>
        </w:rPr>
        <w:t xml:space="preserve">Tyto finanční prostředky </w:t>
      </w:r>
      <w:r w:rsidR="00DA3493" w:rsidRPr="004F3A46">
        <w:rPr>
          <w:bCs/>
          <w:szCs w:val="24"/>
        </w:rPr>
        <w:t xml:space="preserve">byly dne 7. 7. 2017 připsány na účet </w:t>
      </w:r>
      <w:r w:rsidR="0069226A" w:rsidRPr="004F3A46">
        <w:rPr>
          <w:bCs/>
          <w:szCs w:val="24"/>
        </w:rPr>
        <w:t xml:space="preserve">Olomouckého kraje. </w:t>
      </w:r>
    </w:p>
    <w:p w:rsidR="00AF0ACC" w:rsidRPr="00AD19AC" w:rsidRDefault="00EB01C0" w:rsidP="008B7E6E">
      <w:pPr>
        <w:rPr>
          <w:bCs/>
          <w:szCs w:val="24"/>
        </w:rPr>
      </w:pPr>
      <w:r>
        <w:rPr>
          <w:bCs/>
          <w:szCs w:val="24"/>
        </w:rPr>
        <w:t xml:space="preserve">Současně </w:t>
      </w:r>
      <w:r w:rsidR="004F3A46">
        <w:rPr>
          <w:bCs/>
          <w:szCs w:val="24"/>
        </w:rPr>
        <w:t xml:space="preserve">je </w:t>
      </w:r>
      <w:r>
        <w:rPr>
          <w:bCs/>
          <w:szCs w:val="24"/>
        </w:rPr>
        <w:t>v </w:t>
      </w:r>
      <w:r w:rsidRPr="00207D8B">
        <w:rPr>
          <w:bCs/>
          <w:szCs w:val="24"/>
        </w:rPr>
        <w:t xml:space="preserve">rámci </w:t>
      </w:r>
      <w:r w:rsidR="00013940" w:rsidRPr="00207D8B">
        <w:rPr>
          <w:bCs/>
          <w:szCs w:val="24"/>
        </w:rPr>
        <w:t>D</w:t>
      </w:r>
      <w:r w:rsidRPr="00207D8B">
        <w:rPr>
          <w:bCs/>
          <w:szCs w:val="24"/>
        </w:rPr>
        <w:t xml:space="preserve">ofinancování </w:t>
      </w:r>
      <w:r>
        <w:rPr>
          <w:bCs/>
          <w:szCs w:val="24"/>
        </w:rPr>
        <w:t xml:space="preserve">č. 1 navrhováno přerozdělení finančních prostředků vrácených do rozpočtu Olomouckého kraje z důvodu financování vybraných sociálních služeb prostředky Evropského sociálního fondu. </w:t>
      </w:r>
      <w:r w:rsidR="00AF0ACC" w:rsidRPr="00AD19AC">
        <w:rPr>
          <w:bCs/>
          <w:szCs w:val="24"/>
        </w:rPr>
        <w:t>Od 1. 4. 2017 bylo započato financování některých sociálních služeb prostřednictvím individuálního projektu Olomouckého kraje (dále jen „IP“) „Služby sociální prevence v</w:t>
      </w:r>
      <w:r w:rsidR="00A149A3">
        <w:rPr>
          <w:bCs/>
          <w:szCs w:val="24"/>
        </w:rPr>
        <w:t> </w:t>
      </w:r>
      <w:r w:rsidR="00AF0ACC" w:rsidRPr="00AD19AC">
        <w:rPr>
          <w:bCs/>
          <w:szCs w:val="24"/>
        </w:rPr>
        <w:t>Olomouckém kraji“ (Registrační číslo projektu: CZ.03.2.60/0.0/0.0/15_005/0000057). S</w:t>
      </w:r>
      <w:r w:rsidR="00A149A3">
        <w:rPr>
          <w:bCs/>
          <w:szCs w:val="24"/>
        </w:rPr>
        <w:t> </w:t>
      </w:r>
      <w:r w:rsidR="00AF0ACC" w:rsidRPr="00AD19AC">
        <w:rPr>
          <w:bCs/>
          <w:szCs w:val="24"/>
        </w:rPr>
        <w:t>poskytovateli služeb, kteří uspěli ve veřejných zakázkách na zajištění výše uvedených služeb vyhlášených v rámci realizace individuálního projektu, byly uzavřeny smlouvy o</w:t>
      </w:r>
      <w:r w:rsidR="00A149A3">
        <w:rPr>
          <w:bCs/>
          <w:szCs w:val="24"/>
        </w:rPr>
        <w:t> </w:t>
      </w:r>
      <w:r w:rsidR="00AF0ACC" w:rsidRPr="00AD19AC">
        <w:rPr>
          <w:bCs/>
          <w:szCs w:val="24"/>
        </w:rPr>
        <w:t xml:space="preserve">poskytování služby; od 1. 4. 2017 jsou tedy tyto služby financovány prostřednictvím IP. </w:t>
      </w:r>
    </w:p>
    <w:p w:rsidR="00013940" w:rsidRDefault="00AF0ACC" w:rsidP="00C6336E">
      <w:pPr>
        <w:rPr>
          <w:bCs/>
          <w:szCs w:val="24"/>
        </w:rPr>
      </w:pPr>
      <w:r w:rsidRPr="00AD19AC">
        <w:rPr>
          <w:bCs/>
          <w:szCs w:val="24"/>
        </w:rPr>
        <w:t>V souladu se smlouvou o poskytnutí účelové dotace zanikl od stejného data poskytovatelům těchto sociálních služeb nárok na účelově určenou dotaci ze státního rozpočtu přiznanou v</w:t>
      </w:r>
      <w:r w:rsidR="00A149A3">
        <w:rPr>
          <w:bCs/>
          <w:szCs w:val="24"/>
        </w:rPr>
        <w:t> </w:t>
      </w:r>
      <w:r w:rsidRPr="00AD19AC">
        <w:rPr>
          <w:bCs/>
          <w:szCs w:val="24"/>
        </w:rPr>
        <w:t xml:space="preserve">rámci Podprogramu č. 1 Programu ve výši </w:t>
      </w:r>
      <w:r w:rsidRPr="00AD19AC">
        <w:rPr>
          <w:b/>
          <w:bCs/>
          <w:szCs w:val="24"/>
          <w:u w:val="single"/>
        </w:rPr>
        <w:t>4 379 600 Kč</w:t>
      </w:r>
      <w:r w:rsidRPr="00AD19AC">
        <w:rPr>
          <w:bCs/>
          <w:szCs w:val="24"/>
        </w:rPr>
        <w:t>. Tyto finanční prostředky byly v</w:t>
      </w:r>
      <w:r w:rsidR="00A149A3">
        <w:rPr>
          <w:bCs/>
          <w:szCs w:val="24"/>
        </w:rPr>
        <w:t> </w:t>
      </w:r>
      <w:r w:rsidRPr="00AD19AC">
        <w:rPr>
          <w:bCs/>
          <w:szCs w:val="24"/>
        </w:rPr>
        <w:t>souladu s uzavřenou veřejnoprávní smlouvou o poskytnutí dotace vráceny do rozpočtu Olomouckého kraje a jsou navrhovány k přerozdělení.</w:t>
      </w:r>
      <w:r w:rsidR="00C6336E">
        <w:rPr>
          <w:bCs/>
          <w:szCs w:val="24"/>
        </w:rPr>
        <w:t xml:space="preserve"> </w:t>
      </w:r>
    </w:p>
    <w:p w:rsidR="00C670FF" w:rsidRDefault="00C670FF" w:rsidP="00C6336E">
      <w:pPr>
        <w:rPr>
          <w:bCs/>
          <w:szCs w:val="24"/>
        </w:rPr>
      </w:pPr>
      <w:r w:rsidRPr="00AD19AC">
        <w:rPr>
          <w:bCs/>
          <w:szCs w:val="24"/>
        </w:rPr>
        <w:lastRenderedPageBreak/>
        <w:t>Shrnutí je uvedeno v</w:t>
      </w:r>
      <w:r w:rsidR="00C6336E">
        <w:rPr>
          <w:bCs/>
          <w:szCs w:val="24"/>
        </w:rPr>
        <w:t> </w:t>
      </w:r>
      <w:r w:rsidRPr="00AD19AC">
        <w:rPr>
          <w:bCs/>
          <w:szCs w:val="24"/>
        </w:rPr>
        <w:t>tabulce</w:t>
      </w:r>
      <w:r w:rsidR="00C6336E">
        <w:rPr>
          <w:bCs/>
          <w:szCs w:val="24"/>
        </w:rPr>
        <w:t xml:space="preserve"> č. 1.</w:t>
      </w:r>
    </w:p>
    <w:p w:rsidR="00C6336E" w:rsidRDefault="00C6336E" w:rsidP="00C6336E">
      <w:pPr>
        <w:pStyle w:val="Titulek"/>
        <w:spacing w:after="120"/>
        <w:rPr>
          <w:color w:val="auto"/>
        </w:rPr>
      </w:pPr>
    </w:p>
    <w:p w:rsidR="00207D8B" w:rsidRDefault="00207D8B" w:rsidP="00C6336E">
      <w:pPr>
        <w:pStyle w:val="Titulek"/>
        <w:spacing w:after="120"/>
        <w:rPr>
          <w:color w:val="auto"/>
        </w:rPr>
      </w:pPr>
    </w:p>
    <w:p w:rsidR="00C6336E" w:rsidRPr="00AD19AC" w:rsidRDefault="00C6336E" w:rsidP="00C6336E">
      <w:pPr>
        <w:pStyle w:val="Titulek"/>
        <w:spacing w:after="120"/>
        <w:rPr>
          <w:color w:val="auto"/>
          <w:szCs w:val="24"/>
        </w:rPr>
      </w:pPr>
      <w:r w:rsidRPr="00AD19AC">
        <w:rPr>
          <w:color w:val="auto"/>
        </w:rPr>
        <w:t xml:space="preserve">Tabulka č. </w:t>
      </w:r>
      <w:r w:rsidRPr="00AD19AC">
        <w:rPr>
          <w:color w:val="auto"/>
        </w:rPr>
        <w:fldChar w:fldCharType="begin"/>
      </w:r>
      <w:r w:rsidRPr="00AD19AC">
        <w:rPr>
          <w:color w:val="auto"/>
        </w:rPr>
        <w:instrText xml:space="preserve"> SEQ Tabulka_č. \* ARABIC </w:instrText>
      </w:r>
      <w:r w:rsidRPr="00AD19AC">
        <w:rPr>
          <w:color w:val="auto"/>
        </w:rPr>
        <w:fldChar w:fldCharType="separate"/>
      </w:r>
      <w:r w:rsidR="00843945">
        <w:rPr>
          <w:noProof/>
          <w:color w:val="auto"/>
        </w:rPr>
        <w:t>1</w:t>
      </w:r>
      <w:r w:rsidRPr="00AD19AC">
        <w:rPr>
          <w:color w:val="auto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2092"/>
      </w:tblGrid>
      <w:tr w:rsidR="00AD19AC" w:rsidRPr="00AD19AC" w:rsidTr="00814E9A">
        <w:trPr>
          <w:trHeight w:val="501"/>
        </w:trPr>
        <w:tc>
          <w:tcPr>
            <w:tcW w:w="562" w:type="dxa"/>
            <w:shd w:val="clear" w:color="auto" w:fill="D9D9D9" w:themeFill="background1" w:themeFillShade="D9"/>
          </w:tcPr>
          <w:p w:rsidR="00B03D74" w:rsidRPr="00AD19AC" w:rsidRDefault="00B03D74" w:rsidP="00AB7807">
            <w:pPr>
              <w:pStyle w:val="Odstavecseseznamem"/>
              <w:ind w:left="0"/>
              <w:contextualSpacing w:val="0"/>
              <w:rPr>
                <w:bCs/>
                <w:sz w:val="22"/>
                <w:szCs w:val="20"/>
              </w:rPr>
            </w:pPr>
            <w:r w:rsidRPr="00AD19AC">
              <w:rPr>
                <w:bCs/>
                <w:sz w:val="22"/>
                <w:szCs w:val="20"/>
              </w:rPr>
              <w:t>Č.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B03D74" w:rsidRPr="00AD19AC" w:rsidRDefault="00B03D74" w:rsidP="00352067">
            <w:pPr>
              <w:pStyle w:val="Odstavecseseznamem"/>
              <w:ind w:left="0"/>
              <w:contextualSpacing w:val="0"/>
              <w:rPr>
                <w:bCs/>
                <w:sz w:val="22"/>
                <w:szCs w:val="20"/>
              </w:rPr>
            </w:pPr>
            <w:r w:rsidRPr="00AD19AC">
              <w:rPr>
                <w:bCs/>
                <w:sz w:val="22"/>
                <w:szCs w:val="20"/>
              </w:rPr>
              <w:t>Informace</w:t>
            </w:r>
          </w:p>
        </w:tc>
        <w:tc>
          <w:tcPr>
            <w:tcW w:w="2092" w:type="dxa"/>
            <w:shd w:val="clear" w:color="auto" w:fill="D9D9D9" w:themeFill="background1" w:themeFillShade="D9"/>
            <w:noWrap/>
          </w:tcPr>
          <w:p w:rsidR="00B03D74" w:rsidRPr="00AD19AC" w:rsidRDefault="00B03D74" w:rsidP="00A85461">
            <w:pPr>
              <w:pStyle w:val="Odstavecseseznamem"/>
              <w:ind w:left="0"/>
              <w:contextualSpacing w:val="0"/>
              <w:jc w:val="right"/>
              <w:rPr>
                <w:bCs/>
                <w:sz w:val="22"/>
                <w:szCs w:val="20"/>
              </w:rPr>
            </w:pPr>
            <w:r w:rsidRPr="00AD19AC">
              <w:rPr>
                <w:bCs/>
                <w:sz w:val="22"/>
                <w:szCs w:val="20"/>
              </w:rPr>
              <w:t>Částka</w:t>
            </w:r>
          </w:p>
        </w:tc>
      </w:tr>
      <w:tr w:rsidR="00AD19AC" w:rsidRPr="00AD19AC" w:rsidTr="00A85461">
        <w:trPr>
          <w:trHeight w:val="501"/>
        </w:trPr>
        <w:tc>
          <w:tcPr>
            <w:tcW w:w="562" w:type="dxa"/>
          </w:tcPr>
          <w:p w:rsidR="00E63E49" w:rsidRPr="00AD19AC" w:rsidRDefault="00E63E49" w:rsidP="00AB7807">
            <w:pPr>
              <w:pStyle w:val="Odstavecseseznamem"/>
              <w:ind w:left="0"/>
              <w:contextualSpacing w:val="0"/>
              <w:rPr>
                <w:bCs/>
                <w:sz w:val="22"/>
                <w:szCs w:val="20"/>
              </w:rPr>
            </w:pPr>
            <w:r w:rsidRPr="00AD19AC">
              <w:rPr>
                <w:bCs/>
                <w:sz w:val="22"/>
                <w:szCs w:val="20"/>
              </w:rPr>
              <w:t>1.</w:t>
            </w:r>
          </w:p>
        </w:tc>
        <w:tc>
          <w:tcPr>
            <w:tcW w:w="7088" w:type="dxa"/>
            <w:hideMark/>
          </w:tcPr>
          <w:p w:rsidR="00E63E49" w:rsidRPr="00AD19AC" w:rsidRDefault="00E63E49" w:rsidP="004114C1">
            <w:pPr>
              <w:pStyle w:val="Odstavecseseznamem"/>
              <w:ind w:left="0"/>
              <w:contextualSpacing w:val="0"/>
              <w:rPr>
                <w:bCs/>
                <w:sz w:val="22"/>
                <w:szCs w:val="20"/>
              </w:rPr>
            </w:pPr>
            <w:r w:rsidRPr="00AD19AC">
              <w:rPr>
                <w:bCs/>
                <w:sz w:val="22"/>
                <w:szCs w:val="20"/>
              </w:rPr>
              <w:t>R</w:t>
            </w:r>
            <w:r w:rsidR="00352067" w:rsidRPr="00AD19AC">
              <w:rPr>
                <w:bCs/>
                <w:sz w:val="22"/>
                <w:szCs w:val="20"/>
              </w:rPr>
              <w:t>ozhodnutí</w:t>
            </w:r>
            <w:r w:rsidR="00B65C8C" w:rsidRPr="00AD19AC">
              <w:rPr>
                <w:bCs/>
                <w:sz w:val="22"/>
                <w:szCs w:val="20"/>
              </w:rPr>
              <w:t xml:space="preserve"> č. 1 </w:t>
            </w:r>
            <w:r w:rsidRPr="00AD19AC">
              <w:rPr>
                <w:bCs/>
                <w:sz w:val="22"/>
                <w:szCs w:val="20"/>
              </w:rPr>
              <w:t>MPSV</w:t>
            </w:r>
            <w:r w:rsidR="004114C1">
              <w:rPr>
                <w:bCs/>
                <w:sz w:val="22"/>
                <w:szCs w:val="20"/>
              </w:rPr>
              <w:t xml:space="preserve"> </w:t>
            </w:r>
            <w:r w:rsidR="00F30799" w:rsidRPr="00AD19AC">
              <w:rPr>
                <w:bCs/>
                <w:sz w:val="22"/>
                <w:szCs w:val="20"/>
              </w:rPr>
              <w:t>– přerozděleno poskytovatelům sociálních služeb</w:t>
            </w:r>
            <w:r w:rsidR="00352067" w:rsidRPr="00AD19AC">
              <w:rPr>
                <w:bCs/>
                <w:sz w:val="22"/>
                <w:szCs w:val="20"/>
              </w:rPr>
              <w:t>:</w:t>
            </w:r>
          </w:p>
        </w:tc>
        <w:tc>
          <w:tcPr>
            <w:tcW w:w="2092" w:type="dxa"/>
            <w:noWrap/>
            <w:hideMark/>
          </w:tcPr>
          <w:p w:rsidR="00E63E49" w:rsidRPr="00AD19AC" w:rsidRDefault="00F25523" w:rsidP="00A85461">
            <w:pPr>
              <w:pStyle w:val="Odstavecseseznamem"/>
              <w:ind w:left="0"/>
              <w:contextualSpacing w:val="0"/>
              <w:jc w:val="right"/>
              <w:rPr>
                <w:bCs/>
                <w:sz w:val="22"/>
                <w:szCs w:val="20"/>
              </w:rPr>
            </w:pPr>
            <w:r w:rsidRPr="00AD19AC">
              <w:rPr>
                <w:bCs/>
                <w:sz w:val="22"/>
                <w:szCs w:val="20"/>
              </w:rPr>
              <w:t xml:space="preserve">689 181 000 </w:t>
            </w:r>
            <w:r w:rsidR="00E63E49" w:rsidRPr="00AD19AC">
              <w:rPr>
                <w:bCs/>
                <w:sz w:val="22"/>
                <w:szCs w:val="20"/>
              </w:rPr>
              <w:t>Kč</w:t>
            </w:r>
          </w:p>
        </w:tc>
      </w:tr>
      <w:tr w:rsidR="00AD19AC" w:rsidRPr="00AD19AC" w:rsidTr="00A85461">
        <w:trPr>
          <w:trHeight w:val="501"/>
        </w:trPr>
        <w:tc>
          <w:tcPr>
            <w:tcW w:w="562" w:type="dxa"/>
          </w:tcPr>
          <w:p w:rsidR="00E63E49" w:rsidRPr="00AD19AC" w:rsidRDefault="00F30799" w:rsidP="00AB7807">
            <w:pPr>
              <w:pStyle w:val="Odstavecseseznamem"/>
              <w:ind w:left="0"/>
              <w:contextualSpacing w:val="0"/>
              <w:rPr>
                <w:bCs/>
                <w:sz w:val="22"/>
                <w:szCs w:val="20"/>
              </w:rPr>
            </w:pPr>
            <w:r w:rsidRPr="00AD19AC">
              <w:rPr>
                <w:bCs/>
                <w:sz w:val="22"/>
                <w:szCs w:val="20"/>
              </w:rPr>
              <w:t>2</w:t>
            </w:r>
            <w:r w:rsidR="00E63E49" w:rsidRPr="00AD19AC">
              <w:rPr>
                <w:bCs/>
                <w:sz w:val="22"/>
                <w:szCs w:val="20"/>
              </w:rPr>
              <w:t>.</w:t>
            </w:r>
          </w:p>
        </w:tc>
        <w:tc>
          <w:tcPr>
            <w:tcW w:w="7088" w:type="dxa"/>
          </w:tcPr>
          <w:p w:rsidR="00E63E49" w:rsidRPr="00AD19AC" w:rsidRDefault="00352067" w:rsidP="00F30799">
            <w:pPr>
              <w:pStyle w:val="Odstavecseseznamem"/>
              <w:ind w:left="0"/>
              <w:contextualSpacing w:val="0"/>
              <w:rPr>
                <w:bCs/>
                <w:sz w:val="22"/>
                <w:szCs w:val="20"/>
              </w:rPr>
            </w:pPr>
            <w:r w:rsidRPr="00AD19AC">
              <w:rPr>
                <w:bCs/>
                <w:sz w:val="22"/>
                <w:szCs w:val="20"/>
              </w:rPr>
              <w:t xml:space="preserve">Zánik nároku na </w:t>
            </w:r>
            <w:r w:rsidR="008538A7" w:rsidRPr="00AD19AC">
              <w:rPr>
                <w:bCs/>
                <w:sz w:val="22"/>
                <w:szCs w:val="20"/>
              </w:rPr>
              <w:t xml:space="preserve">účelovou </w:t>
            </w:r>
            <w:r w:rsidRPr="00AD19AC">
              <w:rPr>
                <w:bCs/>
                <w:sz w:val="22"/>
                <w:szCs w:val="20"/>
              </w:rPr>
              <w:t xml:space="preserve">dotaci některých poskytovatelů v souvislosti s financováním </w:t>
            </w:r>
            <w:r w:rsidR="003C6C0B" w:rsidRPr="00AD19AC">
              <w:rPr>
                <w:bCs/>
                <w:sz w:val="22"/>
                <w:szCs w:val="20"/>
              </w:rPr>
              <w:t xml:space="preserve">jimi poskytovaných služeb </w:t>
            </w:r>
            <w:r w:rsidR="00E63E49" w:rsidRPr="00AD19AC">
              <w:rPr>
                <w:bCs/>
                <w:sz w:val="22"/>
                <w:szCs w:val="20"/>
              </w:rPr>
              <w:t>z</w:t>
            </w:r>
            <w:r w:rsidR="00F30799" w:rsidRPr="00AD19AC">
              <w:rPr>
                <w:bCs/>
                <w:sz w:val="22"/>
                <w:szCs w:val="20"/>
              </w:rPr>
              <w:t> </w:t>
            </w:r>
            <w:r w:rsidR="00E63E49" w:rsidRPr="00AD19AC">
              <w:rPr>
                <w:bCs/>
                <w:sz w:val="22"/>
                <w:szCs w:val="20"/>
              </w:rPr>
              <w:t>IP</w:t>
            </w:r>
            <w:r w:rsidR="00F30799" w:rsidRPr="00AD19AC">
              <w:rPr>
                <w:bCs/>
                <w:sz w:val="22"/>
                <w:szCs w:val="20"/>
              </w:rPr>
              <w:t xml:space="preserve"> – v</w:t>
            </w:r>
            <w:r w:rsidR="00F25523" w:rsidRPr="00AD19AC">
              <w:rPr>
                <w:bCs/>
                <w:sz w:val="22"/>
                <w:szCs w:val="20"/>
              </w:rPr>
              <w:t>ráceno</w:t>
            </w:r>
            <w:r w:rsidR="00F30799" w:rsidRPr="00AD19AC">
              <w:rPr>
                <w:bCs/>
                <w:sz w:val="22"/>
                <w:szCs w:val="20"/>
              </w:rPr>
              <w:t xml:space="preserve"> </w:t>
            </w:r>
            <w:r w:rsidR="00F25523" w:rsidRPr="00AD19AC">
              <w:rPr>
                <w:bCs/>
                <w:sz w:val="22"/>
                <w:szCs w:val="20"/>
              </w:rPr>
              <w:t>při finančním vypořádání do rozpočtu OK</w:t>
            </w:r>
            <w:r w:rsidR="00F30799" w:rsidRPr="00AD19AC">
              <w:rPr>
                <w:bCs/>
                <w:sz w:val="22"/>
                <w:szCs w:val="20"/>
              </w:rPr>
              <w:t>:</w:t>
            </w:r>
          </w:p>
        </w:tc>
        <w:tc>
          <w:tcPr>
            <w:tcW w:w="2092" w:type="dxa"/>
            <w:noWrap/>
          </w:tcPr>
          <w:p w:rsidR="00E63E49" w:rsidRPr="00AD19AC" w:rsidRDefault="00F25523" w:rsidP="009872D7">
            <w:pPr>
              <w:pStyle w:val="Odstavecseseznamem"/>
              <w:numPr>
                <w:ilvl w:val="0"/>
                <w:numId w:val="15"/>
              </w:numPr>
              <w:contextualSpacing w:val="0"/>
              <w:jc w:val="right"/>
              <w:rPr>
                <w:bCs/>
                <w:sz w:val="22"/>
                <w:szCs w:val="20"/>
              </w:rPr>
            </w:pPr>
            <w:r w:rsidRPr="00AD19AC">
              <w:rPr>
                <w:bCs/>
                <w:sz w:val="22"/>
                <w:szCs w:val="20"/>
              </w:rPr>
              <w:t>4 379 600 Kč</w:t>
            </w:r>
          </w:p>
        </w:tc>
      </w:tr>
      <w:tr w:rsidR="00AD19AC" w:rsidRPr="00AD19AC" w:rsidTr="00F30799">
        <w:trPr>
          <w:trHeight w:val="501"/>
        </w:trPr>
        <w:tc>
          <w:tcPr>
            <w:tcW w:w="562" w:type="dxa"/>
          </w:tcPr>
          <w:p w:rsidR="00E63E49" w:rsidRPr="00AD19AC" w:rsidRDefault="00F30799" w:rsidP="00AB7807">
            <w:pPr>
              <w:pStyle w:val="Odstavecseseznamem"/>
              <w:ind w:left="0"/>
              <w:contextualSpacing w:val="0"/>
              <w:rPr>
                <w:bCs/>
                <w:sz w:val="22"/>
                <w:szCs w:val="20"/>
              </w:rPr>
            </w:pPr>
            <w:r w:rsidRPr="00AD19AC">
              <w:rPr>
                <w:bCs/>
                <w:sz w:val="22"/>
                <w:szCs w:val="20"/>
              </w:rPr>
              <w:t>3.</w:t>
            </w:r>
          </w:p>
        </w:tc>
        <w:tc>
          <w:tcPr>
            <w:tcW w:w="7088" w:type="dxa"/>
          </w:tcPr>
          <w:p w:rsidR="00E63E49" w:rsidRPr="00AD19AC" w:rsidRDefault="00F30799" w:rsidP="00F25523">
            <w:pPr>
              <w:pStyle w:val="Odstavecseseznamem"/>
              <w:ind w:left="0"/>
              <w:contextualSpacing w:val="0"/>
              <w:rPr>
                <w:bCs/>
                <w:sz w:val="22"/>
                <w:szCs w:val="20"/>
              </w:rPr>
            </w:pPr>
            <w:r w:rsidRPr="00AD19AC">
              <w:rPr>
                <w:bCs/>
                <w:sz w:val="22"/>
                <w:szCs w:val="20"/>
              </w:rPr>
              <w:t>Přerozděleno celkem:</w:t>
            </w:r>
          </w:p>
        </w:tc>
        <w:tc>
          <w:tcPr>
            <w:tcW w:w="2092" w:type="dxa"/>
            <w:noWrap/>
            <w:vAlign w:val="center"/>
          </w:tcPr>
          <w:p w:rsidR="00E63E49" w:rsidRPr="00AD19AC" w:rsidRDefault="00F30799" w:rsidP="00F30799">
            <w:pPr>
              <w:spacing w:before="0"/>
              <w:jc w:val="right"/>
              <w:rPr>
                <w:bCs/>
                <w:sz w:val="22"/>
                <w:szCs w:val="20"/>
              </w:rPr>
            </w:pPr>
            <w:r w:rsidRPr="00AD19AC">
              <w:rPr>
                <w:sz w:val="22"/>
                <w:szCs w:val="20"/>
              </w:rPr>
              <w:t xml:space="preserve">684 801 400 Kč </w:t>
            </w:r>
          </w:p>
        </w:tc>
      </w:tr>
      <w:tr w:rsidR="00AD19AC" w:rsidRPr="00AD19AC" w:rsidTr="00A85461">
        <w:trPr>
          <w:trHeight w:val="501"/>
        </w:trPr>
        <w:tc>
          <w:tcPr>
            <w:tcW w:w="562" w:type="dxa"/>
          </w:tcPr>
          <w:p w:rsidR="00A85461" w:rsidRPr="00AD19AC" w:rsidRDefault="00F30799" w:rsidP="00AB7807">
            <w:pPr>
              <w:pStyle w:val="Odstavecseseznamem"/>
              <w:ind w:left="0"/>
              <w:contextualSpacing w:val="0"/>
              <w:rPr>
                <w:bCs/>
                <w:sz w:val="22"/>
                <w:szCs w:val="20"/>
              </w:rPr>
            </w:pPr>
            <w:r w:rsidRPr="00AD19AC">
              <w:rPr>
                <w:bCs/>
                <w:sz w:val="22"/>
                <w:szCs w:val="20"/>
              </w:rPr>
              <w:t>4</w:t>
            </w:r>
            <w:r w:rsidR="00A85461" w:rsidRPr="00AD19AC">
              <w:rPr>
                <w:bCs/>
                <w:sz w:val="22"/>
                <w:szCs w:val="20"/>
              </w:rPr>
              <w:t>.</w:t>
            </w:r>
          </w:p>
        </w:tc>
        <w:tc>
          <w:tcPr>
            <w:tcW w:w="7088" w:type="dxa"/>
          </w:tcPr>
          <w:p w:rsidR="00A85461" w:rsidRPr="00AD19AC" w:rsidRDefault="00A85461" w:rsidP="00B65C8C">
            <w:pPr>
              <w:pStyle w:val="Odstavecseseznamem"/>
              <w:ind w:left="0"/>
              <w:contextualSpacing w:val="0"/>
              <w:rPr>
                <w:bCs/>
                <w:sz w:val="22"/>
                <w:szCs w:val="20"/>
              </w:rPr>
            </w:pPr>
            <w:r w:rsidRPr="00AD19AC">
              <w:rPr>
                <w:bCs/>
                <w:sz w:val="22"/>
                <w:szCs w:val="20"/>
              </w:rPr>
              <w:t>Dodatek k</w:t>
            </w:r>
            <w:r w:rsidR="003C6C0B" w:rsidRPr="00AD19AC">
              <w:rPr>
                <w:bCs/>
                <w:sz w:val="22"/>
                <w:szCs w:val="20"/>
              </w:rPr>
              <w:t xml:space="preserve"> Rozhodnutí </w:t>
            </w:r>
            <w:r w:rsidRPr="00AD19AC">
              <w:rPr>
                <w:bCs/>
                <w:sz w:val="22"/>
                <w:szCs w:val="20"/>
              </w:rPr>
              <w:t xml:space="preserve">č. </w:t>
            </w:r>
            <w:r w:rsidR="00B65C8C" w:rsidRPr="00AD19AC">
              <w:rPr>
                <w:bCs/>
                <w:sz w:val="22"/>
                <w:szCs w:val="20"/>
              </w:rPr>
              <w:t>1</w:t>
            </w:r>
            <w:r w:rsidRPr="00AD19AC">
              <w:rPr>
                <w:bCs/>
                <w:sz w:val="22"/>
                <w:szCs w:val="20"/>
              </w:rPr>
              <w:t xml:space="preserve"> </w:t>
            </w:r>
            <w:r w:rsidR="003C6C0B" w:rsidRPr="00AD19AC">
              <w:rPr>
                <w:bCs/>
                <w:sz w:val="22"/>
                <w:szCs w:val="20"/>
              </w:rPr>
              <w:t xml:space="preserve">ze dne </w:t>
            </w:r>
            <w:r w:rsidR="00B65C8C" w:rsidRPr="00AD19AC">
              <w:rPr>
                <w:bCs/>
                <w:sz w:val="22"/>
                <w:szCs w:val="20"/>
              </w:rPr>
              <w:t xml:space="preserve">13. 6. 2017 </w:t>
            </w:r>
            <w:r w:rsidRPr="00AD19AC">
              <w:rPr>
                <w:bCs/>
                <w:sz w:val="22"/>
                <w:szCs w:val="20"/>
              </w:rPr>
              <w:t xml:space="preserve">– </w:t>
            </w:r>
            <w:r w:rsidR="008538A7" w:rsidRPr="00AD19AC">
              <w:rPr>
                <w:bCs/>
                <w:sz w:val="22"/>
                <w:szCs w:val="20"/>
              </w:rPr>
              <w:t xml:space="preserve">účelová </w:t>
            </w:r>
            <w:r w:rsidRPr="00AD19AC">
              <w:rPr>
                <w:bCs/>
                <w:sz w:val="22"/>
                <w:szCs w:val="20"/>
              </w:rPr>
              <w:t>dotace pro OK celkem</w:t>
            </w:r>
          </w:p>
        </w:tc>
        <w:tc>
          <w:tcPr>
            <w:tcW w:w="2092" w:type="dxa"/>
            <w:noWrap/>
          </w:tcPr>
          <w:p w:rsidR="00A85461" w:rsidRPr="00AD19AC" w:rsidRDefault="002A429C" w:rsidP="00A85461">
            <w:pPr>
              <w:pStyle w:val="Odstavecseseznamem"/>
              <w:ind w:left="0"/>
              <w:contextualSpacing w:val="0"/>
              <w:jc w:val="right"/>
              <w:rPr>
                <w:bCs/>
                <w:sz w:val="22"/>
                <w:szCs w:val="20"/>
              </w:rPr>
            </w:pPr>
            <w:r w:rsidRPr="00AD19AC">
              <w:rPr>
                <w:bCs/>
                <w:sz w:val="22"/>
                <w:szCs w:val="20"/>
              </w:rPr>
              <w:t>778 996 000 Kč</w:t>
            </w:r>
          </w:p>
        </w:tc>
      </w:tr>
      <w:tr w:rsidR="00AD19AC" w:rsidRPr="00AD19AC" w:rsidTr="00A85461">
        <w:trPr>
          <w:trHeight w:val="501"/>
        </w:trPr>
        <w:tc>
          <w:tcPr>
            <w:tcW w:w="562" w:type="dxa"/>
          </w:tcPr>
          <w:p w:rsidR="00E63E49" w:rsidRPr="00AD19AC" w:rsidRDefault="00E63E49" w:rsidP="00AB7807">
            <w:pPr>
              <w:pStyle w:val="Odstavecseseznamem"/>
              <w:ind w:left="0"/>
              <w:contextualSpacing w:val="0"/>
              <w:rPr>
                <w:bCs/>
                <w:sz w:val="22"/>
                <w:szCs w:val="20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  <w:hideMark/>
          </w:tcPr>
          <w:p w:rsidR="00E63E49" w:rsidRPr="00AD19AC" w:rsidRDefault="003C6C0B" w:rsidP="00F30799">
            <w:pPr>
              <w:pStyle w:val="Odstavecseseznamem"/>
              <w:ind w:left="0"/>
              <w:contextualSpacing w:val="0"/>
              <w:rPr>
                <w:bCs/>
                <w:sz w:val="22"/>
                <w:szCs w:val="20"/>
              </w:rPr>
            </w:pPr>
            <w:r w:rsidRPr="00AD19AC">
              <w:rPr>
                <w:b/>
                <w:bCs/>
                <w:sz w:val="22"/>
                <w:szCs w:val="20"/>
              </w:rPr>
              <w:t xml:space="preserve">Celková částka </w:t>
            </w:r>
            <w:r w:rsidR="00A127E4" w:rsidRPr="00AD19AC">
              <w:rPr>
                <w:b/>
                <w:bCs/>
                <w:sz w:val="22"/>
                <w:szCs w:val="20"/>
              </w:rPr>
              <w:t xml:space="preserve">účelové </w:t>
            </w:r>
            <w:r w:rsidRPr="00AD19AC">
              <w:rPr>
                <w:b/>
                <w:bCs/>
                <w:sz w:val="22"/>
                <w:szCs w:val="20"/>
              </w:rPr>
              <w:t>dotace navrhovaná k rozdělení</w:t>
            </w:r>
            <w:r w:rsidRPr="00AD19AC">
              <w:rPr>
                <w:bCs/>
                <w:sz w:val="22"/>
                <w:szCs w:val="20"/>
              </w:rPr>
              <w:t xml:space="preserve"> </w:t>
            </w:r>
            <w:r w:rsidR="00A85461" w:rsidRPr="00AD19AC">
              <w:rPr>
                <w:bCs/>
                <w:sz w:val="22"/>
                <w:szCs w:val="20"/>
              </w:rPr>
              <w:t>(</w:t>
            </w:r>
            <w:r w:rsidR="00F30799" w:rsidRPr="00AD19AC">
              <w:rPr>
                <w:bCs/>
                <w:sz w:val="22"/>
                <w:szCs w:val="20"/>
              </w:rPr>
              <w:t xml:space="preserve">rozdíl </w:t>
            </w:r>
            <w:r w:rsidR="00847685" w:rsidRPr="00AD19AC">
              <w:rPr>
                <w:bCs/>
                <w:sz w:val="22"/>
                <w:szCs w:val="20"/>
              </w:rPr>
              <w:t xml:space="preserve">řádků </w:t>
            </w:r>
            <w:r w:rsidR="00F30799" w:rsidRPr="00AD19AC">
              <w:rPr>
                <w:bCs/>
                <w:sz w:val="22"/>
                <w:szCs w:val="20"/>
              </w:rPr>
              <w:t>4 a 3</w:t>
            </w:r>
            <w:r w:rsidR="00847685" w:rsidRPr="00AD19AC">
              <w:rPr>
                <w:bCs/>
                <w:sz w:val="22"/>
                <w:szCs w:val="20"/>
              </w:rPr>
              <w:t xml:space="preserve">; </w:t>
            </w:r>
            <w:r w:rsidR="00F30799" w:rsidRPr="00AD19AC">
              <w:rPr>
                <w:bCs/>
                <w:sz w:val="22"/>
                <w:szCs w:val="20"/>
              </w:rPr>
              <w:t>4 - 3</w:t>
            </w:r>
            <w:r w:rsidR="00A85461" w:rsidRPr="00AD19AC">
              <w:rPr>
                <w:bCs/>
                <w:sz w:val="22"/>
                <w:szCs w:val="20"/>
              </w:rPr>
              <w:t>)</w:t>
            </w:r>
            <w:r w:rsidR="00E63E49" w:rsidRPr="00AD19AC">
              <w:rPr>
                <w:bCs/>
                <w:sz w:val="22"/>
                <w:szCs w:val="20"/>
              </w:rPr>
              <w:t>:</w:t>
            </w:r>
          </w:p>
        </w:tc>
        <w:tc>
          <w:tcPr>
            <w:tcW w:w="2092" w:type="dxa"/>
            <w:shd w:val="clear" w:color="auto" w:fill="D9D9D9" w:themeFill="background1" w:themeFillShade="D9"/>
            <w:noWrap/>
            <w:hideMark/>
          </w:tcPr>
          <w:p w:rsidR="00E63E49" w:rsidRPr="00AD19AC" w:rsidRDefault="002A429C" w:rsidP="00A85461">
            <w:pPr>
              <w:pStyle w:val="Odstavecseseznamem"/>
              <w:ind w:left="0"/>
              <w:contextualSpacing w:val="0"/>
              <w:jc w:val="right"/>
              <w:rPr>
                <w:b/>
                <w:bCs/>
                <w:sz w:val="22"/>
                <w:szCs w:val="20"/>
              </w:rPr>
            </w:pPr>
            <w:r w:rsidRPr="00AD19AC">
              <w:rPr>
                <w:b/>
                <w:bCs/>
                <w:sz w:val="22"/>
                <w:szCs w:val="20"/>
              </w:rPr>
              <w:t xml:space="preserve">94 194 600 </w:t>
            </w:r>
            <w:r w:rsidR="00E63E49" w:rsidRPr="00AD19AC">
              <w:rPr>
                <w:b/>
                <w:bCs/>
                <w:sz w:val="22"/>
                <w:szCs w:val="20"/>
              </w:rPr>
              <w:t>Kč</w:t>
            </w:r>
          </w:p>
        </w:tc>
      </w:tr>
    </w:tbl>
    <w:p w:rsidR="00A10E09" w:rsidRDefault="00A10E09" w:rsidP="00414DF2">
      <w:pPr>
        <w:pStyle w:val="Odstavecseseznamem"/>
        <w:ind w:left="0"/>
        <w:contextualSpacing w:val="0"/>
        <w:rPr>
          <w:b/>
          <w:bCs/>
          <w:szCs w:val="24"/>
        </w:rPr>
      </w:pPr>
    </w:p>
    <w:p w:rsidR="00013940" w:rsidRPr="00207D8B" w:rsidRDefault="00DA3493" w:rsidP="00013940">
      <w:pPr>
        <w:pStyle w:val="Odstavecseseznamem"/>
        <w:ind w:left="0"/>
        <w:contextualSpacing w:val="0"/>
        <w:rPr>
          <w:b/>
          <w:bCs/>
          <w:szCs w:val="24"/>
        </w:rPr>
      </w:pPr>
      <w:r w:rsidRPr="00207D8B">
        <w:rPr>
          <w:b/>
          <w:bCs/>
          <w:szCs w:val="24"/>
        </w:rPr>
        <w:t xml:space="preserve">Jak vyplývá z tabulky č. 1, celková částka navrhovaná k přerozdělení </w:t>
      </w:r>
      <w:r w:rsidR="00013940" w:rsidRPr="00207D8B">
        <w:rPr>
          <w:b/>
          <w:bCs/>
          <w:szCs w:val="24"/>
        </w:rPr>
        <w:t xml:space="preserve">v rámci Dofinancování č. 1 činí 94 194 600 Kč a je součtem částky navýšení </w:t>
      </w:r>
      <w:r w:rsidR="00013940" w:rsidRPr="00207D8B">
        <w:rPr>
          <w:b/>
          <w:szCs w:val="24"/>
        </w:rPr>
        <w:t>účelové dotace (</w:t>
      </w:r>
      <w:r w:rsidR="00013940" w:rsidRPr="00207D8B">
        <w:rPr>
          <w:b/>
          <w:bCs/>
          <w:szCs w:val="24"/>
        </w:rPr>
        <w:t>89 815 000 Kč) a částky vrácené do rozpočtu Olomouckého kraje v souvislosti s financováním některých druhů sociálních služeb z IP (4 379 600 Kč). Tyto finanční prostředky jsou alokovány na účtu Olomouckého kraje</w:t>
      </w:r>
      <w:r w:rsidR="00453FD0" w:rsidRPr="00207D8B">
        <w:rPr>
          <w:b/>
          <w:bCs/>
          <w:szCs w:val="24"/>
        </w:rPr>
        <w:t>.</w:t>
      </w:r>
    </w:p>
    <w:p w:rsidR="009F0DB8" w:rsidRPr="00207D8B" w:rsidRDefault="00BC490A" w:rsidP="00AA53A4">
      <w:pPr>
        <w:spacing w:line="264" w:lineRule="auto"/>
        <w:rPr>
          <w:bCs/>
          <w:szCs w:val="24"/>
        </w:rPr>
      </w:pPr>
      <w:r w:rsidRPr="00207D8B">
        <w:rPr>
          <w:bCs/>
          <w:szCs w:val="24"/>
        </w:rPr>
        <w:t xml:space="preserve">Materiál k Dofinancování č. 1 projednala </w:t>
      </w:r>
      <w:r w:rsidR="009F0DB8" w:rsidRPr="00207D8B">
        <w:rPr>
          <w:bCs/>
          <w:szCs w:val="24"/>
        </w:rPr>
        <w:t xml:space="preserve">Rada Olomouckého kraje na svém jednání dne </w:t>
      </w:r>
      <w:r w:rsidR="00207D8B" w:rsidRPr="00207D8B">
        <w:rPr>
          <w:bCs/>
          <w:szCs w:val="24"/>
        </w:rPr>
        <w:br/>
      </w:r>
      <w:r w:rsidR="009F0DB8" w:rsidRPr="00207D8B">
        <w:rPr>
          <w:bCs/>
          <w:szCs w:val="24"/>
        </w:rPr>
        <w:t xml:space="preserve">28. 8. 2017 a svým usnesením č. UR/21/58/2017 doporučila Zastupitelstvu Olomouckého kraje schválit návrh na poskytnutí účelové dotace ze státního rozpočtu na poskytování sociálních služeb na rok 2017 ve výši stanovené v souladu s Podprogramem č. 1 Programu finanční podpory poskytování sociálních služeb v Olomouckém kraji pro rok 2017 jednotlivým poskytovatelům sociálních služeb, dle Přílohy č. 1 – Dofinancování č. 1 důvodové zprávy a nevyhovět žádostem o poskytnutí dotace, dle Přílohy č. 1 </w:t>
      </w:r>
      <w:r w:rsidR="00AD1924" w:rsidRPr="00207D8B">
        <w:rPr>
          <w:bCs/>
          <w:szCs w:val="24"/>
        </w:rPr>
        <w:t>důvodové zprávy, včetně odůvodnění dle důvodové zprávy.</w:t>
      </w:r>
    </w:p>
    <w:p w:rsidR="002568B4" w:rsidRPr="00013940" w:rsidRDefault="002568B4" w:rsidP="00F93CF6">
      <w:pPr>
        <w:pStyle w:val="Nadpis2"/>
        <w:rPr>
          <w:b/>
        </w:rPr>
      </w:pPr>
      <w:r w:rsidRPr="00013940">
        <w:rPr>
          <w:b/>
        </w:rPr>
        <w:t>Dofinancování č. 2</w:t>
      </w:r>
    </w:p>
    <w:p w:rsidR="00B86F45" w:rsidRPr="00207D8B" w:rsidRDefault="00DA3493" w:rsidP="00DA3493">
      <w:pPr>
        <w:rPr>
          <w:bCs/>
          <w:szCs w:val="24"/>
        </w:rPr>
      </w:pPr>
      <w:r w:rsidRPr="00207D8B">
        <w:rPr>
          <w:bCs/>
          <w:szCs w:val="24"/>
        </w:rPr>
        <w:t xml:space="preserve">Dne 6. 9. 2017 </w:t>
      </w:r>
      <w:r w:rsidR="00B86F45" w:rsidRPr="00207D8B">
        <w:rPr>
          <w:bCs/>
          <w:szCs w:val="24"/>
        </w:rPr>
        <w:t xml:space="preserve">byl </w:t>
      </w:r>
      <w:r w:rsidR="00453FD0" w:rsidRPr="00207D8B">
        <w:rPr>
          <w:bCs/>
          <w:szCs w:val="24"/>
        </w:rPr>
        <w:t>hejtman Olomouckého kraje Ladislav Okleštěk</w:t>
      </w:r>
      <w:r w:rsidRPr="00207D8B">
        <w:rPr>
          <w:bCs/>
          <w:szCs w:val="24"/>
        </w:rPr>
        <w:t xml:space="preserve"> </w:t>
      </w:r>
      <w:r w:rsidR="00453FD0" w:rsidRPr="00207D8B">
        <w:rPr>
          <w:bCs/>
          <w:szCs w:val="24"/>
        </w:rPr>
        <w:t xml:space="preserve">informován dopisem </w:t>
      </w:r>
      <w:r w:rsidR="00453FD0" w:rsidRPr="00207D8B">
        <w:rPr>
          <w:szCs w:val="24"/>
        </w:rPr>
        <w:t xml:space="preserve">Mgr. Davida Pospíšila, zástupce náměstkyně pro řízení sekce sociální a rodinné politiky MPSV Mgr. Zuzany Jentschke Stöcklové a ředitele Odboru sociálních služeb, sociální práce a sociálního bydlení MPSV zaslaným elektronickou poštou </w:t>
      </w:r>
      <w:r w:rsidR="00B86F45" w:rsidRPr="00207D8B">
        <w:rPr>
          <w:szCs w:val="24"/>
        </w:rPr>
        <w:t xml:space="preserve">(viz Příloha č. 4) </w:t>
      </w:r>
      <w:r w:rsidRPr="00207D8B">
        <w:rPr>
          <w:bCs/>
          <w:szCs w:val="24"/>
        </w:rPr>
        <w:t>o dalším navýšení účelové dotace</w:t>
      </w:r>
      <w:r w:rsidR="00EB01C0" w:rsidRPr="00207D8B">
        <w:rPr>
          <w:bCs/>
          <w:szCs w:val="24"/>
        </w:rPr>
        <w:t xml:space="preserve"> ze státního rozpočtu</w:t>
      </w:r>
      <w:r w:rsidR="00B86F45" w:rsidRPr="00207D8B">
        <w:rPr>
          <w:bCs/>
          <w:szCs w:val="24"/>
        </w:rPr>
        <w:t xml:space="preserve"> pro Olomoucký kraj, a to </w:t>
      </w:r>
      <w:r w:rsidRPr="00207D8B">
        <w:rPr>
          <w:b/>
          <w:bCs/>
          <w:szCs w:val="24"/>
        </w:rPr>
        <w:t xml:space="preserve">o částku </w:t>
      </w:r>
      <w:r w:rsidRPr="00207D8B">
        <w:rPr>
          <w:b/>
          <w:bCs/>
          <w:szCs w:val="24"/>
          <w:u w:val="single"/>
        </w:rPr>
        <w:t>64 268 100 Kč</w:t>
      </w:r>
      <w:r w:rsidRPr="00207D8B">
        <w:rPr>
          <w:b/>
          <w:bCs/>
          <w:szCs w:val="24"/>
        </w:rPr>
        <w:t xml:space="preserve"> na celkovou částku </w:t>
      </w:r>
      <w:r w:rsidRPr="00207D8B">
        <w:rPr>
          <w:b/>
          <w:bCs/>
          <w:szCs w:val="24"/>
          <w:u w:val="single"/>
        </w:rPr>
        <w:t>843 264 100 Kč</w:t>
      </w:r>
      <w:r w:rsidR="00060AA0" w:rsidRPr="00207D8B">
        <w:rPr>
          <w:bCs/>
          <w:szCs w:val="24"/>
        </w:rPr>
        <w:t>, opět určenou zejména na pokrytí nákladů na mzdy a platy pracovníků sociálních služeb včetně zákonných odvodů.</w:t>
      </w:r>
    </w:p>
    <w:p w:rsidR="00060AA0" w:rsidRPr="00207D8B" w:rsidRDefault="00B86F45" w:rsidP="00DA3493">
      <w:pPr>
        <w:rPr>
          <w:bCs/>
          <w:szCs w:val="24"/>
        </w:rPr>
      </w:pPr>
      <w:r w:rsidRPr="00207D8B">
        <w:rPr>
          <w:bCs/>
          <w:szCs w:val="24"/>
        </w:rPr>
        <w:lastRenderedPageBreak/>
        <w:t xml:space="preserve">Dopis obsahuje rovněž informaci o předběžném časovém harmonogramu rozdělování částky Dofinancování č. 2 ze strany MPSV krajům a rozeslání rozhodnutí o výši poskytnuté dotace, na základě kterého bude </w:t>
      </w:r>
      <w:r w:rsidR="00060AA0" w:rsidRPr="00207D8B">
        <w:rPr>
          <w:bCs/>
          <w:szCs w:val="24"/>
        </w:rPr>
        <w:t>teprve možné uvolnit finanční prostředky krajům.</w:t>
      </w:r>
    </w:p>
    <w:p w:rsidR="00060AA0" w:rsidRPr="00207D8B" w:rsidRDefault="00060AA0" w:rsidP="00DA3493">
      <w:pPr>
        <w:rPr>
          <w:b/>
          <w:bCs/>
          <w:szCs w:val="24"/>
        </w:rPr>
      </w:pPr>
      <w:r w:rsidRPr="00207D8B">
        <w:rPr>
          <w:bCs/>
          <w:szCs w:val="24"/>
        </w:rPr>
        <w:t xml:space="preserve">Dofinancování č. 2 je tedy zatím v rovině </w:t>
      </w:r>
      <w:r w:rsidRPr="00207D8B">
        <w:rPr>
          <w:b/>
          <w:bCs/>
          <w:szCs w:val="24"/>
        </w:rPr>
        <w:t>příslibu, jeho výše zatím není potvrzena rozhodnutím MPSV a finanční prostředky nejsou na účtu kraje.</w:t>
      </w:r>
    </w:p>
    <w:p w:rsidR="00060AA0" w:rsidRPr="00207D8B" w:rsidRDefault="00060AA0" w:rsidP="00DA3493">
      <w:pPr>
        <w:rPr>
          <w:bCs/>
          <w:szCs w:val="24"/>
        </w:rPr>
      </w:pPr>
      <w:r w:rsidRPr="00207D8B">
        <w:rPr>
          <w:bCs/>
          <w:szCs w:val="24"/>
        </w:rPr>
        <w:t>Přesto dopis zároveň obsahuje apel na kraje, aby učinily všechny kroky k rozdělení finančních prostředků konečným příjemcům (poskytovatelům sociálních služeb) v co nejkratší lhůtě.</w:t>
      </w:r>
    </w:p>
    <w:p w:rsidR="00961963" w:rsidRPr="00207D8B" w:rsidRDefault="00B23111" w:rsidP="00414DF2">
      <w:pPr>
        <w:pStyle w:val="Odstavecseseznamem"/>
        <w:ind w:left="0"/>
        <w:contextualSpacing w:val="0"/>
        <w:rPr>
          <w:bCs/>
          <w:szCs w:val="24"/>
        </w:rPr>
      </w:pPr>
      <w:r w:rsidRPr="00207D8B">
        <w:rPr>
          <w:bCs/>
          <w:szCs w:val="24"/>
        </w:rPr>
        <w:t xml:space="preserve">Olomoucký kraj stál před rozhodnutím, jaký proces projednání a schválení rozdělení finančních prostředků z takto avizovaného </w:t>
      </w:r>
      <w:r w:rsidR="00961963" w:rsidRPr="00207D8B">
        <w:rPr>
          <w:bCs/>
          <w:szCs w:val="24"/>
        </w:rPr>
        <w:t>Dofinancování č. 2</w:t>
      </w:r>
      <w:r w:rsidRPr="00207D8B">
        <w:rPr>
          <w:bCs/>
          <w:szCs w:val="24"/>
        </w:rPr>
        <w:t xml:space="preserve"> zvolit, aby dostál citovanému apelu MPSV a finanční prostředky mohly být poskytnuty na účty konečných příjemců v co nejkratší době, a s co nejmenší administrativní zátěží jak pro Olomoucký kraj, tak pro poskytovatele</w:t>
      </w:r>
      <w:r w:rsidR="00C23B07">
        <w:rPr>
          <w:bCs/>
          <w:szCs w:val="24"/>
        </w:rPr>
        <w:t xml:space="preserve"> sociálních služeb</w:t>
      </w:r>
      <w:r w:rsidR="006106B4" w:rsidRPr="00207D8B">
        <w:rPr>
          <w:bCs/>
          <w:szCs w:val="24"/>
        </w:rPr>
        <w:t xml:space="preserve">. </w:t>
      </w:r>
    </w:p>
    <w:p w:rsidR="00B23111" w:rsidRPr="00207D8B" w:rsidRDefault="006106B4" w:rsidP="00414DF2">
      <w:pPr>
        <w:pStyle w:val="Odstavecseseznamem"/>
        <w:ind w:left="0"/>
        <w:contextualSpacing w:val="0"/>
        <w:rPr>
          <w:bCs/>
          <w:szCs w:val="24"/>
        </w:rPr>
      </w:pPr>
      <w:r w:rsidRPr="00207D8B">
        <w:rPr>
          <w:bCs/>
          <w:szCs w:val="24"/>
        </w:rPr>
        <w:t>Jako nejvhodnější řešení z tohoto pohledu bylo zvoleno svolání mimořádného jednání Rady Olomouckého kraje k projednání návrhu na rozdělení finančních prostředků přislíbených jako Dofinancování č. 2 na 18. 9. 2017 a předložení komplexního návrhu na rozdělení finančních prostředků z Dofinancování č. 1 i avizovaného Dofinancování č. 2 k projednání Zastupitelstvu Olomouckého kraje na jeho schůzi konané téhož dne.</w:t>
      </w:r>
    </w:p>
    <w:p w:rsidR="00961963" w:rsidRPr="00207D8B" w:rsidRDefault="00961963" w:rsidP="00D41C91">
      <w:pPr>
        <w:pStyle w:val="Odstavecseseznamem"/>
        <w:ind w:left="0"/>
        <w:contextualSpacing w:val="0"/>
        <w:rPr>
          <w:bCs/>
          <w:szCs w:val="24"/>
        </w:rPr>
      </w:pPr>
      <w:r w:rsidRPr="00207D8B">
        <w:rPr>
          <w:bCs/>
          <w:szCs w:val="24"/>
        </w:rPr>
        <w:t>Toto řešení zajistí</w:t>
      </w:r>
      <w:r w:rsidR="006106B4" w:rsidRPr="00207D8B">
        <w:rPr>
          <w:bCs/>
          <w:szCs w:val="24"/>
        </w:rPr>
        <w:t>, že finanční prostředky z Dofinancování č. 1, které již jsou alokovány na účtu Olomouckého kraje, budou moci být distribuovány konečným příjemcům prostřednictvím uzavřených dodatků k veřejnoprávním smlouvám bezprostředně po autorizovaném usnesení ZOK</w:t>
      </w:r>
      <w:r w:rsidRPr="00207D8B">
        <w:rPr>
          <w:bCs/>
          <w:szCs w:val="24"/>
        </w:rPr>
        <w:t xml:space="preserve"> a zároveň nebude nutné svolávat mimořádné jednání orgánů kraje k projednání návrhu</w:t>
      </w:r>
    </w:p>
    <w:p w:rsidR="00961963" w:rsidRPr="00207D8B" w:rsidRDefault="00961963" w:rsidP="00D41C91">
      <w:pPr>
        <w:pStyle w:val="Odstavecseseznamem"/>
        <w:ind w:left="0"/>
        <w:contextualSpacing w:val="0"/>
        <w:rPr>
          <w:bCs/>
          <w:szCs w:val="24"/>
        </w:rPr>
      </w:pPr>
      <w:r w:rsidRPr="00207D8B">
        <w:rPr>
          <w:bCs/>
          <w:szCs w:val="24"/>
        </w:rPr>
        <w:t xml:space="preserve">na rozdělení finančních prostředků z Dofinancování č. 2 po obdržení oficiálního rozhodnutí MPSV. </w:t>
      </w:r>
    </w:p>
    <w:p w:rsidR="006106B4" w:rsidRPr="00207D8B" w:rsidRDefault="00961963" w:rsidP="00D41C91">
      <w:pPr>
        <w:pStyle w:val="Odstavecseseznamem"/>
        <w:ind w:left="0"/>
        <w:contextualSpacing w:val="0"/>
        <w:rPr>
          <w:bCs/>
          <w:szCs w:val="24"/>
        </w:rPr>
      </w:pPr>
      <w:r w:rsidRPr="00207D8B">
        <w:rPr>
          <w:bCs/>
          <w:szCs w:val="24"/>
        </w:rPr>
        <w:t xml:space="preserve">Zároveň je tato varianta riziková v případě, že k avizovanému Dofinancování č. 2 nedojde vůbec nebo bude oficiální rozhodnutí MPSV znít na jinou částku. V tom případě bude nutné znovu materiál </w:t>
      </w:r>
      <w:r w:rsidR="004C45E6" w:rsidRPr="00207D8B">
        <w:rPr>
          <w:bCs/>
          <w:szCs w:val="24"/>
        </w:rPr>
        <w:t xml:space="preserve">k Dofinancování č. 2 </w:t>
      </w:r>
      <w:r w:rsidRPr="00207D8B">
        <w:rPr>
          <w:bCs/>
          <w:szCs w:val="24"/>
        </w:rPr>
        <w:t xml:space="preserve">projednat v orgánech kraje, a to v mimořádných termínech. </w:t>
      </w:r>
    </w:p>
    <w:p w:rsidR="00E35898" w:rsidRPr="00207D8B" w:rsidRDefault="00961963" w:rsidP="00961963">
      <w:pPr>
        <w:spacing w:line="264" w:lineRule="auto"/>
        <w:rPr>
          <w:b/>
          <w:bCs/>
          <w:szCs w:val="24"/>
        </w:rPr>
      </w:pPr>
      <w:r w:rsidRPr="00207D8B">
        <w:rPr>
          <w:b/>
          <w:bCs/>
          <w:szCs w:val="24"/>
        </w:rPr>
        <w:t xml:space="preserve">Materiál k Dofinancování č. 2 projednala Rada Olomouckého kraje na svém </w:t>
      </w:r>
      <w:r w:rsidR="00E35898" w:rsidRPr="00207D8B">
        <w:rPr>
          <w:b/>
          <w:bCs/>
          <w:szCs w:val="24"/>
        </w:rPr>
        <w:t xml:space="preserve">mimořádném </w:t>
      </w:r>
      <w:r w:rsidRPr="00207D8B">
        <w:rPr>
          <w:b/>
          <w:bCs/>
          <w:szCs w:val="24"/>
        </w:rPr>
        <w:t xml:space="preserve">jednání dne </w:t>
      </w:r>
      <w:r w:rsidR="00E35898" w:rsidRPr="00207D8B">
        <w:rPr>
          <w:b/>
          <w:bCs/>
          <w:szCs w:val="24"/>
        </w:rPr>
        <w:t>18. 9.</w:t>
      </w:r>
      <w:r w:rsidRPr="00207D8B">
        <w:rPr>
          <w:b/>
          <w:bCs/>
          <w:szCs w:val="24"/>
        </w:rPr>
        <w:t xml:space="preserve"> 2017 a svým usnesením </w:t>
      </w:r>
      <w:r w:rsidR="00E35898" w:rsidRPr="00207D8B">
        <w:rPr>
          <w:b/>
          <w:bCs/>
          <w:szCs w:val="24"/>
        </w:rPr>
        <w:t xml:space="preserve">uložila hejtmanovi Olomouckého kraje předložit Zastupitelstvu Olomouckého kraje k projednání komplexní materiál s návrhem na poskytnutí účelové dotace ze státního rozpočtu na poskytování sociálních služeb na rok 2017 ve výši stanovené v souladu s Podprogramem č. 1 Programu finanční podpory poskytování sociálních služeb v Olomouckém kraji pro rok 2017 jednotlivým poskytovatelům sociálních služeb z Dofinancování č. 1 a </w:t>
      </w:r>
      <w:r w:rsidR="00406985" w:rsidRPr="00207D8B">
        <w:rPr>
          <w:b/>
          <w:bCs/>
          <w:szCs w:val="24"/>
        </w:rPr>
        <w:t xml:space="preserve">avizovaného </w:t>
      </w:r>
      <w:r w:rsidR="00E35898" w:rsidRPr="00207D8B">
        <w:rPr>
          <w:b/>
          <w:bCs/>
          <w:szCs w:val="24"/>
        </w:rPr>
        <w:t xml:space="preserve">Dofinancování č. 2 </w:t>
      </w:r>
      <w:r w:rsidR="00406985" w:rsidRPr="00207D8B">
        <w:rPr>
          <w:b/>
          <w:bCs/>
          <w:szCs w:val="24"/>
        </w:rPr>
        <w:t>v celkové výši</w:t>
      </w:r>
      <w:r w:rsidR="00D52F57" w:rsidRPr="00207D8B">
        <w:rPr>
          <w:b/>
          <w:bCs/>
          <w:szCs w:val="24"/>
        </w:rPr>
        <w:t xml:space="preserve"> </w:t>
      </w:r>
      <w:r w:rsidR="00D52F57" w:rsidRPr="00207D8B">
        <w:rPr>
          <w:b/>
          <w:bCs/>
          <w:szCs w:val="24"/>
          <w:u w:val="single"/>
        </w:rPr>
        <w:t>158 462 700 Kč</w:t>
      </w:r>
      <w:r w:rsidR="00D52F57" w:rsidRPr="00207D8B">
        <w:rPr>
          <w:b/>
          <w:bCs/>
          <w:szCs w:val="24"/>
        </w:rPr>
        <w:t xml:space="preserve">. </w:t>
      </w:r>
    </w:p>
    <w:p w:rsidR="00961963" w:rsidRDefault="00961963" w:rsidP="00414DF2">
      <w:pPr>
        <w:pStyle w:val="Odstavecseseznamem"/>
        <w:ind w:left="0"/>
        <w:contextualSpacing w:val="0"/>
        <w:rPr>
          <w:b/>
          <w:bCs/>
          <w:szCs w:val="24"/>
        </w:rPr>
      </w:pPr>
    </w:p>
    <w:p w:rsidR="00D52F57" w:rsidRPr="00207D8B" w:rsidRDefault="00D52F57" w:rsidP="00D52F57">
      <w:pPr>
        <w:pStyle w:val="Nadpis1"/>
      </w:pPr>
      <w:bookmarkStart w:id="1" w:name="_Ref415559796"/>
      <w:bookmarkStart w:id="2" w:name="_Ref419301029"/>
      <w:bookmarkStart w:id="3" w:name="_Toc420613857"/>
      <w:r w:rsidRPr="00207D8B">
        <w:t>Návrh výše účelové dotace jednotlivým poskytovatelům sociálních služeb – popis</w:t>
      </w:r>
    </w:p>
    <w:p w:rsidR="00D52F57" w:rsidRPr="00207D8B" w:rsidRDefault="00D52F57" w:rsidP="00D52F57">
      <w:pPr>
        <w:spacing w:before="0"/>
        <w:rPr>
          <w:szCs w:val="24"/>
        </w:rPr>
      </w:pPr>
      <w:r w:rsidRPr="00207D8B">
        <w:rPr>
          <w:szCs w:val="24"/>
        </w:rPr>
        <w:t xml:space="preserve">Ve lhůtě pro podávání žádostí v rámci vyhlášeného mimořádného kola dotačního řízení podalo žádost o dotaci předepsaným způsobem (prostřednictvím webové aplikace MPSV OK </w:t>
      </w:r>
      <w:r w:rsidRPr="00207D8B">
        <w:rPr>
          <w:szCs w:val="24"/>
        </w:rPr>
        <w:lastRenderedPageBreak/>
        <w:t xml:space="preserve">služby-poskytovatel) celkem 104 subjektů (poskytovatelů sociálních služeb) na 226 služeb v celkové částce 164 498 835 Kč. </w:t>
      </w:r>
    </w:p>
    <w:p w:rsidR="00D52F57" w:rsidRPr="00207D8B" w:rsidRDefault="00D52F57" w:rsidP="00D52F57">
      <w:pPr>
        <w:spacing w:before="0"/>
        <w:rPr>
          <w:szCs w:val="24"/>
        </w:rPr>
      </w:pPr>
      <w:r w:rsidRPr="00207D8B">
        <w:rPr>
          <w:szCs w:val="24"/>
        </w:rPr>
        <w:t>Podrobnější přehled je uveden v tabulce č. 2:</w:t>
      </w:r>
    </w:p>
    <w:p w:rsidR="00D52F57" w:rsidRPr="00543EF6" w:rsidRDefault="00D52F57" w:rsidP="00D52F57">
      <w:pPr>
        <w:pStyle w:val="Titulek"/>
        <w:spacing w:after="120"/>
        <w:rPr>
          <w:i w:val="0"/>
          <w:color w:val="auto"/>
        </w:rPr>
      </w:pPr>
    </w:p>
    <w:p w:rsidR="00207D8B" w:rsidRDefault="00207D8B" w:rsidP="00D52F57">
      <w:pPr>
        <w:pStyle w:val="Titulek"/>
        <w:spacing w:after="120"/>
        <w:rPr>
          <w:color w:val="auto"/>
        </w:rPr>
      </w:pPr>
    </w:p>
    <w:p w:rsidR="00207D8B" w:rsidRDefault="00207D8B" w:rsidP="00D52F57">
      <w:pPr>
        <w:pStyle w:val="Titulek"/>
        <w:spacing w:after="120"/>
        <w:rPr>
          <w:color w:val="auto"/>
        </w:rPr>
      </w:pPr>
    </w:p>
    <w:p w:rsidR="00D52F57" w:rsidRPr="00AD19AC" w:rsidRDefault="00D52F57" w:rsidP="00D52F57">
      <w:pPr>
        <w:pStyle w:val="Titulek"/>
        <w:spacing w:after="120"/>
        <w:rPr>
          <w:color w:val="auto"/>
          <w:szCs w:val="24"/>
        </w:rPr>
      </w:pPr>
      <w:r w:rsidRPr="00AD19AC">
        <w:rPr>
          <w:color w:val="auto"/>
        </w:rPr>
        <w:t xml:space="preserve">Tabulka č. </w:t>
      </w:r>
      <w:r>
        <w:rPr>
          <w:color w:val="auto"/>
        </w:rPr>
        <w:t>2</w:t>
      </w:r>
    </w:p>
    <w:tbl>
      <w:tblPr>
        <w:tblW w:w="5036" w:type="pct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2238"/>
        <w:gridCol w:w="1738"/>
        <w:gridCol w:w="2236"/>
        <w:gridCol w:w="1494"/>
      </w:tblGrid>
      <w:tr w:rsidR="00D52F57" w:rsidRPr="00AD19AC" w:rsidTr="00BE64DF">
        <w:trPr>
          <w:trHeight w:val="567"/>
        </w:trPr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40" w:type="pct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19AC">
              <w:rPr>
                <w:rFonts w:eastAsia="Calibri"/>
                <w:sz w:val="20"/>
                <w:szCs w:val="20"/>
              </w:rPr>
              <w:t>služby sociální péče</w:t>
            </w:r>
          </w:p>
        </w:tc>
        <w:tc>
          <w:tcPr>
            <w:tcW w:w="88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19AC">
              <w:rPr>
                <w:rFonts w:eastAsia="Calibri"/>
                <w:sz w:val="20"/>
                <w:szCs w:val="20"/>
              </w:rPr>
              <w:t>služby sociální prevence</w:t>
            </w:r>
          </w:p>
        </w:tc>
        <w:tc>
          <w:tcPr>
            <w:tcW w:w="113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19AC">
              <w:rPr>
                <w:rFonts w:eastAsia="Calibri"/>
                <w:sz w:val="20"/>
                <w:szCs w:val="20"/>
              </w:rPr>
              <w:t>odborné sociální poradenství</w:t>
            </w:r>
          </w:p>
        </w:tc>
        <w:tc>
          <w:tcPr>
            <w:tcW w:w="76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D19AC">
              <w:rPr>
                <w:rFonts w:eastAsia="Calibri"/>
                <w:b/>
                <w:sz w:val="20"/>
                <w:szCs w:val="20"/>
              </w:rPr>
              <w:t>celkem</w:t>
            </w:r>
          </w:p>
        </w:tc>
      </w:tr>
      <w:tr w:rsidR="00D52F57" w:rsidRPr="00AD19AC" w:rsidTr="00BE64DF">
        <w:trPr>
          <w:trHeight w:val="567"/>
        </w:trPr>
        <w:tc>
          <w:tcPr>
            <w:tcW w:w="1075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left"/>
              <w:rPr>
                <w:rFonts w:eastAsia="Calibri"/>
                <w:sz w:val="20"/>
                <w:szCs w:val="20"/>
              </w:rPr>
            </w:pPr>
            <w:r w:rsidRPr="00AD19AC">
              <w:rPr>
                <w:rFonts w:eastAsia="Calibri"/>
                <w:bCs/>
                <w:sz w:val="20"/>
                <w:szCs w:val="20"/>
              </w:rPr>
              <w:t>počet služeb, na které je dotace požadována</w:t>
            </w:r>
          </w:p>
        </w:tc>
        <w:tc>
          <w:tcPr>
            <w:tcW w:w="114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19AC">
              <w:rPr>
                <w:sz w:val="20"/>
                <w:szCs w:val="20"/>
              </w:rPr>
              <w:t>146</w:t>
            </w:r>
          </w:p>
        </w:tc>
        <w:tc>
          <w:tcPr>
            <w:tcW w:w="88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19AC">
              <w:rPr>
                <w:sz w:val="20"/>
                <w:szCs w:val="20"/>
              </w:rPr>
              <w:t>61</w:t>
            </w:r>
          </w:p>
        </w:tc>
        <w:tc>
          <w:tcPr>
            <w:tcW w:w="113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19AC">
              <w:rPr>
                <w:sz w:val="20"/>
                <w:szCs w:val="20"/>
              </w:rPr>
              <w:t>19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D19AC">
              <w:rPr>
                <w:sz w:val="20"/>
                <w:szCs w:val="20"/>
              </w:rPr>
              <w:t>226</w:t>
            </w:r>
          </w:p>
        </w:tc>
      </w:tr>
      <w:tr w:rsidR="00D52F57" w:rsidRPr="00AD19AC" w:rsidTr="00BE64DF">
        <w:trPr>
          <w:trHeight w:val="567"/>
        </w:trPr>
        <w:tc>
          <w:tcPr>
            <w:tcW w:w="107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8FC" w:rsidRDefault="00D52F57" w:rsidP="00BE64DF">
            <w:pPr>
              <w:spacing w:before="0" w:line="240" w:lineRule="auto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AD19AC">
              <w:rPr>
                <w:rFonts w:eastAsia="Calibri"/>
                <w:bCs/>
                <w:sz w:val="20"/>
                <w:szCs w:val="20"/>
              </w:rPr>
              <w:t>požadovaná dotace</w:t>
            </w:r>
            <w:r w:rsidR="007C78FC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D52F57" w:rsidRPr="00AD19AC" w:rsidRDefault="007C78FC" w:rsidP="00BE64DF">
            <w:pPr>
              <w:spacing w:before="0" w:line="240" w:lineRule="auto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(v Kč) </w:t>
            </w:r>
          </w:p>
        </w:tc>
        <w:tc>
          <w:tcPr>
            <w:tcW w:w="114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19AC">
              <w:rPr>
                <w:sz w:val="20"/>
                <w:szCs w:val="20"/>
              </w:rPr>
              <w:t>144 333 820</w:t>
            </w:r>
          </w:p>
        </w:tc>
        <w:tc>
          <w:tcPr>
            <w:tcW w:w="88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19AC">
              <w:rPr>
                <w:sz w:val="20"/>
                <w:szCs w:val="20"/>
              </w:rPr>
              <w:t>16 615 310</w:t>
            </w:r>
          </w:p>
        </w:tc>
        <w:tc>
          <w:tcPr>
            <w:tcW w:w="113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19AC">
              <w:rPr>
                <w:sz w:val="20"/>
                <w:szCs w:val="20"/>
              </w:rPr>
              <w:t>3 549 705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D19AC">
              <w:rPr>
                <w:sz w:val="20"/>
                <w:szCs w:val="20"/>
              </w:rPr>
              <w:t>164 498 835</w:t>
            </w:r>
          </w:p>
        </w:tc>
      </w:tr>
    </w:tbl>
    <w:p w:rsidR="00D52F57" w:rsidRPr="00AD19AC" w:rsidRDefault="00D52F57" w:rsidP="00D52F57">
      <w:pPr>
        <w:spacing w:line="264" w:lineRule="auto"/>
        <w:rPr>
          <w:szCs w:val="24"/>
        </w:rPr>
      </w:pPr>
    </w:p>
    <w:p w:rsidR="00D52F57" w:rsidRPr="00AD19AC" w:rsidRDefault="00D52F57" w:rsidP="00D52F57">
      <w:r w:rsidRPr="00AD19AC">
        <w:t>V souladu s Podprogramem č. 1 Programu bylo provedeno formální a věcné posouzení jednotlivých žádostí o dotaci, kontrola přiměřenosti a hospodárnosti rozpočtu sociálních služeb, požadavku na dotaci a vymezení neuznatelných nákladů zahrnutých v požadavcích na dotaci. Následně byla v souladu s Podprogramem č. 1 Programu,</w:t>
      </w:r>
      <w:r w:rsidRPr="00AD19AC">
        <w:rPr>
          <w:bCs/>
        </w:rPr>
        <w:t xml:space="preserve"> schváleným usnesením </w:t>
      </w:r>
      <w:r w:rsidRPr="00AD19AC">
        <w:t xml:space="preserve">ZOK č. UZ/22/33/2016 ze dne 24. 6. 2016, ve znění změn schválených usnesením </w:t>
      </w:r>
      <w:r>
        <w:br/>
      </w:r>
      <w:r w:rsidRPr="00AD19AC">
        <w:t xml:space="preserve">ZOK č. UZ/2/41/2016 ze dne 19.  12. 2016 stanovena výše účelové dotace v rámci tohoto kola dotačního řízení. </w:t>
      </w:r>
    </w:p>
    <w:bookmarkEnd w:id="1"/>
    <w:bookmarkEnd w:id="2"/>
    <w:bookmarkEnd w:id="3"/>
    <w:p w:rsidR="00D52F57" w:rsidRPr="00AD19AC" w:rsidRDefault="00D52F57" w:rsidP="00D52F57">
      <w:pPr>
        <w:rPr>
          <w:bCs/>
          <w:szCs w:val="24"/>
        </w:rPr>
      </w:pPr>
      <w:r w:rsidRPr="00AD19AC">
        <w:rPr>
          <w:bCs/>
          <w:szCs w:val="24"/>
        </w:rPr>
        <w:t>Výpočet výše účelové dotace jednotlivým sociálním službám byl realizován rovným a</w:t>
      </w:r>
      <w:r>
        <w:rPr>
          <w:bCs/>
          <w:szCs w:val="24"/>
        </w:rPr>
        <w:t> </w:t>
      </w:r>
      <w:r w:rsidRPr="00AD19AC">
        <w:rPr>
          <w:bCs/>
          <w:szCs w:val="24"/>
        </w:rPr>
        <w:t>transparentním způsobem, který reflektoval již schválenou výši účelové dotace jednotlivým sociálním službám v řádném kole dotačního řízení.</w:t>
      </w:r>
    </w:p>
    <w:p w:rsidR="00D52F57" w:rsidRPr="00AD19AC" w:rsidRDefault="00D52F57" w:rsidP="00D52F57">
      <w:pPr>
        <w:pStyle w:val="Odstavecseseznamem"/>
        <w:ind w:left="0"/>
        <w:contextualSpacing w:val="0"/>
        <w:rPr>
          <w:bCs/>
          <w:szCs w:val="24"/>
        </w:rPr>
      </w:pPr>
      <w:r w:rsidRPr="00AD19AC">
        <w:rPr>
          <w:bCs/>
          <w:szCs w:val="24"/>
          <w:u w:val="single"/>
        </w:rPr>
        <w:t>Postup pro stanovení výše dofinancování byl následující</w:t>
      </w:r>
      <w:r w:rsidRPr="00AD19AC">
        <w:rPr>
          <w:bCs/>
          <w:szCs w:val="24"/>
        </w:rPr>
        <w:t xml:space="preserve">: </w:t>
      </w:r>
    </w:p>
    <w:p w:rsidR="00D52F57" w:rsidRPr="00AD19AC" w:rsidRDefault="00D52F57" w:rsidP="00D52F57">
      <w:pPr>
        <w:rPr>
          <w:bCs/>
          <w:szCs w:val="24"/>
        </w:rPr>
      </w:pPr>
      <w:r w:rsidRPr="00AD19AC">
        <w:rPr>
          <w:bCs/>
          <w:szCs w:val="24"/>
        </w:rPr>
        <w:t>Výše účelové dotace získaná v řádném kole dotačního řízení byla u jednotlivých sociálních služeb poměrně navýšena tak, aby bylo dosaženo hodnoty disponibilních zdrojů určených k dofinancování. Službám, u nichž byla vypočtená hodnota dofinancování nižší než 20</w:t>
      </w:r>
      <w:r w:rsidR="00B13BC1">
        <w:rPr>
          <w:bCs/>
          <w:szCs w:val="24"/>
        </w:rPr>
        <w:t> </w:t>
      </w:r>
      <w:r w:rsidRPr="00AD19AC">
        <w:rPr>
          <w:bCs/>
          <w:szCs w:val="24"/>
        </w:rPr>
        <w:t>000</w:t>
      </w:r>
      <w:r w:rsidR="00B13BC1">
        <w:rPr>
          <w:bCs/>
          <w:szCs w:val="24"/>
        </w:rPr>
        <w:t> </w:t>
      </w:r>
      <w:r w:rsidRPr="00AD19AC">
        <w:rPr>
          <w:bCs/>
          <w:szCs w:val="24"/>
        </w:rPr>
        <w:t xml:space="preserve">Kč, byla přiřazena hodnota 0. Službám, u nichž celková výše účelové dotace (tzn. dotace po navýšení) byla vyšší než maximální návrh dotace (požadavek na dotaci snížený </w:t>
      </w:r>
      <w:r w:rsidR="001B2073">
        <w:rPr>
          <w:bCs/>
          <w:szCs w:val="24"/>
        </w:rPr>
        <w:br/>
      </w:r>
      <w:r w:rsidRPr="00AD19AC">
        <w:rPr>
          <w:bCs/>
          <w:szCs w:val="24"/>
        </w:rPr>
        <w:t xml:space="preserve">o případné neuznatelné a nadhodnocené náklady), byla hodnota dofinancování snížena tak, aby tento maximální návrh dotace nebyl překročen. </w:t>
      </w:r>
    </w:p>
    <w:p w:rsidR="00D52F57" w:rsidRPr="00207D8B" w:rsidRDefault="00D52F57" w:rsidP="00406985">
      <w:pPr>
        <w:rPr>
          <w:b/>
          <w:szCs w:val="24"/>
        </w:rPr>
      </w:pPr>
      <w:r w:rsidRPr="00207D8B">
        <w:rPr>
          <w:b/>
          <w:szCs w:val="24"/>
        </w:rPr>
        <w:t xml:space="preserve">Výsledný návrh výše účelové dotace jednotlivým poskytovatelům sociálních služeb je uveden v </w:t>
      </w:r>
      <w:r w:rsidRPr="00207D8B">
        <w:rPr>
          <w:b/>
          <w:szCs w:val="24"/>
          <w:u w:val="single"/>
        </w:rPr>
        <w:t>Příloze č. 1</w:t>
      </w:r>
      <w:r w:rsidRPr="00207D8B">
        <w:rPr>
          <w:b/>
          <w:szCs w:val="24"/>
        </w:rPr>
        <w:t xml:space="preserve"> důvodové zprávy. </w:t>
      </w:r>
      <w:r w:rsidR="00406985" w:rsidRPr="00207D8B">
        <w:rPr>
          <w:b/>
          <w:szCs w:val="24"/>
        </w:rPr>
        <w:t>V</w:t>
      </w:r>
      <w:r w:rsidRPr="00207D8B">
        <w:rPr>
          <w:b/>
          <w:szCs w:val="24"/>
        </w:rPr>
        <w:t xml:space="preserve">e sloupci „Dofinancování č. 1“ </w:t>
      </w:r>
      <w:r w:rsidR="00406985" w:rsidRPr="00207D8B">
        <w:rPr>
          <w:b/>
          <w:szCs w:val="24"/>
        </w:rPr>
        <w:t xml:space="preserve">je </w:t>
      </w:r>
      <w:r w:rsidRPr="00207D8B">
        <w:rPr>
          <w:b/>
          <w:szCs w:val="24"/>
        </w:rPr>
        <w:t>uveden</w:t>
      </w:r>
      <w:r w:rsidR="00406985" w:rsidRPr="00207D8B">
        <w:rPr>
          <w:b/>
          <w:szCs w:val="24"/>
        </w:rPr>
        <w:t xml:space="preserve"> návrh na rozdělení</w:t>
      </w:r>
      <w:r w:rsidRPr="00207D8B">
        <w:rPr>
          <w:b/>
          <w:szCs w:val="24"/>
        </w:rPr>
        <w:t xml:space="preserve"> částk</w:t>
      </w:r>
      <w:r w:rsidR="00406985" w:rsidRPr="00207D8B">
        <w:rPr>
          <w:b/>
          <w:szCs w:val="24"/>
        </w:rPr>
        <w:t>y</w:t>
      </w:r>
      <w:r w:rsidR="00406985" w:rsidRPr="00207D8B">
        <w:rPr>
          <w:b/>
          <w:bCs/>
          <w:szCs w:val="24"/>
        </w:rPr>
        <w:t xml:space="preserve"> ve výši 94 194 600 Kč (tj. 89 815 000 Kč a 4 379 600 Kč vrácených z důvodu financování prostřednictvím IP)</w:t>
      </w:r>
      <w:r w:rsidRPr="00207D8B">
        <w:rPr>
          <w:b/>
          <w:szCs w:val="24"/>
        </w:rPr>
        <w:t xml:space="preserve">, kterou již v současné době kraj disponuje a ve sloupci „Dofinancování č. 2“ </w:t>
      </w:r>
      <w:r w:rsidR="00406985" w:rsidRPr="00207D8B">
        <w:rPr>
          <w:b/>
          <w:szCs w:val="24"/>
        </w:rPr>
        <w:t xml:space="preserve">je uveden návrh na rozdělení částky ve výši </w:t>
      </w:r>
      <w:r w:rsidR="00406985" w:rsidRPr="00207D8B">
        <w:rPr>
          <w:b/>
          <w:bCs/>
          <w:szCs w:val="24"/>
        </w:rPr>
        <w:t>64 268 100 Kč</w:t>
      </w:r>
      <w:r w:rsidRPr="00207D8B">
        <w:rPr>
          <w:b/>
          <w:szCs w:val="24"/>
        </w:rPr>
        <w:t xml:space="preserve">, </w:t>
      </w:r>
      <w:r w:rsidR="00406985" w:rsidRPr="00207D8B">
        <w:rPr>
          <w:b/>
          <w:szCs w:val="24"/>
        </w:rPr>
        <w:t xml:space="preserve">avizované dopisem MPSV. </w:t>
      </w:r>
    </w:p>
    <w:p w:rsidR="00D52F57" w:rsidRPr="00AD19AC" w:rsidRDefault="00D52F57" w:rsidP="00D52F57">
      <w:pPr>
        <w:spacing w:line="264" w:lineRule="auto"/>
        <w:rPr>
          <w:b/>
        </w:rPr>
      </w:pPr>
      <w:r w:rsidRPr="00543EF6">
        <w:rPr>
          <w:b/>
        </w:rPr>
        <w:t>Níže uvedeným žádostem</w:t>
      </w:r>
      <w:r w:rsidRPr="00AD19AC">
        <w:rPr>
          <w:b/>
        </w:rPr>
        <w:t>, u kterých je v příloze č. 1 důvodové zprávy v návrhu výše dotace uvedena nulová hodnota, nebylo vyhověno z důvodu nesplnění podmínek Programu.</w:t>
      </w:r>
    </w:p>
    <w:p w:rsidR="00D52F57" w:rsidRPr="00AD19AC" w:rsidRDefault="00D52F57" w:rsidP="00D52F57">
      <w:pPr>
        <w:rPr>
          <w:rFonts w:eastAsia="Times New Roman"/>
        </w:rPr>
      </w:pPr>
      <w:r w:rsidRPr="00AD19AC">
        <w:rPr>
          <w:b/>
        </w:rPr>
        <w:lastRenderedPageBreak/>
        <w:t>Důvod nevyhovění:</w:t>
      </w:r>
      <w:r w:rsidRPr="00AD19AC">
        <w:rPr>
          <w:rFonts w:eastAsia="Times New Roman"/>
        </w:rPr>
        <w:t xml:space="preserve"> Nejedná se o oprávněného žadatele – dle kapitoly 3.2. Obecné části Programu jsou oprávněnými žadateli poskytovatelé sociálních služeb zařazených do sítě sociálních služeb definované Akčním plánem </w:t>
      </w:r>
      <w:r w:rsidRPr="00EE555F">
        <w:rPr>
          <w:rFonts w:eastAsia="Times New Roman"/>
        </w:rPr>
        <w:t>(…);</w:t>
      </w:r>
      <w:r w:rsidRPr="00AD19AC">
        <w:rPr>
          <w:rFonts w:eastAsia="Times New Roman"/>
        </w:rPr>
        <w:t xml:space="preserve"> dotace je tedy určena pro podporu sociálních služeb zařazených do sítě sociálních služeb. </w:t>
      </w:r>
    </w:p>
    <w:p w:rsidR="00D52F57" w:rsidRDefault="00D52F57" w:rsidP="00D52F57">
      <w:pPr>
        <w:ind w:left="709"/>
        <w:rPr>
          <w:rFonts w:eastAsia="Times New Roman"/>
          <w:b/>
        </w:rPr>
      </w:pPr>
    </w:p>
    <w:p w:rsidR="00207D8B" w:rsidRDefault="00207D8B" w:rsidP="00D52F57">
      <w:pPr>
        <w:ind w:left="709"/>
        <w:rPr>
          <w:rFonts w:eastAsia="Times New Roman"/>
          <w:b/>
        </w:rPr>
      </w:pPr>
    </w:p>
    <w:p w:rsidR="00D52F57" w:rsidRPr="00AD19AC" w:rsidRDefault="00D52F57" w:rsidP="00D52F57">
      <w:pPr>
        <w:ind w:left="709"/>
        <w:rPr>
          <w:rFonts w:eastAsia="Times New Roman"/>
        </w:rPr>
      </w:pPr>
      <w:r w:rsidRPr="00AD19AC">
        <w:rPr>
          <w:rFonts w:eastAsia="Times New Roman"/>
          <w:b/>
        </w:rPr>
        <w:t>Seznam poskytovatelů:</w:t>
      </w:r>
    </w:p>
    <w:tbl>
      <w:tblPr>
        <w:tblW w:w="9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2651"/>
        <w:gridCol w:w="1053"/>
        <w:gridCol w:w="2208"/>
        <w:gridCol w:w="1452"/>
      </w:tblGrid>
      <w:tr w:rsidR="00D52F57" w:rsidRPr="00AD19AC" w:rsidTr="00BE64DF">
        <w:trPr>
          <w:trHeight w:val="85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Č.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Poskytovatel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IČ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Druh služby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Identifikátor služby</w:t>
            </w:r>
          </w:p>
        </w:tc>
      </w:tr>
      <w:tr w:rsidR="00D52F57" w:rsidRPr="00AD19AC" w:rsidTr="00BE64DF">
        <w:trPr>
          <w:trHeight w:val="8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VIDA - sociální služby s.r.o.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3331300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osobní asistence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6172538</w:t>
            </w:r>
          </w:p>
        </w:tc>
      </w:tr>
    </w:tbl>
    <w:p w:rsidR="00D52F57" w:rsidRPr="00AD19AC" w:rsidRDefault="00D52F57" w:rsidP="00D52F57">
      <w:pPr>
        <w:spacing w:line="264" w:lineRule="auto"/>
        <w:ind w:left="709"/>
        <w:rPr>
          <w:b/>
        </w:rPr>
      </w:pPr>
    </w:p>
    <w:p w:rsidR="00D52F57" w:rsidRPr="00AD19AC" w:rsidRDefault="00D52F57" w:rsidP="00D52F57">
      <w:pPr>
        <w:spacing w:line="240" w:lineRule="auto"/>
        <w:rPr>
          <w:rFonts w:eastAsia="Times New Roman"/>
          <w:szCs w:val="20"/>
        </w:rPr>
      </w:pPr>
      <w:r w:rsidRPr="00AD19AC">
        <w:rPr>
          <w:b/>
        </w:rPr>
        <w:t xml:space="preserve">Důvod nevyhovění: </w:t>
      </w:r>
      <w:r w:rsidRPr="00AD19AC">
        <w:rPr>
          <w:rFonts w:eastAsia="Times New Roman"/>
          <w:szCs w:val="20"/>
        </w:rPr>
        <w:t>Výsledek výpočtu výše dotace realizovaný v souladu s Programem finanční podpory poskytování sociálních služeb v Olomouckém kraji nedosáhl hodnoty 20</w:t>
      </w:r>
      <w:r>
        <w:rPr>
          <w:rFonts w:eastAsia="Times New Roman"/>
          <w:szCs w:val="20"/>
        </w:rPr>
        <w:t> </w:t>
      </w:r>
      <w:r w:rsidRPr="00AD19AC">
        <w:rPr>
          <w:rFonts w:eastAsia="Times New Roman"/>
          <w:szCs w:val="20"/>
        </w:rPr>
        <w:t>tis.</w:t>
      </w:r>
      <w:r>
        <w:rPr>
          <w:rFonts w:eastAsia="Times New Roman"/>
          <w:szCs w:val="20"/>
        </w:rPr>
        <w:t> </w:t>
      </w:r>
      <w:r w:rsidRPr="00AD19AC">
        <w:rPr>
          <w:rFonts w:eastAsia="Times New Roman"/>
          <w:szCs w:val="20"/>
        </w:rPr>
        <w:t>Kč.</w:t>
      </w:r>
    </w:p>
    <w:p w:rsidR="00D52F57" w:rsidRPr="00AD19AC" w:rsidRDefault="00D52F57" w:rsidP="00D52F57">
      <w:pPr>
        <w:ind w:left="709"/>
        <w:rPr>
          <w:rFonts w:eastAsia="Times New Roman"/>
          <w:b/>
        </w:rPr>
      </w:pPr>
      <w:r w:rsidRPr="00AD19AC">
        <w:rPr>
          <w:rFonts w:eastAsia="Times New Roman"/>
          <w:b/>
        </w:rPr>
        <w:t>Seznam poskytovatelů:</w:t>
      </w:r>
    </w:p>
    <w:tbl>
      <w:tblPr>
        <w:tblW w:w="9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2651"/>
        <w:gridCol w:w="1053"/>
        <w:gridCol w:w="2208"/>
        <w:gridCol w:w="1452"/>
      </w:tblGrid>
      <w:tr w:rsidR="00D52F57" w:rsidRPr="00AD19AC" w:rsidTr="00BE64DF">
        <w:trPr>
          <w:trHeight w:val="850"/>
          <w:tblHeader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Č.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Poskytovatel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IČ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Druh služby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Identifikátor služby</w:t>
            </w:r>
          </w:p>
        </w:tc>
      </w:tr>
      <w:tr w:rsidR="00D52F57" w:rsidRPr="00AD19AC" w:rsidTr="00BE64DF">
        <w:trPr>
          <w:trHeight w:val="8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Azylové centrum Prostějov, o.p.s.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27011801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nízkoprahová denní centra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3442933</w:t>
            </w:r>
          </w:p>
        </w:tc>
      </w:tr>
      <w:tr w:rsidR="00D52F57" w:rsidRPr="00AD19AC" w:rsidTr="00BE64DF">
        <w:trPr>
          <w:trHeight w:val="8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Centrum sociálních služeb Jeseník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852163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denní stacionáře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7541922</w:t>
            </w:r>
          </w:p>
        </w:tc>
      </w:tr>
      <w:tr w:rsidR="00D52F57" w:rsidRPr="00AD19AC" w:rsidTr="00BE64DF">
        <w:trPr>
          <w:trHeight w:val="8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Pr="00AD19A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Charita Valašské Meziříčí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47997885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8253969</w:t>
            </w:r>
          </w:p>
        </w:tc>
      </w:tr>
      <w:tr w:rsidR="00D52F57" w:rsidRPr="00AD19AC" w:rsidTr="00BE64DF">
        <w:trPr>
          <w:trHeight w:val="8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Pr="00AD19A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 xml:space="preserve">Společenství Romů na Moravě Romano </w:t>
            </w:r>
            <w:proofErr w:type="spellStart"/>
            <w:r w:rsidRPr="00AD19AC">
              <w:rPr>
                <w:rFonts w:eastAsia="Times New Roman"/>
                <w:sz w:val="20"/>
                <w:szCs w:val="20"/>
              </w:rPr>
              <w:t>jekhetaniben</w:t>
            </w:r>
            <w:proofErr w:type="spellEnd"/>
            <w:r w:rsidRPr="00AD19A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D19AC">
              <w:rPr>
                <w:rFonts w:eastAsia="Times New Roman"/>
                <w:sz w:val="20"/>
                <w:szCs w:val="20"/>
              </w:rPr>
              <w:t>pre</w:t>
            </w:r>
            <w:proofErr w:type="spellEnd"/>
            <w:r w:rsidRPr="00AD19AC">
              <w:rPr>
                <w:rFonts w:eastAsia="Times New Roman"/>
                <w:sz w:val="20"/>
                <w:szCs w:val="20"/>
              </w:rPr>
              <w:t xml:space="preserve"> Morava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44015178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terénní programy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57" w:rsidRPr="00AD19AC" w:rsidRDefault="00D52F57" w:rsidP="00BE64DF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D19AC">
              <w:rPr>
                <w:rFonts w:eastAsia="Times New Roman"/>
                <w:sz w:val="20"/>
                <w:szCs w:val="20"/>
              </w:rPr>
              <w:t>8450481</w:t>
            </w:r>
          </w:p>
        </w:tc>
      </w:tr>
    </w:tbl>
    <w:p w:rsidR="00D52F57" w:rsidRPr="00AD19AC" w:rsidRDefault="00D52F57" w:rsidP="00D52F57">
      <w:pPr>
        <w:pStyle w:val="Odstavecseseznamem"/>
        <w:ind w:left="0"/>
        <w:contextualSpacing w:val="0"/>
        <w:rPr>
          <w:bCs/>
          <w:szCs w:val="24"/>
        </w:rPr>
      </w:pPr>
    </w:p>
    <w:p w:rsidR="00FB6888" w:rsidRPr="00406985" w:rsidRDefault="00FB6888" w:rsidP="00406985">
      <w:pPr>
        <w:pStyle w:val="Nadpis1"/>
      </w:pPr>
      <w:r w:rsidRPr="00406985">
        <w:t xml:space="preserve">Vyplácení dofinancování – popis </w:t>
      </w:r>
    </w:p>
    <w:p w:rsidR="00FB6888" w:rsidRPr="00406985" w:rsidRDefault="00BD0F9E" w:rsidP="00F93CF6">
      <w:pPr>
        <w:pStyle w:val="Nadpis2"/>
      </w:pPr>
      <w:r w:rsidRPr="00406985">
        <w:t xml:space="preserve">Dofinancování bude vypláceno </w:t>
      </w:r>
    </w:p>
    <w:p w:rsidR="00BD0F9E" w:rsidRPr="00406985" w:rsidRDefault="00BD0F9E" w:rsidP="00FB6888">
      <w:pPr>
        <w:pStyle w:val="slovn"/>
        <w:ind w:left="426" w:hanging="398"/>
      </w:pPr>
      <w:r w:rsidRPr="00406985">
        <w:t>příjemcům, kteří jsou příspěvkovými organizacemi zřizovanými OK, formou finančního transferu na základě vztahu zřizovatel – příspěvková organizace, v souladu se zákonem o rozpočtových pravidlech na účet příjemce;</w:t>
      </w:r>
    </w:p>
    <w:p w:rsidR="00BD0F9E" w:rsidRPr="00406985" w:rsidRDefault="00BD0F9E" w:rsidP="00BD0F9E">
      <w:pPr>
        <w:pStyle w:val="slovn"/>
        <w:ind w:left="426" w:hanging="398"/>
      </w:pPr>
      <w:r w:rsidRPr="00406985">
        <w:lastRenderedPageBreak/>
        <w:t>organizacím, které nejsou zřizovány OK, na základě dodatku ke smlouvě o poskytnutí dotace na účet příjemce, v případě příspěvkových organizací obcí na účet zřizovatele (obce).</w:t>
      </w:r>
    </w:p>
    <w:p w:rsidR="00FB6888" w:rsidRPr="00207D8B" w:rsidRDefault="00FB6888" w:rsidP="00F93CF6">
      <w:pPr>
        <w:pStyle w:val="Nadpis2"/>
      </w:pPr>
      <w:r w:rsidRPr="00207D8B">
        <w:t xml:space="preserve">Způsob </w:t>
      </w:r>
      <w:r w:rsidR="004C45E6" w:rsidRPr="00207D8B">
        <w:t>výplaty</w:t>
      </w:r>
      <w:r w:rsidR="00DC584B" w:rsidRPr="00207D8B">
        <w:t xml:space="preserve"> – </w:t>
      </w:r>
      <w:r w:rsidR="004C45E6" w:rsidRPr="00207D8B">
        <w:t>varianty</w:t>
      </w:r>
    </w:p>
    <w:p w:rsidR="004C45E6" w:rsidRPr="00207D8B" w:rsidRDefault="004C45E6" w:rsidP="00FB6888">
      <w:pPr>
        <w:pStyle w:val="Odstavecseseznamem"/>
        <w:ind w:left="0"/>
        <w:contextualSpacing w:val="0"/>
        <w:rPr>
          <w:bCs/>
          <w:szCs w:val="24"/>
        </w:rPr>
      </w:pPr>
      <w:r w:rsidRPr="00207D8B">
        <w:rPr>
          <w:bCs/>
          <w:szCs w:val="24"/>
        </w:rPr>
        <w:t>Z výše popsaných důvodů se uzavírání dodatků veřejnoprávních smluv a výplata finančních prostředků na účty konečných příjemců rozpadá do několika variant v závislosti na tom, zda a kdy obdrží Olomoucký kraj oficiální rozhodnutí o avizovaném Dofinancování č. 2.</w:t>
      </w:r>
    </w:p>
    <w:p w:rsidR="00E0137A" w:rsidRPr="00207D8B" w:rsidRDefault="00E0137A" w:rsidP="00FB6888">
      <w:pPr>
        <w:pStyle w:val="Odstavecseseznamem"/>
        <w:ind w:left="0"/>
        <w:contextualSpacing w:val="0"/>
        <w:rPr>
          <w:bCs/>
          <w:szCs w:val="24"/>
        </w:rPr>
      </w:pPr>
    </w:p>
    <w:p w:rsidR="004C45E6" w:rsidRPr="00207D8B" w:rsidRDefault="004C45E6" w:rsidP="00FB6888">
      <w:pPr>
        <w:pStyle w:val="Odstavecseseznamem"/>
        <w:ind w:left="0"/>
        <w:contextualSpacing w:val="0"/>
        <w:rPr>
          <w:bCs/>
          <w:szCs w:val="24"/>
        </w:rPr>
      </w:pPr>
      <w:r w:rsidRPr="00207D8B">
        <w:rPr>
          <w:bCs/>
          <w:szCs w:val="24"/>
        </w:rPr>
        <w:t>Varianta č. 1:</w:t>
      </w:r>
    </w:p>
    <w:p w:rsidR="004C45E6" w:rsidRPr="00207D8B" w:rsidRDefault="004C45E6" w:rsidP="004C45E6">
      <w:pPr>
        <w:pStyle w:val="Odstavecseseznamem"/>
        <w:ind w:left="0"/>
        <w:contextualSpacing w:val="0"/>
        <w:rPr>
          <w:bCs/>
          <w:szCs w:val="24"/>
        </w:rPr>
      </w:pPr>
      <w:r w:rsidRPr="00207D8B">
        <w:rPr>
          <w:bCs/>
          <w:szCs w:val="24"/>
        </w:rPr>
        <w:t>Pokud bude Olomouckému kraji doručeno oficiální rozhodnutí o Dofinancování č. 2 v avizované výši do dne vyhotovení autorizovaného usnesení Zastupitelstva Olomouckého kraje, bude s jednotlivými poskytovateli sociálních služeb uzavřen jeden dodatek k veřejnoprávní smlouvě</w:t>
      </w:r>
      <w:r w:rsidR="00036140" w:rsidRPr="00207D8B">
        <w:rPr>
          <w:bCs/>
          <w:szCs w:val="24"/>
        </w:rPr>
        <w:t xml:space="preserve"> na částku uvedenou v Příloze č. 1 důvodové zprávy ve sloupci</w:t>
      </w:r>
      <w:r w:rsidR="00324055" w:rsidRPr="00207D8B">
        <w:rPr>
          <w:bCs/>
          <w:szCs w:val="24"/>
        </w:rPr>
        <w:t xml:space="preserve"> „Dofinancování celkem“, která je součtem částky uvedené v Příloze č. 1 ve sloupcích Dofinancování č. 1 a Dofinancování č. 2</w:t>
      </w:r>
      <w:r w:rsidR="00F25BD1">
        <w:rPr>
          <w:bCs/>
          <w:szCs w:val="24"/>
        </w:rPr>
        <w:t xml:space="preserve">, </w:t>
      </w:r>
      <w:r w:rsidRPr="00207D8B">
        <w:rPr>
          <w:bCs/>
          <w:szCs w:val="24"/>
        </w:rPr>
        <w:t>a finanční prostředky budou příjemcům distribuovány ve dvou splátkách, a to:</w:t>
      </w:r>
    </w:p>
    <w:p w:rsidR="004C45E6" w:rsidRPr="00207D8B" w:rsidRDefault="004C45E6" w:rsidP="004C45E6">
      <w:pPr>
        <w:pStyle w:val="Odstavecseseznamem"/>
        <w:numPr>
          <w:ilvl w:val="0"/>
          <w:numId w:val="26"/>
        </w:numPr>
        <w:contextualSpacing w:val="0"/>
        <w:rPr>
          <w:bCs/>
          <w:szCs w:val="24"/>
        </w:rPr>
      </w:pPr>
      <w:r w:rsidRPr="00207D8B">
        <w:rPr>
          <w:bCs/>
          <w:szCs w:val="24"/>
        </w:rPr>
        <w:t>finanční prostředky</w:t>
      </w:r>
      <w:r w:rsidR="00324055" w:rsidRPr="00207D8B">
        <w:rPr>
          <w:bCs/>
          <w:szCs w:val="24"/>
        </w:rPr>
        <w:t xml:space="preserve"> uvedené v Příloze č. 1 ve sloupci Dofinancování č. 1</w:t>
      </w:r>
      <w:r w:rsidRPr="00207D8B">
        <w:rPr>
          <w:bCs/>
          <w:szCs w:val="24"/>
        </w:rPr>
        <w:t>, které jso</w:t>
      </w:r>
      <w:r w:rsidR="00324055" w:rsidRPr="00207D8B">
        <w:rPr>
          <w:bCs/>
          <w:szCs w:val="24"/>
        </w:rPr>
        <w:t xml:space="preserve">u v současné době na účtu kraje, </w:t>
      </w:r>
      <w:r w:rsidRPr="00207D8B">
        <w:rPr>
          <w:bCs/>
          <w:szCs w:val="24"/>
        </w:rPr>
        <w:t xml:space="preserve">budou žadatelům poukázány </w:t>
      </w:r>
      <w:r w:rsidR="00324055" w:rsidRPr="00207D8B">
        <w:rPr>
          <w:bCs/>
          <w:szCs w:val="24"/>
        </w:rPr>
        <w:t xml:space="preserve">jako 1. splátka dotace </w:t>
      </w:r>
      <w:r w:rsidRPr="00207D8B">
        <w:rPr>
          <w:bCs/>
          <w:szCs w:val="24"/>
        </w:rPr>
        <w:t xml:space="preserve">nejpozději do 21 dnů od uzavření dodatku k veřejnoprávní smlouvě o poskytnutí dotace a </w:t>
      </w:r>
    </w:p>
    <w:p w:rsidR="004C45E6" w:rsidRPr="00207D8B" w:rsidRDefault="004C45E6" w:rsidP="004C45E6">
      <w:pPr>
        <w:pStyle w:val="Odstavecseseznamem"/>
        <w:numPr>
          <w:ilvl w:val="0"/>
          <w:numId w:val="26"/>
        </w:numPr>
        <w:contextualSpacing w:val="0"/>
        <w:rPr>
          <w:bCs/>
          <w:szCs w:val="24"/>
        </w:rPr>
      </w:pPr>
      <w:r w:rsidRPr="00207D8B">
        <w:rPr>
          <w:bCs/>
          <w:szCs w:val="24"/>
        </w:rPr>
        <w:t>finanční prostředky</w:t>
      </w:r>
      <w:r w:rsidR="00324055" w:rsidRPr="00207D8B">
        <w:rPr>
          <w:bCs/>
          <w:szCs w:val="24"/>
        </w:rPr>
        <w:t xml:space="preserve"> uvedené v Příloze č. 1 ve sloupci Dofinancování č. 2 </w:t>
      </w:r>
      <w:r w:rsidRPr="00207D8B">
        <w:rPr>
          <w:bCs/>
          <w:szCs w:val="24"/>
        </w:rPr>
        <w:t xml:space="preserve">budou žadatelům poukázány </w:t>
      </w:r>
      <w:r w:rsidR="00324055" w:rsidRPr="00207D8B">
        <w:rPr>
          <w:bCs/>
          <w:szCs w:val="24"/>
        </w:rPr>
        <w:t>jako</w:t>
      </w:r>
      <w:r w:rsidRPr="00207D8B">
        <w:rPr>
          <w:bCs/>
          <w:szCs w:val="24"/>
        </w:rPr>
        <w:t xml:space="preserve"> 2. splátk</w:t>
      </w:r>
      <w:r w:rsidR="00324055" w:rsidRPr="00207D8B">
        <w:rPr>
          <w:bCs/>
          <w:szCs w:val="24"/>
        </w:rPr>
        <w:t>a</w:t>
      </w:r>
      <w:r w:rsidRPr="00207D8B">
        <w:rPr>
          <w:bCs/>
          <w:szCs w:val="24"/>
        </w:rPr>
        <w:t xml:space="preserve"> účelové dotace nejpozději do 21 dnů od jejich připsání na účet kraje.</w:t>
      </w:r>
    </w:p>
    <w:p w:rsidR="00D41C91" w:rsidRPr="00207D8B" w:rsidRDefault="00D41C91" w:rsidP="00FB6888">
      <w:pPr>
        <w:pStyle w:val="Odstavecseseznamem"/>
        <w:ind w:left="0"/>
        <w:contextualSpacing w:val="0"/>
        <w:rPr>
          <w:bCs/>
          <w:szCs w:val="24"/>
        </w:rPr>
      </w:pPr>
    </w:p>
    <w:p w:rsidR="004C45E6" w:rsidRPr="00207D8B" w:rsidRDefault="00324055" w:rsidP="00FB6888">
      <w:pPr>
        <w:pStyle w:val="Odstavecseseznamem"/>
        <w:ind w:left="0"/>
        <w:contextualSpacing w:val="0"/>
        <w:rPr>
          <w:bCs/>
          <w:szCs w:val="24"/>
        </w:rPr>
      </w:pPr>
      <w:r w:rsidRPr="00207D8B">
        <w:rPr>
          <w:bCs/>
          <w:szCs w:val="24"/>
        </w:rPr>
        <w:t>Varianta č. 2 :</w:t>
      </w:r>
    </w:p>
    <w:p w:rsidR="00467E5E" w:rsidRPr="00207D8B" w:rsidRDefault="00324055" w:rsidP="00467E5E">
      <w:pPr>
        <w:pStyle w:val="slovn"/>
        <w:numPr>
          <w:ilvl w:val="0"/>
          <w:numId w:val="0"/>
        </w:numPr>
        <w:rPr>
          <w:bCs/>
        </w:rPr>
      </w:pPr>
      <w:r w:rsidRPr="00207D8B">
        <w:rPr>
          <w:bCs/>
        </w:rPr>
        <w:t>Pokud do dne vyhotovení autorizovaného usnesení ZOK nebude Olomouckému kraji doručeno oficiální rozhodnutí o Dofinancování č. 2 v avizované výši, bude s jednotlivými poskytovateli sociálních služeb uzavřen Dodatek č. 1 k veřejnoprávní smlouvě</w:t>
      </w:r>
      <w:r w:rsidR="00467E5E" w:rsidRPr="00207D8B">
        <w:rPr>
          <w:bCs/>
        </w:rPr>
        <w:t xml:space="preserve"> na částku uvedenou v Příloze č. 1 důvodové zprávy ve sloupci Dofinancování č. 1 a finanční prostředky budou žadatelům poukázány nejpozději do 21 dnů od uzavření dodatku k veřejnoprávní smlouvě o poskytnutí dotace.</w:t>
      </w:r>
    </w:p>
    <w:p w:rsidR="00467E5E" w:rsidRPr="00207D8B" w:rsidRDefault="00467E5E" w:rsidP="00467E5E">
      <w:pPr>
        <w:rPr>
          <w:bCs/>
          <w:szCs w:val="24"/>
        </w:rPr>
      </w:pPr>
      <w:r w:rsidRPr="00207D8B">
        <w:rPr>
          <w:bCs/>
        </w:rPr>
        <w:t xml:space="preserve">Po obdržení oficiálního </w:t>
      </w:r>
      <w:r w:rsidRPr="00207D8B">
        <w:rPr>
          <w:bCs/>
          <w:szCs w:val="24"/>
        </w:rPr>
        <w:t>rozhodnutí o Dofinancování č. 2 v avizované výši</w:t>
      </w:r>
      <w:r w:rsidR="00324055" w:rsidRPr="00207D8B">
        <w:rPr>
          <w:bCs/>
          <w:szCs w:val="24"/>
        </w:rPr>
        <w:t xml:space="preserve"> </w:t>
      </w:r>
      <w:r w:rsidRPr="00207D8B">
        <w:rPr>
          <w:bCs/>
        </w:rPr>
        <w:t xml:space="preserve">bude </w:t>
      </w:r>
      <w:r w:rsidRPr="00207D8B">
        <w:rPr>
          <w:bCs/>
          <w:szCs w:val="24"/>
        </w:rPr>
        <w:t xml:space="preserve">s jednotlivými poskytovateli sociálních služeb uzavřen </w:t>
      </w:r>
      <w:r w:rsidRPr="00207D8B">
        <w:rPr>
          <w:bCs/>
        </w:rPr>
        <w:t>D</w:t>
      </w:r>
      <w:r w:rsidRPr="00207D8B">
        <w:rPr>
          <w:bCs/>
          <w:szCs w:val="24"/>
        </w:rPr>
        <w:t xml:space="preserve">odatek č. </w:t>
      </w:r>
      <w:r w:rsidRPr="00207D8B">
        <w:rPr>
          <w:bCs/>
        </w:rPr>
        <w:t>2</w:t>
      </w:r>
      <w:r w:rsidRPr="00207D8B">
        <w:rPr>
          <w:bCs/>
          <w:szCs w:val="24"/>
        </w:rPr>
        <w:t xml:space="preserve"> k veřejnoprávní smlouvě</w:t>
      </w:r>
      <w:r w:rsidRPr="00207D8B">
        <w:rPr>
          <w:bCs/>
        </w:rPr>
        <w:t xml:space="preserve"> </w:t>
      </w:r>
      <w:r w:rsidRPr="00207D8B">
        <w:rPr>
          <w:bCs/>
          <w:szCs w:val="24"/>
        </w:rPr>
        <w:t xml:space="preserve">na částku uvedenou v Příloze č. 1 důvodové zprávy ve sloupci </w:t>
      </w:r>
      <w:r w:rsidRPr="00207D8B">
        <w:rPr>
          <w:bCs/>
        </w:rPr>
        <w:t xml:space="preserve">Dofinancování č. 2 a finanční prostředky </w:t>
      </w:r>
      <w:r w:rsidRPr="00207D8B">
        <w:rPr>
          <w:bCs/>
          <w:szCs w:val="24"/>
        </w:rPr>
        <w:t>budou žadatelům poukázány</w:t>
      </w:r>
      <w:r w:rsidRPr="00207D8B">
        <w:rPr>
          <w:bCs/>
        </w:rPr>
        <w:t xml:space="preserve"> </w:t>
      </w:r>
      <w:r w:rsidRPr="00207D8B">
        <w:rPr>
          <w:bCs/>
          <w:szCs w:val="24"/>
        </w:rPr>
        <w:t>nejpozději do 21 dnů od jejich připsání na účet kraje.</w:t>
      </w:r>
    </w:p>
    <w:p w:rsidR="00467E5E" w:rsidRPr="00207D8B" w:rsidRDefault="00467E5E" w:rsidP="00467E5E">
      <w:pPr>
        <w:pStyle w:val="Odstavecseseznamem"/>
        <w:spacing w:before="0"/>
        <w:ind w:left="0"/>
        <w:contextualSpacing w:val="0"/>
        <w:rPr>
          <w:bCs/>
          <w:szCs w:val="24"/>
        </w:rPr>
      </w:pPr>
    </w:p>
    <w:p w:rsidR="00467E5E" w:rsidRPr="00207D8B" w:rsidRDefault="00467E5E" w:rsidP="00D41C91">
      <w:pPr>
        <w:pStyle w:val="Odstavecseseznamem"/>
        <w:ind w:left="0"/>
        <w:contextualSpacing w:val="0"/>
        <w:rPr>
          <w:bCs/>
          <w:szCs w:val="24"/>
        </w:rPr>
      </w:pPr>
      <w:r w:rsidRPr="00207D8B">
        <w:rPr>
          <w:bCs/>
          <w:szCs w:val="24"/>
        </w:rPr>
        <w:t>Varianta č. 3 :</w:t>
      </w:r>
    </w:p>
    <w:p w:rsidR="00467E5E" w:rsidRPr="00207D8B" w:rsidRDefault="00467E5E" w:rsidP="00D41C91">
      <w:pPr>
        <w:pStyle w:val="slovn"/>
        <w:numPr>
          <w:ilvl w:val="0"/>
          <w:numId w:val="0"/>
        </w:numPr>
        <w:rPr>
          <w:bCs/>
        </w:rPr>
      </w:pPr>
      <w:r w:rsidRPr="00207D8B">
        <w:rPr>
          <w:bCs/>
        </w:rPr>
        <w:lastRenderedPageBreak/>
        <w:t xml:space="preserve">Pokud k avizovanému Dofinancování č. 2 nedojde vůbec nebo bude oficiální rozhodnutí MPSV znít na jinou částku, bude nutné znovu materiál projednat v orgánech kraje a příslušným způsobem revokovat jejich usnesení v části týkající se Dofinancování č. 2. </w:t>
      </w:r>
    </w:p>
    <w:p w:rsidR="00467E5E" w:rsidRPr="00207D8B" w:rsidRDefault="00467E5E" w:rsidP="00D41C91">
      <w:pPr>
        <w:pStyle w:val="slovn"/>
        <w:numPr>
          <w:ilvl w:val="0"/>
          <w:numId w:val="0"/>
        </w:numPr>
        <w:rPr>
          <w:bCs/>
        </w:rPr>
      </w:pPr>
      <w:r w:rsidRPr="00207D8B">
        <w:rPr>
          <w:bCs/>
        </w:rPr>
        <w:t xml:space="preserve">Ve všech </w:t>
      </w:r>
      <w:r w:rsidR="00E0137A" w:rsidRPr="00207D8B">
        <w:rPr>
          <w:bCs/>
        </w:rPr>
        <w:t>variantách</w:t>
      </w:r>
      <w:r w:rsidRPr="00207D8B">
        <w:rPr>
          <w:bCs/>
        </w:rPr>
        <w:t xml:space="preserve"> je však zajištěno, že </w:t>
      </w:r>
      <w:r w:rsidR="00D35645">
        <w:rPr>
          <w:bCs/>
        </w:rPr>
        <w:t xml:space="preserve">pro </w:t>
      </w:r>
      <w:r w:rsidRPr="00207D8B">
        <w:rPr>
          <w:bCs/>
        </w:rPr>
        <w:t>finanční prostředky z Dofinancování č. 1, které již jsou na účtu Olomouckého kraje</w:t>
      </w:r>
      <w:r w:rsidR="00E0137A" w:rsidRPr="00207D8B">
        <w:rPr>
          <w:bCs/>
        </w:rPr>
        <w:t xml:space="preserve">, bude možné zahájit administrativní a ekonomické úkony směřující k uzavření dodatků k veřejnoprávním smlouvám a následné distribuci </w:t>
      </w:r>
      <w:r w:rsidR="00D35645" w:rsidRPr="00207D8B">
        <w:rPr>
          <w:bCs/>
        </w:rPr>
        <w:t>finančních</w:t>
      </w:r>
      <w:r w:rsidR="00E0137A" w:rsidRPr="00207D8B">
        <w:rPr>
          <w:bCs/>
        </w:rPr>
        <w:t xml:space="preserve"> prostředků konečným příjemcům bezprostředně po vyhotovení autorizovaného usnesení Zastupitelstva Olomouckého kraje.</w:t>
      </w:r>
    </w:p>
    <w:p w:rsidR="00324055" w:rsidRPr="00207D8B" w:rsidRDefault="00324055" w:rsidP="00324055">
      <w:pPr>
        <w:pStyle w:val="slovn"/>
        <w:numPr>
          <w:ilvl w:val="0"/>
          <w:numId w:val="0"/>
        </w:numPr>
        <w:ind w:left="28"/>
      </w:pPr>
    </w:p>
    <w:p w:rsidR="008A1319" w:rsidRDefault="008A1319" w:rsidP="008A1319">
      <w:pPr>
        <w:rPr>
          <w:rFonts w:eastAsia="Calibri"/>
          <w:b/>
          <w:bCs/>
        </w:rPr>
      </w:pPr>
      <w:r w:rsidRPr="00AD19AC">
        <w:rPr>
          <w:b/>
          <w:szCs w:val="24"/>
          <w:u w:val="single"/>
        </w:rPr>
        <w:t>Příloha č. 2</w:t>
      </w:r>
      <w:r w:rsidRPr="00AD19AC">
        <w:rPr>
          <w:b/>
          <w:szCs w:val="24"/>
        </w:rPr>
        <w:t xml:space="preserve"> obsahuje </w:t>
      </w:r>
      <w:r w:rsidRPr="00AD19AC">
        <w:rPr>
          <w:rFonts w:eastAsia="Calibri"/>
          <w:b/>
          <w:bCs/>
        </w:rPr>
        <w:t>vzorový dodatek k veřejnoprávní smlouvě o poskytnutí účelové dotace, který je nutno schválit k distribuci finančních prostředků konečným příjemcům.</w:t>
      </w:r>
    </w:p>
    <w:p w:rsidR="0012575B" w:rsidRPr="00207D8B" w:rsidRDefault="0012575B" w:rsidP="0012575B">
      <w:r w:rsidRPr="00207D8B">
        <w:t xml:space="preserve">Dodatky veřejnoprávních smluv </w:t>
      </w:r>
      <w:r w:rsidR="00E0137A" w:rsidRPr="00207D8B">
        <w:t xml:space="preserve">v podobě dle výše uvedených variant </w:t>
      </w:r>
      <w:r w:rsidRPr="00207D8B">
        <w:t>budou vyhotoveny</w:t>
      </w:r>
      <w:r w:rsidR="00E0137A" w:rsidRPr="00207D8B">
        <w:t xml:space="preserve"> </w:t>
      </w:r>
      <w:r w:rsidRPr="00207D8B">
        <w:t>bezprostředně po schválení v Zastupitelstvu Olomouckého kraje a po jejich administraci a podpisech bude možné vyplatit finanční prostředky na účty jednotlivých poskytovatelů.</w:t>
      </w:r>
    </w:p>
    <w:p w:rsidR="0012575B" w:rsidRPr="00AD19AC" w:rsidRDefault="0012575B" w:rsidP="008A1319">
      <w:pPr>
        <w:rPr>
          <w:rFonts w:eastAsia="Calibri"/>
          <w:b/>
          <w:bCs/>
        </w:rPr>
      </w:pPr>
    </w:p>
    <w:p w:rsidR="008A1319" w:rsidRPr="00207D8B" w:rsidRDefault="008A1319" w:rsidP="008A1319">
      <w:pPr>
        <w:rPr>
          <w:rFonts w:eastAsia="Calibri"/>
          <w:b/>
          <w:bCs/>
        </w:rPr>
      </w:pPr>
      <w:r w:rsidRPr="00207D8B">
        <w:rPr>
          <w:rFonts w:eastAsia="Calibri"/>
          <w:b/>
          <w:bCs/>
          <w:u w:val="single"/>
        </w:rPr>
        <w:t>Příloha č. 3</w:t>
      </w:r>
      <w:r w:rsidRPr="00207D8B">
        <w:rPr>
          <w:rFonts w:eastAsia="Calibri"/>
          <w:b/>
          <w:bCs/>
        </w:rPr>
        <w:t xml:space="preserve"> obsahuje Dodatek č. 1 k Rozhodnutí č. 1 o poskytnutí dotace z kapitoly 313 – MPSV státního rozpočtu na rok 2017 ze dne 13. 6. 2017.</w:t>
      </w:r>
    </w:p>
    <w:p w:rsidR="00E0137A" w:rsidRPr="00207D8B" w:rsidRDefault="00E0137A" w:rsidP="008A1319">
      <w:pPr>
        <w:rPr>
          <w:rFonts w:eastAsia="Calibri"/>
          <w:b/>
          <w:bCs/>
          <w:u w:val="single"/>
        </w:rPr>
      </w:pPr>
    </w:p>
    <w:p w:rsidR="00BC490A" w:rsidRPr="00207D8B" w:rsidRDefault="00BC490A" w:rsidP="008A1319">
      <w:pPr>
        <w:rPr>
          <w:rFonts w:eastAsia="Calibri"/>
          <w:b/>
          <w:bCs/>
        </w:rPr>
      </w:pPr>
      <w:r w:rsidRPr="00207D8B">
        <w:rPr>
          <w:rFonts w:eastAsia="Calibri"/>
          <w:b/>
          <w:bCs/>
          <w:u w:val="single"/>
        </w:rPr>
        <w:t xml:space="preserve">Příloha č. 4 </w:t>
      </w:r>
      <w:r w:rsidRPr="00207D8B">
        <w:rPr>
          <w:rFonts w:eastAsia="Calibri"/>
          <w:b/>
          <w:bCs/>
        </w:rPr>
        <w:t xml:space="preserve">obsahuje </w:t>
      </w:r>
      <w:r w:rsidRPr="00207D8B">
        <w:rPr>
          <w:b/>
          <w:noProof/>
        </w:rPr>
        <w:t>dopis MPSV ze dne 6.</w:t>
      </w:r>
      <w:r w:rsidR="00D41C91" w:rsidRPr="00207D8B">
        <w:rPr>
          <w:b/>
          <w:noProof/>
        </w:rPr>
        <w:t xml:space="preserve"> </w:t>
      </w:r>
      <w:r w:rsidRPr="00207D8B">
        <w:rPr>
          <w:b/>
          <w:noProof/>
        </w:rPr>
        <w:t>9</w:t>
      </w:r>
      <w:r w:rsidR="00D41C91" w:rsidRPr="00207D8B">
        <w:rPr>
          <w:b/>
          <w:noProof/>
        </w:rPr>
        <w:t xml:space="preserve"> </w:t>
      </w:r>
      <w:r w:rsidRPr="00207D8B">
        <w:rPr>
          <w:b/>
          <w:noProof/>
        </w:rPr>
        <w:t>.2017.</w:t>
      </w:r>
    </w:p>
    <w:p w:rsidR="008A1319" w:rsidRPr="00207D8B" w:rsidRDefault="008A1319" w:rsidP="000B5656">
      <w:pPr>
        <w:pStyle w:val="Zkladntextodsazendek"/>
        <w:spacing w:after="0"/>
        <w:ind w:firstLine="0"/>
        <w:rPr>
          <w:b/>
          <w:u w:val="single"/>
        </w:rPr>
      </w:pPr>
    </w:p>
    <w:p w:rsidR="00EE0F88" w:rsidRPr="00207D8B" w:rsidRDefault="00EE0F88" w:rsidP="00EE0F88">
      <w:pPr>
        <w:pStyle w:val="Zkladntextodsazendek"/>
        <w:spacing w:after="0" w:line="264" w:lineRule="auto"/>
        <w:ind w:firstLine="0"/>
        <w:rPr>
          <w:b/>
          <w:bCs/>
        </w:rPr>
      </w:pPr>
      <w:r w:rsidRPr="00207D8B">
        <w:rPr>
          <w:b/>
        </w:rPr>
        <w:t xml:space="preserve">Rada Olomouckého kraje </w:t>
      </w:r>
      <w:r w:rsidR="00E0137A" w:rsidRPr="00207D8B">
        <w:rPr>
          <w:b/>
        </w:rPr>
        <w:t>předkládá Zastupitelstvu Olomouckého kraje komplexní materiál</w:t>
      </w:r>
      <w:r w:rsidR="00625E49" w:rsidRPr="00207D8B">
        <w:rPr>
          <w:b/>
        </w:rPr>
        <w:t xml:space="preserve"> projednaný na jednáních Rady Olomouckého kraje konaných dne 28. 8. 2017 a 18. 9. 2017 </w:t>
      </w:r>
      <w:r w:rsidR="00543EF6" w:rsidRPr="00207D8B">
        <w:rPr>
          <w:b/>
          <w:bCs/>
        </w:rPr>
        <w:t>a navrhuje ZOK přijmout usnesení v tomto znění:</w:t>
      </w:r>
    </w:p>
    <w:p w:rsidR="00625E49" w:rsidRDefault="00625E49" w:rsidP="007D1C3B">
      <w:pPr>
        <w:pStyle w:val="Zkladntextodsazendek"/>
        <w:spacing w:after="0" w:line="264" w:lineRule="auto"/>
        <w:ind w:firstLine="0"/>
        <w:rPr>
          <w:u w:val="single"/>
        </w:rPr>
      </w:pPr>
    </w:p>
    <w:p w:rsidR="007D1C3B" w:rsidRPr="00207D8B" w:rsidRDefault="007D1C3B" w:rsidP="007D1C3B">
      <w:pPr>
        <w:pStyle w:val="Zkladntextodsazendek"/>
        <w:spacing w:after="0" w:line="264" w:lineRule="auto"/>
        <w:ind w:firstLine="0"/>
        <w:rPr>
          <w:u w:val="single"/>
        </w:rPr>
      </w:pPr>
      <w:r w:rsidRPr="00207D8B">
        <w:rPr>
          <w:u w:val="single"/>
        </w:rPr>
        <w:t xml:space="preserve">Zastupitelstvo Olomouckého kraje po projednání:  </w:t>
      </w:r>
    </w:p>
    <w:p w:rsidR="000B5656" w:rsidRPr="00207D8B" w:rsidRDefault="000B5656" w:rsidP="000B5656">
      <w:pPr>
        <w:pStyle w:val="Zkladntext3"/>
        <w:numPr>
          <w:ilvl w:val="0"/>
          <w:numId w:val="8"/>
        </w:numPr>
        <w:spacing w:line="276" w:lineRule="auto"/>
        <w:rPr>
          <w:b w:val="0"/>
          <w:sz w:val="24"/>
          <w:szCs w:val="24"/>
        </w:rPr>
      </w:pPr>
      <w:r w:rsidRPr="00207D8B">
        <w:rPr>
          <w:sz w:val="24"/>
          <w:szCs w:val="24"/>
        </w:rPr>
        <w:t xml:space="preserve">bere na vědomí </w:t>
      </w:r>
      <w:r w:rsidRPr="00207D8B">
        <w:rPr>
          <w:b w:val="0"/>
          <w:sz w:val="24"/>
          <w:szCs w:val="24"/>
        </w:rPr>
        <w:t>důvodovou zprávu</w:t>
      </w:r>
    </w:p>
    <w:p w:rsidR="000B5656" w:rsidRPr="00207D8B" w:rsidRDefault="007D1C3B" w:rsidP="000B5656">
      <w:pPr>
        <w:pStyle w:val="Zkladntext3"/>
        <w:numPr>
          <w:ilvl w:val="0"/>
          <w:numId w:val="8"/>
        </w:numPr>
        <w:spacing w:line="276" w:lineRule="auto"/>
        <w:rPr>
          <w:b w:val="0"/>
          <w:sz w:val="24"/>
          <w:szCs w:val="24"/>
        </w:rPr>
      </w:pPr>
      <w:r w:rsidRPr="00207D8B">
        <w:rPr>
          <w:sz w:val="24"/>
          <w:szCs w:val="24"/>
        </w:rPr>
        <w:t>schvaluje</w:t>
      </w:r>
      <w:r w:rsidR="000B5656" w:rsidRPr="00207D8B">
        <w:rPr>
          <w:b w:val="0"/>
          <w:sz w:val="24"/>
          <w:szCs w:val="24"/>
        </w:rPr>
        <w:t xml:space="preserve"> návrh na poskytnutí účelov</w:t>
      </w:r>
      <w:r w:rsidR="005924B5" w:rsidRPr="00207D8B">
        <w:rPr>
          <w:b w:val="0"/>
          <w:sz w:val="24"/>
          <w:szCs w:val="24"/>
        </w:rPr>
        <w:t>é</w:t>
      </w:r>
      <w:r w:rsidR="000B5656" w:rsidRPr="00207D8B">
        <w:rPr>
          <w:b w:val="0"/>
          <w:sz w:val="24"/>
          <w:szCs w:val="24"/>
        </w:rPr>
        <w:t xml:space="preserve"> dotace ze státního rozpočtu na poskytování sociálních služeb na rok 2017 </w:t>
      </w:r>
      <w:r w:rsidR="0091322D" w:rsidRPr="00207D8B">
        <w:rPr>
          <w:b w:val="0"/>
          <w:sz w:val="24"/>
          <w:szCs w:val="24"/>
        </w:rPr>
        <w:t>ve výši stanovené v souladu s Podprogramem č. 1 Programu finanční podpory poskytování sociálních služeb v Olomouckém kraji pro rok 2017</w:t>
      </w:r>
      <w:r w:rsidR="00BE001F" w:rsidRPr="00207D8B">
        <w:rPr>
          <w:b w:val="0"/>
          <w:sz w:val="24"/>
          <w:szCs w:val="24"/>
        </w:rPr>
        <w:t xml:space="preserve"> </w:t>
      </w:r>
      <w:r w:rsidR="000B5656" w:rsidRPr="00207D8B">
        <w:rPr>
          <w:b w:val="0"/>
          <w:sz w:val="24"/>
          <w:szCs w:val="24"/>
        </w:rPr>
        <w:t xml:space="preserve">jednotlivým poskytovatelům sociálních služeb, dle </w:t>
      </w:r>
      <w:r w:rsidR="0091322D" w:rsidRPr="00207D8B">
        <w:rPr>
          <w:b w:val="0"/>
          <w:sz w:val="24"/>
          <w:szCs w:val="24"/>
        </w:rPr>
        <w:t>P</w:t>
      </w:r>
      <w:r w:rsidR="000B5656" w:rsidRPr="00207D8B">
        <w:rPr>
          <w:b w:val="0"/>
          <w:sz w:val="24"/>
          <w:szCs w:val="24"/>
        </w:rPr>
        <w:t>řílohy č. 1</w:t>
      </w:r>
      <w:r w:rsidR="00625E49" w:rsidRPr="00207D8B">
        <w:rPr>
          <w:b w:val="0"/>
          <w:sz w:val="24"/>
          <w:szCs w:val="24"/>
        </w:rPr>
        <w:t xml:space="preserve"> – Dofinancování č. 1</w:t>
      </w:r>
      <w:r w:rsidR="000B5656" w:rsidRPr="00207D8B">
        <w:rPr>
          <w:b w:val="0"/>
          <w:sz w:val="24"/>
          <w:szCs w:val="24"/>
        </w:rPr>
        <w:t xml:space="preserve"> důvodové zprávy</w:t>
      </w:r>
    </w:p>
    <w:p w:rsidR="0012575B" w:rsidRPr="00207D8B" w:rsidRDefault="0012575B" w:rsidP="00A606C2">
      <w:pPr>
        <w:pStyle w:val="Zkladntext3"/>
        <w:numPr>
          <w:ilvl w:val="0"/>
          <w:numId w:val="8"/>
        </w:numPr>
        <w:spacing w:line="276" w:lineRule="auto"/>
        <w:rPr>
          <w:b w:val="0"/>
          <w:sz w:val="24"/>
          <w:szCs w:val="24"/>
        </w:rPr>
      </w:pPr>
      <w:r w:rsidRPr="00207D8B">
        <w:rPr>
          <w:sz w:val="24"/>
          <w:szCs w:val="24"/>
        </w:rPr>
        <w:t>schvaluje</w:t>
      </w:r>
      <w:r w:rsidRPr="00207D8B">
        <w:rPr>
          <w:b w:val="0"/>
          <w:sz w:val="24"/>
          <w:szCs w:val="24"/>
        </w:rPr>
        <w:t xml:space="preserve"> návrh na poskytnutí účelové dotace ze státního rozpočtu na poskytování sociálních služeb na rok 2017 ve výši stanovené v souladu s Podprogramem č. 1 Programu finanční podpory poskytování sociálních služeb v Olomouckém kraji pro rok 2017 jednotlivým poskytovatelům sociálních služeb, dle Přílohy č. 1</w:t>
      </w:r>
      <w:r w:rsidR="00625E49" w:rsidRPr="00207D8B">
        <w:rPr>
          <w:b w:val="0"/>
          <w:sz w:val="24"/>
          <w:szCs w:val="24"/>
        </w:rPr>
        <w:t xml:space="preserve"> – Dofinancování č. 2</w:t>
      </w:r>
      <w:r w:rsidRPr="00207D8B">
        <w:rPr>
          <w:b w:val="0"/>
          <w:sz w:val="24"/>
          <w:szCs w:val="24"/>
        </w:rPr>
        <w:t xml:space="preserve"> důvodové zprávy</w:t>
      </w:r>
      <w:r w:rsidR="002765E4" w:rsidRPr="00207D8B">
        <w:rPr>
          <w:b w:val="0"/>
          <w:sz w:val="24"/>
          <w:szCs w:val="24"/>
        </w:rPr>
        <w:t xml:space="preserve"> </w:t>
      </w:r>
      <w:r w:rsidR="00A606C2" w:rsidRPr="00207D8B">
        <w:rPr>
          <w:b w:val="0"/>
          <w:sz w:val="24"/>
          <w:szCs w:val="24"/>
        </w:rPr>
        <w:t xml:space="preserve">za podmínky, že Olomouckému kraji bude </w:t>
      </w:r>
      <w:r w:rsidR="00625E49" w:rsidRPr="00207D8B">
        <w:rPr>
          <w:b w:val="0"/>
          <w:sz w:val="24"/>
          <w:szCs w:val="24"/>
        </w:rPr>
        <w:t>doručeno oficiální rozhodnutí o Dofinancování č. 2 ve výši avizované dopisem MPSV dle Přílohy č. 3 důvodové zprávy </w:t>
      </w:r>
    </w:p>
    <w:p w:rsidR="00BE001F" w:rsidRPr="00207D8B" w:rsidRDefault="007D1C3B" w:rsidP="00BE001F">
      <w:pPr>
        <w:pStyle w:val="Zkladntext3"/>
        <w:numPr>
          <w:ilvl w:val="0"/>
          <w:numId w:val="8"/>
        </w:numPr>
        <w:spacing w:line="276" w:lineRule="auto"/>
        <w:rPr>
          <w:b w:val="0"/>
          <w:sz w:val="24"/>
          <w:szCs w:val="24"/>
        </w:rPr>
      </w:pPr>
      <w:r w:rsidRPr="00207D8B">
        <w:rPr>
          <w:sz w:val="24"/>
          <w:szCs w:val="24"/>
        </w:rPr>
        <w:lastRenderedPageBreak/>
        <w:t xml:space="preserve">nevyhovuje </w:t>
      </w:r>
      <w:r w:rsidRPr="00207D8B">
        <w:rPr>
          <w:b w:val="0"/>
          <w:sz w:val="24"/>
          <w:szCs w:val="24"/>
        </w:rPr>
        <w:t>žádo</w:t>
      </w:r>
      <w:r w:rsidR="00BE001F" w:rsidRPr="00207D8B">
        <w:rPr>
          <w:b w:val="0"/>
          <w:sz w:val="24"/>
          <w:szCs w:val="24"/>
        </w:rPr>
        <w:t>stem o poskytnutí dotace, dle Přílohy č. 1 důvodové zprávy, včetně odůvodnění dle důvodové zprávy</w:t>
      </w:r>
    </w:p>
    <w:p w:rsidR="000B5656" w:rsidRPr="00207D8B" w:rsidRDefault="007D1C3B" w:rsidP="000B5656">
      <w:pPr>
        <w:pStyle w:val="Odstavecseseznamem"/>
        <w:numPr>
          <w:ilvl w:val="0"/>
          <w:numId w:val="8"/>
        </w:numPr>
        <w:contextualSpacing w:val="0"/>
        <w:rPr>
          <w:noProof/>
          <w:u w:val="single"/>
        </w:rPr>
      </w:pPr>
      <w:r w:rsidRPr="00207D8B">
        <w:rPr>
          <w:b/>
        </w:rPr>
        <w:t xml:space="preserve">schvaluje </w:t>
      </w:r>
      <w:r w:rsidR="00DE479D" w:rsidRPr="00207D8B">
        <w:rPr>
          <w:noProof/>
        </w:rPr>
        <w:t xml:space="preserve">vzorový dodatek veřejnoprávní smlouvy </w:t>
      </w:r>
      <w:r w:rsidR="000B5656" w:rsidRPr="00207D8B">
        <w:rPr>
          <w:noProof/>
        </w:rPr>
        <w:t xml:space="preserve">k veřejnoprávní smlouvě o poskytnutí účelové dotace, dle </w:t>
      </w:r>
      <w:r w:rsidR="00DE479D" w:rsidRPr="00207D8B">
        <w:rPr>
          <w:noProof/>
        </w:rPr>
        <w:t>P</w:t>
      </w:r>
      <w:r w:rsidR="000B5656" w:rsidRPr="00207D8B">
        <w:rPr>
          <w:noProof/>
        </w:rPr>
        <w:t>řílohy č. 2 důvodové zprávy</w:t>
      </w:r>
    </w:p>
    <w:p w:rsidR="000B5656" w:rsidRPr="00207D8B" w:rsidRDefault="007D1C3B" w:rsidP="00C03D8E">
      <w:pPr>
        <w:pStyle w:val="Odstavecseseznamem"/>
        <w:numPr>
          <w:ilvl w:val="0"/>
          <w:numId w:val="8"/>
        </w:numPr>
        <w:ind w:left="357" w:hanging="357"/>
        <w:contextualSpacing w:val="0"/>
      </w:pPr>
      <w:r w:rsidRPr="00207D8B">
        <w:rPr>
          <w:b/>
        </w:rPr>
        <w:t xml:space="preserve">schvaluje </w:t>
      </w:r>
      <w:r w:rsidR="000B5656" w:rsidRPr="00207D8B">
        <w:t xml:space="preserve">uzavření dodatků k veřejnoprávním smlouvám o poskytnutí účelové dotace jednotlivým poskytovatelům sociálních služeb, dle </w:t>
      </w:r>
      <w:r w:rsidR="00DE479D" w:rsidRPr="00207D8B">
        <w:t>P</w:t>
      </w:r>
      <w:r w:rsidR="000B5656" w:rsidRPr="00207D8B">
        <w:t xml:space="preserve">řílohy č. 1 důvodové zprávy, ve znění vzorového dodatku </w:t>
      </w:r>
      <w:r w:rsidR="00C03D8E" w:rsidRPr="00207D8B">
        <w:t xml:space="preserve">k </w:t>
      </w:r>
      <w:r w:rsidR="000B5656" w:rsidRPr="00207D8B">
        <w:t>veřejnoprávní smlou</w:t>
      </w:r>
      <w:r w:rsidR="00C03D8E" w:rsidRPr="00207D8B">
        <w:t>vě</w:t>
      </w:r>
      <w:r w:rsidR="000B5656" w:rsidRPr="00207D8B">
        <w:t xml:space="preserve"> o poskytnutí účelové dotace, dle </w:t>
      </w:r>
      <w:r w:rsidR="00DE479D" w:rsidRPr="00207D8B">
        <w:t>P</w:t>
      </w:r>
      <w:r w:rsidR="000B5656" w:rsidRPr="00207D8B">
        <w:t>řílohy č. 2 důvodové zprávy</w:t>
      </w:r>
      <w:r w:rsidR="0033038B" w:rsidRPr="00207D8B">
        <w:t xml:space="preserve"> ve variantách dle bodu 3.2 důvodové zprávy</w:t>
      </w:r>
    </w:p>
    <w:p w:rsidR="007D1C3B" w:rsidRPr="00207D8B" w:rsidRDefault="007D1C3B" w:rsidP="00C03D8E">
      <w:pPr>
        <w:pStyle w:val="Odstavecseseznamem"/>
        <w:numPr>
          <w:ilvl w:val="0"/>
          <w:numId w:val="8"/>
        </w:numPr>
        <w:ind w:left="357" w:hanging="357"/>
        <w:contextualSpacing w:val="0"/>
      </w:pPr>
      <w:r w:rsidRPr="00207D8B">
        <w:rPr>
          <w:b/>
        </w:rPr>
        <w:t xml:space="preserve">ukládá </w:t>
      </w:r>
      <w:r w:rsidRPr="00207D8B">
        <w:t>hejtmanovi Olomouckého kraje Ladislavu Oklešťkovi podepsat</w:t>
      </w:r>
      <w:r w:rsidRPr="00207D8B">
        <w:rPr>
          <w:b/>
        </w:rPr>
        <w:t xml:space="preserve"> </w:t>
      </w:r>
      <w:r w:rsidRPr="00207D8B">
        <w:t xml:space="preserve">dodatky k veřejnoprávním smlouvám o poskytnutí účelové dotace s poskytovateli sociálních služeb dle bodu </w:t>
      </w:r>
      <w:r w:rsidR="0033038B" w:rsidRPr="00207D8B">
        <w:t>6</w:t>
      </w:r>
      <w:r w:rsidRPr="00207D8B">
        <w:t xml:space="preserve"> usnesení</w:t>
      </w:r>
    </w:p>
    <w:p w:rsidR="00F2152F" w:rsidRPr="002765E4" w:rsidRDefault="00F2152F" w:rsidP="000730E9">
      <w:pPr>
        <w:rPr>
          <w:b/>
          <w:lang w:eastAsia="en-US"/>
        </w:rPr>
      </w:pPr>
    </w:p>
    <w:p w:rsidR="00F2152F" w:rsidRDefault="00F2152F" w:rsidP="000730E9">
      <w:pPr>
        <w:rPr>
          <w:b/>
          <w:lang w:eastAsia="en-US"/>
        </w:rPr>
      </w:pPr>
    </w:p>
    <w:p w:rsidR="004775B4" w:rsidRPr="00AD19AC" w:rsidRDefault="004775B4" w:rsidP="000730E9">
      <w:pPr>
        <w:rPr>
          <w:b/>
          <w:lang w:eastAsia="en-US"/>
        </w:rPr>
      </w:pPr>
      <w:r w:rsidRPr="00AD19AC">
        <w:rPr>
          <w:b/>
          <w:lang w:eastAsia="en-US"/>
        </w:rPr>
        <w:t>Přílohy:</w:t>
      </w:r>
    </w:p>
    <w:p w:rsidR="004775B4" w:rsidRPr="00AD19AC" w:rsidRDefault="004775B4" w:rsidP="000730E9">
      <w:pPr>
        <w:pStyle w:val="Zkladntext"/>
        <w:rPr>
          <w:sz w:val="24"/>
          <w:szCs w:val="24"/>
        </w:rPr>
      </w:pPr>
      <w:r w:rsidRPr="00AD19AC">
        <w:rPr>
          <w:sz w:val="24"/>
          <w:szCs w:val="24"/>
        </w:rPr>
        <w:t xml:space="preserve">Příloha č. </w:t>
      </w:r>
      <w:r w:rsidR="00050A9B" w:rsidRPr="00AD19AC">
        <w:rPr>
          <w:sz w:val="24"/>
          <w:szCs w:val="24"/>
        </w:rPr>
        <w:t>1</w:t>
      </w:r>
    </w:p>
    <w:p w:rsidR="00357240" w:rsidRPr="00AD19AC" w:rsidRDefault="00357240" w:rsidP="009872D7">
      <w:pPr>
        <w:numPr>
          <w:ilvl w:val="0"/>
          <w:numId w:val="12"/>
        </w:numPr>
        <w:rPr>
          <w:noProof/>
          <w:u w:val="single"/>
        </w:rPr>
      </w:pPr>
      <w:r w:rsidRPr="00AD19AC">
        <w:rPr>
          <w:noProof/>
          <w:u w:val="single"/>
        </w:rPr>
        <w:t xml:space="preserve">Návrh na poskytnutí </w:t>
      </w:r>
      <w:r w:rsidR="00060EF3" w:rsidRPr="00AD19AC">
        <w:rPr>
          <w:noProof/>
          <w:u w:val="single"/>
        </w:rPr>
        <w:t xml:space="preserve">dotace </w:t>
      </w:r>
      <w:r w:rsidRPr="00AD19AC">
        <w:rPr>
          <w:noProof/>
          <w:u w:val="single"/>
        </w:rPr>
        <w:t xml:space="preserve">jednotlivým poskytovatelům sociálních služeb </w:t>
      </w:r>
      <w:r w:rsidR="003830EC" w:rsidRPr="00AD19AC">
        <w:rPr>
          <w:noProof/>
          <w:u w:val="single"/>
        </w:rPr>
        <w:t xml:space="preserve">(strana </w:t>
      </w:r>
      <w:r w:rsidR="00233513">
        <w:rPr>
          <w:noProof/>
          <w:u w:val="single"/>
        </w:rPr>
        <w:t>10 - 37</w:t>
      </w:r>
      <w:r w:rsidR="003830EC" w:rsidRPr="00AD19AC">
        <w:rPr>
          <w:noProof/>
          <w:u w:val="single"/>
        </w:rPr>
        <w:t>)</w:t>
      </w:r>
      <w:r w:rsidR="00233513">
        <w:rPr>
          <w:noProof/>
          <w:u w:val="single"/>
        </w:rPr>
        <w:t xml:space="preserve"> </w:t>
      </w:r>
    </w:p>
    <w:p w:rsidR="00050A9B" w:rsidRPr="00AD19AC" w:rsidRDefault="00050A9B" w:rsidP="000730E9">
      <w:pPr>
        <w:pStyle w:val="Zkladntext"/>
        <w:rPr>
          <w:sz w:val="24"/>
          <w:szCs w:val="24"/>
        </w:rPr>
      </w:pPr>
      <w:r w:rsidRPr="00AD19AC">
        <w:rPr>
          <w:sz w:val="24"/>
          <w:szCs w:val="24"/>
        </w:rPr>
        <w:t>Příloha č. 2</w:t>
      </w:r>
    </w:p>
    <w:p w:rsidR="000F0DBD" w:rsidRPr="00AD19AC" w:rsidRDefault="00357240" w:rsidP="009872D7">
      <w:pPr>
        <w:numPr>
          <w:ilvl w:val="0"/>
          <w:numId w:val="12"/>
        </w:numPr>
        <w:rPr>
          <w:noProof/>
          <w:u w:val="single"/>
        </w:rPr>
      </w:pPr>
      <w:r w:rsidRPr="00AD19AC">
        <w:rPr>
          <w:noProof/>
          <w:u w:val="single"/>
        </w:rPr>
        <w:t>Vzorov</w:t>
      </w:r>
      <w:r w:rsidR="00596544" w:rsidRPr="00AD19AC">
        <w:rPr>
          <w:noProof/>
          <w:u w:val="single"/>
        </w:rPr>
        <w:t xml:space="preserve">ý dodatek </w:t>
      </w:r>
      <w:r w:rsidR="003830EC" w:rsidRPr="00AD19AC">
        <w:rPr>
          <w:noProof/>
          <w:u w:val="single"/>
        </w:rPr>
        <w:t>k</w:t>
      </w:r>
      <w:r w:rsidR="00D21F05" w:rsidRPr="00AD19AC">
        <w:rPr>
          <w:noProof/>
          <w:u w:val="single"/>
        </w:rPr>
        <w:t xml:space="preserve"> veřejnoprávní </w:t>
      </w:r>
      <w:r w:rsidRPr="00AD19AC">
        <w:rPr>
          <w:noProof/>
          <w:u w:val="single"/>
        </w:rPr>
        <w:t>smlouv</w:t>
      </w:r>
      <w:r w:rsidR="003830EC" w:rsidRPr="00AD19AC">
        <w:rPr>
          <w:noProof/>
          <w:u w:val="single"/>
        </w:rPr>
        <w:t>ě</w:t>
      </w:r>
      <w:r w:rsidR="00596544" w:rsidRPr="00AD19AC">
        <w:rPr>
          <w:noProof/>
          <w:u w:val="single"/>
        </w:rPr>
        <w:t xml:space="preserve"> </w:t>
      </w:r>
      <w:r w:rsidRPr="00AD19AC">
        <w:rPr>
          <w:noProof/>
          <w:u w:val="single"/>
        </w:rPr>
        <w:t>o poskytnutí účelové dotace</w:t>
      </w:r>
      <w:r w:rsidR="003830EC" w:rsidRPr="00AD19AC">
        <w:rPr>
          <w:noProof/>
          <w:u w:val="single"/>
        </w:rPr>
        <w:t xml:space="preserve"> (strana </w:t>
      </w:r>
      <w:r w:rsidR="00233513">
        <w:rPr>
          <w:noProof/>
          <w:u w:val="single"/>
        </w:rPr>
        <w:t>38 - 40</w:t>
      </w:r>
      <w:r w:rsidR="003830EC" w:rsidRPr="00AD19AC">
        <w:rPr>
          <w:noProof/>
          <w:u w:val="single"/>
        </w:rPr>
        <w:t>)</w:t>
      </w:r>
    </w:p>
    <w:p w:rsidR="00127958" w:rsidRPr="00AD19AC" w:rsidRDefault="00127958" w:rsidP="00127958">
      <w:pPr>
        <w:pStyle w:val="Zkladntext"/>
        <w:rPr>
          <w:sz w:val="24"/>
          <w:szCs w:val="24"/>
        </w:rPr>
      </w:pPr>
      <w:r w:rsidRPr="00AD19AC">
        <w:rPr>
          <w:sz w:val="24"/>
          <w:szCs w:val="24"/>
        </w:rPr>
        <w:t>Příloha č. 3</w:t>
      </w:r>
    </w:p>
    <w:p w:rsidR="00127958" w:rsidRPr="00233513" w:rsidRDefault="00127958" w:rsidP="009872D7">
      <w:pPr>
        <w:numPr>
          <w:ilvl w:val="0"/>
          <w:numId w:val="12"/>
        </w:numPr>
        <w:rPr>
          <w:noProof/>
          <w:u w:val="single"/>
        </w:rPr>
      </w:pPr>
      <w:r w:rsidRPr="00AD19AC">
        <w:rPr>
          <w:noProof/>
          <w:u w:val="single"/>
        </w:rPr>
        <w:t xml:space="preserve">Dodatek č. </w:t>
      </w:r>
      <w:r w:rsidR="00C03D8E" w:rsidRPr="00AD19AC">
        <w:rPr>
          <w:noProof/>
          <w:u w:val="single"/>
        </w:rPr>
        <w:t>1</w:t>
      </w:r>
      <w:r w:rsidR="00A474E9" w:rsidRPr="00AD19AC">
        <w:rPr>
          <w:noProof/>
          <w:u w:val="single"/>
        </w:rPr>
        <w:t xml:space="preserve"> k Rozhodnutí č. 1 </w:t>
      </w:r>
      <w:r w:rsidR="00260ACA" w:rsidRPr="00AD19AC">
        <w:rPr>
          <w:noProof/>
          <w:u w:val="single"/>
        </w:rPr>
        <w:t xml:space="preserve">MPSV </w:t>
      </w:r>
      <w:r w:rsidR="00DC7352" w:rsidRPr="00AD19AC">
        <w:rPr>
          <w:noProof/>
          <w:u w:val="single"/>
        </w:rPr>
        <w:t>(</w:t>
      </w:r>
      <w:r w:rsidR="00DC7352" w:rsidRPr="00233513">
        <w:rPr>
          <w:noProof/>
          <w:u w:val="single"/>
        </w:rPr>
        <w:t xml:space="preserve">strana </w:t>
      </w:r>
      <w:r w:rsidR="00233513" w:rsidRPr="00233513">
        <w:rPr>
          <w:noProof/>
          <w:u w:val="single"/>
        </w:rPr>
        <w:t>41 - 42</w:t>
      </w:r>
      <w:r w:rsidR="00DC7352" w:rsidRPr="00233513">
        <w:rPr>
          <w:noProof/>
          <w:u w:val="single"/>
        </w:rPr>
        <w:t>)</w:t>
      </w:r>
    </w:p>
    <w:p w:rsidR="0033038B" w:rsidRPr="00207D8B" w:rsidRDefault="00453FD0" w:rsidP="0033038B">
      <w:pPr>
        <w:rPr>
          <w:noProof/>
        </w:rPr>
      </w:pPr>
      <w:r w:rsidRPr="00207D8B">
        <w:rPr>
          <w:noProof/>
        </w:rPr>
        <w:t xml:space="preserve">Příloha č. 4 </w:t>
      </w:r>
    </w:p>
    <w:p w:rsidR="00453FD0" w:rsidRPr="00207D8B" w:rsidRDefault="00453FD0" w:rsidP="00D41C91">
      <w:pPr>
        <w:numPr>
          <w:ilvl w:val="0"/>
          <w:numId w:val="12"/>
        </w:numPr>
        <w:rPr>
          <w:noProof/>
          <w:u w:val="single"/>
        </w:rPr>
      </w:pPr>
      <w:r w:rsidRPr="00207D8B">
        <w:rPr>
          <w:noProof/>
          <w:u w:val="single"/>
        </w:rPr>
        <w:t>Dopis MPSV ze dne 6.</w:t>
      </w:r>
      <w:r w:rsidR="00D41C91" w:rsidRPr="00207D8B">
        <w:rPr>
          <w:noProof/>
          <w:u w:val="single"/>
        </w:rPr>
        <w:t xml:space="preserve"> </w:t>
      </w:r>
      <w:r w:rsidRPr="00207D8B">
        <w:rPr>
          <w:noProof/>
          <w:u w:val="single"/>
        </w:rPr>
        <w:t>9.</w:t>
      </w:r>
      <w:r w:rsidR="00D41C91" w:rsidRPr="00207D8B">
        <w:rPr>
          <w:noProof/>
          <w:u w:val="single"/>
        </w:rPr>
        <w:t xml:space="preserve"> </w:t>
      </w:r>
      <w:r w:rsidRPr="00207D8B">
        <w:rPr>
          <w:noProof/>
          <w:u w:val="single"/>
        </w:rPr>
        <w:t>2017</w:t>
      </w:r>
      <w:r w:rsidR="00233513">
        <w:rPr>
          <w:noProof/>
          <w:u w:val="single"/>
        </w:rPr>
        <w:t xml:space="preserve"> </w:t>
      </w:r>
      <w:r w:rsidR="00233513" w:rsidRPr="00AD19AC">
        <w:rPr>
          <w:noProof/>
          <w:u w:val="single"/>
        </w:rPr>
        <w:t>(</w:t>
      </w:r>
      <w:r w:rsidR="00233513" w:rsidRPr="00233513">
        <w:rPr>
          <w:noProof/>
          <w:u w:val="single"/>
        </w:rPr>
        <w:t xml:space="preserve">strana </w:t>
      </w:r>
      <w:r w:rsidR="00233513">
        <w:rPr>
          <w:noProof/>
          <w:u w:val="single"/>
        </w:rPr>
        <w:t>43</w:t>
      </w:r>
      <w:r w:rsidR="00233513" w:rsidRPr="00233513">
        <w:rPr>
          <w:noProof/>
          <w:u w:val="single"/>
        </w:rPr>
        <w:t>)</w:t>
      </w:r>
    </w:p>
    <w:sectPr w:rsidR="00453FD0" w:rsidRPr="00207D8B" w:rsidSect="00383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899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2E" w:rsidRDefault="00992F2E" w:rsidP="00E21A8D">
      <w:r>
        <w:separator/>
      </w:r>
    </w:p>
  </w:endnote>
  <w:endnote w:type="continuationSeparator" w:id="0">
    <w:p w:rsidR="00992F2E" w:rsidRDefault="00992F2E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29" w:rsidRDefault="00244C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EC" w:rsidRDefault="00244C29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 w14:anchorId="004EBE4F">
        <v:rect id="_x0000_i1029" style="width:0;height:1.5pt" o:hralign="center" o:hrstd="t" o:hr="t" fillcolor="gray" stroked="f"/>
      </w:pict>
    </w:r>
  </w:p>
  <w:p w:rsidR="003830EC" w:rsidRPr="008D0371" w:rsidRDefault="00953B29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Zastupitelstvo </w:t>
    </w:r>
    <w:r w:rsidR="003830EC" w:rsidRPr="008D0371">
      <w:rPr>
        <w:rFonts w:eastAsia="Times New Roman"/>
        <w:i/>
        <w:sz w:val="20"/>
        <w:szCs w:val="20"/>
      </w:rPr>
      <w:t xml:space="preserve">Olomouckého kraje </w:t>
    </w:r>
    <w:r w:rsidR="004867F9">
      <w:rPr>
        <w:rFonts w:eastAsia="Times New Roman"/>
        <w:i/>
        <w:sz w:val="20"/>
        <w:szCs w:val="20"/>
      </w:rPr>
      <w:t xml:space="preserve">dne </w:t>
    </w:r>
    <w:r>
      <w:rPr>
        <w:rFonts w:eastAsia="Times New Roman"/>
        <w:i/>
        <w:sz w:val="20"/>
        <w:szCs w:val="20"/>
      </w:rPr>
      <w:t>18. 9. 2017</w:t>
    </w:r>
    <w:r w:rsidR="003830EC" w:rsidRPr="008D0371">
      <w:rPr>
        <w:rFonts w:eastAsia="Times New Roman"/>
        <w:i/>
        <w:sz w:val="20"/>
        <w:szCs w:val="20"/>
      </w:rPr>
      <w:t xml:space="preserve"> </w:t>
    </w:r>
    <w:r w:rsidR="003830EC" w:rsidRPr="008D0371">
      <w:rPr>
        <w:rFonts w:eastAsia="Times New Roman"/>
        <w:i/>
        <w:sz w:val="20"/>
        <w:szCs w:val="20"/>
      </w:rPr>
      <w:tab/>
    </w:r>
    <w:r w:rsidR="003830EC" w:rsidRPr="008D0371">
      <w:rPr>
        <w:rFonts w:eastAsia="Times New Roman"/>
        <w:i/>
        <w:sz w:val="20"/>
        <w:szCs w:val="20"/>
      </w:rPr>
      <w:tab/>
      <w:t xml:space="preserve">Strana </w:t>
    </w:r>
    <w:r w:rsidR="003830EC" w:rsidRPr="008D0371">
      <w:rPr>
        <w:rFonts w:eastAsia="Times New Roman"/>
        <w:i/>
        <w:sz w:val="20"/>
        <w:szCs w:val="20"/>
      </w:rPr>
      <w:fldChar w:fldCharType="begin"/>
    </w:r>
    <w:r w:rsidR="003830EC" w:rsidRPr="008D0371">
      <w:rPr>
        <w:rFonts w:eastAsia="Times New Roman"/>
        <w:i/>
        <w:sz w:val="20"/>
        <w:szCs w:val="20"/>
      </w:rPr>
      <w:instrText xml:space="preserve"> PAGE </w:instrText>
    </w:r>
    <w:r w:rsidR="003830EC" w:rsidRPr="008D0371">
      <w:rPr>
        <w:rFonts w:eastAsia="Times New Roman"/>
        <w:i/>
        <w:sz w:val="20"/>
        <w:szCs w:val="20"/>
      </w:rPr>
      <w:fldChar w:fldCharType="separate"/>
    </w:r>
    <w:r w:rsidR="00244C29">
      <w:rPr>
        <w:rFonts w:eastAsia="Times New Roman"/>
        <w:i/>
        <w:noProof/>
        <w:sz w:val="20"/>
        <w:szCs w:val="20"/>
      </w:rPr>
      <w:t>9</w:t>
    </w:r>
    <w:r w:rsidR="003830EC" w:rsidRPr="008D0371">
      <w:rPr>
        <w:rFonts w:eastAsia="Times New Roman"/>
        <w:i/>
        <w:sz w:val="20"/>
        <w:szCs w:val="20"/>
      </w:rPr>
      <w:fldChar w:fldCharType="end"/>
    </w:r>
    <w:r w:rsidR="003830EC" w:rsidRPr="008D0371">
      <w:rPr>
        <w:rFonts w:eastAsia="Times New Roman"/>
        <w:i/>
        <w:sz w:val="20"/>
        <w:szCs w:val="20"/>
      </w:rPr>
      <w:t xml:space="preserve"> (celkem </w:t>
    </w:r>
    <w:r w:rsidR="00233513">
      <w:rPr>
        <w:rFonts w:eastAsia="Times New Roman"/>
        <w:i/>
        <w:sz w:val="20"/>
        <w:szCs w:val="20"/>
      </w:rPr>
      <w:t>43</w:t>
    </w:r>
    <w:r w:rsidR="003830EC" w:rsidRPr="008D0371">
      <w:rPr>
        <w:rFonts w:eastAsia="Times New Roman"/>
        <w:i/>
        <w:sz w:val="20"/>
        <w:szCs w:val="20"/>
      </w:rPr>
      <w:t>)</w:t>
    </w:r>
  </w:p>
  <w:p w:rsidR="005556A8" w:rsidRPr="003830EC" w:rsidRDefault="00B27082" w:rsidP="003830EC">
    <w:pPr>
      <w:tabs>
        <w:tab w:val="right" w:pos="9781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 xml:space="preserve">30. </w:t>
    </w:r>
    <w:r w:rsidR="003830EC" w:rsidRPr="008D0371">
      <w:rPr>
        <w:rFonts w:eastAsia="Times New Roman"/>
        <w:bCs/>
        <w:i/>
        <w:sz w:val="20"/>
        <w:szCs w:val="20"/>
      </w:rPr>
      <w:t xml:space="preserve">Program finanční podpory poskytování sociálních služeb v Olomouckém kraji, Podprogram č. 1 – dofinancování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29" w:rsidRDefault="00244C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2E" w:rsidRDefault="00992F2E" w:rsidP="00E21A8D">
      <w:r>
        <w:separator/>
      </w:r>
    </w:p>
  </w:footnote>
  <w:footnote w:type="continuationSeparator" w:id="0">
    <w:p w:rsidR="00992F2E" w:rsidRDefault="00992F2E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29" w:rsidRDefault="00244C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29" w:rsidRDefault="00244C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8B3DE2"/>
    <w:multiLevelType w:val="hybridMultilevel"/>
    <w:tmpl w:val="874625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0308F"/>
    <w:multiLevelType w:val="hybridMultilevel"/>
    <w:tmpl w:val="2370FC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E5720F6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244218"/>
    <w:multiLevelType w:val="hybridMultilevel"/>
    <w:tmpl w:val="25E4E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57E4F"/>
    <w:multiLevelType w:val="hybridMultilevel"/>
    <w:tmpl w:val="2370FC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94E9E"/>
    <w:multiLevelType w:val="hybridMultilevel"/>
    <w:tmpl w:val="874625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264C7"/>
    <w:multiLevelType w:val="hybridMultilevel"/>
    <w:tmpl w:val="0268C666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C42AA"/>
    <w:multiLevelType w:val="multilevel"/>
    <w:tmpl w:val="6BD07BE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AEE0A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CE8447C"/>
    <w:multiLevelType w:val="multilevel"/>
    <w:tmpl w:val="8BB8A6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2A2773A"/>
    <w:multiLevelType w:val="hybridMultilevel"/>
    <w:tmpl w:val="58C051CA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C3B38"/>
    <w:multiLevelType w:val="hybridMultilevel"/>
    <w:tmpl w:val="1D383D5E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A47E3"/>
    <w:multiLevelType w:val="hybridMultilevel"/>
    <w:tmpl w:val="52724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A5708"/>
    <w:multiLevelType w:val="hybridMultilevel"/>
    <w:tmpl w:val="532C499A"/>
    <w:lvl w:ilvl="0" w:tplc="8E7CB24A">
      <w:start w:val="4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0348C1"/>
    <w:multiLevelType w:val="hybridMultilevel"/>
    <w:tmpl w:val="874625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0"/>
  </w:num>
  <w:num w:numId="11">
    <w:abstractNumId w:val="23"/>
  </w:num>
  <w:num w:numId="12">
    <w:abstractNumId w:val="15"/>
  </w:num>
  <w:num w:numId="13">
    <w:abstractNumId w:val="18"/>
  </w:num>
  <w:num w:numId="14">
    <w:abstractNumId w:val="12"/>
  </w:num>
  <w:num w:numId="15">
    <w:abstractNumId w:val="21"/>
  </w:num>
  <w:num w:numId="16">
    <w:abstractNumId w:val="20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0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4"/>
  </w:num>
  <w:num w:numId="29">
    <w:abstractNumId w:val="10"/>
  </w:num>
  <w:num w:numId="30">
    <w:abstractNumId w:val="13"/>
  </w:num>
  <w:num w:numId="31">
    <w:abstractNumId w:val="24"/>
  </w:num>
  <w:num w:numId="3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172"/>
    <w:rsid w:val="0000084A"/>
    <w:rsid w:val="00002F83"/>
    <w:rsid w:val="00005BA6"/>
    <w:rsid w:val="00006D69"/>
    <w:rsid w:val="00007ECD"/>
    <w:rsid w:val="000104A7"/>
    <w:rsid w:val="00011838"/>
    <w:rsid w:val="00013940"/>
    <w:rsid w:val="0001505C"/>
    <w:rsid w:val="000157BA"/>
    <w:rsid w:val="00022E4B"/>
    <w:rsid w:val="00027C3F"/>
    <w:rsid w:val="00031A24"/>
    <w:rsid w:val="00031C37"/>
    <w:rsid w:val="00035970"/>
    <w:rsid w:val="00036140"/>
    <w:rsid w:val="00036F88"/>
    <w:rsid w:val="00037412"/>
    <w:rsid w:val="00041AC8"/>
    <w:rsid w:val="000436EC"/>
    <w:rsid w:val="00043D71"/>
    <w:rsid w:val="0004414C"/>
    <w:rsid w:val="00044648"/>
    <w:rsid w:val="00044E2F"/>
    <w:rsid w:val="00045D48"/>
    <w:rsid w:val="00047EA1"/>
    <w:rsid w:val="000505C9"/>
    <w:rsid w:val="00050A5D"/>
    <w:rsid w:val="00050A9B"/>
    <w:rsid w:val="00050DE0"/>
    <w:rsid w:val="00052E39"/>
    <w:rsid w:val="000530B8"/>
    <w:rsid w:val="000564B7"/>
    <w:rsid w:val="000600A5"/>
    <w:rsid w:val="00060AA0"/>
    <w:rsid w:val="00060EF3"/>
    <w:rsid w:val="000612A1"/>
    <w:rsid w:val="000619DE"/>
    <w:rsid w:val="00064887"/>
    <w:rsid w:val="00064A8B"/>
    <w:rsid w:val="000655B0"/>
    <w:rsid w:val="000655E0"/>
    <w:rsid w:val="00067145"/>
    <w:rsid w:val="00071452"/>
    <w:rsid w:val="000715BF"/>
    <w:rsid w:val="000716E0"/>
    <w:rsid w:val="000730E9"/>
    <w:rsid w:val="00073CB1"/>
    <w:rsid w:val="000743F1"/>
    <w:rsid w:val="0007477D"/>
    <w:rsid w:val="000753B4"/>
    <w:rsid w:val="000754D1"/>
    <w:rsid w:val="000759B9"/>
    <w:rsid w:val="000775F0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ADC"/>
    <w:rsid w:val="00092C6E"/>
    <w:rsid w:val="00093396"/>
    <w:rsid w:val="00093C40"/>
    <w:rsid w:val="0009506C"/>
    <w:rsid w:val="000A30BC"/>
    <w:rsid w:val="000A4978"/>
    <w:rsid w:val="000A5067"/>
    <w:rsid w:val="000B4A9B"/>
    <w:rsid w:val="000B5656"/>
    <w:rsid w:val="000B604F"/>
    <w:rsid w:val="000C2BF1"/>
    <w:rsid w:val="000C307C"/>
    <w:rsid w:val="000C3D6A"/>
    <w:rsid w:val="000C40DE"/>
    <w:rsid w:val="000C5EC9"/>
    <w:rsid w:val="000C7888"/>
    <w:rsid w:val="000D0048"/>
    <w:rsid w:val="000D00D7"/>
    <w:rsid w:val="000D23FA"/>
    <w:rsid w:val="000D294A"/>
    <w:rsid w:val="000D4B4D"/>
    <w:rsid w:val="000D527C"/>
    <w:rsid w:val="000D60F1"/>
    <w:rsid w:val="000F0140"/>
    <w:rsid w:val="000F0DBD"/>
    <w:rsid w:val="000F0FE4"/>
    <w:rsid w:val="000F234B"/>
    <w:rsid w:val="000F29E5"/>
    <w:rsid w:val="000F31B1"/>
    <w:rsid w:val="000F3CF3"/>
    <w:rsid w:val="000F5AB5"/>
    <w:rsid w:val="000F7516"/>
    <w:rsid w:val="0010069E"/>
    <w:rsid w:val="00101CEB"/>
    <w:rsid w:val="00102243"/>
    <w:rsid w:val="0010278F"/>
    <w:rsid w:val="00102C9D"/>
    <w:rsid w:val="00102EC3"/>
    <w:rsid w:val="001032CA"/>
    <w:rsid w:val="00105D12"/>
    <w:rsid w:val="001067BE"/>
    <w:rsid w:val="00106D7D"/>
    <w:rsid w:val="00107BF6"/>
    <w:rsid w:val="00111301"/>
    <w:rsid w:val="00113184"/>
    <w:rsid w:val="001137B5"/>
    <w:rsid w:val="00114536"/>
    <w:rsid w:val="00121235"/>
    <w:rsid w:val="00121C76"/>
    <w:rsid w:val="00124211"/>
    <w:rsid w:val="0012575B"/>
    <w:rsid w:val="00127958"/>
    <w:rsid w:val="00133113"/>
    <w:rsid w:val="00136239"/>
    <w:rsid w:val="00136496"/>
    <w:rsid w:val="0013715D"/>
    <w:rsid w:val="00141958"/>
    <w:rsid w:val="001426D4"/>
    <w:rsid w:val="00142B20"/>
    <w:rsid w:val="00142DF2"/>
    <w:rsid w:val="00142F50"/>
    <w:rsid w:val="001434A8"/>
    <w:rsid w:val="001438B5"/>
    <w:rsid w:val="0014799E"/>
    <w:rsid w:val="00150663"/>
    <w:rsid w:val="00150A3B"/>
    <w:rsid w:val="0015479D"/>
    <w:rsid w:val="001602B2"/>
    <w:rsid w:val="001614FA"/>
    <w:rsid w:val="00162594"/>
    <w:rsid w:val="00162E1B"/>
    <w:rsid w:val="001633FC"/>
    <w:rsid w:val="001638B2"/>
    <w:rsid w:val="00163CB2"/>
    <w:rsid w:val="00164044"/>
    <w:rsid w:val="001652C1"/>
    <w:rsid w:val="00170013"/>
    <w:rsid w:val="001726C8"/>
    <w:rsid w:val="00174433"/>
    <w:rsid w:val="0017557C"/>
    <w:rsid w:val="00175E90"/>
    <w:rsid w:val="0017758E"/>
    <w:rsid w:val="00181211"/>
    <w:rsid w:val="001812A8"/>
    <w:rsid w:val="00182357"/>
    <w:rsid w:val="001838E8"/>
    <w:rsid w:val="001860BF"/>
    <w:rsid w:val="00191813"/>
    <w:rsid w:val="00191E36"/>
    <w:rsid w:val="001933EC"/>
    <w:rsid w:val="0019418C"/>
    <w:rsid w:val="001942E7"/>
    <w:rsid w:val="0019469C"/>
    <w:rsid w:val="00196052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073"/>
    <w:rsid w:val="001B2435"/>
    <w:rsid w:val="001B3741"/>
    <w:rsid w:val="001B48D4"/>
    <w:rsid w:val="001B4C35"/>
    <w:rsid w:val="001B6635"/>
    <w:rsid w:val="001C17BC"/>
    <w:rsid w:val="001C28CF"/>
    <w:rsid w:val="001C3ADD"/>
    <w:rsid w:val="001C4DC0"/>
    <w:rsid w:val="001C5799"/>
    <w:rsid w:val="001C6BE5"/>
    <w:rsid w:val="001C6F88"/>
    <w:rsid w:val="001C7143"/>
    <w:rsid w:val="001D05A0"/>
    <w:rsid w:val="001D28A0"/>
    <w:rsid w:val="001D32B6"/>
    <w:rsid w:val="001D43DF"/>
    <w:rsid w:val="001D47CA"/>
    <w:rsid w:val="001D55E8"/>
    <w:rsid w:val="001D65A3"/>
    <w:rsid w:val="001D6AE4"/>
    <w:rsid w:val="001E4830"/>
    <w:rsid w:val="001E6573"/>
    <w:rsid w:val="001F08A9"/>
    <w:rsid w:val="001F1217"/>
    <w:rsid w:val="001F2540"/>
    <w:rsid w:val="001F27B1"/>
    <w:rsid w:val="001F6318"/>
    <w:rsid w:val="00200AAC"/>
    <w:rsid w:val="00204072"/>
    <w:rsid w:val="0020441E"/>
    <w:rsid w:val="0020542E"/>
    <w:rsid w:val="00205D1A"/>
    <w:rsid w:val="0020789E"/>
    <w:rsid w:val="00207D8B"/>
    <w:rsid w:val="0021004C"/>
    <w:rsid w:val="0021071A"/>
    <w:rsid w:val="00210755"/>
    <w:rsid w:val="00211DE3"/>
    <w:rsid w:val="00213A90"/>
    <w:rsid w:val="00215860"/>
    <w:rsid w:val="0022078C"/>
    <w:rsid w:val="002213A6"/>
    <w:rsid w:val="002228F1"/>
    <w:rsid w:val="00222F61"/>
    <w:rsid w:val="00222F78"/>
    <w:rsid w:val="002230CC"/>
    <w:rsid w:val="00224B43"/>
    <w:rsid w:val="00224C53"/>
    <w:rsid w:val="0022606E"/>
    <w:rsid w:val="0023039E"/>
    <w:rsid w:val="00232BDE"/>
    <w:rsid w:val="00233513"/>
    <w:rsid w:val="00235D75"/>
    <w:rsid w:val="00236CD7"/>
    <w:rsid w:val="002370E2"/>
    <w:rsid w:val="0024019B"/>
    <w:rsid w:val="00241274"/>
    <w:rsid w:val="002425BB"/>
    <w:rsid w:val="00242959"/>
    <w:rsid w:val="00244939"/>
    <w:rsid w:val="00244C29"/>
    <w:rsid w:val="0024590B"/>
    <w:rsid w:val="00247044"/>
    <w:rsid w:val="00247C67"/>
    <w:rsid w:val="00247DBB"/>
    <w:rsid w:val="00247E20"/>
    <w:rsid w:val="00255510"/>
    <w:rsid w:val="002568B4"/>
    <w:rsid w:val="00260ACA"/>
    <w:rsid w:val="002618C1"/>
    <w:rsid w:val="00261A11"/>
    <w:rsid w:val="00262234"/>
    <w:rsid w:val="00262B1C"/>
    <w:rsid w:val="00264B25"/>
    <w:rsid w:val="002745C8"/>
    <w:rsid w:val="00275543"/>
    <w:rsid w:val="002765E4"/>
    <w:rsid w:val="0027668B"/>
    <w:rsid w:val="00276E45"/>
    <w:rsid w:val="00277352"/>
    <w:rsid w:val="00277F54"/>
    <w:rsid w:val="00281260"/>
    <w:rsid w:val="002823FB"/>
    <w:rsid w:val="00282BB2"/>
    <w:rsid w:val="00293FBE"/>
    <w:rsid w:val="002942D0"/>
    <w:rsid w:val="00297875"/>
    <w:rsid w:val="002A0D81"/>
    <w:rsid w:val="002A25B0"/>
    <w:rsid w:val="002A2B28"/>
    <w:rsid w:val="002A40E2"/>
    <w:rsid w:val="002A429C"/>
    <w:rsid w:val="002A458E"/>
    <w:rsid w:val="002A5FF4"/>
    <w:rsid w:val="002A6E04"/>
    <w:rsid w:val="002A7C1A"/>
    <w:rsid w:val="002B14CC"/>
    <w:rsid w:val="002B1775"/>
    <w:rsid w:val="002B2515"/>
    <w:rsid w:val="002B3261"/>
    <w:rsid w:val="002B3A44"/>
    <w:rsid w:val="002B5C30"/>
    <w:rsid w:val="002B5FD6"/>
    <w:rsid w:val="002B61B6"/>
    <w:rsid w:val="002C23F6"/>
    <w:rsid w:val="002C3D4F"/>
    <w:rsid w:val="002C570D"/>
    <w:rsid w:val="002C5973"/>
    <w:rsid w:val="002C5EF0"/>
    <w:rsid w:val="002C60F8"/>
    <w:rsid w:val="002C611C"/>
    <w:rsid w:val="002D0597"/>
    <w:rsid w:val="002D095C"/>
    <w:rsid w:val="002D1D8E"/>
    <w:rsid w:val="002D3A62"/>
    <w:rsid w:val="002D4BFE"/>
    <w:rsid w:val="002D4D3B"/>
    <w:rsid w:val="002D6339"/>
    <w:rsid w:val="002E0ADD"/>
    <w:rsid w:val="002E1890"/>
    <w:rsid w:val="002E2DC0"/>
    <w:rsid w:val="002E2FB8"/>
    <w:rsid w:val="002E39B5"/>
    <w:rsid w:val="002E42A7"/>
    <w:rsid w:val="002F1891"/>
    <w:rsid w:val="002F6859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2BC"/>
    <w:rsid w:val="0031380C"/>
    <w:rsid w:val="00313E2B"/>
    <w:rsid w:val="00315A04"/>
    <w:rsid w:val="0031759B"/>
    <w:rsid w:val="0032041E"/>
    <w:rsid w:val="003229FA"/>
    <w:rsid w:val="00322BE1"/>
    <w:rsid w:val="00324055"/>
    <w:rsid w:val="003270CA"/>
    <w:rsid w:val="0033038B"/>
    <w:rsid w:val="00330AE1"/>
    <w:rsid w:val="003321EC"/>
    <w:rsid w:val="003346E7"/>
    <w:rsid w:val="00335762"/>
    <w:rsid w:val="00337C0D"/>
    <w:rsid w:val="00340A0F"/>
    <w:rsid w:val="003444C4"/>
    <w:rsid w:val="003454E3"/>
    <w:rsid w:val="00347030"/>
    <w:rsid w:val="00351C44"/>
    <w:rsid w:val="00351E0B"/>
    <w:rsid w:val="00352067"/>
    <w:rsid w:val="00352F88"/>
    <w:rsid w:val="003531A4"/>
    <w:rsid w:val="00354FBD"/>
    <w:rsid w:val="003554FA"/>
    <w:rsid w:val="0035555C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6173"/>
    <w:rsid w:val="0037028A"/>
    <w:rsid w:val="003739EC"/>
    <w:rsid w:val="00374F10"/>
    <w:rsid w:val="003756B4"/>
    <w:rsid w:val="003772A6"/>
    <w:rsid w:val="00377E6C"/>
    <w:rsid w:val="00381DAB"/>
    <w:rsid w:val="003830EC"/>
    <w:rsid w:val="00383A5B"/>
    <w:rsid w:val="00385529"/>
    <w:rsid w:val="003868E9"/>
    <w:rsid w:val="00393658"/>
    <w:rsid w:val="00393AC1"/>
    <w:rsid w:val="0039465E"/>
    <w:rsid w:val="00396493"/>
    <w:rsid w:val="00396A23"/>
    <w:rsid w:val="003976B1"/>
    <w:rsid w:val="003A064B"/>
    <w:rsid w:val="003A0B95"/>
    <w:rsid w:val="003A0DFA"/>
    <w:rsid w:val="003A14FB"/>
    <w:rsid w:val="003A18F7"/>
    <w:rsid w:val="003A1C6B"/>
    <w:rsid w:val="003A250C"/>
    <w:rsid w:val="003A258A"/>
    <w:rsid w:val="003A35A6"/>
    <w:rsid w:val="003A56E4"/>
    <w:rsid w:val="003B20CB"/>
    <w:rsid w:val="003B2349"/>
    <w:rsid w:val="003B2FB3"/>
    <w:rsid w:val="003B3708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C6C0B"/>
    <w:rsid w:val="003D4101"/>
    <w:rsid w:val="003D416D"/>
    <w:rsid w:val="003D4323"/>
    <w:rsid w:val="003D524E"/>
    <w:rsid w:val="003D7BB3"/>
    <w:rsid w:val="003E0653"/>
    <w:rsid w:val="003E0868"/>
    <w:rsid w:val="003E44C3"/>
    <w:rsid w:val="003E5199"/>
    <w:rsid w:val="003E5FA6"/>
    <w:rsid w:val="003F54F4"/>
    <w:rsid w:val="003F5784"/>
    <w:rsid w:val="00400201"/>
    <w:rsid w:val="00400AF3"/>
    <w:rsid w:val="00400C57"/>
    <w:rsid w:val="004020EC"/>
    <w:rsid w:val="00402551"/>
    <w:rsid w:val="00404A17"/>
    <w:rsid w:val="00404C3F"/>
    <w:rsid w:val="004050FE"/>
    <w:rsid w:val="004062DD"/>
    <w:rsid w:val="00406985"/>
    <w:rsid w:val="004114C1"/>
    <w:rsid w:val="00413830"/>
    <w:rsid w:val="00414DF2"/>
    <w:rsid w:val="00415539"/>
    <w:rsid w:val="00415A10"/>
    <w:rsid w:val="004164F6"/>
    <w:rsid w:val="004178B3"/>
    <w:rsid w:val="00420BD6"/>
    <w:rsid w:val="00420C5D"/>
    <w:rsid w:val="0042525A"/>
    <w:rsid w:val="0042534F"/>
    <w:rsid w:val="00430087"/>
    <w:rsid w:val="00431ED7"/>
    <w:rsid w:val="00436CB7"/>
    <w:rsid w:val="00440921"/>
    <w:rsid w:val="00440D75"/>
    <w:rsid w:val="00445085"/>
    <w:rsid w:val="0044597B"/>
    <w:rsid w:val="00446E8D"/>
    <w:rsid w:val="00447C83"/>
    <w:rsid w:val="004538C4"/>
    <w:rsid w:val="00453B4B"/>
    <w:rsid w:val="00453FD0"/>
    <w:rsid w:val="004551BA"/>
    <w:rsid w:val="00455AB1"/>
    <w:rsid w:val="00457A81"/>
    <w:rsid w:val="00461DFA"/>
    <w:rsid w:val="0046273F"/>
    <w:rsid w:val="0046561B"/>
    <w:rsid w:val="00465937"/>
    <w:rsid w:val="00467E5E"/>
    <w:rsid w:val="00470EAE"/>
    <w:rsid w:val="00471671"/>
    <w:rsid w:val="00472F3F"/>
    <w:rsid w:val="0047310C"/>
    <w:rsid w:val="00473938"/>
    <w:rsid w:val="00474E8E"/>
    <w:rsid w:val="004775B4"/>
    <w:rsid w:val="004800F1"/>
    <w:rsid w:val="004807D0"/>
    <w:rsid w:val="00482643"/>
    <w:rsid w:val="00482F02"/>
    <w:rsid w:val="004832C8"/>
    <w:rsid w:val="0048461E"/>
    <w:rsid w:val="00485F53"/>
    <w:rsid w:val="004867F9"/>
    <w:rsid w:val="0049027E"/>
    <w:rsid w:val="00490AEA"/>
    <w:rsid w:val="00490C2F"/>
    <w:rsid w:val="00491132"/>
    <w:rsid w:val="004912FE"/>
    <w:rsid w:val="00491F58"/>
    <w:rsid w:val="00494AFB"/>
    <w:rsid w:val="00496B20"/>
    <w:rsid w:val="00496CDB"/>
    <w:rsid w:val="00496F5F"/>
    <w:rsid w:val="004A194E"/>
    <w:rsid w:val="004A3D8E"/>
    <w:rsid w:val="004A5F19"/>
    <w:rsid w:val="004A64C3"/>
    <w:rsid w:val="004A7E1A"/>
    <w:rsid w:val="004B10AC"/>
    <w:rsid w:val="004B4752"/>
    <w:rsid w:val="004B76FD"/>
    <w:rsid w:val="004C15F8"/>
    <w:rsid w:val="004C1D4D"/>
    <w:rsid w:val="004C2B77"/>
    <w:rsid w:val="004C3487"/>
    <w:rsid w:val="004C3555"/>
    <w:rsid w:val="004C45E6"/>
    <w:rsid w:val="004C634B"/>
    <w:rsid w:val="004C6BEA"/>
    <w:rsid w:val="004C6E52"/>
    <w:rsid w:val="004C70C2"/>
    <w:rsid w:val="004C71FF"/>
    <w:rsid w:val="004C7438"/>
    <w:rsid w:val="004D096F"/>
    <w:rsid w:val="004D114E"/>
    <w:rsid w:val="004D5E42"/>
    <w:rsid w:val="004D69B1"/>
    <w:rsid w:val="004E073D"/>
    <w:rsid w:val="004E124B"/>
    <w:rsid w:val="004E1CD5"/>
    <w:rsid w:val="004E5182"/>
    <w:rsid w:val="004E5409"/>
    <w:rsid w:val="004E5B83"/>
    <w:rsid w:val="004E6C6A"/>
    <w:rsid w:val="004E77CA"/>
    <w:rsid w:val="004F2588"/>
    <w:rsid w:val="004F2F12"/>
    <w:rsid w:val="004F3A46"/>
    <w:rsid w:val="004F41DA"/>
    <w:rsid w:val="004F56CE"/>
    <w:rsid w:val="004F57B9"/>
    <w:rsid w:val="004F6B83"/>
    <w:rsid w:val="004F7B60"/>
    <w:rsid w:val="004F7D4B"/>
    <w:rsid w:val="005026EB"/>
    <w:rsid w:val="00503565"/>
    <w:rsid w:val="00503C0D"/>
    <w:rsid w:val="0050544A"/>
    <w:rsid w:val="005103D1"/>
    <w:rsid w:val="00511F4B"/>
    <w:rsid w:val="00512C6E"/>
    <w:rsid w:val="005134CB"/>
    <w:rsid w:val="00513875"/>
    <w:rsid w:val="005138A0"/>
    <w:rsid w:val="005144D0"/>
    <w:rsid w:val="005172F6"/>
    <w:rsid w:val="00520F48"/>
    <w:rsid w:val="00521071"/>
    <w:rsid w:val="0052280D"/>
    <w:rsid w:val="00523DF9"/>
    <w:rsid w:val="00525EB9"/>
    <w:rsid w:val="00526350"/>
    <w:rsid w:val="005328F7"/>
    <w:rsid w:val="00533324"/>
    <w:rsid w:val="005339FC"/>
    <w:rsid w:val="00533D2B"/>
    <w:rsid w:val="00533DE4"/>
    <w:rsid w:val="005344E5"/>
    <w:rsid w:val="005347A6"/>
    <w:rsid w:val="0053491D"/>
    <w:rsid w:val="00535A01"/>
    <w:rsid w:val="00535E61"/>
    <w:rsid w:val="00541B90"/>
    <w:rsid w:val="00543EF6"/>
    <w:rsid w:val="0054556E"/>
    <w:rsid w:val="00545CFE"/>
    <w:rsid w:val="005469FB"/>
    <w:rsid w:val="00547654"/>
    <w:rsid w:val="00550440"/>
    <w:rsid w:val="0055044A"/>
    <w:rsid w:val="005507CB"/>
    <w:rsid w:val="0055165C"/>
    <w:rsid w:val="005527DF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3216"/>
    <w:rsid w:val="00563237"/>
    <w:rsid w:val="00564335"/>
    <w:rsid w:val="0056453B"/>
    <w:rsid w:val="00565E43"/>
    <w:rsid w:val="0056703F"/>
    <w:rsid w:val="00567837"/>
    <w:rsid w:val="005702EB"/>
    <w:rsid w:val="00575374"/>
    <w:rsid w:val="00576275"/>
    <w:rsid w:val="00577CC4"/>
    <w:rsid w:val="0058131E"/>
    <w:rsid w:val="005816F5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1821"/>
    <w:rsid w:val="005924B5"/>
    <w:rsid w:val="0059389D"/>
    <w:rsid w:val="00593B10"/>
    <w:rsid w:val="0059401A"/>
    <w:rsid w:val="005943C0"/>
    <w:rsid w:val="00596544"/>
    <w:rsid w:val="00597A51"/>
    <w:rsid w:val="00597C68"/>
    <w:rsid w:val="005A24DE"/>
    <w:rsid w:val="005A339F"/>
    <w:rsid w:val="005A4430"/>
    <w:rsid w:val="005A6FCD"/>
    <w:rsid w:val="005A7269"/>
    <w:rsid w:val="005B0C4D"/>
    <w:rsid w:val="005B4239"/>
    <w:rsid w:val="005B6017"/>
    <w:rsid w:val="005C09D8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D5245"/>
    <w:rsid w:val="005D735B"/>
    <w:rsid w:val="005E07A7"/>
    <w:rsid w:val="005E0E53"/>
    <w:rsid w:val="005E293A"/>
    <w:rsid w:val="005E2D49"/>
    <w:rsid w:val="005E3AEA"/>
    <w:rsid w:val="005E452D"/>
    <w:rsid w:val="005E526F"/>
    <w:rsid w:val="005E60AB"/>
    <w:rsid w:val="005E7942"/>
    <w:rsid w:val="005F136B"/>
    <w:rsid w:val="005F2720"/>
    <w:rsid w:val="005F3592"/>
    <w:rsid w:val="005F3EB2"/>
    <w:rsid w:val="005F503F"/>
    <w:rsid w:val="006007E7"/>
    <w:rsid w:val="00605775"/>
    <w:rsid w:val="00607643"/>
    <w:rsid w:val="00610338"/>
    <w:rsid w:val="006106B4"/>
    <w:rsid w:val="00611329"/>
    <w:rsid w:val="006123F2"/>
    <w:rsid w:val="00613DD9"/>
    <w:rsid w:val="00614D0E"/>
    <w:rsid w:val="00615733"/>
    <w:rsid w:val="006158C8"/>
    <w:rsid w:val="006179D1"/>
    <w:rsid w:val="00617F64"/>
    <w:rsid w:val="006203FC"/>
    <w:rsid w:val="00620549"/>
    <w:rsid w:val="00621A04"/>
    <w:rsid w:val="00623E08"/>
    <w:rsid w:val="006245FC"/>
    <w:rsid w:val="00625E49"/>
    <w:rsid w:val="00625F82"/>
    <w:rsid w:val="00631B63"/>
    <w:rsid w:val="00633192"/>
    <w:rsid w:val="00634EED"/>
    <w:rsid w:val="00636698"/>
    <w:rsid w:val="00636C0D"/>
    <w:rsid w:val="00637AD6"/>
    <w:rsid w:val="00641E0C"/>
    <w:rsid w:val="006426E4"/>
    <w:rsid w:val="00643898"/>
    <w:rsid w:val="006443C6"/>
    <w:rsid w:val="00645293"/>
    <w:rsid w:val="0064748F"/>
    <w:rsid w:val="00650401"/>
    <w:rsid w:val="00650E92"/>
    <w:rsid w:val="00650F3C"/>
    <w:rsid w:val="006539B2"/>
    <w:rsid w:val="006558B0"/>
    <w:rsid w:val="00655D8E"/>
    <w:rsid w:val="00655FCE"/>
    <w:rsid w:val="0065718D"/>
    <w:rsid w:val="00660BE6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0172"/>
    <w:rsid w:val="00682E75"/>
    <w:rsid w:val="006831D5"/>
    <w:rsid w:val="00683528"/>
    <w:rsid w:val="006836EE"/>
    <w:rsid w:val="00683806"/>
    <w:rsid w:val="00683851"/>
    <w:rsid w:val="006846FD"/>
    <w:rsid w:val="0069141F"/>
    <w:rsid w:val="00691598"/>
    <w:rsid w:val="0069226A"/>
    <w:rsid w:val="006925EC"/>
    <w:rsid w:val="006938C3"/>
    <w:rsid w:val="00696685"/>
    <w:rsid w:val="006A0D87"/>
    <w:rsid w:val="006A3C99"/>
    <w:rsid w:val="006A5D36"/>
    <w:rsid w:val="006A68D5"/>
    <w:rsid w:val="006A7751"/>
    <w:rsid w:val="006B10AF"/>
    <w:rsid w:val="006B1514"/>
    <w:rsid w:val="006B29DF"/>
    <w:rsid w:val="006B386F"/>
    <w:rsid w:val="006B39EF"/>
    <w:rsid w:val="006C0242"/>
    <w:rsid w:val="006C29F6"/>
    <w:rsid w:val="006C41D8"/>
    <w:rsid w:val="006D1364"/>
    <w:rsid w:val="006D23B3"/>
    <w:rsid w:val="006D2F42"/>
    <w:rsid w:val="006D2F9C"/>
    <w:rsid w:val="006D3506"/>
    <w:rsid w:val="006D55CB"/>
    <w:rsid w:val="006E1F8F"/>
    <w:rsid w:val="006E424F"/>
    <w:rsid w:val="006E5171"/>
    <w:rsid w:val="006E605C"/>
    <w:rsid w:val="006E6841"/>
    <w:rsid w:val="006E717B"/>
    <w:rsid w:val="006F3839"/>
    <w:rsid w:val="006F4874"/>
    <w:rsid w:val="006F584E"/>
    <w:rsid w:val="006F70B4"/>
    <w:rsid w:val="006F7FD1"/>
    <w:rsid w:val="007002C8"/>
    <w:rsid w:val="00700933"/>
    <w:rsid w:val="007011A6"/>
    <w:rsid w:val="007019D1"/>
    <w:rsid w:val="00701B7B"/>
    <w:rsid w:val="00702541"/>
    <w:rsid w:val="00702D3C"/>
    <w:rsid w:val="00702F1B"/>
    <w:rsid w:val="007051B3"/>
    <w:rsid w:val="007053EE"/>
    <w:rsid w:val="00705596"/>
    <w:rsid w:val="0070755A"/>
    <w:rsid w:val="00714D07"/>
    <w:rsid w:val="00716273"/>
    <w:rsid w:val="007168B0"/>
    <w:rsid w:val="007236E8"/>
    <w:rsid w:val="00723D48"/>
    <w:rsid w:val="00723E9C"/>
    <w:rsid w:val="00724358"/>
    <w:rsid w:val="00724CA1"/>
    <w:rsid w:val="00725BC5"/>
    <w:rsid w:val="00726F01"/>
    <w:rsid w:val="00727C6F"/>
    <w:rsid w:val="0073150B"/>
    <w:rsid w:val="0073299E"/>
    <w:rsid w:val="007352B7"/>
    <w:rsid w:val="00736537"/>
    <w:rsid w:val="00737B7F"/>
    <w:rsid w:val="007419AC"/>
    <w:rsid w:val="007422B5"/>
    <w:rsid w:val="00745374"/>
    <w:rsid w:val="00745B5F"/>
    <w:rsid w:val="00745D35"/>
    <w:rsid w:val="00746804"/>
    <w:rsid w:val="0074681B"/>
    <w:rsid w:val="00746C08"/>
    <w:rsid w:val="00751C7B"/>
    <w:rsid w:val="007537D5"/>
    <w:rsid w:val="0075423A"/>
    <w:rsid w:val="00755C56"/>
    <w:rsid w:val="00760864"/>
    <w:rsid w:val="0076208E"/>
    <w:rsid w:val="00762571"/>
    <w:rsid w:val="00762FD7"/>
    <w:rsid w:val="007636BD"/>
    <w:rsid w:val="007638D4"/>
    <w:rsid w:val="00763F1B"/>
    <w:rsid w:val="00764A9A"/>
    <w:rsid w:val="00765756"/>
    <w:rsid w:val="00765C16"/>
    <w:rsid w:val="00766F24"/>
    <w:rsid w:val="00767ACD"/>
    <w:rsid w:val="00770B64"/>
    <w:rsid w:val="00772602"/>
    <w:rsid w:val="00772CF1"/>
    <w:rsid w:val="00772D38"/>
    <w:rsid w:val="0077349B"/>
    <w:rsid w:val="00773E32"/>
    <w:rsid w:val="00775381"/>
    <w:rsid w:val="00777B31"/>
    <w:rsid w:val="00782305"/>
    <w:rsid w:val="007824D4"/>
    <w:rsid w:val="0078252E"/>
    <w:rsid w:val="00784BA2"/>
    <w:rsid w:val="007876F3"/>
    <w:rsid w:val="00791785"/>
    <w:rsid w:val="007929D2"/>
    <w:rsid w:val="007931E8"/>
    <w:rsid w:val="00793D24"/>
    <w:rsid w:val="00794833"/>
    <w:rsid w:val="00795A50"/>
    <w:rsid w:val="007963AE"/>
    <w:rsid w:val="007965A1"/>
    <w:rsid w:val="00797DEA"/>
    <w:rsid w:val="007A0443"/>
    <w:rsid w:val="007A1F87"/>
    <w:rsid w:val="007A63D6"/>
    <w:rsid w:val="007A6433"/>
    <w:rsid w:val="007B0247"/>
    <w:rsid w:val="007B0721"/>
    <w:rsid w:val="007B28DC"/>
    <w:rsid w:val="007B4945"/>
    <w:rsid w:val="007B5696"/>
    <w:rsid w:val="007B6421"/>
    <w:rsid w:val="007C2075"/>
    <w:rsid w:val="007C2992"/>
    <w:rsid w:val="007C2C0C"/>
    <w:rsid w:val="007C347F"/>
    <w:rsid w:val="007C5931"/>
    <w:rsid w:val="007C78FC"/>
    <w:rsid w:val="007C7ED3"/>
    <w:rsid w:val="007D1293"/>
    <w:rsid w:val="007D1C3B"/>
    <w:rsid w:val="007D201B"/>
    <w:rsid w:val="007D2609"/>
    <w:rsid w:val="007D32CA"/>
    <w:rsid w:val="007E07CF"/>
    <w:rsid w:val="007E1057"/>
    <w:rsid w:val="007E2FD7"/>
    <w:rsid w:val="007E488D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0468F"/>
    <w:rsid w:val="008107D4"/>
    <w:rsid w:val="008124F1"/>
    <w:rsid w:val="00814E9A"/>
    <w:rsid w:val="008158E4"/>
    <w:rsid w:val="008172A3"/>
    <w:rsid w:val="00820A69"/>
    <w:rsid w:val="00820B84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345B"/>
    <w:rsid w:val="00841D21"/>
    <w:rsid w:val="00842524"/>
    <w:rsid w:val="00843501"/>
    <w:rsid w:val="00843945"/>
    <w:rsid w:val="00843BA5"/>
    <w:rsid w:val="008441CF"/>
    <w:rsid w:val="008441F7"/>
    <w:rsid w:val="008461DC"/>
    <w:rsid w:val="008465B2"/>
    <w:rsid w:val="00847685"/>
    <w:rsid w:val="00851B34"/>
    <w:rsid w:val="008538A7"/>
    <w:rsid w:val="008607CE"/>
    <w:rsid w:val="00860BE9"/>
    <w:rsid w:val="008623B5"/>
    <w:rsid w:val="00865FA7"/>
    <w:rsid w:val="00867A68"/>
    <w:rsid w:val="00871D42"/>
    <w:rsid w:val="0087282C"/>
    <w:rsid w:val="00872C81"/>
    <w:rsid w:val="00872E64"/>
    <w:rsid w:val="00872E90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96536"/>
    <w:rsid w:val="008A0475"/>
    <w:rsid w:val="008A0F8E"/>
    <w:rsid w:val="008A1319"/>
    <w:rsid w:val="008A2270"/>
    <w:rsid w:val="008A323B"/>
    <w:rsid w:val="008A3DC9"/>
    <w:rsid w:val="008A4803"/>
    <w:rsid w:val="008A4AED"/>
    <w:rsid w:val="008A4B91"/>
    <w:rsid w:val="008A53A1"/>
    <w:rsid w:val="008A743A"/>
    <w:rsid w:val="008A7E28"/>
    <w:rsid w:val="008B05D5"/>
    <w:rsid w:val="008B068C"/>
    <w:rsid w:val="008B1F42"/>
    <w:rsid w:val="008B2ED8"/>
    <w:rsid w:val="008B3F61"/>
    <w:rsid w:val="008B5019"/>
    <w:rsid w:val="008B5EA9"/>
    <w:rsid w:val="008B5F79"/>
    <w:rsid w:val="008B7E6E"/>
    <w:rsid w:val="008C1B6F"/>
    <w:rsid w:val="008C315A"/>
    <w:rsid w:val="008C50D7"/>
    <w:rsid w:val="008D1F6D"/>
    <w:rsid w:val="008D7AE8"/>
    <w:rsid w:val="008E1A23"/>
    <w:rsid w:val="008E1C19"/>
    <w:rsid w:val="008E25AE"/>
    <w:rsid w:val="008E3415"/>
    <w:rsid w:val="008E44F2"/>
    <w:rsid w:val="008E59B6"/>
    <w:rsid w:val="008E7280"/>
    <w:rsid w:val="008E7A9E"/>
    <w:rsid w:val="008F0987"/>
    <w:rsid w:val="008F1E92"/>
    <w:rsid w:val="008F2E40"/>
    <w:rsid w:val="008F69D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22D"/>
    <w:rsid w:val="00913438"/>
    <w:rsid w:val="009138A8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262C8"/>
    <w:rsid w:val="00931FBE"/>
    <w:rsid w:val="009366A9"/>
    <w:rsid w:val="0093671E"/>
    <w:rsid w:val="00937DFD"/>
    <w:rsid w:val="00940926"/>
    <w:rsid w:val="00940B17"/>
    <w:rsid w:val="00941E64"/>
    <w:rsid w:val="009422AA"/>
    <w:rsid w:val="00944501"/>
    <w:rsid w:val="009451D0"/>
    <w:rsid w:val="00946BE1"/>
    <w:rsid w:val="00950520"/>
    <w:rsid w:val="00952A18"/>
    <w:rsid w:val="00953916"/>
    <w:rsid w:val="00953B29"/>
    <w:rsid w:val="009556CC"/>
    <w:rsid w:val="00955837"/>
    <w:rsid w:val="00957F12"/>
    <w:rsid w:val="00957F64"/>
    <w:rsid w:val="00960704"/>
    <w:rsid w:val="00961963"/>
    <w:rsid w:val="00961A2E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B32"/>
    <w:rsid w:val="00984FA7"/>
    <w:rsid w:val="009852FB"/>
    <w:rsid w:val="00985851"/>
    <w:rsid w:val="009872D7"/>
    <w:rsid w:val="009873AE"/>
    <w:rsid w:val="00992D4B"/>
    <w:rsid w:val="00992F2E"/>
    <w:rsid w:val="00993D36"/>
    <w:rsid w:val="00995DDD"/>
    <w:rsid w:val="009A1777"/>
    <w:rsid w:val="009A5CED"/>
    <w:rsid w:val="009B3675"/>
    <w:rsid w:val="009B5CF5"/>
    <w:rsid w:val="009B66EA"/>
    <w:rsid w:val="009B681D"/>
    <w:rsid w:val="009B6F95"/>
    <w:rsid w:val="009B709B"/>
    <w:rsid w:val="009C10AC"/>
    <w:rsid w:val="009C26CA"/>
    <w:rsid w:val="009C28B2"/>
    <w:rsid w:val="009C2B54"/>
    <w:rsid w:val="009C49BD"/>
    <w:rsid w:val="009C517E"/>
    <w:rsid w:val="009C5501"/>
    <w:rsid w:val="009C6AF9"/>
    <w:rsid w:val="009D05AB"/>
    <w:rsid w:val="009D1928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5E9F"/>
    <w:rsid w:val="009E7AF7"/>
    <w:rsid w:val="009F06EA"/>
    <w:rsid w:val="009F0DB8"/>
    <w:rsid w:val="009F1EFD"/>
    <w:rsid w:val="009F335E"/>
    <w:rsid w:val="009F5F48"/>
    <w:rsid w:val="00A01874"/>
    <w:rsid w:val="00A01DC8"/>
    <w:rsid w:val="00A02140"/>
    <w:rsid w:val="00A03D8B"/>
    <w:rsid w:val="00A05843"/>
    <w:rsid w:val="00A100E2"/>
    <w:rsid w:val="00A10E09"/>
    <w:rsid w:val="00A11E9F"/>
    <w:rsid w:val="00A127E4"/>
    <w:rsid w:val="00A13CE0"/>
    <w:rsid w:val="00A149A3"/>
    <w:rsid w:val="00A21ED1"/>
    <w:rsid w:val="00A2220A"/>
    <w:rsid w:val="00A2558B"/>
    <w:rsid w:val="00A30B3B"/>
    <w:rsid w:val="00A32520"/>
    <w:rsid w:val="00A32AA4"/>
    <w:rsid w:val="00A32AE3"/>
    <w:rsid w:val="00A3306D"/>
    <w:rsid w:val="00A35332"/>
    <w:rsid w:val="00A36685"/>
    <w:rsid w:val="00A36AC2"/>
    <w:rsid w:val="00A43E3F"/>
    <w:rsid w:val="00A43FBD"/>
    <w:rsid w:val="00A443C0"/>
    <w:rsid w:val="00A45916"/>
    <w:rsid w:val="00A465C1"/>
    <w:rsid w:val="00A474E9"/>
    <w:rsid w:val="00A52DA3"/>
    <w:rsid w:val="00A55000"/>
    <w:rsid w:val="00A55781"/>
    <w:rsid w:val="00A5669C"/>
    <w:rsid w:val="00A60633"/>
    <w:rsid w:val="00A606C2"/>
    <w:rsid w:val="00A618C8"/>
    <w:rsid w:val="00A62F61"/>
    <w:rsid w:val="00A63F5A"/>
    <w:rsid w:val="00A657BD"/>
    <w:rsid w:val="00A65891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40BB"/>
    <w:rsid w:val="00A8412F"/>
    <w:rsid w:val="00A85461"/>
    <w:rsid w:val="00A85DB9"/>
    <w:rsid w:val="00A86647"/>
    <w:rsid w:val="00A87559"/>
    <w:rsid w:val="00A905AC"/>
    <w:rsid w:val="00A905B3"/>
    <w:rsid w:val="00A91D30"/>
    <w:rsid w:val="00A92DDA"/>
    <w:rsid w:val="00A95666"/>
    <w:rsid w:val="00A97002"/>
    <w:rsid w:val="00A9702B"/>
    <w:rsid w:val="00AA0A46"/>
    <w:rsid w:val="00AA5231"/>
    <w:rsid w:val="00AA53A4"/>
    <w:rsid w:val="00AA7311"/>
    <w:rsid w:val="00AA7751"/>
    <w:rsid w:val="00AB0EBB"/>
    <w:rsid w:val="00AB0EE4"/>
    <w:rsid w:val="00AB188A"/>
    <w:rsid w:val="00AB46C0"/>
    <w:rsid w:val="00AB62F8"/>
    <w:rsid w:val="00AB6515"/>
    <w:rsid w:val="00AB70A5"/>
    <w:rsid w:val="00AB7807"/>
    <w:rsid w:val="00AC0CF8"/>
    <w:rsid w:val="00AC120B"/>
    <w:rsid w:val="00AC20C0"/>
    <w:rsid w:val="00AC41EA"/>
    <w:rsid w:val="00AD14D3"/>
    <w:rsid w:val="00AD1580"/>
    <w:rsid w:val="00AD1924"/>
    <w:rsid w:val="00AD19AC"/>
    <w:rsid w:val="00AD5596"/>
    <w:rsid w:val="00AD7517"/>
    <w:rsid w:val="00AE18C7"/>
    <w:rsid w:val="00AE36AC"/>
    <w:rsid w:val="00AE3AB2"/>
    <w:rsid w:val="00AE56CA"/>
    <w:rsid w:val="00AF020A"/>
    <w:rsid w:val="00AF04EA"/>
    <w:rsid w:val="00AF0ACC"/>
    <w:rsid w:val="00AF1568"/>
    <w:rsid w:val="00AF3D81"/>
    <w:rsid w:val="00AF5357"/>
    <w:rsid w:val="00AF7295"/>
    <w:rsid w:val="00AF73F5"/>
    <w:rsid w:val="00AF7ADF"/>
    <w:rsid w:val="00B000B6"/>
    <w:rsid w:val="00B03D74"/>
    <w:rsid w:val="00B0404F"/>
    <w:rsid w:val="00B04ABA"/>
    <w:rsid w:val="00B07343"/>
    <w:rsid w:val="00B10472"/>
    <w:rsid w:val="00B10802"/>
    <w:rsid w:val="00B13BC1"/>
    <w:rsid w:val="00B152ED"/>
    <w:rsid w:val="00B1560E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3111"/>
    <w:rsid w:val="00B25262"/>
    <w:rsid w:val="00B27082"/>
    <w:rsid w:val="00B270B7"/>
    <w:rsid w:val="00B31B0D"/>
    <w:rsid w:val="00B3386D"/>
    <w:rsid w:val="00B341BE"/>
    <w:rsid w:val="00B35D00"/>
    <w:rsid w:val="00B37553"/>
    <w:rsid w:val="00B3778E"/>
    <w:rsid w:val="00B37BDD"/>
    <w:rsid w:val="00B4289B"/>
    <w:rsid w:val="00B42AE3"/>
    <w:rsid w:val="00B45A16"/>
    <w:rsid w:val="00B462BF"/>
    <w:rsid w:val="00B46EE6"/>
    <w:rsid w:val="00B51022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576"/>
    <w:rsid w:val="00B62CEC"/>
    <w:rsid w:val="00B62F6F"/>
    <w:rsid w:val="00B63D1B"/>
    <w:rsid w:val="00B64A4C"/>
    <w:rsid w:val="00B65BAC"/>
    <w:rsid w:val="00B65C8C"/>
    <w:rsid w:val="00B67644"/>
    <w:rsid w:val="00B706E2"/>
    <w:rsid w:val="00B70F8A"/>
    <w:rsid w:val="00B71360"/>
    <w:rsid w:val="00B73F43"/>
    <w:rsid w:val="00B74728"/>
    <w:rsid w:val="00B7482F"/>
    <w:rsid w:val="00B753EA"/>
    <w:rsid w:val="00B755C7"/>
    <w:rsid w:val="00B75780"/>
    <w:rsid w:val="00B80DDC"/>
    <w:rsid w:val="00B81A4A"/>
    <w:rsid w:val="00B8244B"/>
    <w:rsid w:val="00B82D56"/>
    <w:rsid w:val="00B833AA"/>
    <w:rsid w:val="00B83F9F"/>
    <w:rsid w:val="00B85C0A"/>
    <w:rsid w:val="00B86F45"/>
    <w:rsid w:val="00B873D2"/>
    <w:rsid w:val="00B9087E"/>
    <w:rsid w:val="00B90AA8"/>
    <w:rsid w:val="00B9188F"/>
    <w:rsid w:val="00B91E0A"/>
    <w:rsid w:val="00B92D24"/>
    <w:rsid w:val="00B9543B"/>
    <w:rsid w:val="00B96D6D"/>
    <w:rsid w:val="00BA04C4"/>
    <w:rsid w:val="00BA090E"/>
    <w:rsid w:val="00BA5192"/>
    <w:rsid w:val="00BB1428"/>
    <w:rsid w:val="00BB39C5"/>
    <w:rsid w:val="00BB44A8"/>
    <w:rsid w:val="00BB67D2"/>
    <w:rsid w:val="00BB6B20"/>
    <w:rsid w:val="00BB6F09"/>
    <w:rsid w:val="00BB7527"/>
    <w:rsid w:val="00BC2739"/>
    <w:rsid w:val="00BC37CA"/>
    <w:rsid w:val="00BC3BDD"/>
    <w:rsid w:val="00BC490A"/>
    <w:rsid w:val="00BC6F3E"/>
    <w:rsid w:val="00BD0F9E"/>
    <w:rsid w:val="00BD1C7E"/>
    <w:rsid w:val="00BD7CF5"/>
    <w:rsid w:val="00BE001F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835"/>
    <w:rsid w:val="00BF4B95"/>
    <w:rsid w:val="00BF5633"/>
    <w:rsid w:val="00C00318"/>
    <w:rsid w:val="00C00826"/>
    <w:rsid w:val="00C010D9"/>
    <w:rsid w:val="00C012B6"/>
    <w:rsid w:val="00C01788"/>
    <w:rsid w:val="00C01CB9"/>
    <w:rsid w:val="00C03CFB"/>
    <w:rsid w:val="00C03D8E"/>
    <w:rsid w:val="00C05890"/>
    <w:rsid w:val="00C065FF"/>
    <w:rsid w:val="00C07E6C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395C"/>
    <w:rsid w:val="00C23B07"/>
    <w:rsid w:val="00C25DB2"/>
    <w:rsid w:val="00C26865"/>
    <w:rsid w:val="00C26AFC"/>
    <w:rsid w:val="00C30504"/>
    <w:rsid w:val="00C30C1B"/>
    <w:rsid w:val="00C31AA6"/>
    <w:rsid w:val="00C42910"/>
    <w:rsid w:val="00C43070"/>
    <w:rsid w:val="00C437DD"/>
    <w:rsid w:val="00C45002"/>
    <w:rsid w:val="00C4525D"/>
    <w:rsid w:val="00C45E16"/>
    <w:rsid w:val="00C460D5"/>
    <w:rsid w:val="00C46243"/>
    <w:rsid w:val="00C474A4"/>
    <w:rsid w:val="00C47E90"/>
    <w:rsid w:val="00C510B7"/>
    <w:rsid w:val="00C51CAD"/>
    <w:rsid w:val="00C51FAD"/>
    <w:rsid w:val="00C52EB6"/>
    <w:rsid w:val="00C54354"/>
    <w:rsid w:val="00C54619"/>
    <w:rsid w:val="00C61024"/>
    <w:rsid w:val="00C62EC8"/>
    <w:rsid w:val="00C6336E"/>
    <w:rsid w:val="00C662AF"/>
    <w:rsid w:val="00C670FF"/>
    <w:rsid w:val="00C72B6E"/>
    <w:rsid w:val="00C7378C"/>
    <w:rsid w:val="00C74D5F"/>
    <w:rsid w:val="00C75773"/>
    <w:rsid w:val="00C76B47"/>
    <w:rsid w:val="00C8223C"/>
    <w:rsid w:val="00C8746B"/>
    <w:rsid w:val="00C87A0F"/>
    <w:rsid w:val="00C90F51"/>
    <w:rsid w:val="00C91C1D"/>
    <w:rsid w:val="00C95142"/>
    <w:rsid w:val="00C9767F"/>
    <w:rsid w:val="00C9775D"/>
    <w:rsid w:val="00CA135C"/>
    <w:rsid w:val="00CA15B2"/>
    <w:rsid w:val="00CA285C"/>
    <w:rsid w:val="00CA3487"/>
    <w:rsid w:val="00CA454C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B0D"/>
    <w:rsid w:val="00CC1F18"/>
    <w:rsid w:val="00CC2302"/>
    <w:rsid w:val="00CC3D95"/>
    <w:rsid w:val="00CC3F90"/>
    <w:rsid w:val="00CC4848"/>
    <w:rsid w:val="00CC55B6"/>
    <w:rsid w:val="00CC5D6D"/>
    <w:rsid w:val="00CC61B9"/>
    <w:rsid w:val="00CC7676"/>
    <w:rsid w:val="00CD292F"/>
    <w:rsid w:val="00CD2A54"/>
    <w:rsid w:val="00CD39F5"/>
    <w:rsid w:val="00CD441C"/>
    <w:rsid w:val="00CD4FDB"/>
    <w:rsid w:val="00CD63CE"/>
    <w:rsid w:val="00CD7393"/>
    <w:rsid w:val="00CE2247"/>
    <w:rsid w:val="00CE51CD"/>
    <w:rsid w:val="00CE58CD"/>
    <w:rsid w:val="00CE5A51"/>
    <w:rsid w:val="00CF05AA"/>
    <w:rsid w:val="00CF5093"/>
    <w:rsid w:val="00CF5B31"/>
    <w:rsid w:val="00CF5D12"/>
    <w:rsid w:val="00CF5E5B"/>
    <w:rsid w:val="00CF6373"/>
    <w:rsid w:val="00CF6C12"/>
    <w:rsid w:val="00D01A6B"/>
    <w:rsid w:val="00D025E7"/>
    <w:rsid w:val="00D04B6B"/>
    <w:rsid w:val="00D04CF9"/>
    <w:rsid w:val="00D10FE6"/>
    <w:rsid w:val="00D110AE"/>
    <w:rsid w:val="00D114D0"/>
    <w:rsid w:val="00D11896"/>
    <w:rsid w:val="00D11FE6"/>
    <w:rsid w:val="00D1424C"/>
    <w:rsid w:val="00D1436F"/>
    <w:rsid w:val="00D1563A"/>
    <w:rsid w:val="00D16767"/>
    <w:rsid w:val="00D179F9"/>
    <w:rsid w:val="00D21BC2"/>
    <w:rsid w:val="00D21F05"/>
    <w:rsid w:val="00D22989"/>
    <w:rsid w:val="00D24203"/>
    <w:rsid w:val="00D25AB1"/>
    <w:rsid w:val="00D26845"/>
    <w:rsid w:val="00D26DAC"/>
    <w:rsid w:val="00D270A9"/>
    <w:rsid w:val="00D31671"/>
    <w:rsid w:val="00D32225"/>
    <w:rsid w:val="00D35645"/>
    <w:rsid w:val="00D35A0D"/>
    <w:rsid w:val="00D3607B"/>
    <w:rsid w:val="00D371D9"/>
    <w:rsid w:val="00D40A2B"/>
    <w:rsid w:val="00D40B8C"/>
    <w:rsid w:val="00D419AB"/>
    <w:rsid w:val="00D41C91"/>
    <w:rsid w:val="00D44CC3"/>
    <w:rsid w:val="00D46189"/>
    <w:rsid w:val="00D466C5"/>
    <w:rsid w:val="00D4727F"/>
    <w:rsid w:val="00D47526"/>
    <w:rsid w:val="00D526CE"/>
    <w:rsid w:val="00D52F57"/>
    <w:rsid w:val="00D55384"/>
    <w:rsid w:val="00D57AA8"/>
    <w:rsid w:val="00D57C46"/>
    <w:rsid w:val="00D625D9"/>
    <w:rsid w:val="00D63195"/>
    <w:rsid w:val="00D65028"/>
    <w:rsid w:val="00D65B10"/>
    <w:rsid w:val="00D70C45"/>
    <w:rsid w:val="00D7158B"/>
    <w:rsid w:val="00D775E3"/>
    <w:rsid w:val="00D77C2C"/>
    <w:rsid w:val="00D80D60"/>
    <w:rsid w:val="00D8199B"/>
    <w:rsid w:val="00D821DE"/>
    <w:rsid w:val="00D84FD6"/>
    <w:rsid w:val="00D855F3"/>
    <w:rsid w:val="00D90161"/>
    <w:rsid w:val="00D91821"/>
    <w:rsid w:val="00D919B0"/>
    <w:rsid w:val="00D934BD"/>
    <w:rsid w:val="00D95C28"/>
    <w:rsid w:val="00D96695"/>
    <w:rsid w:val="00D97EE7"/>
    <w:rsid w:val="00DA23A9"/>
    <w:rsid w:val="00DA24C1"/>
    <w:rsid w:val="00DA3288"/>
    <w:rsid w:val="00DA3493"/>
    <w:rsid w:val="00DA3764"/>
    <w:rsid w:val="00DA416B"/>
    <w:rsid w:val="00DA5076"/>
    <w:rsid w:val="00DA7AB4"/>
    <w:rsid w:val="00DA7D54"/>
    <w:rsid w:val="00DB4EA5"/>
    <w:rsid w:val="00DC0F97"/>
    <w:rsid w:val="00DC127C"/>
    <w:rsid w:val="00DC1CDF"/>
    <w:rsid w:val="00DC3848"/>
    <w:rsid w:val="00DC584B"/>
    <w:rsid w:val="00DC6DE5"/>
    <w:rsid w:val="00DC7352"/>
    <w:rsid w:val="00DD0E76"/>
    <w:rsid w:val="00DD30C7"/>
    <w:rsid w:val="00DD4515"/>
    <w:rsid w:val="00DD579E"/>
    <w:rsid w:val="00DD5B79"/>
    <w:rsid w:val="00DD7B4E"/>
    <w:rsid w:val="00DE0123"/>
    <w:rsid w:val="00DE06A1"/>
    <w:rsid w:val="00DE259F"/>
    <w:rsid w:val="00DE42BD"/>
    <w:rsid w:val="00DE479D"/>
    <w:rsid w:val="00DE47C5"/>
    <w:rsid w:val="00DE4AFF"/>
    <w:rsid w:val="00DE4C85"/>
    <w:rsid w:val="00DE7B53"/>
    <w:rsid w:val="00DF0B22"/>
    <w:rsid w:val="00DF394C"/>
    <w:rsid w:val="00DF3D26"/>
    <w:rsid w:val="00DF69E7"/>
    <w:rsid w:val="00E0137A"/>
    <w:rsid w:val="00E01F18"/>
    <w:rsid w:val="00E04931"/>
    <w:rsid w:val="00E0635D"/>
    <w:rsid w:val="00E10CF7"/>
    <w:rsid w:val="00E12672"/>
    <w:rsid w:val="00E12F96"/>
    <w:rsid w:val="00E14773"/>
    <w:rsid w:val="00E171CB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26D1"/>
    <w:rsid w:val="00E33CB2"/>
    <w:rsid w:val="00E35898"/>
    <w:rsid w:val="00E36B74"/>
    <w:rsid w:val="00E37843"/>
    <w:rsid w:val="00E37BFD"/>
    <w:rsid w:val="00E37D79"/>
    <w:rsid w:val="00E40AD7"/>
    <w:rsid w:val="00E40E73"/>
    <w:rsid w:val="00E42FF8"/>
    <w:rsid w:val="00E43B5A"/>
    <w:rsid w:val="00E44E66"/>
    <w:rsid w:val="00E453D2"/>
    <w:rsid w:val="00E46CAC"/>
    <w:rsid w:val="00E5197B"/>
    <w:rsid w:val="00E5208A"/>
    <w:rsid w:val="00E544D9"/>
    <w:rsid w:val="00E55763"/>
    <w:rsid w:val="00E602B0"/>
    <w:rsid w:val="00E6284C"/>
    <w:rsid w:val="00E62C98"/>
    <w:rsid w:val="00E6350A"/>
    <w:rsid w:val="00E63E49"/>
    <w:rsid w:val="00E647A6"/>
    <w:rsid w:val="00E66DDA"/>
    <w:rsid w:val="00E67FD6"/>
    <w:rsid w:val="00E70871"/>
    <w:rsid w:val="00E71B2D"/>
    <w:rsid w:val="00E72B77"/>
    <w:rsid w:val="00E735AD"/>
    <w:rsid w:val="00E77AC5"/>
    <w:rsid w:val="00E80208"/>
    <w:rsid w:val="00E80EC3"/>
    <w:rsid w:val="00E84911"/>
    <w:rsid w:val="00E85952"/>
    <w:rsid w:val="00E8744D"/>
    <w:rsid w:val="00E87DBB"/>
    <w:rsid w:val="00E92A5E"/>
    <w:rsid w:val="00E936B3"/>
    <w:rsid w:val="00E960D9"/>
    <w:rsid w:val="00E96B0D"/>
    <w:rsid w:val="00E96CF4"/>
    <w:rsid w:val="00E979B4"/>
    <w:rsid w:val="00EA0F94"/>
    <w:rsid w:val="00EA1E28"/>
    <w:rsid w:val="00EA5E27"/>
    <w:rsid w:val="00EB01C0"/>
    <w:rsid w:val="00EB26BE"/>
    <w:rsid w:val="00EB2D5D"/>
    <w:rsid w:val="00EB491E"/>
    <w:rsid w:val="00EB646D"/>
    <w:rsid w:val="00EB7096"/>
    <w:rsid w:val="00EB79A6"/>
    <w:rsid w:val="00EC1B4D"/>
    <w:rsid w:val="00EC2695"/>
    <w:rsid w:val="00ED10B7"/>
    <w:rsid w:val="00ED175C"/>
    <w:rsid w:val="00ED2C5F"/>
    <w:rsid w:val="00ED316C"/>
    <w:rsid w:val="00ED5877"/>
    <w:rsid w:val="00ED6032"/>
    <w:rsid w:val="00ED6850"/>
    <w:rsid w:val="00ED731F"/>
    <w:rsid w:val="00ED7571"/>
    <w:rsid w:val="00ED7CE6"/>
    <w:rsid w:val="00EE0009"/>
    <w:rsid w:val="00EE0497"/>
    <w:rsid w:val="00EE04B7"/>
    <w:rsid w:val="00EE0F88"/>
    <w:rsid w:val="00EE1DE2"/>
    <w:rsid w:val="00EE1FAF"/>
    <w:rsid w:val="00EE2050"/>
    <w:rsid w:val="00EE2F51"/>
    <w:rsid w:val="00EE423A"/>
    <w:rsid w:val="00EE555F"/>
    <w:rsid w:val="00EE7B7A"/>
    <w:rsid w:val="00EF35AD"/>
    <w:rsid w:val="00EF494B"/>
    <w:rsid w:val="00EF4B77"/>
    <w:rsid w:val="00EF5994"/>
    <w:rsid w:val="00EF6F62"/>
    <w:rsid w:val="00EF7635"/>
    <w:rsid w:val="00EF7901"/>
    <w:rsid w:val="00F00442"/>
    <w:rsid w:val="00F010DB"/>
    <w:rsid w:val="00F01AB2"/>
    <w:rsid w:val="00F01B9C"/>
    <w:rsid w:val="00F033FC"/>
    <w:rsid w:val="00F05D39"/>
    <w:rsid w:val="00F06D4C"/>
    <w:rsid w:val="00F114F9"/>
    <w:rsid w:val="00F11C3E"/>
    <w:rsid w:val="00F12DDA"/>
    <w:rsid w:val="00F131D4"/>
    <w:rsid w:val="00F13806"/>
    <w:rsid w:val="00F142C1"/>
    <w:rsid w:val="00F14E7B"/>
    <w:rsid w:val="00F1685C"/>
    <w:rsid w:val="00F17C16"/>
    <w:rsid w:val="00F20020"/>
    <w:rsid w:val="00F2152F"/>
    <w:rsid w:val="00F2263C"/>
    <w:rsid w:val="00F22801"/>
    <w:rsid w:val="00F23739"/>
    <w:rsid w:val="00F25523"/>
    <w:rsid w:val="00F25BD1"/>
    <w:rsid w:val="00F26906"/>
    <w:rsid w:val="00F30606"/>
    <w:rsid w:val="00F30799"/>
    <w:rsid w:val="00F3162E"/>
    <w:rsid w:val="00F32E6A"/>
    <w:rsid w:val="00F33E99"/>
    <w:rsid w:val="00F34D40"/>
    <w:rsid w:val="00F35DFF"/>
    <w:rsid w:val="00F37914"/>
    <w:rsid w:val="00F37BFA"/>
    <w:rsid w:val="00F40CCE"/>
    <w:rsid w:val="00F42A32"/>
    <w:rsid w:val="00F440E7"/>
    <w:rsid w:val="00F45AC6"/>
    <w:rsid w:val="00F45DA7"/>
    <w:rsid w:val="00F47134"/>
    <w:rsid w:val="00F5057D"/>
    <w:rsid w:val="00F51D39"/>
    <w:rsid w:val="00F57BA2"/>
    <w:rsid w:val="00F6177F"/>
    <w:rsid w:val="00F61AC3"/>
    <w:rsid w:val="00F61C5D"/>
    <w:rsid w:val="00F623D1"/>
    <w:rsid w:val="00F6464D"/>
    <w:rsid w:val="00F66D48"/>
    <w:rsid w:val="00F7424B"/>
    <w:rsid w:val="00F754C2"/>
    <w:rsid w:val="00F7654E"/>
    <w:rsid w:val="00F808A7"/>
    <w:rsid w:val="00F817DD"/>
    <w:rsid w:val="00F81CDF"/>
    <w:rsid w:val="00F81ECC"/>
    <w:rsid w:val="00F82795"/>
    <w:rsid w:val="00F82D28"/>
    <w:rsid w:val="00F84CDB"/>
    <w:rsid w:val="00F87654"/>
    <w:rsid w:val="00F87D50"/>
    <w:rsid w:val="00F91A1F"/>
    <w:rsid w:val="00F93360"/>
    <w:rsid w:val="00F934BE"/>
    <w:rsid w:val="00F93CF6"/>
    <w:rsid w:val="00FA0A8C"/>
    <w:rsid w:val="00FA0F0C"/>
    <w:rsid w:val="00FA2A66"/>
    <w:rsid w:val="00FA2CDF"/>
    <w:rsid w:val="00FA386E"/>
    <w:rsid w:val="00FA4E09"/>
    <w:rsid w:val="00FA5C3F"/>
    <w:rsid w:val="00FA5C95"/>
    <w:rsid w:val="00FA6787"/>
    <w:rsid w:val="00FA6ABC"/>
    <w:rsid w:val="00FB1E34"/>
    <w:rsid w:val="00FB553A"/>
    <w:rsid w:val="00FB5D40"/>
    <w:rsid w:val="00FB6888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64A9"/>
    <w:rsid w:val="00FD65DB"/>
    <w:rsid w:val="00FD797E"/>
    <w:rsid w:val="00FE25A0"/>
    <w:rsid w:val="00FE3F21"/>
    <w:rsid w:val="00FE42BC"/>
    <w:rsid w:val="00FE7056"/>
    <w:rsid w:val="00FE7628"/>
    <w:rsid w:val="00FE77D6"/>
    <w:rsid w:val="00FF01FF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  <w14:docId w14:val="75412EC2"/>
  <w15:docId w15:val="{747544C3-449B-42D7-94DA-A4A37052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Odstavecseseznamem"/>
    <w:link w:val="Nadpis1Char"/>
    <w:uiPriority w:val="9"/>
    <w:qFormat/>
    <w:rsid w:val="00F93CF6"/>
    <w:pPr>
      <w:numPr>
        <w:numId w:val="30"/>
      </w:numPr>
      <w:spacing w:before="360" w:after="120" w:line="264" w:lineRule="auto"/>
      <w:ind w:left="431" w:hanging="431"/>
      <w:contextualSpacing w:val="0"/>
      <w:outlineLvl w:val="0"/>
    </w:pPr>
    <w:rPr>
      <w:b/>
      <w:bCs/>
      <w:szCs w:val="24"/>
    </w:rPr>
  </w:style>
  <w:style w:type="paragraph" w:styleId="Nadpis2">
    <w:name w:val="heading 2"/>
    <w:basedOn w:val="slovn"/>
    <w:link w:val="Nadpis2Char"/>
    <w:uiPriority w:val="9"/>
    <w:qFormat/>
    <w:rsid w:val="00F93CF6"/>
    <w:pPr>
      <w:keepNext/>
      <w:keepLines/>
      <w:numPr>
        <w:numId w:val="30"/>
      </w:numPr>
      <w:spacing w:before="360" w:after="240"/>
      <w:jc w:val="left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30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30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uiPriority w:val="99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93CF6"/>
    <w:rPr>
      <w:rFonts w:ascii="Arial" w:hAnsi="Arial" w:cs="Arial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93CF6"/>
    <w:rPr>
      <w:rFonts w:ascii="Arial" w:eastAsia="Arial Unicode MS" w:hAnsi="Arial" w:cs="Arial"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11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  <w:style w:type="paragraph" w:customStyle="1" w:styleId="kuok">
    <w:name w:val="kuok"/>
    <w:basedOn w:val="Normln"/>
    <w:rsid w:val="006E6841"/>
    <w:pPr>
      <w:spacing w:before="0" w:line="240" w:lineRule="auto"/>
      <w:jc w:val="left"/>
    </w:pPr>
    <w:rPr>
      <w:rFonts w:eastAsia="Times New Roman" w:cs="Times New Roman"/>
      <w:szCs w:val="24"/>
    </w:rPr>
  </w:style>
  <w:style w:type="paragraph" w:customStyle="1" w:styleId="Parlament">
    <w:name w:val="Parlament"/>
    <w:basedOn w:val="Normln"/>
    <w:next w:val="Normln"/>
    <w:rsid w:val="00F61C5D"/>
    <w:pPr>
      <w:keepNext/>
      <w:keepLines/>
      <w:spacing w:before="360" w:after="24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9872D7"/>
    <w:rPr>
      <w:rFonts w:ascii="Arial" w:hAnsi="Arial" w:cs="Arial"/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683528"/>
    <w:pPr>
      <w:spacing w:before="0"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FD17C94-38D6-403B-BC5E-E6A0431B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3002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43</cp:revision>
  <cp:lastPrinted>2014-08-19T06:51:00Z</cp:lastPrinted>
  <dcterms:created xsi:type="dcterms:W3CDTF">2017-09-12T07:00:00Z</dcterms:created>
  <dcterms:modified xsi:type="dcterms:W3CDTF">2017-09-15T05:33:00Z</dcterms:modified>
</cp:coreProperties>
</file>