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6079B229" w14:textId="2FD48AB8" w:rsidR="00337CD4" w:rsidRPr="00337CD4" w:rsidRDefault="00337CD4" w:rsidP="00337CD4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806E6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806E6B" w:rsidRPr="00806E6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7</w:t>
      </w: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dne XX. XX. 2017</w:t>
      </w:r>
    </w:p>
    <w:p w14:paraId="37B4C49C" w14:textId="77777777" w:rsidR="00337CD4" w:rsidRPr="00337CD4" w:rsidRDefault="00337CD4" w:rsidP="00337CD4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UZ/X/X/2017</w:t>
      </w:r>
    </w:p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668EF9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15F7B7EE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5B57D6B0" w14:textId="6BFE5785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D41DC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53D404BD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75041B4F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F57BA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918BFDC" w14:textId="77777777" w:rsidR="00DB6208" w:rsidRDefault="00DB6208" w:rsidP="00DB62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FF98825" w14:textId="1A2B08C6" w:rsidR="00FC3082" w:rsidRDefault="00FC3082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1B1FD3B6" w14:textId="77777777" w:rsidR="00D04D63" w:rsidRPr="00D04D63" w:rsidRDefault="00D04D63" w:rsidP="00D04D6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4D6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04D6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 w:rsidRPr="00D04D6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50E656A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2BBFFA30" w:rsidR="00120401" w:rsidRDefault="00120401" w:rsidP="006C23B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6C23B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6C23B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</w:t>
      </w:r>
      <w:r w:rsidR="004C22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6C23B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757E1BD" w14:textId="77777777" w:rsidR="00120401" w:rsidRDefault="00120401" w:rsidP="0012040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17C085F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E59EFE3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B54CD53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5F55DEB7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7C4DEC1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546737D9" w14:textId="029ED4C4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6D665AA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3A06D87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3AB1F6E" w14:textId="225510FD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46E17C67" w14:textId="77777777" w:rsidR="00120401" w:rsidRPr="00841ADB" w:rsidRDefault="00120401" w:rsidP="00120401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536E5328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A791A45" w14:textId="34796CB7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2F1A2C2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AFDB03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15DE93F" w14:textId="314C78CE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ACA09B9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63E3F75D" w14:textId="77777777" w:rsidR="00120401" w:rsidRPr="00696A9F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3B95A00C" w14:textId="77777777" w:rsidR="00120401" w:rsidRPr="00696A9F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462B12" w14:textId="08F13E8B" w:rsidR="004A36BA" w:rsidRPr="004A36BA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4A36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4A36BA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A36BA">
        <w:rPr>
          <w:rFonts w:ascii="Arial" w:hAnsi="Arial" w:cs="Arial"/>
          <w:iCs/>
          <w:sz w:val="24"/>
          <w:szCs w:val="24"/>
        </w:rPr>
        <w:t xml:space="preserve"> </w:t>
      </w:r>
      <w:r w:rsidRPr="004A36BA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 ve smlouvě uvede vždy, pokud bude v čl. II odst. 2 sjednána spoluúčast příjemce, nebo pokud se bude jednat o akci s příjmy.</w:t>
      </w:r>
    </w:p>
    <w:p w14:paraId="2AEF4A06" w14:textId="77777777" w:rsidR="004A36BA" w:rsidRPr="004A36BA" w:rsidRDefault="004A36BA" w:rsidP="004A36BA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„………………“. Soupis výdajů dle tohoto ustanovení doloží příjemce čestným prohlášením, že celkové skutečně vynaložené výdaje uvedené v soupisu jsou pravdivé a úplné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09674EC8" w14:textId="388A5C36" w:rsidR="00120401" w:rsidRPr="00A9730D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0401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5B46049A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17122CF5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537DA2" w14:textId="77777777" w:rsidR="00120401" w:rsidRPr="00A9730D" w:rsidRDefault="00120401" w:rsidP="0012040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3CE15509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</w:t>
      </w:r>
      <w:r w:rsidR="00FA6A0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5C22A9" w14:textId="107809F9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712BD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030A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5030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5030A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030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5030A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69F1D9EA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7AF1CAB" w14:textId="6BA04F4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162E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69E4B8CA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DA33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1F9A9AC9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FA6A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000EF99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5FCFBF8" w:rsidR="004514E3" w:rsidRPr="00CC0204" w:rsidRDefault="0045591E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 v čl. II odst. 5</w:t>
      </w:r>
      <w:r w:rsidR="00D60D0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registru podpor malého rozsahu.</w:t>
      </w:r>
    </w:p>
    <w:p w14:paraId="4BFCEC3F" w14:textId="14FDFD57" w:rsidR="00184D61" w:rsidRPr="00A62D21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DC363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1001BC8" w14:textId="44E57A97" w:rsidR="00184D61" w:rsidRPr="00E261F7" w:rsidRDefault="00184D61" w:rsidP="00184D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</w:t>
      </w:r>
      <w:r w:rsidR="003C5CA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C369AE7" w14:textId="77777777" w:rsidR="00184D61" w:rsidRPr="00E261F7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5E16231" w14:textId="77777777" w:rsidR="00184D61" w:rsidRPr="00CC0204" w:rsidRDefault="00184D61" w:rsidP="00184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p w14:paraId="6B5C01B9" w14:textId="0F3D0559" w:rsidR="00244AC7" w:rsidRPr="00803A28" w:rsidRDefault="00244AC7" w:rsidP="00244AC7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8B67DA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8B67DA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8B67DA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14:paraId="43BB0BB2" w14:textId="7EEDC3B9" w:rsidR="00244AC7" w:rsidRPr="00803A28" w:rsidRDefault="00244AC7" w:rsidP="004C2206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4C2206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4C22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</w:t>
      </w:r>
      <w:r w:rsidR="004C22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termínu realizace akce, uvedeného v tabulce žadatelů v materiálu, schváleném řídícím orgánem v sloupci Termín akce/realizace projektu.</w:t>
      </w:r>
    </w:p>
    <w:p w14:paraId="79BC7E4F" w14:textId="77777777" w:rsidR="00244AC7" w:rsidRPr="00803A28" w:rsidRDefault="00244AC7" w:rsidP="00244AC7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4F4683F3" w14:textId="77777777" w:rsidR="00244AC7" w:rsidRPr="00803A28" w:rsidRDefault="00244AC7" w:rsidP="00244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F40E6CE" w14:textId="77777777" w:rsidR="00244AC7" w:rsidRPr="00803A28" w:rsidRDefault="00244AC7" w:rsidP="00244AC7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7E34B65" w14:textId="77777777" w:rsidR="00244AC7" w:rsidRPr="00803A28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5D0445F" w14:textId="77777777" w:rsidR="00244AC7" w:rsidRPr="00803A28" w:rsidRDefault="00244AC7" w:rsidP="00244AC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1DBD2D1" w14:textId="1CC1BB8B" w:rsidR="00244AC7" w:rsidRPr="00803A28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0E5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„………………“. </w:t>
      </w:r>
      <w:r w:rsidR="00110E5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110E55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110E55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10E5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110E5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10E55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110E55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110E55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10E5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</w:t>
      </w:r>
      <w:r w:rsidR="00110E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0E55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493381C1" w14:textId="60CEABB0" w:rsidR="00244AC7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30A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059D2F" w14:textId="77777777" w:rsidR="00244AC7" w:rsidRPr="00CC0204" w:rsidRDefault="00244AC7" w:rsidP="00244AC7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A6BE645" w14:textId="77777777" w:rsidR="00244AC7" w:rsidRPr="00CC0204" w:rsidRDefault="00244AC7" w:rsidP="00244A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86DC8DF" w14:textId="77777777" w:rsidR="00244AC7" w:rsidRDefault="00244AC7" w:rsidP="00244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D212382" w14:textId="22FF25EE" w:rsidR="00244AC7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8B67DA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8B67DA" w:rsidRPr="008B67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0E5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110E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110E5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0E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110E5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p w14:paraId="4EAFEF15" w14:textId="77777777" w:rsidR="00DA1728" w:rsidRDefault="00DA1728" w:rsidP="00DA1728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73D4B7" w14:textId="1CF76222" w:rsidR="00DA1728" w:rsidRPr="00DA1728" w:rsidRDefault="00DA1728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A2119E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sectPr w:rsidR="00DA1728" w:rsidRPr="00DA1728" w:rsidSect="00FC2484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75010" w14:textId="77777777" w:rsidR="00500CC0" w:rsidRDefault="00500CC0" w:rsidP="00D40C40">
      <w:r>
        <w:separator/>
      </w:r>
    </w:p>
  </w:endnote>
  <w:endnote w:type="continuationSeparator" w:id="0">
    <w:p w14:paraId="5F37556D" w14:textId="77777777" w:rsidR="00500CC0" w:rsidRDefault="00500CC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8740" w14:textId="02198C43" w:rsidR="00D20135" w:rsidRDefault="00F03415" w:rsidP="00D2013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="00D20135">
      <w:rPr>
        <w:rFonts w:ascii="Arial" w:hAnsi="Arial" w:cs="Arial"/>
        <w:i/>
        <w:sz w:val="20"/>
        <w:szCs w:val="20"/>
      </w:rPr>
      <w:tab/>
    </w:r>
    <w:r w:rsidR="00D20135">
      <w:rPr>
        <w:rFonts w:ascii="Arial" w:hAnsi="Arial" w:cs="Arial"/>
        <w:i/>
        <w:sz w:val="20"/>
        <w:szCs w:val="20"/>
      </w:rPr>
      <w:tab/>
      <w:t xml:space="preserve">Strana </w:t>
    </w:r>
    <w:r w:rsidR="00D20135">
      <w:rPr>
        <w:rFonts w:ascii="Arial" w:hAnsi="Arial" w:cs="Arial"/>
        <w:i/>
        <w:sz w:val="20"/>
        <w:szCs w:val="20"/>
      </w:rPr>
      <w:fldChar w:fldCharType="begin"/>
    </w:r>
    <w:r w:rsidR="00D20135">
      <w:rPr>
        <w:rFonts w:ascii="Arial" w:hAnsi="Arial" w:cs="Arial"/>
        <w:i/>
        <w:sz w:val="20"/>
        <w:szCs w:val="20"/>
      </w:rPr>
      <w:instrText xml:space="preserve"> PAGE   \* MERGEFORMAT </w:instrText>
    </w:r>
    <w:r w:rsidR="00D2013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107</w:t>
    </w:r>
    <w:r w:rsidR="00D20135">
      <w:rPr>
        <w:rFonts w:ascii="Arial" w:hAnsi="Arial" w:cs="Arial"/>
        <w:i/>
        <w:sz w:val="20"/>
        <w:szCs w:val="20"/>
      </w:rPr>
      <w:fldChar w:fldCharType="end"/>
    </w:r>
    <w:r w:rsidR="00D20135">
      <w:rPr>
        <w:rFonts w:ascii="Arial" w:hAnsi="Arial" w:cs="Arial"/>
        <w:i/>
        <w:sz w:val="20"/>
        <w:szCs w:val="20"/>
      </w:rPr>
      <w:t xml:space="preserve"> (celkem </w:t>
    </w:r>
    <w:r w:rsidR="00274158">
      <w:rPr>
        <w:rFonts w:ascii="Arial" w:hAnsi="Arial" w:cs="Arial"/>
        <w:i/>
        <w:sz w:val="20"/>
        <w:szCs w:val="20"/>
      </w:rPr>
      <w:t>187</w:t>
    </w:r>
    <w:r w:rsidR="00D20135">
      <w:rPr>
        <w:rFonts w:ascii="Arial" w:hAnsi="Arial" w:cs="Arial"/>
        <w:i/>
        <w:sz w:val="20"/>
        <w:szCs w:val="20"/>
      </w:rPr>
      <w:t>)</w:t>
    </w:r>
  </w:p>
  <w:p w14:paraId="263953C8" w14:textId="32050515" w:rsidR="00D20135" w:rsidRDefault="00F03415" w:rsidP="00D2013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35F9E">
      <w:rPr>
        <w:rFonts w:ascii="Arial" w:hAnsi="Arial" w:cs="Arial"/>
        <w:i/>
        <w:sz w:val="20"/>
        <w:szCs w:val="20"/>
      </w:rPr>
      <w:t>.</w:t>
    </w:r>
    <w:r w:rsidR="00D20135">
      <w:rPr>
        <w:rFonts w:ascii="Arial" w:hAnsi="Arial" w:cs="Arial"/>
        <w:i/>
        <w:sz w:val="20"/>
        <w:szCs w:val="20"/>
      </w:rPr>
      <w:t xml:space="preserve"> – Dotační programy Olomouckého kraje na rok 2018</w:t>
    </w:r>
  </w:p>
  <w:p w14:paraId="2EB6ECD7" w14:textId="6E06F80F" w:rsidR="000E1A20" w:rsidRPr="00D20135" w:rsidRDefault="00D20135" w:rsidP="00D20135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  <w:lang w:eastAsia="cs-CZ"/>
      </w:rPr>
      <w:t>Příloha č. 9 - Vzorová veřejnopr. sml. o poskytnutí dotace na akci obcím, městům_Vzor 7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B53CE" w14:textId="77777777" w:rsidR="00500CC0" w:rsidRDefault="00500CC0" w:rsidP="00D40C40">
      <w:r>
        <w:separator/>
      </w:r>
    </w:p>
  </w:footnote>
  <w:footnote w:type="continuationSeparator" w:id="0">
    <w:p w14:paraId="44000E40" w14:textId="77777777" w:rsidR="00500CC0" w:rsidRDefault="00500CC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0E5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2EA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4D61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4158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37CD4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5CA7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62C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591E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36BA"/>
    <w:rsid w:val="004A59CA"/>
    <w:rsid w:val="004B000B"/>
    <w:rsid w:val="004B09B0"/>
    <w:rsid w:val="004B192A"/>
    <w:rsid w:val="004B3ABA"/>
    <w:rsid w:val="004B4678"/>
    <w:rsid w:val="004C1433"/>
    <w:rsid w:val="004C1E11"/>
    <w:rsid w:val="004C2206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CC0"/>
    <w:rsid w:val="005018CD"/>
    <w:rsid w:val="005030A2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06D9"/>
    <w:rsid w:val="00632D35"/>
    <w:rsid w:val="0063512A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6E1"/>
    <w:rsid w:val="006B3B2A"/>
    <w:rsid w:val="006B4F48"/>
    <w:rsid w:val="006C061A"/>
    <w:rsid w:val="006C0D2D"/>
    <w:rsid w:val="006C23BC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C3E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06E6B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B67DA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15C6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119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5F9E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275EF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4D63"/>
    <w:rsid w:val="00D05681"/>
    <w:rsid w:val="00D05F68"/>
    <w:rsid w:val="00D105B7"/>
    <w:rsid w:val="00D11F05"/>
    <w:rsid w:val="00D134FE"/>
    <w:rsid w:val="00D15D0F"/>
    <w:rsid w:val="00D17D01"/>
    <w:rsid w:val="00D20135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1DCC"/>
    <w:rsid w:val="00D42D28"/>
    <w:rsid w:val="00D43C40"/>
    <w:rsid w:val="00D46165"/>
    <w:rsid w:val="00D558F4"/>
    <w:rsid w:val="00D604F5"/>
    <w:rsid w:val="00D60D05"/>
    <w:rsid w:val="00D61EA4"/>
    <w:rsid w:val="00D6556E"/>
    <w:rsid w:val="00D704F9"/>
    <w:rsid w:val="00D739F9"/>
    <w:rsid w:val="00D73EC7"/>
    <w:rsid w:val="00D74FAE"/>
    <w:rsid w:val="00D8021D"/>
    <w:rsid w:val="00D80504"/>
    <w:rsid w:val="00D805A1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3D4"/>
    <w:rsid w:val="00DA365F"/>
    <w:rsid w:val="00DA45E4"/>
    <w:rsid w:val="00DB3240"/>
    <w:rsid w:val="00DB45C3"/>
    <w:rsid w:val="00DB6208"/>
    <w:rsid w:val="00DB68A2"/>
    <w:rsid w:val="00DC039D"/>
    <w:rsid w:val="00DC039E"/>
    <w:rsid w:val="00DC2E87"/>
    <w:rsid w:val="00DC363C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13F83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7BA"/>
    <w:rsid w:val="00EF6253"/>
    <w:rsid w:val="00EF7269"/>
    <w:rsid w:val="00F00BC9"/>
    <w:rsid w:val="00F02174"/>
    <w:rsid w:val="00F03415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6A01"/>
    <w:rsid w:val="00FA7AB8"/>
    <w:rsid w:val="00FB0C98"/>
    <w:rsid w:val="00FB438D"/>
    <w:rsid w:val="00FB508C"/>
    <w:rsid w:val="00FB6560"/>
    <w:rsid w:val="00FC2484"/>
    <w:rsid w:val="00FC3082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C0FD9021-106D-4924-AE7A-06116344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22FE-191D-48C5-9E76-6B82F219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4859</Words>
  <Characters>28671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Cveková Jitka</cp:lastModifiedBy>
  <cp:revision>19</cp:revision>
  <cp:lastPrinted>2016-11-21T11:07:00Z</cp:lastPrinted>
  <dcterms:created xsi:type="dcterms:W3CDTF">2016-12-16T15:58:00Z</dcterms:created>
  <dcterms:modified xsi:type="dcterms:W3CDTF">2017-08-29T06:46:00Z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