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2921E7" w:rsidP="00BF4E86">
      <w:pPr>
        <w:jc w:val="both"/>
      </w:pPr>
      <w:r>
        <w:t xml:space="preserve">Na základě usnesení Rady Olomouckého kraje č. </w:t>
      </w:r>
      <w:r w:rsidR="00F07355">
        <w:t>UR/</w:t>
      </w:r>
      <w:r w:rsidR="00586DB5">
        <w:t>20</w:t>
      </w:r>
      <w:r w:rsidR="00F07355">
        <w:t>/</w:t>
      </w:r>
      <w:r w:rsidR="00586DB5">
        <w:t>12</w:t>
      </w:r>
      <w:r w:rsidR="00F07355">
        <w:t xml:space="preserve">/2017 </w:t>
      </w:r>
      <w:r>
        <w:t xml:space="preserve">ze dne </w:t>
      </w:r>
      <w:r w:rsidR="00D37321">
        <w:t>14</w:t>
      </w:r>
      <w:r>
        <w:t xml:space="preserve">. </w:t>
      </w:r>
      <w:r w:rsidR="00D37321">
        <w:t>8</w:t>
      </w:r>
      <w:r>
        <w:t>. 2017</w:t>
      </w:r>
      <w:r w:rsidR="003B1A46">
        <w:t xml:space="preserve"> a</w:t>
      </w:r>
      <w:r w:rsidR="00586DB5">
        <w:t> </w:t>
      </w:r>
      <w:r w:rsidR="003B1A46">
        <w:t xml:space="preserve">č. </w:t>
      </w:r>
      <w:r w:rsidR="00FC71C6" w:rsidRPr="00FC71C6">
        <w:t>UR/21/14/2017</w:t>
      </w:r>
      <w:r w:rsidR="003B1A46">
        <w:t xml:space="preserve"> ze dne 28. 8. 2017</w:t>
      </w:r>
      <w:r>
        <w:t xml:space="preserve"> je zastupitelstvu předkládán k projednání materiál ve </w:t>
      </w:r>
      <w:r w:rsidR="00F610F1" w:rsidRPr="00B13C51">
        <w:t>věci</w:t>
      </w:r>
      <w:r w:rsidR="00D37321">
        <w:t xml:space="preserve"> žádosti města Uničov</w:t>
      </w:r>
      <w:r w:rsidR="003B1A46">
        <w:t xml:space="preserve"> a obce Ruda nad Moravou</w:t>
      </w:r>
      <w:r w:rsidR="00F610F1">
        <w:t xml:space="preserve"> o</w:t>
      </w:r>
      <w:r w:rsidR="00D37321">
        <w:t> </w:t>
      </w:r>
      <w:r>
        <w:t>poskytnutí individuální</w:t>
      </w:r>
      <w:r w:rsidR="00D37321">
        <w:t xml:space="preserve"> </w:t>
      </w:r>
      <w:r>
        <w:t>dotac</w:t>
      </w:r>
      <w:r w:rsidR="00D37321">
        <w:t>e</w:t>
      </w:r>
      <w:r>
        <w:t xml:space="preserve"> v oblasti dopravy z rozpočtu Olomouckého kraje na rok </w:t>
      </w:r>
      <w:r w:rsidR="00BF4E86">
        <w:t>2017.</w:t>
      </w:r>
    </w:p>
    <w:p w:rsidR="00BF4E86" w:rsidRDefault="00BF4E86" w:rsidP="00BF4E86">
      <w:pPr>
        <w:jc w:val="both"/>
      </w:pPr>
    </w:p>
    <w:p w:rsidR="00D37321" w:rsidRDefault="00D37321" w:rsidP="00D37321">
      <w:pPr>
        <w:jc w:val="both"/>
      </w:pPr>
      <w:r>
        <w:t>Žádost</w:t>
      </w:r>
      <w:r w:rsidR="003B1A46">
        <w:t xml:space="preserve"> města Uničov</w:t>
      </w:r>
      <w:r>
        <w:t xml:space="preserve"> byla projednána na poradě vedení dne 17. 7. 2017 a v </w:t>
      </w:r>
      <w:r w:rsidRPr="00AC7317">
        <w:t>Komis</w:t>
      </w:r>
      <w:r>
        <w:t>i</w:t>
      </w:r>
      <w:r w:rsidRPr="00AC7317">
        <w:t xml:space="preserve"> pro</w:t>
      </w:r>
      <w:r w:rsidR="00313715">
        <w:t> </w:t>
      </w:r>
      <w:r w:rsidRPr="00AC7317">
        <w:t xml:space="preserve">dopravu Rady Olomouckého kraje (dále jen „komise“) </w:t>
      </w:r>
      <w:r>
        <w:t xml:space="preserve">dne </w:t>
      </w:r>
      <w:r w:rsidRPr="009A4072">
        <w:t>7. 8. 2017.</w:t>
      </w:r>
      <w:r>
        <w:t xml:space="preserve"> Porada vedení i</w:t>
      </w:r>
      <w:r w:rsidR="00313715">
        <w:t> k</w:t>
      </w:r>
      <w:r>
        <w:t>omise doporučuje poskytnout dotaci městu Uničov.</w:t>
      </w:r>
    </w:p>
    <w:p w:rsidR="003B1A46" w:rsidRDefault="003B1A46" w:rsidP="00D37321">
      <w:pPr>
        <w:jc w:val="both"/>
      </w:pPr>
      <w:r>
        <w:t xml:space="preserve">Žádost obce Ruda nad Moravou byla projednána na poradě vedení dne </w:t>
      </w:r>
      <w:r w:rsidR="00586DB5">
        <w:t>11</w:t>
      </w:r>
      <w:r>
        <w:t>.</w:t>
      </w:r>
      <w:r w:rsidR="00586DB5">
        <w:t xml:space="preserve"> 8</w:t>
      </w:r>
      <w:r>
        <w:t>.</w:t>
      </w:r>
      <w:r w:rsidR="00586DB5">
        <w:t xml:space="preserve"> </w:t>
      </w:r>
      <w:r>
        <w:t>2017 a</w:t>
      </w:r>
      <w:r w:rsidR="00586DB5">
        <w:t> </w:t>
      </w:r>
      <w:r>
        <w:t>v </w:t>
      </w:r>
      <w:r w:rsidR="00313715">
        <w:t>k</w:t>
      </w:r>
      <w:r>
        <w:t xml:space="preserve">omisi </w:t>
      </w:r>
      <w:r w:rsidRPr="00D9707B">
        <w:t xml:space="preserve">dne </w:t>
      </w:r>
      <w:r w:rsidR="00E25361" w:rsidRPr="00D9707B">
        <w:t xml:space="preserve">21. 8. </w:t>
      </w:r>
      <w:r w:rsidRPr="00D9707B">
        <w:t>2017.</w:t>
      </w:r>
      <w:r>
        <w:t xml:space="preserve"> Porada vedení i </w:t>
      </w:r>
      <w:r w:rsidR="00313715">
        <w:t>k</w:t>
      </w:r>
      <w:r>
        <w:t>omise nedoporučují poskytnout dotaci obci Ruda nad Moravou.</w:t>
      </w:r>
    </w:p>
    <w:p w:rsidR="00D37321" w:rsidRDefault="00D37321" w:rsidP="00D37321">
      <w:pPr>
        <w:jc w:val="both"/>
      </w:pPr>
    </w:p>
    <w:p w:rsidR="00D37321" w:rsidRDefault="003B1A46" w:rsidP="00D9707B">
      <w:pPr>
        <w:jc w:val="both"/>
        <w:rPr>
          <w:b/>
        </w:rPr>
      </w:pPr>
      <w:r>
        <w:rPr>
          <w:b/>
        </w:rPr>
        <w:t xml:space="preserve">1. </w:t>
      </w:r>
      <w:r w:rsidR="00D37321">
        <w:rPr>
          <w:b/>
        </w:rPr>
        <w:t>Cyklostezky „Uničov, m. č. Brníčko – Újezd“ a „Uničov, m. č. Nová Dědina – Šumvald“</w:t>
      </w:r>
    </w:p>
    <w:p w:rsidR="00D9707B" w:rsidRDefault="00D9707B" w:rsidP="00D37321">
      <w:pPr>
        <w:jc w:val="both"/>
        <w:rPr>
          <w:u w:val="single"/>
        </w:rPr>
      </w:pPr>
    </w:p>
    <w:p w:rsidR="00D37321" w:rsidRDefault="00D37321" w:rsidP="00D37321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město Uničov</w:t>
      </w:r>
      <w:r w:rsidRPr="009B0DDF">
        <w:t xml:space="preserve"> </w:t>
      </w:r>
    </w:p>
    <w:p w:rsidR="00D37321" w:rsidRDefault="00D37321" w:rsidP="00D37321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2 000 403,28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D37321" w:rsidRDefault="00D37321" w:rsidP="00D37321">
      <w:pPr>
        <w:pStyle w:val="Dopisspozdravem"/>
        <w:spacing w:before="0" w:after="0"/>
        <w:jc w:val="both"/>
      </w:pPr>
    </w:p>
    <w:p w:rsidR="00586DB5" w:rsidRDefault="00586DB5" w:rsidP="00586DB5">
      <w:pPr>
        <w:pStyle w:val="Dopisspozdravem"/>
        <w:spacing w:before="0" w:after="0"/>
        <w:jc w:val="both"/>
      </w:pPr>
      <w:r>
        <w:t>Město Uničov, obec Šumvald a obec Újezd v roce 2016 požádaly o dotaci z rozpočtu Olomouckého kraje na výstavbu souboru cyklostezek na sebe navazujících – město Uničov ve výši 1 000 000 Kč, obec Šumvald ve výši 800 000 Kč a obec Újezd ve výši 788 600 Kč. Dále obec Újezd požádala o poskytnutí dotace ve výši 900 000 Kč v roce 2017 na další etapu výstavby části souboru cyklostezek.</w:t>
      </w:r>
    </w:p>
    <w:p w:rsidR="00586DB5" w:rsidRDefault="00586DB5" w:rsidP="00586DB5">
      <w:pPr>
        <w:pStyle w:val="Dopisspozdravem"/>
        <w:spacing w:before="0" w:after="0"/>
        <w:jc w:val="both"/>
      </w:pPr>
    </w:p>
    <w:p w:rsidR="00586DB5" w:rsidRDefault="00586DB5" w:rsidP="00586DB5">
      <w:pPr>
        <w:pStyle w:val="Dopisspozdravem"/>
        <w:spacing w:before="0" w:after="0"/>
        <w:jc w:val="both"/>
      </w:pPr>
      <w:r>
        <w:t>Město Uničov jako vedoucí partner požádalo na svou část cyklostezky a také na části cyklostezky obce Šumvald a Újezd o dotaci z IROP, obce Šumvald a Újezd jsou pouze projektovými partnery, s městem Uničov mají uzavřenou dohodu o partnerství. Město s žádostí o dotaci z IROP uspělo a dotaci na výstavbu cyklostezek získalo. Dle nastavených podmínek IROP musí danou cyklostezku (tj. všechny části, na které se žádá dotace) realizovat žadatel. Z tohoto důvodu obce Šumvald a Újezd odstoupily od uzavřených smluv s Olomouckým krajem a v červnu 2017 vrátily na základní běžný účet Olomouckého kraje dotaci ve výši 800 000 Kč a 788 600 Kč. Dále obec Újezd odstoupila od uzavření smlouvy na poskytnutí dotace ve výši 900 000 Kč schválené Zastupitelstvem Olomouckého kraje v letošním roce.</w:t>
      </w:r>
    </w:p>
    <w:p w:rsidR="00586DB5" w:rsidRDefault="00586DB5" w:rsidP="00586DB5">
      <w:pPr>
        <w:pStyle w:val="Dopisspozdravem"/>
        <w:spacing w:before="0" w:after="0"/>
        <w:jc w:val="both"/>
      </w:pPr>
    </w:p>
    <w:p w:rsidR="00586DB5" w:rsidRDefault="00586DB5" w:rsidP="00586DB5">
      <w:pPr>
        <w:pStyle w:val="Dopisspozdravem"/>
        <w:spacing w:before="0" w:after="0"/>
        <w:jc w:val="both"/>
        <w:rPr>
          <w:rFonts w:cs="Arial"/>
        </w:rPr>
      </w:pPr>
      <w:r>
        <w:t xml:space="preserve">Na základě výše uvedených skutečností </w:t>
      </w:r>
      <w:r>
        <w:rPr>
          <w:rFonts w:cs="Arial"/>
        </w:rPr>
        <w:t>město Uničov</w:t>
      </w:r>
      <w:r w:rsidRPr="006B50BA">
        <w:rPr>
          <w:rFonts w:cs="Arial"/>
        </w:rPr>
        <w:t xml:space="preserve"> požádal</w:t>
      </w:r>
      <w:r>
        <w:rPr>
          <w:rFonts w:cs="Arial"/>
        </w:rPr>
        <w:t>o</w:t>
      </w:r>
      <w:r w:rsidRPr="006B50BA">
        <w:rPr>
          <w:rFonts w:cs="Arial"/>
        </w:rPr>
        <w:t xml:space="preserve"> o</w:t>
      </w:r>
      <w:r>
        <w:rPr>
          <w:rFonts w:cs="Arial"/>
        </w:rPr>
        <w:t> </w:t>
      </w:r>
      <w:r w:rsidRPr="006B50BA">
        <w:rPr>
          <w:rFonts w:cs="Arial"/>
        </w:rPr>
        <w:t>poskytnutí individuální dotace z rozpočtu Olomouckého kraje</w:t>
      </w:r>
      <w:r>
        <w:rPr>
          <w:rFonts w:cs="Arial"/>
        </w:rPr>
        <w:t xml:space="preserve"> na</w:t>
      </w:r>
      <w:r w:rsidRPr="006B50BA">
        <w:rPr>
          <w:rFonts w:cs="Arial"/>
        </w:rPr>
        <w:t xml:space="preserve"> </w:t>
      </w:r>
      <w:r>
        <w:rPr>
          <w:rFonts w:cs="Arial"/>
        </w:rPr>
        <w:t xml:space="preserve">akci s názvem „Cyklostezky Uničov, m. č. Brníčko – Újezd a Uničov, m. č. Nová Dědina – Šumvald“, </w:t>
      </w:r>
      <w:r>
        <w:rPr>
          <w:rFonts w:cs="Arial"/>
        </w:rPr>
        <w:br/>
        <w:t>tj. na cyklostezky, na jejichž výstavbu obdržely v roce 2016 dotaci z rozpočtu Olomouckého kraje obce Šumvald a Újezd pod názvy „Cyklostezka Šumvald, křižovatka II/446 x Lazce/Horní Sukolom“ a „Stezka pro chodce a cyklisty Šternberk – Uničov, část k. ú. Újezd u Uničova, osa 1“, a na cyklostezku, na jejíž výstavbu si v roce 2017 obec Újezd požádala o dotaci pod názvem „Stezka pro chodce a cyklisty Šternberk – Uničov, k. ú. Újezd u Uničova, osa 2, 2A, 3“.</w:t>
      </w:r>
    </w:p>
    <w:p w:rsidR="00586DB5" w:rsidRDefault="00586DB5" w:rsidP="00586DB5">
      <w:pPr>
        <w:pStyle w:val="Dopisspozdravem"/>
        <w:spacing w:before="0" w:after="0"/>
        <w:jc w:val="both"/>
        <w:rPr>
          <w:rFonts w:cs="Arial"/>
        </w:rPr>
      </w:pPr>
    </w:p>
    <w:p w:rsidR="00586DB5" w:rsidRDefault="00586DB5" w:rsidP="00586DB5">
      <w:pPr>
        <w:pStyle w:val="Dopisspozdravem"/>
        <w:spacing w:before="0" w:after="0"/>
        <w:jc w:val="both"/>
        <w:rPr>
          <w:rFonts w:cs="Arial"/>
        </w:rPr>
      </w:pPr>
      <w:r>
        <w:rPr>
          <w:rFonts w:cs="Arial"/>
        </w:rPr>
        <w:t xml:space="preserve"> Cyklostezky jsou dílčími částmi staveb, které zajistí bezpečné propojení severní části uničovského regionu přes obec Šumvald až do města Uničov a propojení města Uničov </w:t>
      </w:r>
      <w:r>
        <w:rPr>
          <w:rFonts w:cs="Arial"/>
        </w:rPr>
        <w:lastRenderedPageBreak/>
        <w:t xml:space="preserve">s městem Šternberk. V současnosti musí cyklisté užívat frekventované komunikace II/444 a II/446. </w:t>
      </w:r>
    </w:p>
    <w:p w:rsidR="00586DB5" w:rsidRDefault="00586DB5" w:rsidP="00586DB5">
      <w:pPr>
        <w:jc w:val="both"/>
      </w:pPr>
    </w:p>
    <w:p w:rsidR="00586DB5" w:rsidRDefault="00586DB5" w:rsidP="00586DB5">
      <w:pPr>
        <w:jc w:val="both"/>
      </w:pPr>
      <w:r w:rsidRPr="006B50BA">
        <w:t xml:space="preserve">Celkové náklady akce jsou vyčísleny na </w:t>
      </w:r>
      <w:r>
        <w:t>17 010 116,81</w:t>
      </w:r>
      <w:r w:rsidRPr="006B50BA">
        <w:t xml:space="preserve"> Kč. Z rozpočtu Olomouckého kraje žadatel žádá</w:t>
      </w:r>
      <w:r>
        <w:t xml:space="preserve"> 2 000 403,28 Kč, z dotace IROP použije 15 009 713,53 Kč</w:t>
      </w:r>
      <w:r w:rsidRPr="006B50BA">
        <w:t>.</w:t>
      </w:r>
    </w:p>
    <w:p w:rsidR="00586DB5" w:rsidRDefault="00586DB5" w:rsidP="00586DB5">
      <w:pPr>
        <w:jc w:val="both"/>
      </w:pPr>
      <w:r w:rsidRPr="00256402">
        <w:t>Finanční prostředky na individuální dotaci městu Uničov nejsou alokovány v rozpočtu kapitoly 12 – ODSH, budou pokryty z rezervy na individuální dotace (částečně z vrácených dotací obce Újezd a Šumvald).</w:t>
      </w:r>
      <w:r>
        <w:t xml:space="preserve"> </w:t>
      </w:r>
    </w:p>
    <w:p w:rsidR="003B1A46" w:rsidRDefault="003B1A46" w:rsidP="00D37321">
      <w:pPr>
        <w:jc w:val="both"/>
      </w:pPr>
    </w:p>
    <w:p w:rsidR="003B1A46" w:rsidRDefault="003B1A46" w:rsidP="00D9707B">
      <w:pPr>
        <w:jc w:val="both"/>
        <w:rPr>
          <w:b/>
        </w:rPr>
      </w:pPr>
      <w:r>
        <w:rPr>
          <w:b/>
        </w:rPr>
        <w:t>2. Oprava mostu na MK v obci Hrabenov</w:t>
      </w:r>
    </w:p>
    <w:p w:rsidR="00D9707B" w:rsidRDefault="00D9707B" w:rsidP="003B1A46">
      <w:pPr>
        <w:jc w:val="both"/>
        <w:rPr>
          <w:u w:val="single"/>
        </w:rPr>
      </w:pPr>
    </w:p>
    <w:p w:rsidR="003B1A46" w:rsidRDefault="003B1A46" w:rsidP="003B1A46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obec Ruda nad Moravou</w:t>
      </w:r>
    </w:p>
    <w:p w:rsidR="003B1A46" w:rsidRDefault="003B1A46" w:rsidP="003B1A46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 w:rsidRPr="008F319A">
        <w:rPr>
          <w:b/>
        </w:rPr>
        <w:t>797 000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3B1A46" w:rsidRDefault="003B1A46" w:rsidP="003B1A46">
      <w:pPr>
        <w:pStyle w:val="Dopisspozdravem"/>
        <w:spacing w:before="0" w:after="0"/>
        <w:jc w:val="both"/>
      </w:pPr>
    </w:p>
    <w:p w:rsidR="003B1A46" w:rsidRDefault="003B1A46" w:rsidP="003B1A46">
      <w:pPr>
        <w:jc w:val="both"/>
      </w:pPr>
      <w:r>
        <w:t>Obec Ruda nad Moravou požádala o poskytnutí individuální dotace na opravu mostu v obci Hrabenov, který převádí místní komunikaci přes Hrabenovský potok. Obec Ruda nad Moravou nechala v roce 2015 provést prohlídku mostních objektů ve správě obce. Na základě provedené prohlídky bylo konstatováno, že most je ve stavebně technicky nevyhovujícím stavu a je nutné u něj provést celkovou opravu nosné konstrukce a mostního svršku.</w:t>
      </w:r>
    </w:p>
    <w:p w:rsidR="003B1A46" w:rsidRDefault="003B1A46" w:rsidP="003B1A46">
      <w:pPr>
        <w:jc w:val="both"/>
      </w:pPr>
    </w:p>
    <w:p w:rsidR="003B1A46" w:rsidRDefault="003B1A46" w:rsidP="003B1A46">
      <w:pPr>
        <w:jc w:val="both"/>
      </w:pPr>
      <w:r w:rsidRPr="006B50BA">
        <w:t xml:space="preserve">Celkové náklady </w:t>
      </w:r>
      <w:r>
        <w:t>žadatel vyčíslil ve výši</w:t>
      </w:r>
      <w:r w:rsidRPr="006B50BA">
        <w:t xml:space="preserve"> </w:t>
      </w:r>
      <w:r>
        <w:t>996 253,50</w:t>
      </w:r>
      <w:r w:rsidRPr="006B50BA">
        <w:t xml:space="preserve"> Kč. Z rozpočtu Olomouckého kraje </w:t>
      </w:r>
      <w:r>
        <w:t>obec</w:t>
      </w:r>
      <w:r w:rsidRPr="006B50BA">
        <w:t xml:space="preserve"> žádá</w:t>
      </w:r>
      <w:r>
        <w:t xml:space="preserve"> 797 000 Kč a z vlastních zdrojů použije 199 253,50 Kč</w:t>
      </w:r>
      <w:r w:rsidRPr="006B50BA">
        <w:t>.</w:t>
      </w:r>
    </w:p>
    <w:p w:rsidR="00B607CB" w:rsidRDefault="00B607CB" w:rsidP="00B607CB">
      <w:pPr>
        <w:jc w:val="both"/>
        <w:rPr>
          <w:u w:val="single"/>
        </w:rPr>
      </w:pPr>
    </w:p>
    <w:p w:rsidR="00B607CB" w:rsidRDefault="00B607CB" w:rsidP="00B607CB">
      <w:pPr>
        <w:jc w:val="both"/>
        <w:rPr>
          <w:u w:val="single"/>
        </w:rPr>
      </w:pPr>
      <w:r>
        <w:rPr>
          <w:u w:val="single"/>
        </w:rPr>
        <w:t>Odůvodnění nevyhovění žádosti:</w:t>
      </w:r>
    </w:p>
    <w:p w:rsidR="003B1A46" w:rsidRDefault="00B607CB" w:rsidP="00D37321">
      <w:pPr>
        <w:jc w:val="both"/>
      </w:pPr>
      <w:r>
        <w:t>M</w:t>
      </w:r>
      <w:r w:rsidR="003B1A46">
        <w:t>ost se nachází na místní komunikaci a je v majetku obce. Obec jako řádný hospodář má dle § 38 zákona č. 128/2000 Sb., o obcích, pov</w:t>
      </w:r>
      <w:r>
        <w:t>innost pečovat o svůj majetek a </w:t>
      </w:r>
      <w:r w:rsidR="003B1A46">
        <w:t>udržovat jej v provozuschopném stavu. Obec v</w:t>
      </w:r>
      <w:r w:rsidR="00313715">
        <w:t> </w:t>
      </w:r>
      <w:r w:rsidR="003B1A46">
        <w:t>žádosti neuvádí, že by důvodem poškození mostu byla nějaká živelná událost, kdy</w:t>
      </w:r>
      <w:r w:rsidR="00313715">
        <w:t> </w:t>
      </w:r>
      <w:r w:rsidR="003B1A46">
        <w:t>např. v případě poškození mostů povodněmi na místních komunikacích v Ondřejovicích kraj dotaci městu Zlaté Hory poskytl.</w:t>
      </w:r>
    </w:p>
    <w:p w:rsidR="003B1A46" w:rsidRDefault="003B1A46" w:rsidP="00D37321">
      <w:pPr>
        <w:jc w:val="both"/>
      </w:pPr>
    </w:p>
    <w:p w:rsidR="00E26230" w:rsidRDefault="00E26230" w:rsidP="00BF4E86">
      <w:pPr>
        <w:pStyle w:val="Zkladntext"/>
        <w:spacing w:after="0"/>
        <w:jc w:val="both"/>
        <w:rPr>
          <w:b/>
          <w:u w:val="single"/>
        </w:rPr>
      </w:pPr>
    </w:p>
    <w:p w:rsidR="00BF4E86" w:rsidRPr="00C45B4D" w:rsidRDefault="002921E7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</w:t>
      </w:r>
      <w:r w:rsidR="00B02E0C">
        <w:rPr>
          <w:b/>
          <w:u w:val="single"/>
        </w:rPr>
        <w:t xml:space="preserve"> doporučuje </w:t>
      </w:r>
      <w:r>
        <w:rPr>
          <w:b/>
          <w:u w:val="single"/>
        </w:rPr>
        <w:t>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37321">
      <w:pPr>
        <w:pStyle w:val="Zkladntext"/>
        <w:numPr>
          <w:ilvl w:val="0"/>
          <w:numId w:val="7"/>
        </w:numPr>
        <w:jc w:val="both"/>
      </w:pPr>
      <w:r>
        <w:t>vzít na vědomí důvodovou zprávu,</w:t>
      </w:r>
    </w:p>
    <w:p w:rsidR="00BF4E86" w:rsidRDefault="00BF4E86" w:rsidP="00D37321">
      <w:pPr>
        <w:pStyle w:val="Psmeno2odsazen1text"/>
        <w:numPr>
          <w:ilvl w:val="0"/>
          <w:numId w:val="6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poskytnutí dotace z rozpočtu Olomouckého kraje ve výši </w:t>
      </w:r>
      <w:r w:rsidR="00D37321">
        <w:rPr>
          <w:rFonts w:cs="Arial"/>
          <w:noProof w:val="0"/>
          <w:szCs w:val="24"/>
        </w:rPr>
        <w:t>2 000 403,28 K</w:t>
      </w:r>
      <w:r>
        <w:rPr>
          <w:rFonts w:cs="Arial"/>
          <w:noProof w:val="0"/>
          <w:szCs w:val="24"/>
        </w:rPr>
        <w:t xml:space="preserve">č městu </w:t>
      </w:r>
      <w:r w:rsidR="00D37321">
        <w:rPr>
          <w:rFonts w:cs="Arial"/>
          <w:noProof w:val="0"/>
          <w:szCs w:val="24"/>
        </w:rPr>
        <w:t>Uničov</w:t>
      </w:r>
      <w:r>
        <w:rPr>
          <w:rFonts w:cs="Arial"/>
          <w:noProof w:val="0"/>
          <w:szCs w:val="24"/>
        </w:rPr>
        <w:t xml:space="preserve">, </w:t>
      </w:r>
      <w:r w:rsidR="00D37321">
        <w:t>IČ 00299634, se sídlem Masarykovo nám. 1, 783 91 Uničov dle</w:t>
      </w:r>
      <w:r w:rsidR="003B1A46">
        <w:t xml:space="preserve"> bodu 1.</w:t>
      </w:r>
      <w:r w:rsidR="00D37321">
        <w:t xml:space="preserve"> důvodové zprávy</w:t>
      </w:r>
      <w:r>
        <w:rPr>
          <w:rFonts w:cs="Arial"/>
          <w:noProof w:val="0"/>
          <w:szCs w:val="24"/>
        </w:rPr>
        <w:t>,</w:t>
      </w:r>
    </w:p>
    <w:p w:rsidR="00BF4E86" w:rsidRDefault="00E26230" w:rsidP="00D37321">
      <w:pPr>
        <w:pStyle w:val="Psmeno2odsazen1text"/>
        <w:numPr>
          <w:ilvl w:val="0"/>
          <w:numId w:val="6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</w:t>
      </w:r>
      <w:r w:rsidR="00BF4E86">
        <w:rPr>
          <w:rFonts w:cs="Arial"/>
          <w:noProof w:val="0"/>
          <w:szCs w:val="24"/>
        </w:rPr>
        <w:t>chválit uzavření veřejnoprávní smlouvy o poskytnutí dotace s</w:t>
      </w:r>
      <w:r w:rsidR="002402BB">
        <w:rPr>
          <w:rFonts w:cs="Arial"/>
          <w:noProof w:val="0"/>
          <w:szCs w:val="24"/>
        </w:rPr>
        <w:t xml:space="preserve"> </w:t>
      </w:r>
      <w:r w:rsidR="00BF4E86">
        <w:rPr>
          <w:rFonts w:cs="Arial"/>
          <w:noProof w:val="0"/>
          <w:szCs w:val="24"/>
        </w:rPr>
        <w:t xml:space="preserve">městem </w:t>
      </w:r>
      <w:r w:rsidR="00D37321">
        <w:rPr>
          <w:rFonts w:cs="Arial"/>
          <w:noProof w:val="0"/>
          <w:szCs w:val="24"/>
        </w:rPr>
        <w:t>Uničov</w:t>
      </w:r>
      <w:r w:rsidR="00BF4E86">
        <w:rPr>
          <w:rFonts w:cs="Arial"/>
          <w:noProof w:val="0"/>
          <w:szCs w:val="24"/>
        </w:rPr>
        <w:t>, ve znění veřejnoprávní smlouvy uvedené v Příloze č. 2 důvodové zprávy, a</w:t>
      </w:r>
      <w:r w:rsidR="005D26C4">
        <w:rPr>
          <w:rFonts w:cs="Arial"/>
          <w:noProof w:val="0"/>
          <w:szCs w:val="24"/>
        </w:rPr>
        <w:t> </w:t>
      </w:r>
      <w:r w:rsidR="00BF4E86">
        <w:rPr>
          <w:rFonts w:cs="Arial"/>
          <w:noProof w:val="0"/>
          <w:szCs w:val="24"/>
        </w:rPr>
        <w:t xml:space="preserve">uložit </w:t>
      </w:r>
      <w:r w:rsidR="002402BB">
        <w:rPr>
          <w:rFonts w:cs="Arial"/>
          <w:noProof w:val="0"/>
          <w:szCs w:val="24"/>
        </w:rPr>
        <w:t xml:space="preserve">2. náměstkovi </w:t>
      </w:r>
      <w:r w:rsidR="00BF4E86">
        <w:rPr>
          <w:rFonts w:cs="Arial"/>
          <w:noProof w:val="0"/>
          <w:szCs w:val="24"/>
        </w:rPr>
        <w:t>hejtman</w:t>
      </w:r>
      <w:r w:rsidR="002402BB">
        <w:rPr>
          <w:rFonts w:cs="Arial"/>
          <w:noProof w:val="0"/>
          <w:szCs w:val="24"/>
        </w:rPr>
        <w:t>a</w:t>
      </w:r>
      <w:r w:rsidR="00BF4E86">
        <w:rPr>
          <w:rFonts w:cs="Arial"/>
          <w:noProof w:val="0"/>
          <w:szCs w:val="24"/>
        </w:rPr>
        <w:t xml:space="preserve"> Olomouckého kraje podepsat smlouv</w:t>
      </w:r>
      <w:r w:rsidR="002402BB">
        <w:rPr>
          <w:rFonts w:cs="Arial"/>
          <w:noProof w:val="0"/>
          <w:szCs w:val="24"/>
        </w:rPr>
        <w:t>u</w:t>
      </w:r>
      <w:r w:rsidR="00BF4E86">
        <w:rPr>
          <w:rFonts w:cs="Arial"/>
          <w:noProof w:val="0"/>
          <w:szCs w:val="24"/>
        </w:rPr>
        <w:t xml:space="preserve">, </w:t>
      </w:r>
    </w:p>
    <w:p w:rsidR="003B1A46" w:rsidRDefault="003B1A46" w:rsidP="00D37321">
      <w:pPr>
        <w:pStyle w:val="Psmeno2odsazen1text"/>
        <w:numPr>
          <w:ilvl w:val="0"/>
          <w:numId w:val="6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nevyhovět žádosti o poskytnutí dotace z rozpočtu Olomouckého kraje obci Ruda nad Moravou ve výši 797 000 Kč s odůvodnění</w:t>
      </w:r>
      <w:r w:rsidR="005D26C4">
        <w:rPr>
          <w:rFonts w:cs="Arial"/>
          <w:noProof w:val="0"/>
          <w:szCs w:val="24"/>
        </w:rPr>
        <w:t>m</w:t>
      </w:r>
      <w:r>
        <w:rPr>
          <w:rFonts w:cs="Arial"/>
          <w:noProof w:val="0"/>
          <w:szCs w:val="24"/>
        </w:rPr>
        <w:t xml:space="preserve"> dle bodu 2. důvodové zprávy.</w:t>
      </w:r>
    </w:p>
    <w:p w:rsidR="00BF4E86" w:rsidRDefault="00BF4E86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D9707B" w:rsidRDefault="00D9707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lastRenderedPageBreak/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114E79" w:rsidP="00E8742C">
      <w:pPr>
        <w:ind w:left="567"/>
        <w:jc w:val="both"/>
      </w:pPr>
      <w:r>
        <w:t>Seznam ž</w:t>
      </w:r>
      <w:r w:rsidR="008166EA">
        <w:t>adatelů</w:t>
      </w:r>
      <w:r w:rsidR="00801D1D">
        <w:t xml:space="preserve"> o individuální </w:t>
      </w:r>
      <w:r w:rsidR="00744BCE">
        <w:t>dotaci z rozpočtu Olomouckého kraje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3B1A46">
        <w:t>4</w:t>
      </w:r>
      <w:r>
        <w:t>)</w:t>
      </w:r>
    </w:p>
    <w:p w:rsidR="00AE7515" w:rsidRDefault="00AE7515" w:rsidP="00E8742C">
      <w:pPr>
        <w:ind w:left="567"/>
        <w:jc w:val="both"/>
      </w:pPr>
    </w:p>
    <w:p w:rsidR="00E8742C" w:rsidRPr="001506A4" w:rsidRDefault="00AE7515" w:rsidP="00AE7515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>Příloha č. 2</w:t>
      </w:r>
    </w:p>
    <w:p w:rsidR="00AE7515" w:rsidRPr="000757A7" w:rsidRDefault="00AE7515" w:rsidP="00AE7515">
      <w:pPr>
        <w:pStyle w:val="Odstavecseseznamem"/>
        <w:ind w:left="567"/>
        <w:jc w:val="both"/>
      </w:pPr>
      <w:r>
        <w:t xml:space="preserve">Veřejnoprávní smlouva o poskytnutí dotace </w:t>
      </w:r>
      <w:r w:rsidR="00E26230">
        <w:t xml:space="preserve">s </w:t>
      </w:r>
      <w:r w:rsidR="00B30623">
        <w:t>m</w:t>
      </w:r>
      <w:r w:rsidR="00195767">
        <w:t>ěst</w:t>
      </w:r>
      <w:r w:rsidR="00E26230">
        <w:t>em</w:t>
      </w:r>
      <w:r w:rsidR="00195767">
        <w:t xml:space="preserve"> </w:t>
      </w:r>
      <w:r w:rsidR="00D37321">
        <w:t>Uničov</w:t>
      </w:r>
    </w:p>
    <w:p w:rsidR="00AE7515" w:rsidRDefault="00AE7515" w:rsidP="00AE7515">
      <w:pPr>
        <w:pStyle w:val="Odstavecseseznamem"/>
        <w:ind w:left="567"/>
        <w:jc w:val="both"/>
      </w:pPr>
      <w:r>
        <w:t xml:space="preserve">(strana </w:t>
      </w:r>
      <w:r w:rsidR="003B1A46">
        <w:t>5</w:t>
      </w:r>
      <w:r w:rsidR="00643A14">
        <w:t xml:space="preserve"> </w:t>
      </w:r>
      <w:r>
        <w:t>-</w:t>
      </w:r>
      <w:r w:rsidR="002E3252">
        <w:t xml:space="preserve"> </w:t>
      </w:r>
      <w:r w:rsidR="00643A14">
        <w:t>1</w:t>
      </w:r>
      <w:r w:rsidR="003B1A46">
        <w:t>1</w:t>
      </w:r>
      <w:r>
        <w:t>)</w:t>
      </w:r>
    </w:p>
    <w:p w:rsidR="00AE7515" w:rsidRDefault="00AE7515" w:rsidP="00AE7515">
      <w:pPr>
        <w:pStyle w:val="Odstavecseseznamem"/>
        <w:ind w:left="567"/>
        <w:jc w:val="both"/>
      </w:pPr>
    </w:p>
    <w:p w:rsidR="00774EEE" w:rsidRDefault="00774EEE" w:rsidP="00774EEE">
      <w:pPr>
        <w:pStyle w:val="Odstavecseseznamem"/>
        <w:ind w:left="567"/>
        <w:jc w:val="both"/>
      </w:pPr>
    </w:p>
    <w:p w:rsidR="00894E92" w:rsidRDefault="00894E92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  <w:sectPr w:rsidR="00F610F1" w:rsidSect="001837C5">
          <w:headerReference w:type="default" r:id="rId8"/>
          <w:footerReference w:type="default" r:id="rId9"/>
          <w:footerReference w:type="first" r:id="rId10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922"/>
        <w:gridCol w:w="1985"/>
        <w:gridCol w:w="1984"/>
        <w:gridCol w:w="1985"/>
        <w:gridCol w:w="1417"/>
        <w:gridCol w:w="709"/>
        <w:gridCol w:w="850"/>
        <w:gridCol w:w="160"/>
        <w:gridCol w:w="191"/>
        <w:gridCol w:w="925"/>
        <w:gridCol w:w="1418"/>
      </w:tblGrid>
      <w:tr w:rsidR="00D37321" w:rsidRPr="005149EE" w:rsidTr="004E583C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37321" w:rsidRPr="005149EE" w:rsidTr="004E583C">
        <w:trPr>
          <w:trHeight w:val="106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Poř. číslo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Celkové náklady realizované akce/projektu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Termín akce/realizace projektu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D37321" w:rsidRPr="005149EE" w:rsidTr="004E583C">
        <w:trPr>
          <w:trHeight w:val="2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321" w:rsidRPr="005149EE" w:rsidRDefault="00D37321" w:rsidP="004E583C">
            <w:pPr>
              <w:rPr>
                <w:b/>
                <w:bCs/>
                <w:sz w:val="20"/>
                <w:szCs w:val="20"/>
              </w:rPr>
            </w:pPr>
            <w:r w:rsidRPr="005149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D37321" w:rsidRPr="005149EE" w:rsidTr="004E583C">
        <w:trPr>
          <w:trHeight w:val="2880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Město Uničov                               Masarykovo nám. 1                  783 91 Uničov                                                                             Obec                                         IČ 00299634                                   b.ú. 94-46928621/0710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Cyklostezky "Uničov, m. č. Brníčko - Újezd" a "Uničov, m. č. Nová Dědina - Šumvald"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Předmětem předkládaného projektu je vybudování dvou nových stezek pro chodce a cyklisty mezi obcí Šumvald a m.č. Nová Dědina -parkoviště firmy TEKRO spol. s.r.o v délce 1026 m a mezi obcí Újezd a m.č. Brníčko v délce 3651 m . Projekty jsou dílčími částmi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V současnosti musí cyklisté při přepravě mezi obcemi užívat frekventované komunikace II/444 a II/446, které nepředstavují bezpečné spojení pro zranitelné účastníky silničního provozu. Projekt je zaměřen na zajištění dostupnosti Uničova.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17 010 116,81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5/2017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12/2017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2 000 403,28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2 000 403,28</w:t>
            </w:r>
          </w:p>
        </w:tc>
      </w:tr>
      <w:tr w:rsidR="003B1A46" w:rsidRPr="005149EE" w:rsidTr="00393637">
        <w:trPr>
          <w:trHeight w:val="2880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46" w:rsidRPr="005149EE" w:rsidRDefault="003B1A46" w:rsidP="003B1A4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46" w:rsidRPr="005149EE" w:rsidRDefault="003B1A46" w:rsidP="003936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Obec Ruda nad Moravou</w:t>
            </w:r>
            <w:r w:rsidRPr="005149EE">
              <w:rPr>
                <w:rFonts w:ascii="Tahoma" w:hAnsi="Tahoma" w:cs="Tahoma"/>
                <w:sz w:val="16"/>
                <w:szCs w:val="16"/>
              </w:rPr>
              <w:t xml:space="preserve">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9. května 40               789 63 Ruda nad Moravou</w:t>
            </w:r>
            <w:r w:rsidRPr="005149EE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Obec                                         IČ 00</w:t>
            </w:r>
            <w:r>
              <w:rPr>
                <w:rFonts w:ascii="Tahoma" w:hAnsi="Tahoma" w:cs="Tahoma"/>
                <w:sz w:val="16"/>
                <w:szCs w:val="16"/>
              </w:rPr>
              <w:t>303313</w:t>
            </w:r>
            <w:r w:rsidRPr="005149EE">
              <w:rPr>
                <w:rFonts w:ascii="Tahoma" w:hAnsi="Tahoma" w:cs="Tahoma"/>
                <w:sz w:val="16"/>
                <w:szCs w:val="16"/>
              </w:rPr>
              <w:t xml:space="preserve">                                   b.ú. 94-</w:t>
            </w:r>
            <w:r>
              <w:rPr>
                <w:rFonts w:ascii="Tahoma" w:hAnsi="Tahoma" w:cs="Tahoma"/>
                <w:sz w:val="16"/>
                <w:szCs w:val="16"/>
              </w:rPr>
              <w:t>7915641</w:t>
            </w:r>
            <w:r w:rsidRPr="005149EE">
              <w:rPr>
                <w:rFonts w:ascii="Tahoma" w:hAnsi="Tahoma" w:cs="Tahoma"/>
                <w:sz w:val="16"/>
                <w:szCs w:val="16"/>
              </w:rPr>
              <w:t>/0710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46" w:rsidRPr="005149EE" w:rsidRDefault="003B1A46" w:rsidP="003936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Oprava mostu na MK v obci Hrabenov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1A46" w:rsidRPr="005149EE" w:rsidRDefault="003B1A46" w:rsidP="003936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Dotčený most je dle Závěrečné zprávy z prohlídek mostních objektů ve správě obce Ruda nad Moravou za rok 2015, zpracovanou technickým poradcem v oblasti dopravních staveb vyhodnocen jako most, u kterého je třeba připravit a provést celkovou opravu nosné konstrukce a mostního svršku nebo přestavbu.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A46" w:rsidRPr="005149EE" w:rsidRDefault="003B1A46" w:rsidP="003936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Oprava mostu vedoucího přes Hrabenovský potok, který je ve stavebně technicky nevyhovujícím stavu a je nutné jej opravit.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46" w:rsidRPr="005149EE" w:rsidRDefault="003B1A46" w:rsidP="003936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996 253,50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46" w:rsidRPr="005149EE" w:rsidRDefault="003B1A46" w:rsidP="003936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149EE">
              <w:rPr>
                <w:rFonts w:ascii="Tahoma" w:hAnsi="Tahoma" w:cs="Tahoma"/>
                <w:sz w:val="16"/>
                <w:szCs w:val="16"/>
              </w:rPr>
              <w:t>/2017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46" w:rsidRPr="005149EE" w:rsidRDefault="003B1A46" w:rsidP="003936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12/2017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46" w:rsidRPr="005149EE" w:rsidRDefault="003B1A46" w:rsidP="003936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797 000,00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46" w:rsidRPr="005149EE" w:rsidRDefault="003B1A46" w:rsidP="003936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D37321" w:rsidRPr="005149EE" w:rsidTr="004E583C">
        <w:trPr>
          <w:trHeight w:val="24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rPr>
                <w:rFonts w:ascii="Tahoma" w:hAnsi="Tahoma" w:cs="Tahoma"/>
                <w:sz w:val="16"/>
                <w:szCs w:val="16"/>
              </w:rPr>
            </w:pPr>
            <w:r w:rsidRPr="005149E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3B1A46" w:rsidP="004E583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18 006 370,31</w:t>
            </w:r>
            <w:r w:rsidR="00D37321"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jc w:val="right"/>
              <w:rPr>
                <w:b/>
                <w:bCs/>
                <w:sz w:val="16"/>
                <w:szCs w:val="16"/>
              </w:rPr>
            </w:pPr>
            <w:r w:rsidRPr="0051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3B1A46" w:rsidP="004E583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2 797 403,28</w:t>
            </w:r>
            <w:r w:rsidR="00D37321" w:rsidRPr="005149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321" w:rsidRPr="005149EE" w:rsidRDefault="00D37321" w:rsidP="004E583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49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2 000 403,28   </w:t>
            </w:r>
          </w:p>
        </w:tc>
      </w:tr>
    </w:tbl>
    <w:p w:rsidR="00D37321" w:rsidRDefault="00D37321" w:rsidP="00D37321">
      <w:pPr>
        <w:jc w:val="both"/>
        <w:rPr>
          <w:sz w:val="20"/>
          <w:szCs w:val="20"/>
        </w:rPr>
      </w:pPr>
    </w:p>
    <w:p w:rsidR="00D37321" w:rsidRDefault="00D37321" w:rsidP="00D37321">
      <w:pPr>
        <w:jc w:val="both"/>
        <w:rPr>
          <w:sz w:val="20"/>
          <w:szCs w:val="20"/>
        </w:rPr>
      </w:pPr>
    </w:p>
    <w:p w:rsidR="00114E79" w:rsidRDefault="00114E79" w:rsidP="00DA4662">
      <w:pPr>
        <w:jc w:val="both"/>
        <w:rPr>
          <w:sz w:val="20"/>
          <w:szCs w:val="20"/>
        </w:rPr>
        <w:sectPr w:rsidR="00114E79" w:rsidSect="00787220">
          <w:headerReference w:type="default" r:id="rId11"/>
          <w:footerReference w:type="default" r:id="rId12"/>
          <w:pgSz w:w="16838" w:h="11906" w:orient="landscape"/>
          <w:pgMar w:top="1843" w:right="1417" w:bottom="1276" w:left="1417" w:header="708" w:footer="56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46"/>
      </w:tblGrid>
      <w:tr w:rsidR="00B30623" w:rsidRPr="005C68D4" w:rsidTr="00C769F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321" w:rsidRPr="00CF3E3E" w:rsidRDefault="00D37321" w:rsidP="00D37321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F3E3E">
              <w:rPr>
                <w:b/>
                <w:bCs/>
                <w:sz w:val="28"/>
                <w:szCs w:val="28"/>
              </w:rPr>
              <w:lastRenderedPageBreak/>
              <w:t>Smlouva o poskytnutí dotace</w:t>
            </w:r>
          </w:p>
          <w:p w:rsidR="00D37321" w:rsidRPr="00CF3E3E" w:rsidRDefault="00D37321" w:rsidP="00D37321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CF3E3E">
              <w:rPr>
                <w:sz w:val="22"/>
                <w:szCs w:val="22"/>
              </w:rPr>
      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      </w:r>
            <w:r w:rsidRPr="00CF3E3E">
              <w:rPr>
                <w:i/>
                <w:sz w:val="22"/>
                <w:szCs w:val="22"/>
              </w:rPr>
              <w:t xml:space="preserve"> </w:t>
            </w:r>
          </w:p>
          <w:p w:rsidR="00D37321" w:rsidRPr="005C68D4" w:rsidRDefault="00D37321" w:rsidP="00D37321">
            <w:pPr>
              <w:jc w:val="both"/>
            </w:pPr>
          </w:p>
          <w:p w:rsidR="00D37321" w:rsidRPr="005C68D4" w:rsidRDefault="00D37321" w:rsidP="00D37321">
            <w:pPr>
              <w:spacing w:after="120"/>
              <w:jc w:val="both"/>
              <w:outlineLvl w:val="0"/>
              <w:rPr>
                <w:b/>
                <w:bCs/>
              </w:rPr>
            </w:pPr>
            <w:r w:rsidRPr="005C68D4">
              <w:rPr>
                <w:b/>
                <w:bCs/>
              </w:rPr>
              <w:t>Olomoucký kraj</w:t>
            </w:r>
          </w:p>
          <w:p w:rsidR="00D37321" w:rsidRPr="005C68D4" w:rsidRDefault="00D37321" w:rsidP="00D37321">
            <w:pPr>
              <w:spacing w:after="120"/>
              <w:jc w:val="both"/>
              <w:outlineLvl w:val="0"/>
            </w:pPr>
            <w:r w:rsidRPr="005C68D4">
              <w:t>Jeremenkova 40a, 779 11 Olomouc</w:t>
            </w:r>
          </w:p>
          <w:p w:rsidR="00D37321" w:rsidRPr="005C68D4" w:rsidRDefault="00D37321" w:rsidP="00D37321">
            <w:pPr>
              <w:spacing w:after="120"/>
              <w:jc w:val="both"/>
            </w:pPr>
            <w:r w:rsidRPr="005C68D4">
              <w:t>IČ: 60609460</w:t>
            </w:r>
          </w:p>
          <w:p w:rsidR="00D37321" w:rsidRPr="005C68D4" w:rsidRDefault="00D37321" w:rsidP="00D37321">
            <w:pPr>
              <w:spacing w:after="120"/>
              <w:jc w:val="both"/>
            </w:pPr>
            <w:r w:rsidRPr="005C68D4">
              <w:t>DIČ: CZ60609460</w:t>
            </w:r>
          </w:p>
          <w:p w:rsidR="00D37321" w:rsidRDefault="00D37321" w:rsidP="00D37321">
            <w:pPr>
              <w:spacing w:after="120"/>
              <w:jc w:val="both"/>
              <w:rPr>
                <w:i/>
                <w:iCs/>
              </w:rPr>
            </w:pPr>
            <w:r w:rsidRPr="005C68D4">
              <w:t>Zastoupený:  </w:t>
            </w:r>
            <w:r>
              <w:t>Ing. Janem Zahradníčkem, 2. náměstkem</w:t>
            </w:r>
            <w:r w:rsidRPr="005C68D4">
              <w:t xml:space="preserve"> hejtman</w:t>
            </w:r>
            <w:r>
              <w:t xml:space="preserve">a, na základě pověření hejtmana ze dne 8. 11. 2016 </w:t>
            </w:r>
            <w:r w:rsidRPr="005C68D4">
              <w:rPr>
                <w:i/>
                <w:iCs/>
              </w:rPr>
              <w:t xml:space="preserve"> </w:t>
            </w:r>
          </w:p>
          <w:p w:rsidR="00D37321" w:rsidRPr="005C68D4" w:rsidRDefault="00D37321" w:rsidP="00D37321">
            <w:pPr>
              <w:spacing w:after="120"/>
              <w:jc w:val="both"/>
            </w:pPr>
            <w:r w:rsidRPr="005C68D4">
              <w:t>Bankovní spojení:</w:t>
            </w:r>
            <w:r>
              <w:t xml:space="preserve"> 27-4228120277/0100</w:t>
            </w:r>
          </w:p>
          <w:p w:rsidR="00D37321" w:rsidRPr="005C68D4" w:rsidRDefault="00D37321" w:rsidP="00D37321">
            <w:pPr>
              <w:jc w:val="both"/>
            </w:pPr>
            <w:r w:rsidRPr="005C68D4">
              <w:t>(dále jen „</w:t>
            </w:r>
            <w:r w:rsidRPr="005C68D4">
              <w:rPr>
                <w:b/>
                <w:bCs/>
              </w:rPr>
              <w:t>poskytovatel</w:t>
            </w:r>
            <w:r w:rsidRPr="005C68D4">
              <w:rPr>
                <w:bCs/>
              </w:rPr>
              <w:t>“</w:t>
            </w:r>
            <w:r w:rsidRPr="005C68D4">
              <w:t>)</w:t>
            </w:r>
          </w:p>
          <w:p w:rsidR="00D37321" w:rsidRPr="005C68D4" w:rsidRDefault="00D37321" w:rsidP="00D37321">
            <w:pPr>
              <w:spacing w:before="120" w:after="120"/>
              <w:jc w:val="both"/>
            </w:pPr>
            <w:r w:rsidRPr="005C68D4">
              <w:t>a</w:t>
            </w:r>
          </w:p>
          <w:p w:rsidR="00D37321" w:rsidRPr="00F408C6" w:rsidRDefault="00D37321" w:rsidP="00D37321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město Uničov</w:t>
            </w:r>
          </w:p>
          <w:p w:rsidR="00D37321" w:rsidRPr="00F408C6" w:rsidRDefault="00D37321" w:rsidP="00D37321">
            <w:pPr>
              <w:spacing w:after="120"/>
              <w:jc w:val="both"/>
            </w:pPr>
            <w:r>
              <w:t>Masarykovo nám. 1, 783 91 Uničov</w:t>
            </w:r>
          </w:p>
          <w:p w:rsidR="00D37321" w:rsidRDefault="00D37321" w:rsidP="00D37321">
            <w:pPr>
              <w:spacing w:after="120"/>
              <w:jc w:val="both"/>
              <w:rPr>
                <w:bCs/>
              </w:rPr>
            </w:pPr>
            <w:r w:rsidRPr="00F408C6">
              <w:rPr>
                <w:bCs/>
              </w:rPr>
              <w:t>IČ</w:t>
            </w:r>
            <w:r>
              <w:rPr>
                <w:bCs/>
              </w:rPr>
              <w:t>: 00299634</w:t>
            </w:r>
          </w:p>
          <w:p w:rsidR="00D37321" w:rsidRPr="00F408C6" w:rsidRDefault="00D37321" w:rsidP="00D37321">
            <w:pPr>
              <w:spacing w:after="120"/>
              <w:jc w:val="both"/>
            </w:pPr>
            <w:r>
              <w:rPr>
                <w:bCs/>
              </w:rPr>
              <w:t>DIČ: CZ00299634</w:t>
            </w:r>
          </w:p>
          <w:p w:rsidR="00D37321" w:rsidRPr="005C68D4" w:rsidRDefault="00D37321" w:rsidP="00D37321">
            <w:pPr>
              <w:spacing w:after="120"/>
              <w:jc w:val="both"/>
            </w:pPr>
            <w:r w:rsidRPr="00F408C6">
              <w:rPr>
                <w:bCs/>
              </w:rPr>
              <w:t xml:space="preserve">Zastoupený: </w:t>
            </w:r>
            <w:r>
              <w:rPr>
                <w:bCs/>
              </w:rPr>
              <w:t>Mgr. Rad</w:t>
            </w:r>
            <w:r w:rsidR="00313715">
              <w:rPr>
                <w:bCs/>
              </w:rPr>
              <w:t>kem</w:t>
            </w:r>
            <w:r>
              <w:rPr>
                <w:bCs/>
              </w:rPr>
              <w:t xml:space="preserve"> Vincour</w:t>
            </w:r>
            <w:r w:rsidR="00313715">
              <w:rPr>
                <w:bCs/>
              </w:rPr>
              <w:t>em</w:t>
            </w:r>
            <w:r>
              <w:rPr>
                <w:bCs/>
              </w:rPr>
              <w:t>, starost</w:t>
            </w:r>
            <w:r w:rsidR="00313715">
              <w:rPr>
                <w:bCs/>
              </w:rPr>
              <w:t>ou</w:t>
            </w:r>
          </w:p>
          <w:p w:rsidR="00D37321" w:rsidRPr="00F408C6" w:rsidRDefault="00D37321" w:rsidP="00D37321">
            <w:pPr>
              <w:spacing w:after="120"/>
              <w:jc w:val="both"/>
              <w:outlineLvl w:val="0"/>
              <w:rPr>
                <w:bCs/>
              </w:rPr>
            </w:pPr>
            <w:r w:rsidRPr="00F408C6">
              <w:rPr>
                <w:bCs/>
              </w:rPr>
              <w:t>Bankovní spojení</w:t>
            </w:r>
            <w:r>
              <w:rPr>
                <w:bCs/>
              </w:rPr>
              <w:t>: 94-46928621/0710</w:t>
            </w:r>
          </w:p>
          <w:p w:rsidR="00D37321" w:rsidRPr="005C68D4" w:rsidRDefault="00D37321" w:rsidP="00D37321">
            <w:pPr>
              <w:spacing w:after="120"/>
              <w:jc w:val="both"/>
            </w:pPr>
            <w:r w:rsidRPr="005C68D4">
              <w:t>(dále jen „</w:t>
            </w:r>
            <w:r w:rsidRPr="005C68D4">
              <w:rPr>
                <w:b/>
                <w:bCs/>
              </w:rPr>
              <w:t>příjemce</w:t>
            </w:r>
            <w:r w:rsidRPr="005C68D4">
              <w:rPr>
                <w:bCs/>
              </w:rPr>
              <w:t>“</w:t>
            </w:r>
            <w:r w:rsidRPr="005C68D4">
              <w:t>)</w:t>
            </w:r>
          </w:p>
          <w:p w:rsidR="00D37321" w:rsidRPr="00DC4DE2" w:rsidRDefault="00D37321" w:rsidP="00D37321">
            <w:pPr>
              <w:spacing w:after="120"/>
              <w:jc w:val="both"/>
            </w:pPr>
            <w:r>
              <w:t>(oba dále jen „</w:t>
            </w:r>
            <w:r>
              <w:rPr>
                <w:b/>
              </w:rPr>
              <w:t>smluvní strany</w:t>
            </w:r>
            <w:r>
              <w:t>“)</w:t>
            </w:r>
          </w:p>
          <w:p w:rsidR="00D37321" w:rsidRPr="00CF3E3E" w:rsidRDefault="00D37321" w:rsidP="00D37321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F3E3E">
              <w:rPr>
                <w:b/>
                <w:bCs/>
              </w:rPr>
              <w:t>uzavírají níže uvedeného dne, měsíce a roku</w:t>
            </w:r>
          </w:p>
          <w:p w:rsidR="00D37321" w:rsidRPr="00CF3E3E" w:rsidRDefault="00D37321" w:rsidP="00D37321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F3E3E">
              <w:rPr>
                <w:b/>
                <w:bCs/>
              </w:rPr>
              <w:t>tuto smlouvu o poskytnutí dotace:</w:t>
            </w:r>
          </w:p>
          <w:p w:rsidR="00D37321" w:rsidRPr="00CF3E3E" w:rsidRDefault="00D37321" w:rsidP="00D37321">
            <w:pPr>
              <w:spacing w:before="360" w:after="120"/>
              <w:jc w:val="center"/>
              <w:rPr>
                <w:b/>
                <w:bCs/>
              </w:rPr>
            </w:pPr>
            <w:r w:rsidRPr="00CF3E3E">
              <w:rPr>
                <w:b/>
                <w:bCs/>
              </w:rPr>
              <w:t>I.</w:t>
            </w:r>
          </w:p>
          <w:p w:rsidR="00D37321" w:rsidRPr="00CF3E3E" w:rsidRDefault="00D37321" w:rsidP="00D37321">
            <w:pPr>
              <w:numPr>
                <w:ilvl w:val="0"/>
                <w:numId w:val="9"/>
              </w:numPr>
              <w:spacing w:after="120"/>
              <w:jc w:val="both"/>
            </w:pPr>
            <w:r w:rsidRPr="00CF3E3E">
              <w:t>Poskytovatel se na základě této smlouvy zavazuje poskytnout příjemci dotaci ve výši</w:t>
            </w:r>
            <w:r>
              <w:rPr>
                <w:b/>
              </w:rPr>
              <w:t xml:space="preserve"> 2 000 403,28</w:t>
            </w:r>
            <w:r w:rsidRPr="00D11906">
              <w:rPr>
                <w:b/>
              </w:rPr>
              <w:t xml:space="preserve"> Kč</w:t>
            </w:r>
            <w:r w:rsidRPr="00CF3E3E">
              <w:t>, slovy:</w:t>
            </w:r>
            <w:r>
              <w:t xml:space="preserve"> dvamilionyčtyřistatři</w:t>
            </w:r>
            <w:r w:rsidRPr="00CF3E3E">
              <w:t xml:space="preserve"> korun českých</w:t>
            </w:r>
            <w:r>
              <w:t xml:space="preserve"> dvacetosm haléřů</w:t>
            </w:r>
            <w:r w:rsidRPr="00CF3E3E">
              <w:t xml:space="preserve"> (dále jen „dotace“).</w:t>
            </w:r>
          </w:p>
          <w:p w:rsidR="00D37321" w:rsidRDefault="00D37321" w:rsidP="00D37321">
            <w:pPr>
              <w:numPr>
                <w:ilvl w:val="0"/>
                <w:numId w:val="9"/>
              </w:numPr>
              <w:spacing w:after="120"/>
              <w:jc w:val="both"/>
            </w:pPr>
            <w:r w:rsidRPr="00CF3E3E">
              <w:t>Účelem poskytnutí dotace je</w:t>
            </w:r>
            <w:r>
              <w:t xml:space="preserve"> úhrada výdajů na akci </w:t>
            </w:r>
            <w:r>
              <w:rPr>
                <w:b/>
              </w:rPr>
              <w:t>Cyklostezky „Uničov, m. č. Brníčko – Újezd“ a „Uničov, m. č. Nová Dědina – Šumvald“</w:t>
            </w:r>
            <w:r w:rsidRPr="00CF3E3E">
              <w:t xml:space="preserve"> (dále také „akce“). </w:t>
            </w:r>
          </w:p>
          <w:p w:rsidR="00D37321" w:rsidRPr="00B30623" w:rsidRDefault="00D37321" w:rsidP="00D37321">
            <w:pPr>
              <w:pStyle w:val="Odstavecseseznamem"/>
              <w:numPr>
                <w:ilvl w:val="0"/>
                <w:numId w:val="12"/>
              </w:numPr>
              <w:spacing w:after="120"/>
              <w:ind w:left="567" w:hanging="567"/>
              <w:jc w:val="both"/>
              <w:rPr>
                <w:vanish/>
              </w:rPr>
            </w:pPr>
          </w:p>
          <w:p w:rsidR="00D37321" w:rsidRPr="00B30623" w:rsidRDefault="00D37321" w:rsidP="00D37321">
            <w:pPr>
              <w:pStyle w:val="Odstavecseseznamem"/>
              <w:numPr>
                <w:ilvl w:val="0"/>
                <w:numId w:val="12"/>
              </w:numPr>
              <w:spacing w:after="120"/>
              <w:ind w:left="567" w:hanging="567"/>
              <w:jc w:val="both"/>
              <w:rPr>
                <w:vanish/>
              </w:rPr>
            </w:pPr>
          </w:p>
          <w:p w:rsidR="00D37321" w:rsidRPr="00CF3E3E" w:rsidRDefault="00D37321" w:rsidP="00D37321">
            <w:pPr>
              <w:pStyle w:val="Odstavecseseznamem"/>
              <w:numPr>
                <w:ilvl w:val="0"/>
                <w:numId w:val="12"/>
              </w:numPr>
              <w:spacing w:after="120"/>
              <w:ind w:left="567" w:hanging="567"/>
              <w:jc w:val="both"/>
            </w:pPr>
            <w:r w:rsidRPr="00CF3E3E">
              <w:t xml:space="preserve">Dotace bude </w:t>
            </w:r>
            <w:r>
              <w:t xml:space="preserve">poskytovatelem </w:t>
            </w:r>
            <w:r w:rsidRPr="00CF3E3E">
              <w:t xml:space="preserve">poskytnuta převodem na bankovní účet příjemce uvedený v záhlaví této smlouvy do 21 dnů ode dne </w:t>
            </w:r>
            <w:r>
              <w:t>nabytí účinnosti</w:t>
            </w:r>
            <w:r w:rsidRPr="00CF3E3E">
              <w:t xml:space="preserve"> této smlouvy</w:t>
            </w:r>
            <w:r w:rsidRPr="00B30623">
              <w:rPr>
                <w:i/>
                <w:iCs/>
              </w:rPr>
              <w:t>.</w:t>
            </w:r>
            <w:r w:rsidRPr="00CF3E3E">
              <w:t xml:space="preserve"> </w:t>
            </w:r>
            <w:r>
              <w:t>Za den poskytnutí dotace se pro účely této smlouvy považuje den odepsání finančních prostředků z účtu poskytovatele ve prospěch účtu příjemce</w:t>
            </w:r>
            <w:r w:rsidRPr="00CF3E3E">
              <w:t>.</w:t>
            </w:r>
          </w:p>
          <w:p w:rsidR="00D37321" w:rsidRDefault="00D37321" w:rsidP="00D37321">
            <w:pPr>
              <w:numPr>
                <w:ilvl w:val="0"/>
                <w:numId w:val="13"/>
              </w:numPr>
              <w:spacing w:after="120"/>
              <w:jc w:val="both"/>
            </w:pPr>
            <w:r w:rsidRPr="00CF3E3E">
              <w:t>Dotace se posk</w:t>
            </w:r>
            <w:r>
              <w:t>ytuje na účel stanovený v čl. I</w:t>
            </w:r>
            <w:r w:rsidRPr="00CF3E3E">
              <w:t xml:space="preserve"> odst. 2 této smlouvy jako dotace </w:t>
            </w:r>
            <w:r w:rsidRPr="00CF3E3E">
              <w:lastRenderedPageBreak/>
              <w:t xml:space="preserve">investiční. </w:t>
            </w:r>
          </w:p>
          <w:p w:rsidR="00D37321" w:rsidRPr="00CF3E3E" w:rsidRDefault="00D37321" w:rsidP="00D37321">
            <w:pPr>
              <w:pStyle w:val="Odstavecseseznamem"/>
              <w:spacing w:after="120"/>
              <w:ind w:left="567"/>
              <w:jc w:val="both"/>
            </w:pPr>
            <w:r w:rsidRPr="00CF3E3E">
      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      </w:r>
          </w:p>
          <w:p w:rsidR="00D37321" w:rsidRPr="005C68D4" w:rsidRDefault="00D37321" w:rsidP="00D37321">
            <w:pPr>
              <w:keepNext/>
              <w:spacing w:before="360" w:after="120"/>
              <w:jc w:val="center"/>
              <w:outlineLvl w:val="0"/>
              <w:rPr>
                <w:b/>
                <w:bCs/>
              </w:rPr>
            </w:pPr>
            <w:r w:rsidRPr="005C68D4">
              <w:rPr>
                <w:b/>
                <w:bCs/>
              </w:rPr>
              <w:t>II.</w:t>
            </w:r>
          </w:p>
          <w:p w:rsidR="00D37321" w:rsidRPr="00B40142" w:rsidRDefault="00D37321" w:rsidP="00D37321">
            <w:pPr>
              <w:numPr>
                <w:ilvl w:val="0"/>
                <w:numId w:val="10"/>
              </w:numPr>
              <w:tabs>
                <w:tab w:val="left" w:pos="8100"/>
              </w:tabs>
              <w:spacing w:after="120"/>
              <w:jc w:val="both"/>
              <w:rPr>
                <w:iCs/>
              </w:rPr>
            </w:pPr>
            <w:r w:rsidRPr="00B40142">
              <w:t>Příjemce dotaci přijímá a zavazuje se ji použít výlučně v souladu s účelem poskytnutí dotace dle čl. I odst. 2 a 4 této smlouvy, v souladu s podmínkami stanovenými v této smlouvě</w:t>
            </w:r>
            <w:r>
              <w:t>, v souladu se Zásadami pro poskytování individuálních dotací z rozpočtu Olomouckého kraje v roce 2017</w:t>
            </w:r>
            <w:r w:rsidRPr="00B40142">
              <w:t xml:space="preserve"> a v souladu s</w:t>
            </w:r>
            <w:r>
              <w:t xml:space="preserve"> usnesením Zastupitelstva Olomouckého kraje č. UZ/xx/xx/2017 ze dne </w:t>
            </w:r>
            <w:r>
              <w:br/>
              <w:t>18. 9. 2017</w:t>
            </w:r>
            <w:r w:rsidRPr="00B40142">
              <w:rPr>
                <w:i/>
                <w:iCs/>
              </w:rPr>
              <w:t xml:space="preserve">. </w:t>
            </w:r>
            <w:r w:rsidRPr="00B40142">
              <w:t>Dotace musí být použita hospodárně. Příjemce je oprávněn dotaci použít pouze na</w:t>
            </w:r>
            <w:r>
              <w:t xml:space="preserve"> výdaje spojené s výstavbou cyklostezek uvedených v čl. I odst. 2 této smlouvy</w:t>
            </w:r>
            <w:r w:rsidRPr="00B40142">
              <w:rPr>
                <w:i/>
                <w:iCs/>
              </w:rPr>
              <w:t>.</w:t>
            </w:r>
          </w:p>
          <w:p w:rsidR="00D37321" w:rsidRPr="00B40142" w:rsidRDefault="00D37321" w:rsidP="00D37321">
            <w:pPr>
              <w:tabs>
                <w:tab w:val="left" w:pos="8100"/>
              </w:tabs>
              <w:spacing w:after="120"/>
              <w:ind w:left="567"/>
              <w:jc w:val="both"/>
              <w:rPr>
                <w:iCs/>
              </w:rPr>
            </w:pPr>
            <w:r w:rsidRPr="00B40142">
              <w:rPr>
                <w:iCs/>
              </w:rPr>
              <w:t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</w:t>
            </w:r>
            <w:r>
              <w:rPr>
                <w:iCs/>
              </w:rPr>
              <w:br/>
            </w:r>
            <w:r w:rsidRPr="00B40142">
              <w:rPr>
                <w:iCs/>
              </w:rPr>
              <w:t xml:space="preserve">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      </w:r>
            <w:r>
              <w:rPr>
                <w:iCs/>
              </w:rPr>
              <w:t> </w:t>
            </w:r>
            <w:r w:rsidRPr="00B40142">
              <w:rPr>
                <w:iCs/>
              </w:rPr>
              <w:t xml:space="preserve">souvislosti s realizací </w:t>
            </w:r>
            <w:r>
              <w:rPr>
                <w:iCs/>
              </w:rPr>
              <w:t>akce</w:t>
            </w:r>
            <w:r w:rsidRPr="00B40142">
              <w:rPr>
                <w:iCs/>
              </w:rPr>
              <w:t>, na kter</w:t>
            </w:r>
            <w:r>
              <w:rPr>
                <w:iCs/>
              </w:rPr>
              <w:t>ou</w:t>
            </w:r>
            <w:r w:rsidRPr="00B40142">
              <w:rPr>
                <w:iCs/>
              </w:rPr>
      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      </w:r>
          </w:p>
          <w:p w:rsidR="00D37321" w:rsidRPr="00B40142" w:rsidRDefault="00D37321" w:rsidP="00D37321">
            <w:pPr>
              <w:spacing w:after="120"/>
              <w:ind w:left="567"/>
              <w:jc w:val="both"/>
              <w:rPr>
                <w:iCs/>
              </w:rPr>
            </w:pPr>
            <w:r w:rsidRPr="00B40142">
              <w:rPr>
                <w:iCs/>
              </w:rPr>
              <w:t xml:space="preserve">Dotaci nelze rovněž použít na úhradu ostatních daní. </w:t>
            </w:r>
          </w:p>
          <w:p w:rsidR="00D37321" w:rsidRPr="00B40142" w:rsidRDefault="00D37321" w:rsidP="00D37321">
            <w:pPr>
              <w:spacing w:after="120"/>
              <w:ind w:left="567"/>
              <w:jc w:val="both"/>
            </w:pPr>
            <w:r w:rsidRPr="00B40142">
              <w:t>Bez předchozího písemného souhlasu poskytovatele nesmí příjemce dotaci nebo její část poskytnout třetí osobě, není-li touto smlouvou stanoveno jinak.</w:t>
            </w:r>
          </w:p>
          <w:p w:rsidR="00D37321" w:rsidRPr="00B40142" w:rsidRDefault="00D37321" w:rsidP="00D37321">
            <w:pPr>
              <w:spacing w:after="120"/>
              <w:ind w:left="567"/>
              <w:jc w:val="both"/>
            </w:pPr>
            <w:r w:rsidRPr="00B40142">
              <w:t xml:space="preserve">Příjemce je povinen vést dotaci ve svém účetnictví odděleně. </w:t>
            </w:r>
          </w:p>
          <w:p w:rsidR="00D37321" w:rsidRPr="00B40142" w:rsidRDefault="00D37321" w:rsidP="00D37321">
            <w:pPr>
              <w:numPr>
                <w:ilvl w:val="0"/>
                <w:numId w:val="10"/>
              </w:numPr>
              <w:spacing w:after="120"/>
              <w:jc w:val="both"/>
              <w:rPr>
                <w:i/>
                <w:iCs/>
              </w:rPr>
            </w:pPr>
            <w:r w:rsidRPr="00B40142">
              <w:t xml:space="preserve">Příjemce je povinen použít poskytnutou dotaci nejpozději do </w:t>
            </w:r>
            <w:r w:rsidRPr="007E4CF3">
              <w:rPr>
                <w:b/>
              </w:rPr>
              <w:t>31. 12. 201</w:t>
            </w:r>
            <w:r>
              <w:rPr>
                <w:b/>
              </w:rPr>
              <w:t>7</w:t>
            </w:r>
            <w:r w:rsidRPr="00B40142">
              <w:rPr>
                <w:i/>
                <w:iCs/>
              </w:rPr>
              <w:t xml:space="preserve">. </w:t>
            </w:r>
          </w:p>
          <w:p w:rsidR="00D37321" w:rsidRPr="00B40142" w:rsidRDefault="00D37321" w:rsidP="00D37321">
            <w:pPr>
              <w:spacing w:after="120"/>
              <w:ind w:left="567"/>
              <w:jc w:val="both"/>
              <w:rPr>
                <w:i/>
                <w:iCs/>
              </w:rPr>
            </w:pPr>
            <w:r w:rsidRPr="00B40142">
              <w:rPr>
                <w:iCs/>
              </w:rPr>
              <w:t xml:space="preserve">Příjemce je oprávněn použít dotaci také na úhradu </w:t>
            </w:r>
            <w:r>
              <w:rPr>
                <w:iCs/>
              </w:rPr>
              <w:t>výdajů</w:t>
            </w:r>
            <w:r w:rsidRPr="00B40142">
              <w:rPr>
                <w:iCs/>
              </w:rPr>
              <w:t xml:space="preserve"> vynaložených příjemcem v souladu s účelem poskytnutí dotace dle čl. I odst. 2 a 4 této smlouvy a podmínkami užití dotace dle čl. II odst. 1 této smlouvy v období </w:t>
            </w:r>
            <w:r>
              <w:rPr>
                <w:iCs/>
              </w:rPr>
              <w:br/>
            </w:r>
            <w:r w:rsidRPr="00B40142">
              <w:rPr>
                <w:iCs/>
              </w:rPr>
              <w:t xml:space="preserve">od </w:t>
            </w:r>
            <w:r>
              <w:rPr>
                <w:iCs/>
              </w:rPr>
              <w:t>1. 1. 2017</w:t>
            </w:r>
            <w:r w:rsidRPr="00B40142">
              <w:rPr>
                <w:iCs/>
              </w:rPr>
              <w:t xml:space="preserve"> do uzavření této smlouvy.</w:t>
            </w:r>
          </w:p>
          <w:p w:rsidR="00D37321" w:rsidRDefault="00D37321" w:rsidP="00D37321">
            <w:pPr>
              <w:numPr>
                <w:ilvl w:val="0"/>
                <w:numId w:val="10"/>
              </w:numPr>
              <w:spacing w:after="120"/>
              <w:jc w:val="both"/>
            </w:pPr>
            <w:r w:rsidRPr="00B40142">
              <w:t>Příjemce je povinen umožnit poskytovateli provedení kontroly dodržení účelu a</w:t>
            </w:r>
            <w:r>
              <w:t> </w:t>
            </w:r>
            <w:r w:rsidRPr="00B40142">
              <w:t>podmínek použití poskytnuté dotace. Při této kontrole je příjemce povinen vyvíjet veškerou poskytov</w:t>
            </w:r>
            <w:r>
              <w:t>atelem požadovanou součinnost.</w:t>
            </w:r>
          </w:p>
          <w:p w:rsidR="004F747C" w:rsidRPr="00B40142" w:rsidRDefault="004F747C" w:rsidP="004F747C">
            <w:pPr>
              <w:spacing w:after="120"/>
              <w:jc w:val="both"/>
            </w:pPr>
          </w:p>
          <w:p w:rsidR="00D37321" w:rsidRPr="007E4CF3" w:rsidRDefault="00D37321" w:rsidP="00D37321">
            <w:pPr>
              <w:numPr>
                <w:ilvl w:val="0"/>
                <w:numId w:val="10"/>
              </w:numPr>
              <w:tabs>
                <w:tab w:val="left" w:pos="540"/>
              </w:tabs>
              <w:spacing w:after="120"/>
              <w:jc w:val="both"/>
            </w:pPr>
            <w:r w:rsidRPr="007E4CF3">
              <w:lastRenderedPageBreak/>
              <w:t xml:space="preserve">Příjemce je povinen nejpozději do </w:t>
            </w:r>
            <w:r w:rsidRPr="00254B4C">
              <w:rPr>
                <w:b/>
              </w:rPr>
              <w:t>31. 1. 201</w:t>
            </w:r>
            <w:r>
              <w:rPr>
                <w:b/>
              </w:rPr>
              <w:t>8</w:t>
            </w:r>
            <w:r w:rsidRPr="007E4CF3">
              <w:t xml:space="preserve"> předložit poskytovateli vyúčtování poskytnuté dotace (dále jen „vyúčtování“). </w:t>
            </w:r>
          </w:p>
          <w:p w:rsidR="00D37321" w:rsidRPr="00B40142" w:rsidRDefault="00D37321" w:rsidP="00D37321">
            <w:pPr>
              <w:tabs>
                <w:tab w:val="left" w:pos="540"/>
              </w:tabs>
              <w:spacing w:after="120"/>
              <w:ind w:left="540"/>
              <w:jc w:val="both"/>
            </w:pPr>
            <w:r w:rsidRPr="00B40142">
              <w:t>Vyúčtování musí obsahovat:</w:t>
            </w:r>
          </w:p>
          <w:p w:rsidR="00D37321" w:rsidRDefault="00D37321" w:rsidP="00D37321">
            <w:pPr>
              <w:spacing w:after="120"/>
              <w:ind w:left="1287" w:hanging="720"/>
              <w:jc w:val="both"/>
            </w:pPr>
            <w:r w:rsidRPr="00B40142">
              <w:t>4.1.</w:t>
            </w:r>
            <w:r w:rsidRPr="00B40142">
              <w:tab/>
            </w:r>
            <w:r w:rsidRPr="00B7775D">
              <w:t>soupis</w:t>
            </w:r>
            <w:r w:rsidRPr="00B40142">
              <w:t xml:space="preserve"> celkových </w:t>
            </w:r>
            <w:r>
              <w:t>skutečně vynaložených</w:t>
            </w:r>
            <w:r w:rsidRPr="00B40142">
              <w:t xml:space="preserve"> výdajů na akci, na jejíž realizaci byla poskytnuta dotace</w:t>
            </w:r>
            <w:r w:rsidRPr="005C68D4">
              <w:t xml:space="preserve"> dle této smlouvy, v rozsahu uvedeném v příloze č. 1 „Finanční </w:t>
            </w:r>
            <w:r w:rsidRPr="002C39F0">
              <w:t xml:space="preserve">vyúčtování </w:t>
            </w:r>
            <w:r w:rsidRPr="007E4CF3">
              <w:t>dotace poskytnuté v roce 201</w:t>
            </w:r>
            <w:r>
              <w:t>7</w:t>
            </w:r>
            <w:r w:rsidRPr="00C56DC2">
              <w:t>“</w:t>
            </w:r>
            <w:r w:rsidRPr="00C56DC2">
              <w:rPr>
                <w:color w:val="FF0000"/>
              </w:rPr>
              <w:t>.</w:t>
            </w:r>
            <w:r w:rsidRPr="002C39F0">
              <w:t xml:space="preserve"> </w:t>
            </w:r>
            <w:r w:rsidRPr="002C39F0">
              <w:rPr>
                <w:b/>
              </w:rPr>
              <w:t>Příloha č. 1 je</w:t>
            </w:r>
            <w:r w:rsidRPr="005C68D4">
              <w:rPr>
                <w:b/>
              </w:rPr>
              <w:t xml:space="preserve"> pro příjemce k dispozici </w:t>
            </w:r>
            <w:r w:rsidRPr="00B40142">
              <w:rPr>
                <w:b/>
              </w:rPr>
              <w:t xml:space="preserve">v elektronické formě na webu </w:t>
            </w:r>
            <w:r>
              <w:rPr>
                <w:b/>
              </w:rPr>
              <w:t>poskytovatele</w:t>
            </w:r>
            <w:r w:rsidRPr="00B40142">
              <w:rPr>
                <w:b/>
              </w:rPr>
              <w:t xml:space="preserve"> </w:t>
            </w:r>
            <w:hyperlink r:id="rId13" w:history="1">
              <w:r w:rsidRPr="005A253A">
                <w:rPr>
                  <w:rStyle w:val="Hypertextovodkaz"/>
                  <w:b/>
                </w:rPr>
                <w:t>https://www.kr-olomoucky.cz/vyuctovani-prispevku-dotace-cl-3802.html</w:t>
              </w:r>
            </w:hyperlink>
            <w:r w:rsidRPr="00B40142">
              <w:t>.</w:t>
            </w:r>
            <w:r w:rsidRPr="00B91FAE">
              <w:t xml:space="preserve"> </w:t>
            </w:r>
            <w:r>
              <w:t xml:space="preserve"> </w:t>
            </w:r>
            <w:r w:rsidRPr="00B40142">
              <w:t xml:space="preserve">Soupis výdajů dle tohoto ustanovení doloží příjemce čestným prohlášením, že </w:t>
            </w:r>
            <w:r w:rsidRPr="005C68D4">
              <w:t xml:space="preserve">celkové </w:t>
            </w:r>
            <w:r>
              <w:t>skutečně vynaložené</w:t>
            </w:r>
            <w:r w:rsidRPr="005C68D4">
              <w:t xml:space="preserve"> výdaje uvedené v soupisu jsou pravdivé a úplné</w:t>
            </w:r>
            <w:r>
              <w:t>.</w:t>
            </w:r>
          </w:p>
          <w:p w:rsidR="00D37321" w:rsidRPr="00B40142" w:rsidRDefault="00D37321" w:rsidP="00D37321">
            <w:pPr>
              <w:spacing w:after="120"/>
              <w:ind w:left="1287" w:hanging="720"/>
              <w:jc w:val="both"/>
            </w:pPr>
            <w:r w:rsidRPr="00B40142">
              <w:t>4.2.</w:t>
            </w:r>
            <w:r w:rsidRPr="00B40142">
              <w:tab/>
              <w:t xml:space="preserve">soupis výdajů hrazených z poskytnuté dotace na akci, na jejíž realizaci byla poskytnuta dotace dle této smlouvy, a to v rozsahu uvedeném v příloze č. 1 „Finanční vyúčtování </w:t>
            </w:r>
            <w:r w:rsidRPr="000005DC">
              <w:t>dotace poskytnuté v roce 201</w:t>
            </w:r>
            <w:r>
              <w:t>7</w:t>
            </w:r>
            <w:r w:rsidRPr="00C62A9D">
              <w:t>“</w:t>
            </w:r>
            <w:r w:rsidRPr="00B40142">
              <w:t>, doložený:</w:t>
            </w:r>
          </w:p>
          <w:p w:rsidR="00D37321" w:rsidRPr="005C68D4" w:rsidRDefault="00D37321" w:rsidP="00D37321">
            <w:pPr>
              <w:numPr>
                <w:ilvl w:val="0"/>
                <w:numId w:val="11"/>
              </w:numPr>
              <w:tabs>
                <w:tab w:val="clear" w:pos="1287"/>
              </w:tabs>
              <w:spacing w:after="120"/>
              <w:ind w:left="1701"/>
              <w:jc w:val="both"/>
            </w:pPr>
            <w:r w:rsidRPr="005C68D4">
              <w:t>fotokopiemi faktur s podrobným rozpisem dodávky (případně dodacím listem), popřípadě jiných účetních dokladů včetně příloh, prokazujících vynaložení výdajů,</w:t>
            </w:r>
          </w:p>
          <w:p w:rsidR="00D37321" w:rsidRPr="005C68D4" w:rsidRDefault="00D37321" w:rsidP="00D37321">
            <w:pPr>
              <w:numPr>
                <w:ilvl w:val="0"/>
                <w:numId w:val="11"/>
              </w:numPr>
              <w:tabs>
                <w:tab w:val="clear" w:pos="1287"/>
              </w:tabs>
              <w:spacing w:after="120"/>
              <w:ind w:left="1701"/>
              <w:jc w:val="both"/>
            </w:pPr>
            <w:r w:rsidRPr="005C68D4">
              <w:t>fotokopiemi výdajových dokladů včetně příloh (stvrzenky, paragony apod.), na základě kterých je pokladní doklad vystaven, a to pouze u</w:t>
            </w:r>
            <w:r>
              <w:t> </w:t>
            </w:r>
            <w:r w:rsidRPr="005C68D4">
              <w:t>jednotlivých výdajů přesahujících částku 1000 Kč. U jednotlivých výdajů do výše 1000 Kč doloží příjemce pouze soupis těchto výdajů,</w:t>
            </w:r>
          </w:p>
          <w:p w:rsidR="00D37321" w:rsidRPr="005C68D4" w:rsidRDefault="00D37321" w:rsidP="00D37321">
            <w:pPr>
              <w:numPr>
                <w:ilvl w:val="0"/>
                <w:numId w:val="11"/>
              </w:numPr>
              <w:tabs>
                <w:tab w:val="clear" w:pos="1287"/>
              </w:tabs>
              <w:spacing w:after="120"/>
              <w:ind w:left="1701"/>
              <w:jc w:val="both"/>
            </w:pPr>
            <w:r w:rsidRPr="005C68D4">
              <w:t>fotokopiemi všech výpisů z bankovního účtu, které dokládají úhradu předložených faktur, s vyznačením dotčených plateb,</w:t>
            </w:r>
          </w:p>
          <w:p w:rsidR="00D37321" w:rsidRPr="005C68D4" w:rsidRDefault="00D37321" w:rsidP="00D37321">
            <w:pPr>
              <w:numPr>
                <w:ilvl w:val="0"/>
                <w:numId w:val="11"/>
              </w:numPr>
              <w:tabs>
                <w:tab w:val="clear" w:pos="1287"/>
              </w:tabs>
              <w:spacing w:after="120"/>
              <w:ind w:left="1701"/>
              <w:jc w:val="both"/>
            </w:pPr>
            <w:r w:rsidRPr="005C68D4">
              <w:t>čestným prohlášením</w:t>
            </w:r>
            <w:r>
              <w:t xml:space="preserve"> osvědčujícím</w:t>
            </w:r>
            <w:r w:rsidRPr="005C68D4">
              <w:t>, že fotokopie předaných dokladů jsou shodné s originály a výdaje uvedené v soupisu jsou shodné se záznamy v účetnictví příjemce.</w:t>
            </w:r>
          </w:p>
          <w:p w:rsidR="00D37321" w:rsidRPr="00CC0204" w:rsidRDefault="00D37321" w:rsidP="00D37321">
            <w:pPr>
              <w:spacing w:after="120"/>
              <w:ind w:left="567"/>
            </w:pPr>
            <w:r w:rsidRPr="00CC0204">
              <w:t>Společně s vyúčtováním příjemce předloží poskytovateli závěrečnou zprávu.</w:t>
            </w:r>
          </w:p>
          <w:p w:rsidR="00D37321" w:rsidRDefault="00D37321" w:rsidP="00D37321">
            <w:pPr>
              <w:spacing w:after="120"/>
              <w:ind w:left="567"/>
            </w:pPr>
            <w:r w:rsidRPr="00CC0204">
              <w:t>Závěrečná zpráva musí obsahovat</w:t>
            </w:r>
            <w:r w:rsidRPr="00CC0204">
              <w:rPr>
                <w:i/>
                <w:iCs/>
              </w:rPr>
              <w:t xml:space="preserve"> </w:t>
            </w:r>
            <w:r>
              <w:t>věcné vyhodnocení dosažených cílů akce.</w:t>
            </w:r>
            <w:r w:rsidRPr="00CC0204">
              <w:rPr>
                <w:i/>
                <w:iCs/>
              </w:rPr>
              <w:t xml:space="preserve"> </w:t>
            </w:r>
            <w:r w:rsidRPr="00CC0204">
              <w:t>V</w:t>
            </w:r>
            <w:r>
              <w:t> </w:t>
            </w:r>
            <w:r w:rsidRPr="00CC0204">
              <w:t>příloze závěrečné zprávy je příjemce povinen předložit poskytovateli</w:t>
            </w:r>
            <w:r>
              <w:t>:</w:t>
            </w:r>
          </w:p>
          <w:p w:rsidR="00D37321" w:rsidRDefault="00D37321" w:rsidP="00D37321">
            <w:pPr>
              <w:pStyle w:val="Odstavecseseznamem"/>
              <w:numPr>
                <w:ilvl w:val="0"/>
                <w:numId w:val="14"/>
              </w:numPr>
              <w:spacing w:after="120"/>
              <w:jc w:val="both"/>
            </w:pPr>
            <w:r w:rsidRPr="00D569E1">
              <w:t>pravomocné stavební povolení, písemný souhlas speciálního stavebního úřadu s ohlášenou stavbou nebo další obdobný doklad v případě, že v žádosti o dotaci nebyl doložen</w:t>
            </w:r>
            <w:r>
              <w:t>,</w:t>
            </w:r>
          </w:p>
          <w:p w:rsidR="00D37321" w:rsidRDefault="00D37321" w:rsidP="00D37321">
            <w:pPr>
              <w:pStyle w:val="Odstavecseseznamem"/>
              <w:numPr>
                <w:ilvl w:val="0"/>
                <w:numId w:val="14"/>
              </w:numPr>
              <w:spacing w:after="120"/>
              <w:jc w:val="both"/>
            </w:pPr>
            <w:r>
              <w:t>kolaudační souhlas nebo čestné prohlášení, že na stavbu není potřeba kolaudační souhlas,</w:t>
            </w:r>
          </w:p>
          <w:p w:rsidR="00D37321" w:rsidRDefault="00D37321" w:rsidP="00D37321">
            <w:pPr>
              <w:pStyle w:val="Odstavecseseznamem"/>
              <w:numPr>
                <w:ilvl w:val="0"/>
                <w:numId w:val="14"/>
              </w:numPr>
              <w:spacing w:after="120"/>
              <w:jc w:val="both"/>
            </w:pPr>
            <w:r>
              <w:t>v případě neukončené akce z důvodu chybějícího kolaudačního souhlasu předložit čestné prohlášení s řádným odůvodněním, proč nebyl vydán kolaudační souhlas, po jeho vydání musí být neprodleně doložen,</w:t>
            </w:r>
          </w:p>
          <w:p w:rsidR="00D37321" w:rsidRPr="00D569E1" w:rsidRDefault="00D37321" w:rsidP="00D37321">
            <w:pPr>
              <w:pStyle w:val="Odstavecseseznamem"/>
              <w:numPr>
                <w:ilvl w:val="0"/>
                <w:numId w:val="14"/>
              </w:numPr>
              <w:spacing w:after="120"/>
              <w:jc w:val="both"/>
            </w:pPr>
            <w:r>
              <w:t xml:space="preserve">fotodokumentaci místa stavby před zahájením, v průběhu a po dokončení akce a fotodokumentaci dokladující splnění povinnosti dle čl. II. odst. 10 této smlouvy </w:t>
            </w:r>
            <w:r w:rsidRPr="00B332E3">
              <w:t xml:space="preserve">(minimálně dvě </w:t>
            </w:r>
            <w:r>
              <w:t>fotografie dokladující</w:t>
            </w:r>
            <w:r w:rsidRPr="00B332E3">
              <w:t xml:space="preserve"> propagaci Olomouckého kraje na viditelném veřejně přístupném místě)</w:t>
            </w:r>
            <w:r>
              <w:t>.</w:t>
            </w:r>
          </w:p>
          <w:p w:rsidR="00D37321" w:rsidRPr="00AF0E18" w:rsidRDefault="00D37321" w:rsidP="00D37321">
            <w:pPr>
              <w:numPr>
                <w:ilvl w:val="0"/>
                <w:numId w:val="10"/>
              </w:numPr>
              <w:spacing w:after="120"/>
              <w:jc w:val="both"/>
              <w:rPr>
                <w:i/>
              </w:rPr>
            </w:pPr>
            <w:r w:rsidRPr="00AF0E18">
              <w:lastRenderedPageBreak/>
      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</w:t>
            </w:r>
            <w:r>
              <w:t> </w:t>
            </w:r>
            <w:r w:rsidRPr="00AF0E18">
              <w:t xml:space="preserve">rozpočtových pravidlech územních rozpočtů, ve znění pozdějších předpisů. </w:t>
            </w:r>
          </w:p>
          <w:p w:rsidR="00D37321" w:rsidRPr="00B40142" w:rsidRDefault="00D37321" w:rsidP="00D37321">
            <w:pPr>
              <w:numPr>
                <w:ilvl w:val="0"/>
                <w:numId w:val="10"/>
              </w:numPr>
              <w:spacing w:after="120"/>
              <w:jc w:val="both"/>
            </w:pPr>
            <w:r w:rsidRPr="00B40142">
      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      </w:r>
          </w:p>
          <w:p w:rsidR="00D37321" w:rsidRPr="00B40142" w:rsidRDefault="00D37321" w:rsidP="00D37321">
            <w:pPr>
              <w:numPr>
                <w:ilvl w:val="0"/>
                <w:numId w:val="10"/>
              </w:numPr>
              <w:spacing w:after="120"/>
              <w:jc w:val="both"/>
              <w:rPr>
                <w:i/>
                <w:iCs/>
              </w:rPr>
            </w:pPr>
            <w:r w:rsidRPr="00B40142">
      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      </w:r>
          </w:p>
          <w:tbl>
            <w:tblPr>
              <w:tblW w:w="8570" w:type="dxa"/>
              <w:tblInd w:w="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2"/>
              <w:gridCol w:w="2109"/>
            </w:tblGrid>
            <w:tr w:rsidR="00D37321" w:rsidRPr="00B40142" w:rsidTr="004E583C">
              <w:trPr>
                <w:trHeight w:val="300"/>
              </w:trPr>
              <w:tc>
                <w:tcPr>
                  <w:tcW w:w="6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rPr>
                      <w:rFonts w:eastAsia="Calibri"/>
                      <w:b/>
                    </w:rPr>
                  </w:pPr>
                  <w:r w:rsidRPr="00B40142">
                    <w:rPr>
                      <w:rFonts w:eastAsia="Calibri"/>
                      <w:b/>
                    </w:rPr>
                    <w:t>Typ porušení smluvních ujednání (procentní sazba bude v případě porušení jednotlivých ujednání uplatňována kumulativně)</w:t>
                  </w:r>
                </w:p>
              </w:tc>
              <w:tc>
                <w:tcPr>
                  <w:tcW w:w="2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rPr>
                      <w:rFonts w:eastAsia="Calibri"/>
                      <w:b/>
                    </w:rPr>
                  </w:pPr>
                  <w:r w:rsidRPr="00B40142">
                    <w:rPr>
                      <w:rFonts w:eastAsia="Calibri"/>
                      <w:b/>
                    </w:rPr>
                    <w:t>Výše odvodu v % z celkově poskytnuté dotace</w:t>
                  </w:r>
                </w:p>
              </w:tc>
            </w:tr>
            <w:tr w:rsidR="00D37321" w:rsidRPr="00B40142" w:rsidTr="004E583C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both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Nedodržení povinnosti vést dotaci v účetnictví analyticky odděleně nebo na samostatném bankovním účtu, je-li tato povinnost uvedena ve smlouvě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center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5 %</w:t>
                  </w:r>
                </w:p>
              </w:tc>
            </w:tr>
            <w:tr w:rsidR="00D37321" w:rsidRPr="00B40142" w:rsidTr="004E583C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both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Předložení vyúčtování a závěrečné zprávy o využití dotace s prodlením do 15 kalendářních dnů od data uvedeného ve smlouvě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center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2%</w:t>
                  </w:r>
                </w:p>
              </w:tc>
            </w:tr>
            <w:tr w:rsidR="00D37321" w:rsidRPr="00B40142" w:rsidTr="004E583C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both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Předložení vyúčtování a závěrečné zprávy o využití dotace s prodlením do 30 kalendářních dnů od data uvedeného ve smlouvě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center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5 %</w:t>
                  </w:r>
                </w:p>
              </w:tc>
            </w:tr>
            <w:tr w:rsidR="00D37321" w:rsidRPr="00B40142" w:rsidTr="004E583C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both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Předložení doplněného vyúčtování a závěrečné zprávy o využití dotace s prodlením do 15 kalendářních dnů od marného uplynutí náhradní lhůty, uvedené ve výzvě k doplnění vyúčtování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center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5 %</w:t>
                  </w:r>
                </w:p>
              </w:tc>
            </w:tr>
            <w:tr w:rsidR="00D37321" w:rsidRPr="00B40142" w:rsidTr="004E583C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both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Nedodržení podmínek povinné propagace uvedených ve smlouvě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center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>5 %</w:t>
                  </w:r>
                </w:p>
              </w:tc>
            </w:tr>
            <w:tr w:rsidR="00D37321" w:rsidRPr="00B40142" w:rsidTr="004E583C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7321" w:rsidRPr="00B40142" w:rsidRDefault="00D37321" w:rsidP="004E583C">
                  <w:pPr>
                    <w:jc w:val="both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t xml:space="preserve">Porušení povinnosti informovat poskytovatele o změnách adresy sídla, bankovního spojení, statutárního zástupce a o jiných změnách, které mohou podstatně ovlivnit způsob finančního hospodaření </w:t>
                  </w:r>
                  <w:r w:rsidRPr="00B40142">
                    <w:rPr>
                      <w:rFonts w:eastAsia="Calibri"/>
                    </w:rPr>
                    <w:lastRenderedPageBreak/>
                    <w:t>příjemce a náplň jeho aktivit ve vztahu k dotaci, je-li tato povinnost uvedena ve smlouvě.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7321" w:rsidRPr="00B40142" w:rsidRDefault="00D37321" w:rsidP="004E583C">
                  <w:pPr>
                    <w:jc w:val="center"/>
                    <w:rPr>
                      <w:rFonts w:eastAsia="Calibri"/>
                    </w:rPr>
                  </w:pPr>
                  <w:r w:rsidRPr="00B40142">
                    <w:rPr>
                      <w:rFonts w:eastAsia="Calibri"/>
                    </w:rPr>
                    <w:lastRenderedPageBreak/>
                    <w:t>5 %</w:t>
                  </w:r>
                </w:p>
              </w:tc>
            </w:tr>
          </w:tbl>
          <w:p w:rsidR="00D37321" w:rsidRPr="00B40142" w:rsidRDefault="00D37321" w:rsidP="00D37321">
            <w:pPr>
              <w:spacing w:after="120"/>
              <w:ind w:left="567"/>
              <w:jc w:val="both"/>
              <w:rPr>
                <w:iCs/>
              </w:rPr>
            </w:pPr>
          </w:p>
          <w:p w:rsidR="00D37321" w:rsidRDefault="00D37321" w:rsidP="00D37321">
            <w:pPr>
              <w:numPr>
                <w:ilvl w:val="0"/>
                <w:numId w:val="10"/>
              </w:numPr>
              <w:spacing w:after="120"/>
              <w:jc w:val="both"/>
            </w:pPr>
            <w:r>
              <w:t xml:space="preserve">V případě, že je příjemce dle této smlouvy povinen vrátit dotaci nebo její část, vrátí příjemce dotaci nebo její část na účet poskytovatele </w:t>
            </w:r>
            <w:r>
              <w:br/>
              <w:t xml:space="preserve">č. 27-4228120277/0100. </w:t>
            </w:r>
          </w:p>
          <w:p w:rsidR="00D37321" w:rsidRPr="003B64F9" w:rsidRDefault="00D37321" w:rsidP="00D37321">
            <w:pPr>
              <w:spacing w:after="120"/>
              <w:ind w:left="567"/>
              <w:jc w:val="both"/>
            </w:pPr>
            <w:r>
              <w:t xml:space="preserve">Případný odvod či penále se hradí na účet poskytovatele </w:t>
            </w:r>
            <w:r>
              <w:br/>
              <w:t>č. 27-4228320287/0100 na základě vystavené faktury.</w:t>
            </w:r>
          </w:p>
          <w:p w:rsidR="00D37321" w:rsidRPr="00CA565A" w:rsidRDefault="00D37321" w:rsidP="00D37321">
            <w:pPr>
              <w:numPr>
                <w:ilvl w:val="0"/>
                <w:numId w:val="10"/>
              </w:numPr>
              <w:tabs>
                <w:tab w:val="num" w:pos="747"/>
              </w:tabs>
              <w:spacing w:after="120"/>
              <w:jc w:val="both"/>
              <w:rPr>
                <w:i/>
                <w:iCs/>
              </w:rPr>
            </w:pPr>
            <w:r w:rsidRPr="00B40142">
              <w:t xml:space="preserve">Příjemce se zavazuje seznámit poskytovatele, do 15 dnů od jejich vzniku, s těmito skutečnostmi: se změnami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      </w:r>
          </w:p>
          <w:p w:rsidR="00D37321" w:rsidRDefault="00D37321" w:rsidP="00D37321">
            <w:pPr>
              <w:spacing w:after="120"/>
              <w:ind w:left="567"/>
            </w:pPr>
            <w:r>
              <w:t xml:space="preserve">Při použití </w:t>
            </w:r>
            <w:r>
              <w:rPr>
                <w:iCs/>
              </w:rPr>
              <w:t>dotace</w:t>
            </w:r>
            <w:r>
              <w:rPr>
                <w:i/>
                <w:iCs/>
              </w:rPr>
              <w:t xml:space="preserve"> </w:t>
            </w:r>
            <w:r>
              <w:t>ke shora stanovenému účelu je příjemce dále povinen:</w:t>
            </w:r>
          </w:p>
          <w:p w:rsidR="00D37321" w:rsidRPr="00E470B7" w:rsidRDefault="00D37321" w:rsidP="00D37321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bCs/>
              </w:rPr>
            </w:pPr>
            <w:r>
              <w:t>udržovat cyklostezky po dobu jejich</w:t>
            </w:r>
            <w:r w:rsidRPr="00E470B7">
              <w:t xml:space="preserve"> životnosti v provozuschopném stavu </w:t>
            </w:r>
            <w:r>
              <w:rPr>
                <w:bCs/>
              </w:rPr>
              <w:t>a </w:t>
            </w:r>
            <w:r w:rsidRPr="00E470B7">
              <w:rPr>
                <w:bCs/>
              </w:rPr>
              <w:t xml:space="preserve">bude nakládat s veškerým majetkem získaným nebo zhodnoceným, byť i jen částečně z dotace s péčí řádného hospodáře a nezatěžovat bez vědomí a písemného souhlasu </w:t>
            </w:r>
            <w:r>
              <w:rPr>
                <w:bCs/>
              </w:rPr>
              <w:t>poskytovatele</w:t>
            </w:r>
            <w:r w:rsidRPr="00E470B7">
              <w:rPr>
                <w:bCs/>
              </w:rPr>
              <w:t xml:space="preserve"> tento majetek ani jeho části žádnými věcnými právy třetích osob, včetně zástavního práva</w:t>
            </w:r>
            <w:r w:rsidR="00643A14">
              <w:rPr>
                <w:bCs/>
              </w:rPr>
              <w:t xml:space="preserve"> </w:t>
            </w:r>
            <w:r w:rsidRPr="00E470B7">
              <w:rPr>
                <w:bCs/>
              </w:rPr>
              <w:t>(s výjimkou zástavního práva zřízeného k zajištění úvěru příjemce ve vztahu k financování projektu podle</w:t>
            </w:r>
            <w:r>
              <w:rPr>
                <w:bCs/>
              </w:rPr>
              <w:t xml:space="preserve"> této s</w:t>
            </w:r>
            <w:r w:rsidRPr="00E470B7">
              <w:rPr>
                <w:bCs/>
              </w:rPr>
              <w:t>mlouvy),</w:t>
            </w:r>
          </w:p>
          <w:p w:rsidR="00D37321" w:rsidRPr="00E470B7" w:rsidRDefault="00D37321" w:rsidP="00D37321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bCs/>
              </w:rPr>
            </w:pPr>
            <w:r w:rsidRPr="00E470B7">
              <w:rPr>
                <w:bCs/>
              </w:rPr>
              <w:t>příjemce nesmí majetek</w:t>
            </w:r>
            <w:r>
              <w:rPr>
                <w:bCs/>
              </w:rPr>
              <w:t xml:space="preserve"> pořízený z dotace</w:t>
            </w:r>
            <w:r w:rsidRPr="00E470B7">
              <w:rPr>
                <w:bCs/>
              </w:rPr>
              <w:t>, či jeho části, po dobu jeho životnosti převést na jinou osobu. Po stejnou dobu nesmí příjemce majetek</w:t>
            </w:r>
            <w:r>
              <w:rPr>
                <w:bCs/>
              </w:rPr>
              <w:t xml:space="preserve"> pořízený z dotace</w:t>
            </w:r>
            <w:r w:rsidRPr="00E470B7">
              <w:rPr>
                <w:bCs/>
              </w:rPr>
              <w:t xml:space="preserve">, či jeho části, prodat nebo pronajmout či darovat bez vědomí a písemného souhlasu </w:t>
            </w:r>
            <w:r>
              <w:rPr>
                <w:bCs/>
              </w:rPr>
              <w:t>poskytovatele</w:t>
            </w:r>
            <w:r w:rsidRPr="00E470B7">
              <w:rPr>
                <w:bCs/>
              </w:rPr>
              <w:t>.</w:t>
            </w:r>
          </w:p>
          <w:p w:rsidR="00D37321" w:rsidRPr="00622236" w:rsidRDefault="00D37321" w:rsidP="00D37321">
            <w:pPr>
              <w:numPr>
                <w:ilvl w:val="0"/>
                <w:numId w:val="10"/>
              </w:numPr>
              <w:spacing w:after="120"/>
              <w:jc w:val="both"/>
            </w:pPr>
            <w:r w:rsidRPr="00CC0204">
              <w:t>Příjemce je povinen uvádět logo poskytovatele</w:t>
            </w:r>
            <w:r>
              <w:t xml:space="preserve"> a informaci o finanční spoluúčasti poskytovatele dotace</w:t>
            </w:r>
            <w:r w:rsidRPr="00CC0204">
              <w:t xml:space="preserve"> na svých webových stránkách (jsou-li zřízeny)</w:t>
            </w:r>
            <w:r>
              <w:t>, na propagačních materiálech, vztahujících se k akci a při kontaktu s médii,</w:t>
            </w:r>
            <w:r w:rsidRPr="00CC0204">
              <w:t xml:space="preserve"> po dobu </w:t>
            </w:r>
            <w:r>
              <w:t xml:space="preserve">realizace akce a v roce následujícím po ukončení stavby cyklostezek dle čl. I odst. 2 této smlouvy, </w:t>
            </w:r>
            <w:r w:rsidRPr="00622236">
              <w:t>dále</w:t>
            </w:r>
            <w:r>
              <w:t xml:space="preserve"> je příjemce povinen</w:t>
            </w:r>
            <w:r w:rsidRPr="00622236">
              <w:t xml:space="preserve"> zajistit propagaci poskytovatele formou reklamního panelu nebo tabule či plachty (dále jen „panel“), a to při splnění následujících podmínek:</w:t>
            </w:r>
          </w:p>
          <w:p w:rsidR="00D37321" w:rsidRDefault="00D37321" w:rsidP="00D37321">
            <w:pPr>
              <w:pStyle w:val="Odstavecseseznamem"/>
              <w:numPr>
                <w:ilvl w:val="0"/>
                <w:numId w:val="16"/>
              </w:numPr>
              <w:spacing w:after="120"/>
              <w:jc w:val="both"/>
            </w:pPr>
            <w:r>
              <w:t>panel bude z materiálu trvalé hodnoty (např. plast), bude mít rozměry nejméně 21 cm x 30 cm,</w:t>
            </w:r>
          </w:p>
          <w:p w:rsidR="00D37321" w:rsidRDefault="00D37321" w:rsidP="00D37321">
            <w:pPr>
              <w:pStyle w:val="Odstavecseseznamem"/>
              <w:numPr>
                <w:ilvl w:val="0"/>
                <w:numId w:val="16"/>
              </w:numPr>
              <w:spacing w:after="120"/>
              <w:jc w:val="both"/>
            </w:pPr>
            <w:r>
              <w:t>panel se musí po celou dobu realizace stavby a po dobu její životnosti nacházet na dobře viditelném veřejně přístupném místě v prostoru stavby,</w:t>
            </w:r>
          </w:p>
          <w:p w:rsidR="00D37321" w:rsidRPr="00622236" w:rsidRDefault="00D37321" w:rsidP="00D37321">
            <w:pPr>
              <w:pStyle w:val="Odstavecseseznamem"/>
              <w:numPr>
                <w:ilvl w:val="0"/>
                <w:numId w:val="16"/>
              </w:numPr>
              <w:spacing w:after="120"/>
              <w:jc w:val="both"/>
            </w:pPr>
            <w:r>
              <w:t>panel musí být opatřen logem Olomouckého kraje přiměřené velikosti a nápisem oznamujícím, že Olomoucký kraj finančně přispěl na realizaci stavby včetně informace o názvu stavby.</w:t>
            </w:r>
          </w:p>
          <w:p w:rsidR="00D37321" w:rsidRPr="007B42A9" w:rsidRDefault="00D37321" w:rsidP="00D37321">
            <w:pPr>
              <w:numPr>
                <w:ilvl w:val="0"/>
                <w:numId w:val="10"/>
              </w:numPr>
              <w:spacing w:after="120"/>
              <w:jc w:val="both"/>
            </w:pPr>
            <w:r w:rsidRPr="00B40142">
              <w:t xml:space="preserve">Poskytovatel uděluje příjemci souhlas s bezúplatným užitím loga Olomouckého kraje způsobem a v rozsahu uvedeném v čl. II odst. 10 této </w:t>
            </w:r>
            <w:r w:rsidRPr="00B40142">
              <w:lastRenderedPageBreak/>
              <w:t xml:space="preserve">smlouvy. </w:t>
            </w:r>
          </w:p>
          <w:p w:rsidR="00D37321" w:rsidRPr="00B31E71" w:rsidRDefault="00D37321" w:rsidP="00D37321">
            <w:pPr>
              <w:numPr>
                <w:ilvl w:val="0"/>
                <w:numId w:val="10"/>
              </w:numPr>
              <w:spacing w:after="120"/>
              <w:jc w:val="both"/>
              <w:rPr>
                <w:i/>
                <w:iCs/>
                <w:color w:val="0000FF"/>
              </w:rPr>
            </w:pPr>
            <w:r w:rsidRPr="00B40142">
              <w:t>Pokud bude příjemce při realizaci akce, na niž je poskytována dotace dle této smlouvy, zadavatelem veřejné zakázky dle příslušných ustanovení zákona o</w:t>
            </w:r>
            <w:r>
              <w:t> zadávání veřejných zakázek</w:t>
            </w:r>
            <w:r w:rsidRPr="00B40142">
              <w:t>, je povinen při její realizaci postupovat dle tohoto zákona</w:t>
            </w:r>
            <w:r>
              <w:t>.</w:t>
            </w:r>
          </w:p>
          <w:p w:rsidR="00D37321" w:rsidRPr="0007343C" w:rsidRDefault="00D37321" w:rsidP="00D37321">
            <w:pPr>
              <w:numPr>
                <w:ilvl w:val="0"/>
                <w:numId w:val="5"/>
              </w:numPr>
              <w:spacing w:after="120"/>
              <w:jc w:val="both"/>
              <w:rPr>
                <w:i/>
                <w:iCs/>
              </w:rPr>
            </w:pPr>
            <w:r w:rsidRPr="000C1A62">
              <w:rPr>
                <w:bCs/>
                <w:iCs/>
              </w:rPr>
      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      </w:r>
            <w:r w:rsidRPr="009D4F9E">
              <w:rPr>
                <w:bCs/>
                <w:iCs/>
              </w:rPr>
              <w:t>Příjemce současně prohlašuje, že ke dni podpisu této smlouvy nemá neuhrazené závazky po lhůtě splatnosti ani vůči poskytovateli, jím zřízeným organizacím a</w:t>
            </w:r>
            <w:r>
              <w:rPr>
                <w:bCs/>
                <w:iCs/>
              </w:rPr>
              <w:t> </w:t>
            </w:r>
            <w:r w:rsidRPr="009D4F9E">
              <w:rPr>
                <w:bCs/>
                <w:iCs/>
              </w:rPr>
              <w:t>jiným územním samosprávným celkům. Za neuhrazený závazek po lhůtě splatnosti vůči výše uvedeným subjektům  je</w:t>
            </w:r>
            <w:r w:rsidRPr="0007343C">
              <w:rPr>
                <w:bCs/>
                <w:iCs/>
              </w:rPr>
      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      </w:r>
          </w:p>
          <w:p w:rsidR="00D37321" w:rsidRPr="000C1A62" w:rsidRDefault="00D37321" w:rsidP="00D37321">
            <w:pPr>
              <w:spacing w:before="360" w:after="120"/>
              <w:ind w:left="567"/>
              <w:jc w:val="center"/>
              <w:outlineLvl w:val="0"/>
              <w:rPr>
                <w:b/>
                <w:bCs/>
              </w:rPr>
            </w:pPr>
            <w:r w:rsidRPr="000C1A62">
              <w:rPr>
                <w:b/>
                <w:bCs/>
              </w:rPr>
              <w:t>III.</w:t>
            </w:r>
          </w:p>
          <w:p w:rsidR="00D37321" w:rsidRDefault="00D37321" w:rsidP="00D37321">
            <w:pPr>
              <w:numPr>
                <w:ilvl w:val="0"/>
                <w:numId w:val="4"/>
              </w:numPr>
              <w:spacing w:after="120"/>
              <w:jc w:val="both"/>
            </w:pPr>
            <w:r w:rsidRPr="00B40142">
              <w:t>Smlouva se uzavírá v souladu s § 159 a násl. zákona č. 500/2004 Sb., správní řád, ve znění pozdějších právních předpisů, a se zákonem č. 250/2000 Sb., o</w:t>
            </w:r>
            <w:r>
              <w:t> </w:t>
            </w:r>
            <w:r w:rsidRPr="00B40142">
              <w:t>rozpočtových pravidlech územních rozpočtů, ve znění pozdějších právních předpisů.</w:t>
            </w:r>
          </w:p>
          <w:p w:rsidR="00D37321" w:rsidRDefault="00D37321" w:rsidP="00D37321">
            <w:pPr>
              <w:numPr>
                <w:ilvl w:val="0"/>
                <w:numId w:val="4"/>
              </w:numPr>
              <w:spacing w:after="120"/>
              <w:jc w:val="both"/>
            </w:pPr>
            <w:r>
              <w:t>Tato smlouva bude uveřejněna v registru smluv dle zákona č. 340/2015 Sb., o registru smluv, ve znění pozdějších předpisů. Uveřejnění této smlouvy v registru smluv zajistí poskytovatel. Příjemce současně bere na vědomí, že tato smlouva bude také zveřejněna postupem dle § 10d zákona č. 250/2000 Sb., o rozpočtových pravidlech územních rozpočtů, ve znění pozdějších právních předpisů.</w:t>
            </w:r>
          </w:p>
          <w:p w:rsidR="00D37321" w:rsidRDefault="00D37321" w:rsidP="00D37321">
            <w:pPr>
              <w:numPr>
                <w:ilvl w:val="0"/>
                <w:numId w:val="4"/>
              </w:numPr>
              <w:spacing w:after="120"/>
              <w:jc w:val="both"/>
            </w:pPr>
            <w:r w:rsidRPr="00CC0204">
              <w:t xml:space="preserve">Tato smlouva nabývá platnosti </w:t>
            </w:r>
            <w:r>
              <w:t>dnem jejího uzavření a</w:t>
            </w:r>
            <w:r w:rsidRPr="00CC0204">
              <w:t xml:space="preserve"> účinnosti dnem</w:t>
            </w:r>
            <w:r>
              <w:t xml:space="preserve"> svého</w:t>
            </w:r>
            <w:r w:rsidRPr="00CC0204">
              <w:t xml:space="preserve"> uveřejnění</w:t>
            </w:r>
            <w:r>
              <w:t xml:space="preserve"> v registru smluv</w:t>
            </w:r>
            <w:r w:rsidRPr="00CC0204">
              <w:t>.</w:t>
            </w:r>
          </w:p>
          <w:p w:rsidR="00D37321" w:rsidRPr="00B40142" w:rsidRDefault="00D37321" w:rsidP="00D37321">
            <w:pPr>
              <w:numPr>
                <w:ilvl w:val="0"/>
                <w:numId w:val="4"/>
              </w:numPr>
              <w:spacing w:after="120"/>
              <w:jc w:val="both"/>
            </w:pPr>
            <w:r w:rsidRPr="00B40142">
              <w:t>Tuto smlouvu lze měnit pouze písemnými vzestupně číslovanými dodatky.</w:t>
            </w:r>
          </w:p>
          <w:p w:rsidR="00D37321" w:rsidRPr="00B40142" w:rsidRDefault="00D37321" w:rsidP="00D37321">
            <w:pPr>
              <w:numPr>
                <w:ilvl w:val="0"/>
                <w:numId w:val="4"/>
              </w:numPr>
              <w:spacing w:after="120"/>
              <w:jc w:val="both"/>
            </w:pPr>
            <w:r w:rsidRPr="00B40142">
              <w:t>Smluvní strany prohlašují, že souhlasí s případným zveřejněním textu této smlouvy v souladu se zákonem č. 106/1999 Sb., o svobodném přístupu k informacím, ve znění pozdějších předpisů.</w:t>
            </w:r>
          </w:p>
          <w:p w:rsidR="00D37321" w:rsidRDefault="00D37321" w:rsidP="00D37321">
            <w:pPr>
              <w:numPr>
                <w:ilvl w:val="0"/>
                <w:numId w:val="4"/>
              </w:numPr>
              <w:spacing w:after="120"/>
              <w:jc w:val="both"/>
            </w:pPr>
            <w:r w:rsidRPr="00B40142">
              <w:t>Poskytnutí dotace a uzavření této smlouvy bylo schváleno usnesením Zast</w:t>
            </w:r>
            <w:r>
              <w:t>upitelstva Olomouckého kraje č. UZ/xx/xx/2017</w:t>
            </w:r>
            <w:r w:rsidRPr="00B40142">
              <w:t xml:space="preserve"> ze dne </w:t>
            </w:r>
            <w:r>
              <w:t>18. 9. 2017</w:t>
            </w:r>
            <w:r w:rsidRPr="00B40142">
              <w:t>.</w:t>
            </w:r>
          </w:p>
          <w:p w:rsidR="00D37321" w:rsidRDefault="00D37321" w:rsidP="00D37321">
            <w:pPr>
              <w:pStyle w:val="Odstavecseseznamem"/>
              <w:spacing w:after="120"/>
              <w:ind w:left="567"/>
              <w:jc w:val="both"/>
            </w:pPr>
            <w:r>
              <w:t>Uzavření této smlouvy bylo schváleno usnesením …… (příslušného orgánu) města Uničov č. XXX ze dne …...</w:t>
            </w:r>
          </w:p>
          <w:p w:rsidR="00D37321" w:rsidRPr="002F0848" w:rsidRDefault="00D37321" w:rsidP="00D37321">
            <w:pPr>
              <w:numPr>
                <w:ilvl w:val="0"/>
                <w:numId w:val="4"/>
              </w:numPr>
              <w:spacing w:after="120"/>
              <w:jc w:val="both"/>
            </w:pPr>
            <w:r w:rsidRPr="005C68D4">
              <w:t xml:space="preserve">Tato smlouva je sepsána ve </w:t>
            </w:r>
            <w:r>
              <w:t>čtyřech</w:t>
            </w:r>
            <w:r w:rsidRPr="002F0848">
              <w:t xml:space="preserve"> vyhotoveních, z nichž každá smluvní strana obdrží </w:t>
            </w:r>
            <w:r>
              <w:t>dvě</w:t>
            </w:r>
            <w:r w:rsidRPr="002F0848">
              <w:t xml:space="preserve"> vyhotovení.</w:t>
            </w:r>
          </w:p>
          <w:p w:rsidR="00D37321" w:rsidRPr="005C68D4" w:rsidRDefault="00D37321" w:rsidP="00D37321">
            <w:pPr>
              <w:spacing w:before="360" w:after="360"/>
              <w:jc w:val="both"/>
            </w:pPr>
            <w:r w:rsidRPr="005C68D4">
              <w:lastRenderedPageBreak/>
              <w:t>V Olomouci dne .......................</w:t>
            </w:r>
            <w:r w:rsidRPr="005C68D4">
              <w:tab/>
            </w:r>
            <w:r w:rsidRPr="005C68D4">
              <w:tab/>
              <w:t xml:space="preserve">     V ................................ dne ......................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72"/>
              <w:gridCol w:w="4454"/>
            </w:tblGrid>
            <w:tr w:rsidR="00D37321" w:rsidRPr="005C68D4" w:rsidTr="004E583C">
              <w:tc>
                <w:tcPr>
                  <w:tcW w:w="460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37321" w:rsidRPr="002F0848" w:rsidRDefault="00D37321" w:rsidP="004E583C">
                  <w:pPr>
                    <w:spacing w:before="40" w:after="40"/>
                    <w:jc w:val="both"/>
                  </w:pPr>
                  <w:r w:rsidRPr="002F0848">
                    <w:t>Za poskytovatele:</w:t>
                  </w:r>
                </w:p>
                <w:p w:rsidR="00D37321" w:rsidRDefault="00D37321" w:rsidP="004E583C">
                  <w:pPr>
                    <w:spacing w:before="40" w:after="40"/>
                    <w:jc w:val="both"/>
                  </w:pPr>
                </w:p>
                <w:p w:rsidR="00D37321" w:rsidRPr="005C68D4" w:rsidRDefault="00D37321" w:rsidP="004E583C">
                  <w:pPr>
                    <w:spacing w:before="40" w:after="40"/>
                    <w:jc w:val="both"/>
                  </w:pPr>
                </w:p>
              </w:tc>
              <w:tc>
                <w:tcPr>
                  <w:tcW w:w="460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37321" w:rsidRPr="005C68D4" w:rsidRDefault="00D37321" w:rsidP="004E583C">
                  <w:pPr>
                    <w:spacing w:before="40" w:after="40"/>
                    <w:jc w:val="both"/>
                  </w:pPr>
                  <w:r>
                    <w:t>Za p</w:t>
                  </w:r>
                  <w:r w:rsidRPr="005C68D4">
                    <w:t>říjemce:</w:t>
                  </w:r>
                </w:p>
              </w:tc>
            </w:tr>
            <w:tr w:rsidR="00D37321" w:rsidRPr="005C68D4" w:rsidTr="004E583C">
              <w:tc>
                <w:tcPr>
                  <w:tcW w:w="460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37321" w:rsidRPr="005C68D4" w:rsidRDefault="00D37321" w:rsidP="004E583C">
                  <w:r w:rsidRPr="005C68D4">
                    <w:t>……………………………..</w:t>
                  </w:r>
                </w:p>
                <w:p w:rsidR="00D37321" w:rsidRPr="000005DC" w:rsidRDefault="00D37321" w:rsidP="004E583C">
                  <w:r>
                    <w:t>Ing. Jan Zahradníček</w:t>
                  </w:r>
                </w:p>
                <w:p w:rsidR="00D37321" w:rsidRPr="000005DC" w:rsidRDefault="00D37321" w:rsidP="004E583C">
                  <w:pPr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2. náměstek hejtmana</w:t>
                  </w:r>
                </w:p>
              </w:tc>
              <w:tc>
                <w:tcPr>
                  <w:tcW w:w="460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37321" w:rsidRDefault="00D37321" w:rsidP="004E583C">
                  <w:r w:rsidRPr="005C68D4">
                    <w:t>…………………………..</w:t>
                  </w:r>
                </w:p>
                <w:p w:rsidR="00D37321" w:rsidRDefault="00D37321" w:rsidP="004E583C">
                  <w:r>
                    <w:t>Mgr. Radek Vincour</w:t>
                  </w:r>
                </w:p>
                <w:p w:rsidR="00D37321" w:rsidRPr="005C68D4" w:rsidRDefault="00D37321" w:rsidP="004E583C">
                  <w:r>
                    <w:t>starosta</w:t>
                  </w:r>
                </w:p>
              </w:tc>
            </w:tr>
            <w:tr w:rsidR="00D37321" w:rsidRPr="005C68D4" w:rsidTr="004E583C">
              <w:tc>
                <w:tcPr>
                  <w:tcW w:w="460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37321" w:rsidRPr="005C68D4" w:rsidRDefault="00D37321" w:rsidP="004E583C"/>
              </w:tc>
              <w:tc>
                <w:tcPr>
                  <w:tcW w:w="460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37321" w:rsidRPr="005C68D4" w:rsidRDefault="00D37321" w:rsidP="004E583C"/>
              </w:tc>
            </w:tr>
          </w:tbl>
          <w:p w:rsidR="00B30623" w:rsidRPr="005C68D4" w:rsidRDefault="00B30623" w:rsidP="00D37321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623" w:rsidRPr="005C68D4" w:rsidRDefault="00B30623" w:rsidP="00C769F1"/>
        </w:tc>
      </w:tr>
    </w:tbl>
    <w:p w:rsidR="001506A4" w:rsidRDefault="001506A4" w:rsidP="00031DA3">
      <w:pPr>
        <w:outlineLvl w:val="0"/>
        <w:rPr>
          <w:sz w:val="20"/>
          <w:szCs w:val="20"/>
        </w:rPr>
      </w:pPr>
      <w:bookmarkStart w:id="0" w:name="_GoBack"/>
      <w:bookmarkEnd w:id="0"/>
    </w:p>
    <w:sectPr w:rsidR="001506A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DA" w:rsidRDefault="007523DA">
      <w:r>
        <w:separator/>
      </w:r>
    </w:p>
  </w:endnote>
  <w:endnote w:type="continuationSeparator" w:id="0">
    <w:p w:rsidR="007523DA" w:rsidRDefault="0075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Default="00C769F1" w:rsidP="00EE52A3">
    <w:pPr>
      <w:pStyle w:val="Zpat"/>
      <w:rPr>
        <w:i/>
        <w:sz w:val="20"/>
        <w:szCs w:val="20"/>
      </w:rPr>
    </w:pPr>
  </w:p>
  <w:p w:rsidR="00C769F1" w:rsidRDefault="00C769F1" w:rsidP="00EE52A3">
    <w:pPr>
      <w:pStyle w:val="Zpat"/>
      <w:rPr>
        <w:i/>
        <w:sz w:val="20"/>
        <w:szCs w:val="20"/>
      </w:rPr>
    </w:pPr>
  </w:p>
  <w:p w:rsidR="00C769F1" w:rsidRPr="005B2A36" w:rsidRDefault="00E26230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769F1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D37321">
      <w:rPr>
        <w:i/>
        <w:sz w:val="20"/>
        <w:szCs w:val="20"/>
      </w:rPr>
      <w:t>8</w:t>
    </w:r>
    <w:r w:rsidR="00C769F1">
      <w:rPr>
        <w:i/>
        <w:sz w:val="20"/>
        <w:szCs w:val="20"/>
      </w:rPr>
      <w:t xml:space="preserve">. </w:t>
    </w:r>
    <w:r w:rsidR="00D37321">
      <w:rPr>
        <w:i/>
        <w:sz w:val="20"/>
        <w:szCs w:val="20"/>
      </w:rPr>
      <w:t>9</w:t>
    </w:r>
    <w:r w:rsidR="00C769F1" w:rsidRPr="005B2A36">
      <w:rPr>
        <w:i/>
        <w:sz w:val="20"/>
        <w:szCs w:val="20"/>
      </w:rPr>
      <w:t>. 20</w:t>
    </w:r>
    <w:r w:rsidR="00C769F1">
      <w:rPr>
        <w:i/>
        <w:sz w:val="20"/>
        <w:szCs w:val="20"/>
      </w:rPr>
      <w:t>17</w:t>
    </w:r>
    <w:r w:rsidR="00C769F1" w:rsidRPr="005B2A36">
      <w:rPr>
        <w:i/>
        <w:sz w:val="20"/>
        <w:szCs w:val="20"/>
      </w:rPr>
      <w:t xml:space="preserve">                           </w:t>
    </w:r>
    <w:r w:rsidR="00C769F1">
      <w:rPr>
        <w:i/>
        <w:sz w:val="20"/>
        <w:szCs w:val="20"/>
      </w:rPr>
      <w:t xml:space="preserve">                                Strana </w:t>
    </w:r>
    <w:r w:rsidR="00C769F1">
      <w:rPr>
        <w:i/>
        <w:sz w:val="20"/>
        <w:szCs w:val="20"/>
      </w:rPr>
      <w:fldChar w:fldCharType="begin"/>
    </w:r>
    <w:r w:rsidR="00C769F1">
      <w:rPr>
        <w:i/>
        <w:sz w:val="20"/>
        <w:szCs w:val="20"/>
      </w:rPr>
      <w:instrText xml:space="preserve"> PAGE   \* MERGEFORMAT </w:instrText>
    </w:r>
    <w:r w:rsidR="00C769F1">
      <w:rPr>
        <w:i/>
        <w:sz w:val="20"/>
        <w:szCs w:val="20"/>
      </w:rPr>
      <w:fldChar w:fldCharType="separate"/>
    </w:r>
    <w:r w:rsidR="00227036">
      <w:rPr>
        <w:i/>
        <w:noProof/>
        <w:sz w:val="20"/>
        <w:szCs w:val="20"/>
      </w:rPr>
      <w:t>2</w:t>
    </w:r>
    <w:r w:rsidR="00C769F1">
      <w:rPr>
        <w:i/>
        <w:sz w:val="20"/>
        <w:szCs w:val="20"/>
      </w:rPr>
      <w:fldChar w:fldCharType="end"/>
    </w:r>
    <w:r w:rsidR="00C769F1">
      <w:rPr>
        <w:i/>
        <w:sz w:val="20"/>
        <w:szCs w:val="20"/>
      </w:rPr>
      <w:t xml:space="preserve"> </w:t>
    </w:r>
    <w:r w:rsidR="00C769F1" w:rsidRPr="005B2A36">
      <w:rPr>
        <w:i/>
        <w:sz w:val="20"/>
        <w:szCs w:val="20"/>
      </w:rPr>
      <w:t>(celkem</w:t>
    </w:r>
    <w:r w:rsidR="00C769F1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3B1A46">
      <w:rPr>
        <w:i/>
        <w:sz w:val="20"/>
        <w:szCs w:val="20"/>
      </w:rPr>
      <w:t>1</w:t>
    </w:r>
    <w:r w:rsidR="00C769F1" w:rsidRPr="005B2A36">
      <w:rPr>
        <w:i/>
        <w:sz w:val="20"/>
        <w:szCs w:val="20"/>
      </w:rPr>
      <w:t>)</w:t>
    </w:r>
  </w:p>
  <w:p w:rsidR="00C769F1" w:rsidRPr="00DE52C5" w:rsidRDefault="00227036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C769F1" w:rsidRPr="005B2A36">
      <w:rPr>
        <w:i/>
        <w:sz w:val="20"/>
        <w:szCs w:val="20"/>
      </w:rPr>
      <w:t xml:space="preserve"> – </w:t>
    </w:r>
    <w:r w:rsidR="00C769F1">
      <w:rPr>
        <w:i/>
        <w:sz w:val="20"/>
        <w:szCs w:val="20"/>
      </w:rPr>
      <w:t>Žádost</w:t>
    </w:r>
    <w:r w:rsidR="003B1A46">
      <w:rPr>
        <w:i/>
        <w:sz w:val="20"/>
        <w:szCs w:val="20"/>
      </w:rPr>
      <w:t>i</w:t>
    </w:r>
    <w:r w:rsidR="00C769F1">
      <w:rPr>
        <w:i/>
        <w:sz w:val="20"/>
        <w:szCs w:val="20"/>
      </w:rPr>
      <w:t xml:space="preserve"> o poskytnutí individuální dotace v oblasti dopravy</w:t>
    </w:r>
  </w:p>
  <w:p w:rsidR="00C769F1" w:rsidRPr="00EE52A3" w:rsidRDefault="00C769F1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Default="00C769F1" w:rsidP="00EE52A3">
    <w:pPr>
      <w:pStyle w:val="Zpat"/>
      <w:rPr>
        <w:i/>
        <w:sz w:val="20"/>
        <w:szCs w:val="20"/>
      </w:rPr>
    </w:pPr>
  </w:p>
  <w:p w:rsidR="00C769F1" w:rsidRDefault="00C769F1" w:rsidP="00EE52A3">
    <w:pPr>
      <w:pStyle w:val="Zpat"/>
      <w:rPr>
        <w:i/>
        <w:sz w:val="20"/>
        <w:szCs w:val="20"/>
      </w:rPr>
    </w:pPr>
  </w:p>
  <w:p w:rsidR="00C769F1" w:rsidRPr="005B2A36" w:rsidRDefault="00C769F1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C769F1" w:rsidRPr="00EE52A3" w:rsidRDefault="00C769F1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5.1.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Pr="005B2A36" w:rsidRDefault="00E26230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769F1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D37321">
      <w:rPr>
        <w:i/>
        <w:sz w:val="20"/>
        <w:szCs w:val="20"/>
      </w:rPr>
      <w:t>8</w:t>
    </w:r>
    <w:r w:rsidR="00C769F1">
      <w:rPr>
        <w:i/>
        <w:sz w:val="20"/>
        <w:szCs w:val="20"/>
      </w:rPr>
      <w:t xml:space="preserve">. </w:t>
    </w:r>
    <w:r w:rsidR="00D37321">
      <w:rPr>
        <w:i/>
        <w:sz w:val="20"/>
        <w:szCs w:val="20"/>
      </w:rPr>
      <w:t>9</w:t>
    </w:r>
    <w:r w:rsidR="00C769F1" w:rsidRPr="005B2A36">
      <w:rPr>
        <w:i/>
        <w:sz w:val="20"/>
        <w:szCs w:val="20"/>
      </w:rPr>
      <w:t>. 20</w:t>
    </w:r>
    <w:r w:rsidR="00C769F1">
      <w:rPr>
        <w:i/>
        <w:sz w:val="20"/>
        <w:szCs w:val="20"/>
      </w:rPr>
      <w:t>17</w:t>
    </w:r>
    <w:r w:rsidR="00C769F1" w:rsidRPr="005B2A36">
      <w:rPr>
        <w:i/>
        <w:sz w:val="20"/>
        <w:szCs w:val="20"/>
      </w:rPr>
      <w:t xml:space="preserve">                                 </w:t>
    </w:r>
    <w:r w:rsidR="00C769F1">
      <w:rPr>
        <w:i/>
        <w:sz w:val="20"/>
        <w:szCs w:val="20"/>
      </w:rPr>
      <w:t xml:space="preserve">                                                                                                               Strana </w:t>
    </w:r>
    <w:r w:rsidR="00C769F1">
      <w:rPr>
        <w:i/>
        <w:sz w:val="20"/>
        <w:szCs w:val="20"/>
      </w:rPr>
      <w:fldChar w:fldCharType="begin"/>
    </w:r>
    <w:r w:rsidR="00C769F1">
      <w:rPr>
        <w:i/>
        <w:sz w:val="20"/>
        <w:szCs w:val="20"/>
      </w:rPr>
      <w:instrText xml:space="preserve"> PAGE   \* MERGEFORMAT </w:instrText>
    </w:r>
    <w:r w:rsidR="00C769F1">
      <w:rPr>
        <w:i/>
        <w:sz w:val="20"/>
        <w:szCs w:val="20"/>
      </w:rPr>
      <w:fldChar w:fldCharType="separate"/>
    </w:r>
    <w:r w:rsidR="00227036">
      <w:rPr>
        <w:i/>
        <w:noProof/>
        <w:sz w:val="20"/>
        <w:szCs w:val="20"/>
      </w:rPr>
      <w:t>4</w:t>
    </w:r>
    <w:r w:rsidR="00C769F1">
      <w:rPr>
        <w:i/>
        <w:sz w:val="20"/>
        <w:szCs w:val="20"/>
      </w:rPr>
      <w:fldChar w:fldCharType="end"/>
    </w:r>
    <w:r w:rsidR="00C769F1">
      <w:rPr>
        <w:i/>
        <w:sz w:val="20"/>
        <w:szCs w:val="20"/>
      </w:rPr>
      <w:t xml:space="preserve"> </w:t>
    </w:r>
    <w:r w:rsidR="00C769F1" w:rsidRPr="005B2A36">
      <w:rPr>
        <w:i/>
        <w:sz w:val="20"/>
        <w:szCs w:val="20"/>
      </w:rPr>
      <w:t>(celkem</w:t>
    </w:r>
    <w:r w:rsidR="00C769F1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3B1A46">
      <w:rPr>
        <w:i/>
        <w:sz w:val="20"/>
        <w:szCs w:val="20"/>
      </w:rPr>
      <w:t>1</w:t>
    </w:r>
    <w:r w:rsidR="00C769F1" w:rsidRPr="005B2A36">
      <w:rPr>
        <w:i/>
        <w:sz w:val="20"/>
        <w:szCs w:val="20"/>
      </w:rPr>
      <w:t>)</w:t>
    </w:r>
  </w:p>
  <w:p w:rsidR="00C769F1" w:rsidRPr="00DE52C5" w:rsidRDefault="00227036" w:rsidP="00744BC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B02E0C">
      <w:rPr>
        <w:i/>
        <w:sz w:val="20"/>
        <w:szCs w:val="20"/>
      </w:rPr>
      <w:t xml:space="preserve"> </w:t>
    </w:r>
    <w:r w:rsidR="00C769F1" w:rsidRPr="005B2A36">
      <w:rPr>
        <w:i/>
        <w:sz w:val="20"/>
        <w:szCs w:val="20"/>
      </w:rPr>
      <w:t xml:space="preserve"> – </w:t>
    </w:r>
    <w:r w:rsidR="00C769F1">
      <w:rPr>
        <w:i/>
        <w:sz w:val="20"/>
        <w:szCs w:val="20"/>
      </w:rPr>
      <w:t>Žádost</w:t>
    </w:r>
    <w:r w:rsidR="003B1A46">
      <w:rPr>
        <w:i/>
        <w:sz w:val="20"/>
        <w:szCs w:val="20"/>
      </w:rPr>
      <w:t xml:space="preserve">i </w:t>
    </w:r>
    <w:r w:rsidR="00C769F1">
      <w:rPr>
        <w:i/>
        <w:sz w:val="20"/>
        <w:szCs w:val="20"/>
      </w:rPr>
      <w:t>o poskytnutí individuální dotace v oblasti dopravy</w:t>
    </w:r>
  </w:p>
  <w:p w:rsidR="00C769F1" w:rsidRPr="00AE66DF" w:rsidRDefault="00C769F1" w:rsidP="00744BCE">
    <w:pPr>
      <w:pStyle w:val="Zpat"/>
      <w:jc w:val="both"/>
      <w:rPr>
        <w:i/>
        <w:sz w:val="20"/>
      </w:rPr>
    </w:pPr>
    <w:r>
      <w:rPr>
        <w:i/>
        <w:sz w:val="20"/>
      </w:rPr>
      <w:t>Příloha č. 1:  Seznam žadatelů o individuální dotaci z rozpočtu Olomouckého kraje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0C" w:rsidRDefault="00B02E0C" w:rsidP="00B02E0C">
    <w:pPr>
      <w:pStyle w:val="Zpat"/>
      <w:rPr>
        <w:i/>
        <w:sz w:val="20"/>
        <w:szCs w:val="20"/>
      </w:rPr>
    </w:pPr>
  </w:p>
  <w:p w:rsidR="00B02E0C" w:rsidRDefault="00B02E0C" w:rsidP="00B02E0C">
    <w:pPr>
      <w:pStyle w:val="Zpat"/>
      <w:rPr>
        <w:i/>
        <w:sz w:val="20"/>
        <w:szCs w:val="20"/>
      </w:rPr>
    </w:pPr>
  </w:p>
  <w:p w:rsidR="00E26230" w:rsidRPr="005B2A36" w:rsidRDefault="00E26230" w:rsidP="00B02E0C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643A14">
      <w:rPr>
        <w:i/>
        <w:sz w:val="20"/>
        <w:szCs w:val="20"/>
      </w:rPr>
      <w:t>8</w:t>
    </w:r>
    <w:r>
      <w:rPr>
        <w:i/>
        <w:sz w:val="20"/>
        <w:szCs w:val="20"/>
      </w:rPr>
      <w:t xml:space="preserve">. </w:t>
    </w:r>
    <w:r w:rsidR="00643A14">
      <w:rPr>
        <w:i/>
        <w:sz w:val="20"/>
        <w:szCs w:val="20"/>
      </w:rPr>
      <w:t>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17</w:t>
    </w:r>
    <w:r w:rsidRPr="005B2A36">
      <w:rPr>
        <w:i/>
        <w:sz w:val="20"/>
        <w:szCs w:val="20"/>
      </w:rPr>
      <w:t xml:space="preserve">           </w:t>
    </w:r>
    <w:r>
      <w:rPr>
        <w:i/>
        <w:sz w:val="20"/>
        <w:szCs w:val="20"/>
      </w:rPr>
      <w:t xml:space="preserve">       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227036">
      <w:rPr>
        <w:i/>
        <w:noProof/>
        <w:sz w:val="20"/>
        <w:szCs w:val="20"/>
      </w:rPr>
      <w:t>11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1</w:t>
    </w:r>
    <w:r w:rsidR="003B1A46">
      <w:rPr>
        <w:i/>
        <w:sz w:val="20"/>
        <w:szCs w:val="20"/>
      </w:rPr>
      <w:t>1</w:t>
    </w:r>
    <w:r w:rsidRPr="005B2A36">
      <w:rPr>
        <w:i/>
        <w:sz w:val="20"/>
        <w:szCs w:val="20"/>
      </w:rPr>
      <w:t>)</w:t>
    </w:r>
  </w:p>
  <w:p w:rsidR="00E26230" w:rsidRPr="00DE52C5" w:rsidRDefault="00227036" w:rsidP="00E26230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E26230" w:rsidRPr="005B2A36">
      <w:rPr>
        <w:i/>
        <w:sz w:val="20"/>
        <w:szCs w:val="20"/>
      </w:rPr>
      <w:t xml:space="preserve"> – </w:t>
    </w:r>
    <w:r w:rsidR="00E26230">
      <w:rPr>
        <w:i/>
        <w:sz w:val="20"/>
        <w:szCs w:val="20"/>
      </w:rPr>
      <w:t>Žádost</w:t>
    </w:r>
    <w:r w:rsidR="003B1A46">
      <w:rPr>
        <w:i/>
        <w:sz w:val="20"/>
        <w:szCs w:val="20"/>
      </w:rPr>
      <w:t>i</w:t>
    </w:r>
    <w:r w:rsidR="00E26230">
      <w:rPr>
        <w:i/>
        <w:sz w:val="20"/>
        <w:szCs w:val="20"/>
      </w:rPr>
      <w:t xml:space="preserve"> o poskytnutí individuální dotace v oblasti dopravy</w:t>
    </w:r>
  </w:p>
  <w:p w:rsidR="00C769F1" w:rsidRPr="00E26230" w:rsidRDefault="00E26230" w:rsidP="00E26230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2: Veřejnoprávní smlouva o poskytnutí dotace s městem </w:t>
    </w:r>
    <w:r w:rsidR="00643A14">
      <w:rPr>
        <w:i/>
        <w:sz w:val="20"/>
      </w:rPr>
      <w:t>Uničov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DA" w:rsidRDefault="007523DA">
      <w:r>
        <w:separator/>
      </w:r>
    </w:p>
  </w:footnote>
  <w:footnote w:type="continuationSeparator" w:id="0">
    <w:p w:rsidR="007523DA" w:rsidRDefault="0075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Default="00C769F1" w:rsidP="002F0C7D">
    <w:pPr>
      <w:pStyle w:val="Zhlav"/>
      <w:jc w:val="center"/>
    </w:pPr>
  </w:p>
  <w:p w:rsidR="00C769F1" w:rsidRDefault="00C769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Pr="00E00793" w:rsidRDefault="00C769F1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1</w:t>
    </w:r>
  </w:p>
  <w:p w:rsidR="00C769F1" w:rsidRPr="00894E92" w:rsidRDefault="00C769F1" w:rsidP="005E24D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Seznam žadatelů o individuální dotaci z rozpočtu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1" w:rsidRDefault="00E26230" w:rsidP="00E26230">
    <w:pPr>
      <w:pStyle w:val="Zhlav"/>
      <w:jc w:val="center"/>
      <w:rPr>
        <w:i/>
      </w:rPr>
    </w:pPr>
    <w:r>
      <w:rPr>
        <w:i/>
      </w:rPr>
      <w:t>Příloha č. 2</w:t>
    </w:r>
  </w:p>
  <w:p w:rsidR="00E26230" w:rsidRDefault="00E26230" w:rsidP="00B02E0C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Veřejnoprávní smlouva o poskytnutí dotace s městem </w:t>
    </w:r>
    <w:r w:rsidR="00643A14">
      <w:rPr>
        <w:i/>
      </w:rPr>
      <w:t>Uničov</w:t>
    </w:r>
  </w:p>
  <w:p w:rsidR="00B02E0C" w:rsidRPr="00E26230" w:rsidRDefault="00B02E0C" w:rsidP="00B02E0C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3B768F20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0056"/>
    <w:multiLevelType w:val="multilevel"/>
    <w:tmpl w:val="1BD28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A63CD"/>
    <w:multiLevelType w:val="hybridMultilevel"/>
    <w:tmpl w:val="A1081780"/>
    <w:lvl w:ilvl="0" w:tplc="C5B899E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98D4D02"/>
    <w:multiLevelType w:val="multilevel"/>
    <w:tmpl w:val="2B8CF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C9C0F8F"/>
    <w:multiLevelType w:val="hybridMultilevel"/>
    <w:tmpl w:val="C1183D2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9E5D65"/>
    <w:multiLevelType w:val="hybridMultilevel"/>
    <w:tmpl w:val="640ECD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0D316E1"/>
    <w:multiLevelType w:val="multilevel"/>
    <w:tmpl w:val="2BE69D1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05DC"/>
    <w:rsid w:val="00002E0B"/>
    <w:rsid w:val="0000751B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457F"/>
    <w:rsid w:val="000B2F65"/>
    <w:rsid w:val="000B68B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30DA5"/>
    <w:rsid w:val="0013216A"/>
    <w:rsid w:val="00133271"/>
    <w:rsid w:val="001340B9"/>
    <w:rsid w:val="001342B9"/>
    <w:rsid w:val="001352F7"/>
    <w:rsid w:val="0013666B"/>
    <w:rsid w:val="001439CC"/>
    <w:rsid w:val="001506A4"/>
    <w:rsid w:val="0015322C"/>
    <w:rsid w:val="00154ECF"/>
    <w:rsid w:val="00163546"/>
    <w:rsid w:val="0016497E"/>
    <w:rsid w:val="00167307"/>
    <w:rsid w:val="00175624"/>
    <w:rsid w:val="00175A67"/>
    <w:rsid w:val="001837C5"/>
    <w:rsid w:val="001941E0"/>
    <w:rsid w:val="00195767"/>
    <w:rsid w:val="001A7401"/>
    <w:rsid w:val="001B4131"/>
    <w:rsid w:val="001C040A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4A95"/>
    <w:rsid w:val="00222E02"/>
    <w:rsid w:val="002251CE"/>
    <w:rsid w:val="00227036"/>
    <w:rsid w:val="00227D71"/>
    <w:rsid w:val="00233180"/>
    <w:rsid w:val="00233F5A"/>
    <w:rsid w:val="002402BB"/>
    <w:rsid w:val="00240F04"/>
    <w:rsid w:val="00241031"/>
    <w:rsid w:val="0024244A"/>
    <w:rsid w:val="00250D98"/>
    <w:rsid w:val="00254B4C"/>
    <w:rsid w:val="0026720D"/>
    <w:rsid w:val="00270683"/>
    <w:rsid w:val="0027381B"/>
    <w:rsid w:val="00275C2B"/>
    <w:rsid w:val="00282801"/>
    <w:rsid w:val="002900EE"/>
    <w:rsid w:val="002921E7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3715"/>
    <w:rsid w:val="003163ED"/>
    <w:rsid w:val="00316B4B"/>
    <w:rsid w:val="0031746D"/>
    <w:rsid w:val="00330AAD"/>
    <w:rsid w:val="00333EBA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6851"/>
    <w:rsid w:val="0038162D"/>
    <w:rsid w:val="00383BE0"/>
    <w:rsid w:val="00387314"/>
    <w:rsid w:val="00392E65"/>
    <w:rsid w:val="00393235"/>
    <w:rsid w:val="003B1A46"/>
    <w:rsid w:val="003B27E5"/>
    <w:rsid w:val="003B49D7"/>
    <w:rsid w:val="003B7AE4"/>
    <w:rsid w:val="003C4598"/>
    <w:rsid w:val="003D15C0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50C4A"/>
    <w:rsid w:val="00452F67"/>
    <w:rsid w:val="0045465F"/>
    <w:rsid w:val="00456548"/>
    <w:rsid w:val="004825E5"/>
    <w:rsid w:val="004847D9"/>
    <w:rsid w:val="00484894"/>
    <w:rsid w:val="00493764"/>
    <w:rsid w:val="004A05DD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47C"/>
    <w:rsid w:val="004F773C"/>
    <w:rsid w:val="005012DA"/>
    <w:rsid w:val="00502DF1"/>
    <w:rsid w:val="00511A89"/>
    <w:rsid w:val="005136E5"/>
    <w:rsid w:val="00526018"/>
    <w:rsid w:val="00541F0B"/>
    <w:rsid w:val="00542DDD"/>
    <w:rsid w:val="005441D9"/>
    <w:rsid w:val="00544602"/>
    <w:rsid w:val="0055471A"/>
    <w:rsid w:val="005559CC"/>
    <w:rsid w:val="00555A73"/>
    <w:rsid w:val="00556E95"/>
    <w:rsid w:val="0056579F"/>
    <w:rsid w:val="00572524"/>
    <w:rsid w:val="00576FFF"/>
    <w:rsid w:val="00584B5B"/>
    <w:rsid w:val="00586DB5"/>
    <w:rsid w:val="0059080B"/>
    <w:rsid w:val="00590D86"/>
    <w:rsid w:val="00593B92"/>
    <w:rsid w:val="00594259"/>
    <w:rsid w:val="00597E7C"/>
    <w:rsid w:val="005A04A1"/>
    <w:rsid w:val="005A253A"/>
    <w:rsid w:val="005B5E8C"/>
    <w:rsid w:val="005B634E"/>
    <w:rsid w:val="005C1D38"/>
    <w:rsid w:val="005C6DE4"/>
    <w:rsid w:val="005D2157"/>
    <w:rsid w:val="005D26C4"/>
    <w:rsid w:val="005D5DD0"/>
    <w:rsid w:val="005D73B7"/>
    <w:rsid w:val="005D77D1"/>
    <w:rsid w:val="005E24DB"/>
    <w:rsid w:val="005E54EC"/>
    <w:rsid w:val="005F5575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3A14"/>
    <w:rsid w:val="00646F84"/>
    <w:rsid w:val="00650AA0"/>
    <w:rsid w:val="00651F61"/>
    <w:rsid w:val="00660E93"/>
    <w:rsid w:val="00670614"/>
    <w:rsid w:val="00675640"/>
    <w:rsid w:val="00683FBC"/>
    <w:rsid w:val="00685775"/>
    <w:rsid w:val="0069306C"/>
    <w:rsid w:val="00696504"/>
    <w:rsid w:val="006A3441"/>
    <w:rsid w:val="006B2BEC"/>
    <w:rsid w:val="006B387B"/>
    <w:rsid w:val="006B646D"/>
    <w:rsid w:val="006C233A"/>
    <w:rsid w:val="006D338F"/>
    <w:rsid w:val="006E0923"/>
    <w:rsid w:val="006F18C5"/>
    <w:rsid w:val="006F2CC8"/>
    <w:rsid w:val="006F45F3"/>
    <w:rsid w:val="006F478C"/>
    <w:rsid w:val="0070187E"/>
    <w:rsid w:val="007245E8"/>
    <w:rsid w:val="007273F1"/>
    <w:rsid w:val="00744BCE"/>
    <w:rsid w:val="007523DA"/>
    <w:rsid w:val="007531A5"/>
    <w:rsid w:val="00754697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E11CE"/>
    <w:rsid w:val="007E2406"/>
    <w:rsid w:val="007E2EF6"/>
    <w:rsid w:val="007E4CF3"/>
    <w:rsid w:val="007E6235"/>
    <w:rsid w:val="007F58EC"/>
    <w:rsid w:val="00801D1D"/>
    <w:rsid w:val="00815106"/>
    <w:rsid w:val="008166EA"/>
    <w:rsid w:val="00817E26"/>
    <w:rsid w:val="0083013B"/>
    <w:rsid w:val="008317E2"/>
    <w:rsid w:val="008329DC"/>
    <w:rsid w:val="00842FF1"/>
    <w:rsid w:val="008440F8"/>
    <w:rsid w:val="00847B67"/>
    <w:rsid w:val="00865344"/>
    <w:rsid w:val="00867AD3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A0B41"/>
    <w:rsid w:val="008A0EDF"/>
    <w:rsid w:val="008A3CDC"/>
    <w:rsid w:val="008A5789"/>
    <w:rsid w:val="008B155A"/>
    <w:rsid w:val="008B38E9"/>
    <w:rsid w:val="008B698E"/>
    <w:rsid w:val="008D4FF5"/>
    <w:rsid w:val="008D720C"/>
    <w:rsid w:val="008E114D"/>
    <w:rsid w:val="008F3660"/>
    <w:rsid w:val="008F66AD"/>
    <w:rsid w:val="00907EB3"/>
    <w:rsid w:val="00913249"/>
    <w:rsid w:val="00913873"/>
    <w:rsid w:val="00921223"/>
    <w:rsid w:val="00927368"/>
    <w:rsid w:val="00937780"/>
    <w:rsid w:val="0094495E"/>
    <w:rsid w:val="00961409"/>
    <w:rsid w:val="009736CA"/>
    <w:rsid w:val="009869F3"/>
    <w:rsid w:val="009874F7"/>
    <w:rsid w:val="009916A9"/>
    <w:rsid w:val="0099184F"/>
    <w:rsid w:val="00994317"/>
    <w:rsid w:val="009A02C6"/>
    <w:rsid w:val="009A0585"/>
    <w:rsid w:val="009A7BE4"/>
    <w:rsid w:val="009A7FBC"/>
    <w:rsid w:val="009B0DDF"/>
    <w:rsid w:val="009B4D18"/>
    <w:rsid w:val="009D50B2"/>
    <w:rsid w:val="009E0356"/>
    <w:rsid w:val="009E25A6"/>
    <w:rsid w:val="009F4272"/>
    <w:rsid w:val="00A0058E"/>
    <w:rsid w:val="00A100E9"/>
    <w:rsid w:val="00A102F0"/>
    <w:rsid w:val="00A23E15"/>
    <w:rsid w:val="00A27E54"/>
    <w:rsid w:val="00A341E8"/>
    <w:rsid w:val="00A50D4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02E0C"/>
    <w:rsid w:val="00B12821"/>
    <w:rsid w:val="00B13C5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07CB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23AF3"/>
    <w:rsid w:val="00C2443D"/>
    <w:rsid w:val="00C31F94"/>
    <w:rsid w:val="00C34C65"/>
    <w:rsid w:val="00C34FF2"/>
    <w:rsid w:val="00C45B29"/>
    <w:rsid w:val="00C45B4D"/>
    <w:rsid w:val="00C468E1"/>
    <w:rsid w:val="00C50661"/>
    <w:rsid w:val="00C55B42"/>
    <w:rsid w:val="00C63D48"/>
    <w:rsid w:val="00C65E08"/>
    <w:rsid w:val="00C733AA"/>
    <w:rsid w:val="00C753CB"/>
    <w:rsid w:val="00C769F1"/>
    <w:rsid w:val="00C9409E"/>
    <w:rsid w:val="00CA4B10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97E"/>
    <w:rsid w:val="00D063A8"/>
    <w:rsid w:val="00D06D90"/>
    <w:rsid w:val="00D11107"/>
    <w:rsid w:val="00D11906"/>
    <w:rsid w:val="00D15C95"/>
    <w:rsid w:val="00D221C8"/>
    <w:rsid w:val="00D25B29"/>
    <w:rsid w:val="00D31309"/>
    <w:rsid w:val="00D36DC0"/>
    <w:rsid w:val="00D37321"/>
    <w:rsid w:val="00D37B90"/>
    <w:rsid w:val="00D43E07"/>
    <w:rsid w:val="00D4444F"/>
    <w:rsid w:val="00D475BC"/>
    <w:rsid w:val="00D50B19"/>
    <w:rsid w:val="00D6007A"/>
    <w:rsid w:val="00D66934"/>
    <w:rsid w:val="00D669FB"/>
    <w:rsid w:val="00D66B95"/>
    <w:rsid w:val="00D71474"/>
    <w:rsid w:val="00D80FDB"/>
    <w:rsid w:val="00D814BD"/>
    <w:rsid w:val="00D9479B"/>
    <w:rsid w:val="00D96867"/>
    <w:rsid w:val="00D9707B"/>
    <w:rsid w:val="00DA4662"/>
    <w:rsid w:val="00DA5016"/>
    <w:rsid w:val="00DC3E00"/>
    <w:rsid w:val="00DC4DE2"/>
    <w:rsid w:val="00DD6928"/>
    <w:rsid w:val="00DE52C5"/>
    <w:rsid w:val="00E068E3"/>
    <w:rsid w:val="00E07825"/>
    <w:rsid w:val="00E129B4"/>
    <w:rsid w:val="00E15551"/>
    <w:rsid w:val="00E16579"/>
    <w:rsid w:val="00E17B87"/>
    <w:rsid w:val="00E219A8"/>
    <w:rsid w:val="00E24481"/>
    <w:rsid w:val="00E25361"/>
    <w:rsid w:val="00E2552D"/>
    <w:rsid w:val="00E26230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1AD5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74FC"/>
    <w:rsid w:val="00EE4926"/>
    <w:rsid w:val="00EE52A3"/>
    <w:rsid w:val="00EF190D"/>
    <w:rsid w:val="00EF1CB6"/>
    <w:rsid w:val="00F00AF9"/>
    <w:rsid w:val="00F056CE"/>
    <w:rsid w:val="00F061DB"/>
    <w:rsid w:val="00F07355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56AF3"/>
    <w:rsid w:val="00F574CD"/>
    <w:rsid w:val="00F610F1"/>
    <w:rsid w:val="00F61E6B"/>
    <w:rsid w:val="00F6441E"/>
    <w:rsid w:val="00F666F0"/>
    <w:rsid w:val="00F67040"/>
    <w:rsid w:val="00F71C74"/>
    <w:rsid w:val="00F82BE9"/>
    <w:rsid w:val="00F93BF0"/>
    <w:rsid w:val="00FB3C12"/>
    <w:rsid w:val="00FB75EB"/>
    <w:rsid w:val="00FC0127"/>
    <w:rsid w:val="00FC1939"/>
    <w:rsid w:val="00FC3DDF"/>
    <w:rsid w:val="00FC53FE"/>
    <w:rsid w:val="00FC71C6"/>
    <w:rsid w:val="00FD0C7C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BE0A2"/>
  <w15:docId w15:val="{49BE1F42-0109-41EA-AD96-D39357CC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8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customStyle="1" w:styleId="Dopisspozdravem">
    <w:name w:val="Dopis s pozdravem"/>
    <w:basedOn w:val="Normln"/>
    <w:rsid w:val="00D37321"/>
    <w:pPr>
      <w:widowControl w:val="0"/>
      <w:spacing w:before="240" w:after="96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r-olomoucky.cz/vyuctovani-prispevku-dotace-cl-380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DE34-9C0D-4E71-BE59-398A553A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3228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12</cp:revision>
  <cp:lastPrinted>2017-05-17T12:33:00Z</cp:lastPrinted>
  <dcterms:created xsi:type="dcterms:W3CDTF">2017-08-07T14:48:00Z</dcterms:created>
  <dcterms:modified xsi:type="dcterms:W3CDTF">2017-08-30T06:46:00Z</dcterms:modified>
</cp:coreProperties>
</file>