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06C4F" w14:textId="77777777" w:rsidR="00071CC3" w:rsidRDefault="00071CC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</w:p>
    <w:p w14:paraId="6C8697C1" w14:textId="66A94106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PRÁVNICKÝM OSOBÁM</w:t>
      </w:r>
      <w:r w:rsidR="0088205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5C678D97" w14:textId="77777777" w:rsidR="005C3E56" w:rsidRPr="00A95E4B" w:rsidRDefault="005C3E56" w:rsidP="005C3E56">
      <w:pPr>
        <w:spacing w:after="120"/>
        <w:ind w:left="0" w:firstLine="0"/>
        <w:jc w:val="center"/>
        <w:rPr>
          <w:rFonts w:ascii="Arial" w:eastAsia="Times New Roman" w:hAnsi="Arial" w:cs="Arial"/>
          <w:bCs/>
          <w:caps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aps/>
          <w:color w:val="FF0000"/>
          <w:sz w:val="24"/>
          <w:szCs w:val="24"/>
          <w:lang w:eastAsia="cs-CZ"/>
        </w:rPr>
        <w:t>VZOR smlouvy – text smlouvy bude dále upřesněn při schvalování dotací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39CF26D6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40a, 779 </w:t>
      </w:r>
      <w:r w:rsidR="001D62B1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029CD75E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 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bookmarkStart w:id="0" w:name="_GoBack"/>
      <w:bookmarkEnd w:id="0"/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I.</w:t>
      </w:r>
    </w:p>
    <w:p w14:paraId="3C9258CE" w14:textId="76493420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</w:t>
      </w:r>
      <w:r w:rsidR="00BE45B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9869E4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F0595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za účelem …..… </w:t>
      </w:r>
      <w:r w:rsidR="00670176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 - opisuje se text obecného účelu z vyhlášeného dotačního titulu)</w:t>
      </w:r>
    </w:p>
    <w:p w14:paraId="3C9258CF" w14:textId="2777DD8B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869E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3C9258D0" w14:textId="2F2C2E60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</w:t>
      </w:r>
      <w:r w:rsidRPr="006362FF">
        <w:rPr>
          <w:rFonts w:ascii="Arial" w:eastAsia="Times New Roman" w:hAnsi="Arial" w:cs="Arial"/>
          <w:sz w:val="24"/>
          <w:szCs w:val="24"/>
          <w:lang w:eastAsia="cs-CZ"/>
        </w:rPr>
        <w:t>poskytnuta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Za den </w:t>
      </w:r>
      <w:r w:rsidR="00711F5A" w:rsidRPr="006362FF">
        <w:rPr>
          <w:rFonts w:ascii="Arial" w:eastAsia="Times New Roman" w:hAnsi="Arial" w:cs="Arial"/>
          <w:sz w:val="24"/>
          <w:szCs w:val="24"/>
          <w:lang w:eastAsia="cs-CZ"/>
        </w:rPr>
        <w:t>poskytnutí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příjemce.</w:t>
      </w:r>
    </w:p>
    <w:p w14:paraId="3C9258D1" w14:textId="59295C29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0723492A" w:rsidR="00054974" w:rsidRPr="001050FA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="00260A86">
        <w:rPr>
          <w:rFonts w:ascii="Arial" w:eastAsia="Times New Roman" w:hAnsi="Arial" w:cs="Arial"/>
          <w:sz w:val="24"/>
          <w:szCs w:val="24"/>
          <w:lang w:eastAsia="cs-CZ"/>
        </w:rPr>
        <w:t>Program na podporu místních produktů 2019</w:t>
      </w:r>
      <w:r w:rsidRPr="001050FA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……………………</w:t>
      </w:r>
      <w:r w:rsidRPr="001050FA">
        <w:rPr>
          <w:rFonts w:ascii="Arial" w:eastAsia="Times New Roman" w:hAnsi="Arial" w:cs="Arial"/>
          <w:iCs/>
          <w:sz w:val="24"/>
          <w:szCs w:val="24"/>
          <w:lang w:eastAsia="cs-CZ"/>
        </w:rPr>
        <w:t>. (dále také jen „Pravidla“).</w:t>
      </w:r>
    </w:p>
    <w:p w14:paraId="2091E7FE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77D22F46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11.7 Pravidel)</w:t>
      </w:r>
      <w:r w:rsidR="001864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72 odst. 1 zákona č. 235/2004 Sb., o dani z přidané hodnoty,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Pr="00986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bude dle </w:t>
      </w:r>
      <w:proofErr w:type="spellStart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opačném </w:t>
      </w:r>
      <w:r w:rsidR="00374288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případě se tento text vypustí.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65D7DCB1" w:rsidR="005F5E04" w:rsidRPr="009869E4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869E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0E2E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9869E4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47744145" w:rsidR="005A477A" w:rsidRPr="009869E4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použít poskytnutou dotaci nejpozději do </w:t>
      </w:r>
      <w:r w:rsidR="00094A20" w:rsidRPr="009869E4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</w:t>
      </w:r>
      <w:r w:rsidR="004414BE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BF3D05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</w:t>
      </w:r>
      <w:r w:rsidR="004414BE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BF3D05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1C2524A5" w14:textId="40BC0508" w:rsidR="005A477A" w:rsidRPr="009869E4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BE45BB" w:rsidRPr="00973DFE">
        <w:rPr>
          <w:rFonts w:ascii="Arial" w:eastAsia="Times New Roman" w:hAnsi="Arial" w:cs="Arial"/>
          <w:iCs/>
          <w:sz w:val="24"/>
          <w:szCs w:val="24"/>
          <w:lang w:eastAsia="cs-CZ"/>
        </w:rPr>
        <w:t>1. 1. 2019</w:t>
      </w:r>
      <w:r w:rsidRPr="00973DF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57FBA169" w14:textId="05CFE82C" w:rsidR="005A477A" w:rsidRPr="009869E4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9869E4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0B7CE2B9" w14:textId="07DC02A7" w:rsidR="00BF3D05" w:rsidRPr="009869E4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 ….…… Kč (slovy: …..…… korun českých). Příjemce je povinen na tento účel vynaložit</w:t>
      </w:r>
      <w:r w:rsidR="006362F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362FF" w:rsidRPr="00260A86">
        <w:rPr>
          <w:rFonts w:ascii="Arial" w:eastAsia="Times New Roman" w:hAnsi="Arial" w:cs="Arial"/>
          <w:sz w:val="24"/>
          <w:szCs w:val="24"/>
          <w:lang w:eastAsia="cs-CZ"/>
        </w:rPr>
        <w:t>minimálně 50</w:t>
      </w:r>
      <w:r w:rsidRPr="00260A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9869E4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6362FF" w:rsidRPr="00260A86">
        <w:rPr>
          <w:rFonts w:ascii="Arial" w:hAnsi="Arial" w:cs="Arial"/>
          <w:sz w:val="24"/>
          <w:szCs w:val="24"/>
        </w:rPr>
        <w:t>nejvýše 50</w:t>
      </w:r>
      <w:r w:rsidRPr="009869E4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505B0703" w14:textId="6FC9BC13" w:rsidR="00BF3D05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EC08A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7777777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7EB0DA5D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</w:t>
      </w:r>
      <w:r w:rsidRPr="00B47AF6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aktuální správný název této přílohy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</w:t>
        </w:r>
        <w:r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</w:t>
        </w:r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vede se adresa </w:t>
      </w:r>
      <w:r w:rsidRPr="00BC32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webové stránky, kde je příloha č. 1 umístěna)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7D4D31D4" w:rsidR="006A1189" w:rsidRPr="00BC325E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1864F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1454D81" w14:textId="7732444E" w:rsidR="006A1189" w:rsidRPr="00B14CBA" w:rsidRDefault="006A1189" w:rsidP="00FB41A9">
      <w:pPr>
        <w:spacing w:after="120"/>
        <w:ind w:left="1287" w:hanging="720"/>
        <w:rPr>
          <w:rFonts w:ascii="Arial" w:eastAsia="Times New Roman" w:hAnsi="Arial" w:cs="Arial"/>
          <w:strike/>
          <w:color w:val="0000FF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č. 1 „……</w:t>
      </w:r>
      <w:r w:rsidR="006E64D0">
        <w:rPr>
          <w:rFonts w:ascii="Arial" w:eastAsia="Times New Roman" w:hAnsi="Arial" w:cs="Arial"/>
          <w:sz w:val="24"/>
          <w:szCs w:val="24"/>
          <w:lang w:eastAsia="cs-CZ"/>
        </w:rPr>
        <w:t>………“. 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</w:t>
      </w:r>
      <w:r w:rsidR="008F595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271C7CF2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B14C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14CBA" w:rsidRPr="00FB41A9">
        <w:rPr>
          <w:rFonts w:ascii="Arial" w:hAnsi="Arial" w:cs="Arial"/>
          <w:sz w:val="24"/>
          <w:szCs w:val="24"/>
        </w:rPr>
        <w:t xml:space="preserve">popis, zhodnocení a fotodokumentaci </w:t>
      </w:r>
      <w:r w:rsidR="00E5067D">
        <w:rPr>
          <w:rFonts w:ascii="Arial" w:hAnsi="Arial" w:cs="Arial"/>
          <w:sz w:val="24"/>
          <w:szCs w:val="24"/>
        </w:rPr>
        <w:t>činnosti</w:t>
      </w:r>
      <w:r w:rsidR="00B14CBA" w:rsidRPr="00FB41A9">
        <w:rPr>
          <w:rFonts w:ascii="Arial" w:hAnsi="Arial" w:cs="Arial"/>
          <w:sz w:val="24"/>
          <w:szCs w:val="24"/>
        </w:rPr>
        <w:t xml:space="preserve">, dále pak zdůvodnění oprávněnosti použití poskytnuté dotace v souladu </w:t>
      </w:r>
      <w:r w:rsidR="00B14CBA" w:rsidRPr="00FB41A9">
        <w:rPr>
          <w:rFonts w:ascii="Arial" w:hAnsi="Arial" w:cs="Arial"/>
          <w:sz w:val="24"/>
          <w:szCs w:val="24"/>
        </w:rPr>
        <w:lastRenderedPageBreak/>
        <w:t>s čl. I odst. 2 a 4 a čl. II. odst. 1 této smlouvy</w:t>
      </w:r>
      <w:r w:rsidR="00B14CBA" w:rsidRPr="00FB41A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14CBA" w:rsidRPr="00FB41A9">
        <w:rPr>
          <w:rFonts w:ascii="Arial" w:hAnsi="Arial" w:cs="Arial"/>
          <w:iCs/>
          <w:sz w:val="24"/>
          <w:szCs w:val="24"/>
        </w:rPr>
        <w:t>minimálně 10 ks z každého tištěného materiálu realizovaného z dotace, nejpozději do data předložení vyúčtování poskytnuté dotace</w:t>
      </w:r>
      <w:r w:rsidR="001D62B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D62B1" w:rsidRPr="004602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(bude upraveno podle konkrétních okolností).</w:t>
      </w:r>
    </w:p>
    <w:p w14:paraId="3C9258F9" w14:textId="68954E79" w:rsidR="009A3DA5" w:rsidRPr="0058756D" w:rsidRDefault="006D530C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(zde bude uvedena částka celkových předpokládaných uznatelných výdajů dle čl. II odst. 2</w:t>
      </w:r>
      <w:r w:rsidR="00992DCE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; v případě, že v čl. II odst. 2 není sjednávána spoluúčast, zelený text se ve smlouvě neuvede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vyúčtování a závěrečné zprávy o využití dotace s prodlením do 15 kalendářních dnů od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0BDF855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9B13E3" w:rsidRPr="00FB41A9">
        <w:rPr>
          <w:rFonts w:ascii="Arial" w:eastAsia="Times New Roman" w:hAnsi="Arial" w:cs="Arial"/>
          <w:sz w:val="24"/>
          <w:szCs w:val="24"/>
          <w:lang w:eastAsia="cs-CZ"/>
        </w:rPr>
        <w:t>27-4228330207/0100</w:t>
      </w:r>
      <w:r w:rsidR="00D40813" w:rsidRPr="00FB41A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9B13E3" w:rsidRPr="00FB41A9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vratka realizována v roce 2020 vrátí příjemce dotaci nebo její část na účet poskytovatele č. 27-4228320287/0100. </w:t>
      </w:r>
      <w:r w:rsidR="00D40813" w:rsidRPr="00FB41A9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1455A6" w:rsidRPr="00FB41A9">
        <w:rPr>
          <w:rFonts w:ascii="Arial" w:hAnsi="Arial" w:cs="Arial"/>
          <w:sz w:val="24"/>
          <w:szCs w:val="24"/>
        </w:rPr>
        <w:t xml:space="preserve">27-4228320287/0100 </w:t>
      </w:r>
      <w:r w:rsidR="00D40813" w:rsidRPr="00D40813">
        <w:rPr>
          <w:rFonts w:ascii="Arial" w:hAnsi="Arial" w:cs="Arial"/>
          <w:sz w:val="24"/>
          <w:szCs w:val="24"/>
        </w:rPr>
        <w:t xml:space="preserve">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13DE0A63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</w:t>
      </w:r>
      <w:r w:rsidR="001455A6" w:rsidRPr="00FB41A9">
        <w:rPr>
          <w:rFonts w:ascii="Arial" w:eastAsia="Times New Roman" w:hAnsi="Arial" w:cs="Arial"/>
          <w:sz w:val="24"/>
          <w:szCs w:val="24"/>
          <w:lang w:eastAsia="cs-CZ"/>
        </w:rPr>
        <w:t>do konce roku 2019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515B015D" w:rsidR="006C7815" w:rsidRPr="009869E4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260A8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455507D" w14:textId="0DF32B9F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260A8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10.2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2FEBB80E" w:rsidR="006C7815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0100BA38" w14:textId="77777777" w:rsidR="00FB41A9" w:rsidRPr="00381AF3" w:rsidRDefault="00FB41A9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007AB9E3" w14:textId="7916FE1B" w:rsidR="004514E3" w:rsidRPr="00FB41A9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B41A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FB41A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FB41A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B41A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FB41A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FB41A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FB41A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FB41A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29C69AFA" w14:textId="615B8A86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9869E4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9869E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869E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0D1D0CF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 w:rsidRPr="009869E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869E4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 w:rsidRPr="009869E4">
        <w:rPr>
          <w:rFonts w:ascii="Arial" w:hAnsi="Arial" w:cs="Arial"/>
          <w:sz w:val="24"/>
          <w:szCs w:val="24"/>
          <w:lang w:eastAsia="cs-CZ"/>
        </w:rPr>
        <w:t>T</w:t>
      </w:r>
      <w:r w:rsidRPr="009869E4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869E4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869E4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9869E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392B1562" w:rsidR="009A3DA5" w:rsidRPr="009869E4" w:rsidRDefault="009A3DA5" w:rsidP="006C2031">
      <w:pPr>
        <w:numPr>
          <w:ilvl w:val="0"/>
          <w:numId w:val="35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6C2031" w:rsidRPr="00FB41A9">
        <w:rPr>
          <w:rFonts w:ascii="Arial" w:eastAsia="Times New Roman" w:hAnsi="Arial" w:cs="Arial"/>
          <w:sz w:val="24"/>
          <w:szCs w:val="24"/>
          <w:lang w:eastAsia="cs-CZ"/>
        </w:rPr>
        <w:t>třech</w:t>
      </w:r>
      <w:r w:rsidRPr="00FB41A9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6C2031" w:rsidRPr="00FB41A9">
        <w:rPr>
          <w:rFonts w:ascii="Arial" w:eastAsia="Times New Roman" w:hAnsi="Arial" w:cs="Arial"/>
          <w:sz w:val="24"/>
          <w:szCs w:val="24"/>
          <w:lang w:eastAsia="cs-CZ"/>
        </w:rPr>
        <w:t xml:space="preserve">poskytovatel obdrží dvě vyhotovení a příjemce jedno </w:t>
      </w:r>
      <w:r w:rsidR="006C2031">
        <w:rPr>
          <w:rFonts w:ascii="Arial" w:eastAsia="Times New Roman" w:hAnsi="Arial" w:cs="Arial"/>
          <w:sz w:val="24"/>
          <w:szCs w:val="24"/>
          <w:lang w:eastAsia="cs-CZ"/>
        </w:rPr>
        <w:t>vyhotovení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4" w14:textId="77C85B3C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46FF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3020"/>
      </w:tblGrid>
      <w:tr w:rsidR="009A3DA5" w14:paraId="3C92592A" w14:textId="77777777" w:rsidTr="006C2031">
        <w:tc>
          <w:tcPr>
            <w:tcW w:w="45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0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 w:rsidP="006C2031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6C2031">
        <w:tc>
          <w:tcPr>
            <w:tcW w:w="45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DFC789F" w:rsidR="009A3DA5" w:rsidRDefault="006C2031" w:rsidP="006C2031">
            <w:pPr>
              <w:tabs>
                <w:tab w:val="left" w:pos="285"/>
                <w:tab w:val="center" w:pos="2195"/>
              </w:tabs>
              <w:spacing w:before="84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ab/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ab/>
            </w:r>
            <w:r w:rsidR="0099421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…………….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0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1FC27E3C" w:rsidR="00EC57C5" w:rsidRDefault="00EC57C5">
      <w:pPr>
        <w:rPr>
          <w:rFonts w:ascii="Arial" w:hAnsi="Arial" w:cs="Arial"/>
          <w:bCs/>
        </w:rPr>
      </w:pPr>
    </w:p>
    <w:p w14:paraId="03718211" w14:textId="717F22D4" w:rsidR="00FB41A9" w:rsidRDefault="00FB41A9">
      <w:pPr>
        <w:rPr>
          <w:rFonts w:ascii="Arial" w:hAnsi="Arial" w:cs="Arial"/>
          <w:bCs/>
        </w:rPr>
      </w:pPr>
    </w:p>
    <w:p w14:paraId="35680C0A" w14:textId="69C68793" w:rsidR="00FB41A9" w:rsidRDefault="00FB41A9">
      <w:pPr>
        <w:rPr>
          <w:rFonts w:ascii="Arial" w:hAnsi="Arial" w:cs="Arial"/>
          <w:bCs/>
        </w:rPr>
      </w:pPr>
    </w:p>
    <w:p w14:paraId="004C0D24" w14:textId="5123FE56" w:rsidR="00FB41A9" w:rsidRDefault="00FB41A9">
      <w:pPr>
        <w:rPr>
          <w:rFonts w:ascii="Arial" w:hAnsi="Arial" w:cs="Arial"/>
          <w:bCs/>
        </w:rPr>
      </w:pPr>
    </w:p>
    <w:p w14:paraId="6CE10E9E" w14:textId="4DE54F6F" w:rsidR="00FB41A9" w:rsidRDefault="00FB41A9">
      <w:pPr>
        <w:rPr>
          <w:rFonts w:ascii="Arial" w:hAnsi="Arial" w:cs="Arial"/>
          <w:bCs/>
        </w:rPr>
      </w:pPr>
    </w:p>
    <w:p w14:paraId="71252C03" w14:textId="7C55B20F" w:rsidR="00FB41A9" w:rsidRDefault="00FB41A9">
      <w:pPr>
        <w:rPr>
          <w:rFonts w:ascii="Arial" w:hAnsi="Arial" w:cs="Arial"/>
          <w:bCs/>
        </w:rPr>
      </w:pPr>
    </w:p>
    <w:p w14:paraId="7E9CD15F" w14:textId="6FAE1115" w:rsidR="00FB41A9" w:rsidRDefault="00FB41A9">
      <w:pPr>
        <w:rPr>
          <w:rFonts w:ascii="Arial" w:hAnsi="Arial" w:cs="Arial"/>
          <w:bCs/>
        </w:rPr>
      </w:pPr>
    </w:p>
    <w:p w14:paraId="03D24D84" w14:textId="58CF3342" w:rsidR="00FB41A9" w:rsidRDefault="00FB41A9">
      <w:pPr>
        <w:rPr>
          <w:rFonts w:ascii="Arial" w:hAnsi="Arial" w:cs="Arial"/>
          <w:bCs/>
        </w:rPr>
      </w:pPr>
    </w:p>
    <w:p w14:paraId="1FEE4677" w14:textId="038F8FBD" w:rsidR="00FB41A9" w:rsidRDefault="00FB41A9">
      <w:pPr>
        <w:rPr>
          <w:rFonts w:ascii="Arial" w:hAnsi="Arial" w:cs="Arial"/>
          <w:bCs/>
        </w:rPr>
      </w:pPr>
    </w:p>
    <w:p w14:paraId="358A055A" w14:textId="6274284B" w:rsidR="00FB41A9" w:rsidRDefault="00FB41A9">
      <w:pPr>
        <w:rPr>
          <w:rFonts w:ascii="Arial" w:hAnsi="Arial" w:cs="Arial"/>
          <w:bCs/>
        </w:rPr>
      </w:pPr>
    </w:p>
    <w:p w14:paraId="1D3AA5FB" w14:textId="3EDB53FF" w:rsidR="00FB41A9" w:rsidRDefault="00FB41A9">
      <w:pPr>
        <w:rPr>
          <w:rFonts w:ascii="Arial" w:hAnsi="Arial" w:cs="Arial"/>
          <w:bCs/>
        </w:rPr>
      </w:pPr>
    </w:p>
    <w:p w14:paraId="7F3229D6" w14:textId="32087069" w:rsidR="00FB41A9" w:rsidRDefault="00FB41A9">
      <w:pPr>
        <w:rPr>
          <w:rFonts w:ascii="Arial" w:hAnsi="Arial" w:cs="Arial"/>
          <w:bCs/>
        </w:rPr>
      </w:pPr>
    </w:p>
    <w:p w14:paraId="08CD3919" w14:textId="3CDB251C" w:rsidR="00FB41A9" w:rsidRDefault="00FB41A9">
      <w:pPr>
        <w:rPr>
          <w:rFonts w:ascii="Arial" w:hAnsi="Arial" w:cs="Arial"/>
          <w:bCs/>
        </w:rPr>
      </w:pPr>
    </w:p>
    <w:p w14:paraId="3E2B69AE" w14:textId="487C3D53" w:rsidR="00FB41A9" w:rsidRDefault="00FB41A9">
      <w:pPr>
        <w:rPr>
          <w:rFonts w:ascii="Arial" w:hAnsi="Arial" w:cs="Arial"/>
          <w:bCs/>
        </w:rPr>
      </w:pPr>
    </w:p>
    <w:p w14:paraId="61498413" w14:textId="177921A9" w:rsidR="00FB41A9" w:rsidRDefault="00FB41A9">
      <w:pPr>
        <w:rPr>
          <w:rFonts w:ascii="Arial" w:hAnsi="Arial" w:cs="Arial"/>
          <w:bCs/>
        </w:rPr>
      </w:pPr>
    </w:p>
    <w:p w14:paraId="1D0D0213" w14:textId="5D3B198B" w:rsidR="00FB41A9" w:rsidRDefault="00FB41A9">
      <w:pPr>
        <w:rPr>
          <w:rFonts w:ascii="Arial" w:hAnsi="Arial" w:cs="Arial"/>
          <w:bCs/>
        </w:rPr>
      </w:pPr>
    </w:p>
    <w:p w14:paraId="3F4FD086" w14:textId="0848678D" w:rsidR="00FB41A9" w:rsidRDefault="00FB41A9">
      <w:pPr>
        <w:rPr>
          <w:rFonts w:ascii="Arial" w:hAnsi="Arial" w:cs="Arial"/>
          <w:bCs/>
        </w:rPr>
      </w:pPr>
    </w:p>
    <w:p w14:paraId="5CB92F96" w14:textId="0E66265B" w:rsidR="00FB41A9" w:rsidRDefault="00FB41A9">
      <w:pPr>
        <w:rPr>
          <w:rFonts w:ascii="Arial" w:hAnsi="Arial" w:cs="Arial"/>
          <w:bCs/>
        </w:rPr>
      </w:pPr>
    </w:p>
    <w:p w14:paraId="7FDA365D" w14:textId="3AE78C6E" w:rsidR="00FB41A9" w:rsidRDefault="00FB41A9">
      <w:pPr>
        <w:rPr>
          <w:rFonts w:ascii="Arial" w:hAnsi="Arial" w:cs="Arial"/>
          <w:bCs/>
        </w:rPr>
      </w:pPr>
    </w:p>
    <w:p w14:paraId="60032A28" w14:textId="77777777" w:rsidR="00FB41A9" w:rsidRDefault="00FB41A9">
      <w:pPr>
        <w:rPr>
          <w:rFonts w:ascii="Arial" w:hAnsi="Arial" w:cs="Arial"/>
          <w:bCs/>
        </w:rPr>
      </w:pPr>
    </w:p>
    <w:p w14:paraId="516EA355" w14:textId="77777777" w:rsidR="00FB41A9" w:rsidRDefault="00FB41A9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58F6B8A7" w14:textId="08FBB49D" w:rsidR="00DD06DA" w:rsidRPr="009869E4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ustanovení čl</w:t>
      </w:r>
      <w:r w:rsidRPr="009869E4">
        <w:rPr>
          <w:rFonts w:ascii="Arial" w:eastAsia="Times New Roman" w:hAnsi="Arial" w:cs="Arial"/>
          <w:b/>
          <w:sz w:val="28"/>
          <w:szCs w:val="28"/>
          <w:lang w:eastAsia="cs-CZ"/>
        </w:rPr>
        <w:t>. II odst. 2 – 5 smluv o poskytnutí</w:t>
      </w:r>
      <w:r w:rsidR="00686FAC" w:rsidRPr="009869E4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 w:rsidRPr="009869E4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 w:rsidRPr="009869E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686FAC"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 na celoroční činnost</w:t>
      </w:r>
    </w:p>
    <w:p w14:paraId="0C16D49C" w14:textId="53DA487D" w:rsidR="00DD06DA" w:rsidRPr="00E13D29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 w:rsidRPr="009869E4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A63E1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1A63E1" w:rsidRPr="00E13D2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dotace se stanoví nejpozději do konce měsíce následujícího po konci termínu realizace </w:t>
      </w:r>
      <w:r w:rsidR="00EC2B9B" w:rsidRPr="00E13D2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1A63E1" w:rsidRPr="00E13D2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uvedeného v tabulce žadatelů v materiálu, schváleném řídícím orgánem v sloupci Termín akce/realizace činnosti.</w:t>
      </w:r>
    </w:p>
    <w:p w14:paraId="560681F1" w14:textId="066943C2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čl. II odst. 1 této smlouvy v období od </w:t>
      </w:r>
      <w:r w:rsidR="001136B0" w:rsidRPr="00FB41A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77777777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60C3F46" w14:textId="77777777" w:rsidR="00DD06DA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C94BEF2" w14:textId="77777777" w:rsidR="007E4534" w:rsidRDefault="00DD06DA" w:rsidP="00946827">
      <w:pPr>
        <w:pStyle w:val="Odstavecseseznamem"/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17B5B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v příloze č. 1 </w:t>
      </w:r>
      <w:r w:rsidRPr="001136B0">
        <w:rPr>
          <w:rFonts w:ascii="Arial" w:eastAsia="Times New Roman" w:hAnsi="Arial" w:cs="Arial"/>
          <w:sz w:val="24"/>
          <w:szCs w:val="24"/>
          <w:lang w:eastAsia="cs-CZ"/>
        </w:rPr>
        <w:t>„………………“</w:t>
      </w:r>
      <w:r w:rsidRPr="001136B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aktuální správný název této přílohy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136B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adresa webové stránky, kde je příloha č. 1 umístěna)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E4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E4534" w:rsidRPr="00165CA0">
        <w:rPr>
          <w:rFonts w:ascii="Arial" w:eastAsia="Times New Roman" w:hAnsi="Arial" w:cs="Arial"/>
          <w:sz w:val="24"/>
          <w:szCs w:val="24"/>
          <w:lang w:eastAsia="cs-CZ"/>
        </w:rPr>
        <w:t xml:space="preserve">doložený: </w:t>
      </w:r>
    </w:p>
    <w:p w14:paraId="127DFC36" w14:textId="77777777" w:rsidR="00EB24DF" w:rsidRPr="00FB41A9" w:rsidRDefault="00EB24DF" w:rsidP="00EB24DF">
      <w:pPr>
        <w:numPr>
          <w:ilvl w:val="0"/>
          <w:numId w:val="44"/>
        </w:numPr>
        <w:spacing w:after="60"/>
        <w:rPr>
          <w:rFonts w:ascii="Arial" w:eastAsia="Times New Roman" w:hAnsi="Arial" w:cs="Arial"/>
          <w:sz w:val="24"/>
          <w:szCs w:val="24"/>
          <w:lang w:eastAsia="cs-CZ"/>
        </w:rPr>
      </w:pPr>
      <w:r w:rsidRPr="00FB41A9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57CEE6C3" w14:textId="5328F59A" w:rsidR="007E4534" w:rsidRDefault="00EB24DF" w:rsidP="00EB24DF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B41A9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příjemce. </w:t>
      </w:r>
    </w:p>
    <w:p w14:paraId="47491C5E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AD2226E" w14:textId="25CD5EAD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5679D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679D6" w:rsidRPr="00FB41A9">
        <w:rPr>
          <w:rFonts w:ascii="Arial" w:hAnsi="Arial" w:cs="Arial"/>
          <w:sz w:val="24"/>
          <w:szCs w:val="24"/>
        </w:rPr>
        <w:t xml:space="preserve">popis, zhodnocení a fotodokumentaci </w:t>
      </w:r>
      <w:r w:rsidR="00E5067D">
        <w:rPr>
          <w:rFonts w:ascii="Arial" w:hAnsi="Arial" w:cs="Arial"/>
          <w:sz w:val="24"/>
          <w:szCs w:val="24"/>
        </w:rPr>
        <w:t>činnosti</w:t>
      </w:r>
      <w:r w:rsidR="005679D6" w:rsidRPr="00FB41A9">
        <w:rPr>
          <w:rFonts w:ascii="Arial" w:hAnsi="Arial" w:cs="Arial"/>
          <w:sz w:val="24"/>
          <w:szCs w:val="24"/>
        </w:rPr>
        <w:t>, dále pak zdůvodnění oprávněnosti použití poskytnuté dotace v souladu s čl. I odst. 2 a 4 a čl. II. odst. 1 této smlouvy</w:t>
      </w:r>
      <w:r w:rsidR="00FB41A9">
        <w:rPr>
          <w:rFonts w:ascii="Arial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5679D6" w:rsidRPr="00FB41A9">
        <w:rPr>
          <w:rFonts w:ascii="Arial" w:hAnsi="Arial" w:cs="Arial"/>
          <w:iCs/>
          <w:sz w:val="24"/>
          <w:szCs w:val="24"/>
        </w:rPr>
        <w:t>minimálně 10 ks z každého tištěného materiálu realizovaného z dotace, nejpozději do data předložení vyúčtování poskytnuté dotace</w:t>
      </w:r>
      <w:r w:rsidR="005679D6" w:rsidRPr="00FB41A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679D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D62B1" w:rsidRPr="004602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(bude upraveno podle konkrétních okolností).</w:t>
      </w:r>
    </w:p>
    <w:p w14:paraId="5E571C8C" w14:textId="6F4B1B5D" w:rsidR="00DA1381" w:rsidRPr="00C862B3" w:rsidRDefault="00DD06DA" w:rsidP="001864F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sectPr w:rsidR="00DA1381" w:rsidRPr="00C862B3" w:rsidSect="00973DFE">
      <w:headerReference w:type="default" r:id="rId11"/>
      <w:footerReference w:type="default" r:id="rId12"/>
      <w:footerReference w:type="first" r:id="rId13"/>
      <w:pgSz w:w="11906" w:h="16838"/>
      <w:pgMar w:top="1418" w:right="1418" w:bottom="1418" w:left="1418" w:header="708" w:footer="708" w:gutter="0"/>
      <w:pgNumType w:start="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8B2CF" w14:textId="77777777" w:rsidR="0017594C" w:rsidRDefault="0017594C" w:rsidP="00D40C40">
      <w:r>
        <w:separator/>
      </w:r>
    </w:p>
  </w:endnote>
  <w:endnote w:type="continuationSeparator" w:id="0">
    <w:p w14:paraId="2E8E125B" w14:textId="77777777" w:rsidR="0017594C" w:rsidRDefault="0017594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DB569" w14:textId="5B39CC7A" w:rsidR="005C3E56" w:rsidRPr="005720E6" w:rsidRDefault="001F26A7" w:rsidP="005C3E56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5C3E5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5C3E5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5C3E5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5C3E5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5C3E5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 w:rsidR="005C3E5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5C3E5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5C3E5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C376C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72</w:t>
    </w:r>
    <w:r w:rsidR="005C3E5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5C3E5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6F001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A5208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31</w:t>
    </w:r>
    <w:r w:rsidR="005C3E5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29955A22" w14:textId="1F8595B0" w:rsidR="005C3E56" w:rsidRDefault="00C376C0" w:rsidP="005C3E56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51</w:t>
    </w:r>
    <w:r w:rsidR="005C3E5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</w:t>
    </w:r>
    <w:r w:rsidR="005C3E5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5C3E5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Program na podporu místních produktů</w:t>
    </w:r>
    <w:r w:rsidR="005C3E5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2019</w:t>
    </w:r>
    <w:r w:rsidR="005C3E5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61AF8DC9" w14:textId="54FA66AF" w:rsidR="005C3E56" w:rsidRPr="0092407D" w:rsidRDefault="005C3E56" w:rsidP="005C3E56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6F001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</w:t>
    </w:r>
    <w:r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celoroční činnost</w:t>
    </w:r>
    <w:r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právnickým osobám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F9EF4" w14:textId="77777777" w:rsidR="0017594C" w:rsidRDefault="0017594C" w:rsidP="00D40C40">
      <w:r>
        <w:separator/>
      </w:r>
    </w:p>
  </w:footnote>
  <w:footnote w:type="continuationSeparator" w:id="0">
    <w:p w14:paraId="4BA40407" w14:textId="77777777" w:rsidR="0017594C" w:rsidRDefault="0017594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32AF2" w14:textId="39DEF428" w:rsidR="00413CB1" w:rsidRDefault="00413CB1">
    <w:pPr>
      <w:pStyle w:val="Zhlav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6F001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</w:t>
    </w:r>
    <w:r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celoroční činnost právnickým</w:t>
    </w:r>
  </w:p>
  <w:p w14:paraId="0C78F2C8" w14:textId="294BF755" w:rsidR="00413CB1" w:rsidRDefault="00413CB1">
    <w:pPr>
      <w:pStyle w:val="Zhlav"/>
    </w:pPr>
    <w:r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osobám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33BA2"/>
    <w:multiLevelType w:val="hybridMultilevel"/>
    <w:tmpl w:val="8FDA3A38"/>
    <w:lvl w:ilvl="0" w:tplc="F7F88ABC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1"/>
  </w:num>
  <w:num w:numId="3">
    <w:abstractNumId w:val="14"/>
  </w:num>
  <w:num w:numId="4">
    <w:abstractNumId w:val="34"/>
  </w:num>
  <w:num w:numId="5">
    <w:abstractNumId w:val="15"/>
  </w:num>
  <w:num w:numId="6">
    <w:abstractNumId w:val="31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6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9"/>
  </w:num>
  <w:num w:numId="43">
    <w:abstractNumId w:val="22"/>
  </w:num>
  <w:num w:numId="44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1CC3"/>
    <w:rsid w:val="0007343C"/>
    <w:rsid w:val="000735C1"/>
    <w:rsid w:val="00074F9D"/>
    <w:rsid w:val="000759C4"/>
    <w:rsid w:val="00075A41"/>
    <w:rsid w:val="00075CC3"/>
    <w:rsid w:val="00075F2D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36B0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A6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2B1"/>
    <w:rsid w:val="001D6533"/>
    <w:rsid w:val="001E21D4"/>
    <w:rsid w:val="001E478A"/>
    <w:rsid w:val="001E5401"/>
    <w:rsid w:val="001E5DE6"/>
    <w:rsid w:val="001E61B2"/>
    <w:rsid w:val="001E6893"/>
    <w:rsid w:val="001E75DD"/>
    <w:rsid w:val="001F26A7"/>
    <w:rsid w:val="001F4D19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0A8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2A8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D51"/>
    <w:rsid w:val="00412E4A"/>
    <w:rsid w:val="0041317B"/>
    <w:rsid w:val="004133CB"/>
    <w:rsid w:val="004135C2"/>
    <w:rsid w:val="00413CB1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2AD5"/>
    <w:rsid w:val="00566046"/>
    <w:rsid w:val="0056705E"/>
    <w:rsid w:val="005679D6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3E56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362FF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314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2031"/>
    <w:rsid w:val="006C43C7"/>
    <w:rsid w:val="006C7815"/>
    <w:rsid w:val="006D03C3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01E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97069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1C99"/>
    <w:rsid w:val="007D39E5"/>
    <w:rsid w:val="007D519D"/>
    <w:rsid w:val="007D5D2B"/>
    <w:rsid w:val="007E0009"/>
    <w:rsid w:val="007E0CAA"/>
    <w:rsid w:val="007E1BF9"/>
    <w:rsid w:val="007E1FDA"/>
    <w:rsid w:val="007E30E1"/>
    <w:rsid w:val="007E3477"/>
    <w:rsid w:val="007E4534"/>
    <w:rsid w:val="007E49C8"/>
    <w:rsid w:val="007E5D6A"/>
    <w:rsid w:val="007E6038"/>
    <w:rsid w:val="007E6705"/>
    <w:rsid w:val="007E68A5"/>
    <w:rsid w:val="007F1AAB"/>
    <w:rsid w:val="007F2F79"/>
    <w:rsid w:val="007F5A21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0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1C1E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827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3DFE"/>
    <w:rsid w:val="009756F0"/>
    <w:rsid w:val="00976473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978F0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13E3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256B"/>
    <w:rsid w:val="00A342FF"/>
    <w:rsid w:val="00A354CE"/>
    <w:rsid w:val="00A36E09"/>
    <w:rsid w:val="00A375C6"/>
    <w:rsid w:val="00A4229C"/>
    <w:rsid w:val="00A443EF"/>
    <w:rsid w:val="00A501E9"/>
    <w:rsid w:val="00A5208A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0DA3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245E"/>
    <w:rsid w:val="00B14CBA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45B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6C0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C99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1F60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13D29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067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24DF"/>
    <w:rsid w:val="00EB378B"/>
    <w:rsid w:val="00EB383A"/>
    <w:rsid w:val="00EB4D8F"/>
    <w:rsid w:val="00EB56A8"/>
    <w:rsid w:val="00EB5B0E"/>
    <w:rsid w:val="00EB5D53"/>
    <w:rsid w:val="00EB7462"/>
    <w:rsid w:val="00EC0828"/>
    <w:rsid w:val="00EC08A8"/>
    <w:rsid w:val="00EC2164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21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1A9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r-olomoucky.cz/dotace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552B1-6ACB-4EA3-A42F-5AB1CC82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3159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Olivíková Jana</cp:lastModifiedBy>
  <cp:revision>8</cp:revision>
  <cp:lastPrinted>2018-08-24T12:55:00Z</cp:lastPrinted>
  <dcterms:created xsi:type="dcterms:W3CDTF">2018-11-20T14:42:00Z</dcterms:created>
  <dcterms:modified xsi:type="dcterms:W3CDTF">2018-11-26T13:48:00Z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