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28F879DC" w14:textId="77777777" w:rsidR="009435E4" w:rsidRPr="009701E1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67C543" w14:textId="3BA6F4D0" w:rsidR="009435E4" w:rsidRPr="009701E1" w:rsidRDefault="009435E4" w:rsidP="009435E4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5BC8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2B077B1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90A4D2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3F315A" w14:textId="77777777" w:rsidR="009435E4" w:rsidRPr="008543A9" w:rsidRDefault="009435E4" w:rsidP="009435E4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43A9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2553584" w14:textId="77777777" w:rsidR="009435E4" w:rsidRPr="008543A9" w:rsidRDefault="009435E4" w:rsidP="009435E4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8543A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43A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543A9">
        <w:rPr>
          <w:rFonts w:ascii="Arial" w:hAnsi="Arial" w:cs="Arial"/>
          <w:sz w:val="24"/>
          <w:szCs w:val="24"/>
        </w:rPr>
        <w:t>Komerční banka, a.s., pobočka Olomouc</w:t>
      </w:r>
    </w:p>
    <w:p w14:paraId="59F2F17A" w14:textId="027F1F01" w:rsidR="009435E4" w:rsidRP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8543A9">
        <w:rPr>
          <w:rFonts w:ascii="Arial" w:hAnsi="Arial" w:cs="Arial"/>
          <w:sz w:val="24"/>
          <w:szCs w:val="24"/>
        </w:rPr>
        <w:t>Č.ú</w:t>
      </w:r>
      <w:proofErr w:type="spellEnd"/>
      <w:r w:rsidRPr="008543A9">
        <w:rPr>
          <w:rFonts w:ascii="Arial" w:hAnsi="Arial" w:cs="Arial"/>
          <w:sz w:val="24"/>
          <w:szCs w:val="24"/>
        </w:rPr>
        <w:t>.: 27 – 4228120277/0100</w:t>
      </w:r>
    </w:p>
    <w:p w14:paraId="5826BE12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1568FD4" w14:textId="77777777" w:rsidR="009435E4" w:rsidRPr="009701E1" w:rsidRDefault="009435E4" w:rsidP="009435E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98D58C" w14:textId="77777777" w:rsidR="009435E4" w:rsidRPr="00957345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22E407C1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0A389A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02A3C58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AF8F553" w14:textId="77777777" w:rsidR="009435E4" w:rsidRPr="00957345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8543A9">
        <w:rPr>
          <w:rFonts w:ascii="Arial" w:eastAsia="Times New Roman" w:hAnsi="Arial" w:cs="Arial"/>
          <w:sz w:val="24"/>
          <w:szCs w:val="24"/>
          <w:lang w:eastAsia="cs-CZ"/>
        </w:rPr>
        <w:t>/a/o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EA126FA" w14:textId="77777777" w:rsid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761264E" w14:textId="77777777" w:rsidR="009435E4" w:rsidRPr="009701E1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543A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5073DE1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2A2111D" w:rsidR="009A3DA5" w:rsidRPr="00092A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</w:t>
      </w:r>
      <w:r w:rsidR="006D2534" w:rsidRPr="008543A9">
        <w:rPr>
          <w:rFonts w:ascii="Arial" w:hAnsi="Arial" w:cs="Arial"/>
          <w:sz w:val="24"/>
          <w:szCs w:val="24"/>
        </w:rPr>
        <w:t xml:space="preserve">účelem </w:t>
      </w:r>
      <w:r w:rsidR="00092AE4"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4B7519" w:rsidRPr="008543A9">
        <w:rPr>
          <w:rFonts w:ascii="Arial" w:hAnsi="Arial" w:cs="Arial"/>
          <w:bCs/>
          <w:sz w:val="24"/>
          <w:szCs w:val="24"/>
        </w:rPr>
        <w:t>investičních</w:t>
      </w:r>
      <w:r w:rsidR="004B7519" w:rsidRPr="008543A9">
        <w:rPr>
          <w:rFonts w:ascii="Arial" w:hAnsi="Arial" w:cs="Arial"/>
          <w:b/>
          <w:bCs/>
          <w:sz w:val="24"/>
          <w:szCs w:val="24"/>
        </w:rPr>
        <w:t xml:space="preserve"> </w:t>
      </w:r>
      <w:r w:rsidR="004B7519" w:rsidRPr="008543A9">
        <w:rPr>
          <w:rFonts w:ascii="Arial" w:hAnsi="Arial" w:cs="Arial"/>
          <w:bCs/>
          <w:sz w:val="24"/>
          <w:szCs w:val="24"/>
        </w:rPr>
        <w:t>akcí/činnosti z oblasti situační prevence, které směřují ke zvýšení bezpečnosti obyvatel Olomouckého kraje, prevenci majetkové kriminality, vandalismu a souvisejících sociálně patologických jevů.</w:t>
      </w:r>
      <w:r w:rsidR="004B7519" w:rsidRPr="00957345">
        <w:rPr>
          <w:rFonts w:ascii="Arial" w:hAnsi="Arial" w:cs="Arial"/>
          <w:sz w:val="24"/>
          <w:szCs w:val="24"/>
        </w:rPr>
        <w:t xml:space="preserve"> </w:t>
      </w:r>
    </w:p>
    <w:p w14:paraId="3C9258CF" w14:textId="32974B9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2AE4" w:rsidRPr="008543A9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</w:t>
      </w:r>
      <w:r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také „akce</w:t>
      </w:r>
      <w:r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="00092AE4" w:rsidRPr="008543A9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2019.</w:t>
      </w:r>
      <w:r w:rsidR="00092AE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381A3D5" w:rsidR="009A3DA5" w:rsidRPr="00092A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D78E005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92AE4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587496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E7FE8" w:rsidRPr="008543A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E7FE8"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2019 </w:t>
      </w:r>
      <w:r w:rsidR="00ED68BB" w:rsidRPr="008543A9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E7FE8" w:rsidRPr="008543A9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3E7FE8" w:rsidRPr="008543A9">
        <w:rPr>
          <w:rFonts w:ascii="Arial" w:hAnsi="Arial" w:cs="Arial"/>
          <w:sz w:val="24"/>
          <w:szCs w:val="24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2376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2376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0467C82" w:rsidR="009A3DA5" w:rsidRPr="00D047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700B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700B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700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700B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700B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700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FF068B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0F4B6EBA" w:rsidR="009A3DA5" w:rsidRPr="001237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21EB1"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1237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8595759" w14:textId="204B1C1A" w:rsidR="00D31210" w:rsidRPr="009869E4" w:rsidRDefault="00D31210" w:rsidP="00D3121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21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12376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123760">
        <w:rPr>
          <w:rFonts w:ascii="Arial" w:hAnsi="Arial" w:cs="Arial"/>
          <w:sz w:val="24"/>
          <w:szCs w:val="24"/>
        </w:rPr>
        <w:t>minimálně 50</w:t>
      </w:r>
      <w:r w:rsidRPr="00123760">
        <w:rPr>
          <w:b/>
          <w:sz w:val="19"/>
          <w:szCs w:val="19"/>
        </w:rPr>
        <w:t xml:space="preserve"> </w:t>
      </w:r>
      <w:r w:rsidRPr="0012376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</w:t>
      </w:r>
      <w:r w:rsidRPr="00D31210">
        <w:rPr>
          <w:rFonts w:ascii="Arial" w:eastAsia="Times New Roman" w:hAnsi="Arial" w:cs="Arial"/>
          <w:sz w:val="24"/>
          <w:szCs w:val="24"/>
          <w:lang w:eastAsia="cs-CZ"/>
        </w:rPr>
        <w:t xml:space="preserve">a jiných zdrojů. Budou-li celkové skutečně vynaložené uznatelné výdaje nižší než celkové předpokládané </w:t>
      </w:r>
      <w:r w:rsidRPr="00D312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D3121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Pr="00123760">
        <w:rPr>
          <w:rFonts w:ascii="Arial" w:hAnsi="Arial" w:cs="Arial"/>
          <w:sz w:val="24"/>
          <w:szCs w:val="24"/>
        </w:rPr>
        <w:t>nejvýše 50</w:t>
      </w:r>
      <w:r w:rsidRPr="00123760">
        <w:rPr>
          <w:b/>
          <w:sz w:val="19"/>
          <w:szCs w:val="19"/>
        </w:rPr>
        <w:t xml:space="preserve"> </w:t>
      </w:r>
      <w:r w:rsidRPr="00D312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D3121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0F4ED4E" w:rsidR="00CB5336" w:rsidRPr="00957345" w:rsidRDefault="00D31210" w:rsidP="00D3121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12376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F068B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BED50C" w:rsidR="00D05376" w:rsidRPr="009700B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35A42" w:rsidRPr="00123760">
        <w:rPr>
          <w:rFonts w:ascii="Arial" w:hAnsi="Arial" w:cs="Arial"/>
          <w:sz w:val="24"/>
          <w:szCs w:val="24"/>
        </w:rPr>
        <w:t>Finanční vyúčtování dotace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1237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12376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12376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73007" w:rsidRPr="00123760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12376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E93DF9" w:rsidRPr="009700B5">
        <w:rPr>
          <w:rFonts w:ascii="Arial" w:hAnsi="Arial" w:cs="Arial"/>
          <w:sz w:val="24"/>
          <w:szCs w:val="24"/>
        </w:rPr>
        <w:t>11.22 Pravidel</w:t>
      </w:r>
      <w:r w:rsidR="00840C0F" w:rsidRPr="009700B5">
        <w:rPr>
          <w:rFonts w:ascii="Arial" w:hAnsi="Arial" w:cs="Arial"/>
          <w:sz w:val="24"/>
          <w:szCs w:val="24"/>
        </w:rPr>
        <w:t>.</w:t>
      </w:r>
    </w:p>
    <w:p w14:paraId="2FDE39D2" w14:textId="14B27FEE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35A42" w:rsidRPr="00123760">
        <w:rPr>
          <w:rFonts w:ascii="Arial" w:hAnsi="Arial" w:cs="Arial"/>
          <w:sz w:val="24"/>
          <w:szCs w:val="24"/>
        </w:rPr>
        <w:t>Finanční vyúčtování dotace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1237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1237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400546D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720A0E" w:rsidRPr="00123760">
        <w:rPr>
          <w:rFonts w:ascii="Arial" w:hAnsi="Arial" w:cs="Arial"/>
          <w:sz w:val="24"/>
          <w:szCs w:val="24"/>
        </w:rPr>
        <w:t>Finanční vyúčtování dotace</w:t>
      </w:r>
      <w:r w:rsidR="00A9730D" w:rsidRPr="00123760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0726C632" w14:textId="5F604960" w:rsidR="00A9730D" w:rsidRPr="00735A42" w:rsidRDefault="00123760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08178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9C5E46" w:rsidRPr="009700B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045761F6" w14:textId="6A904926" w:rsidR="00735A42" w:rsidRDefault="00735A42" w:rsidP="00735A4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5C0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75C0F">
        <w:rPr>
          <w:rFonts w:ascii="Arial" w:hAnsi="Arial" w:cs="Arial"/>
          <w:sz w:val="24"/>
          <w:szCs w:val="24"/>
        </w:rPr>
        <w:t>být v listinné formě a musí obsahovat</w:t>
      </w:r>
      <w:r w:rsidRPr="00C75C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75C0F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</w:t>
      </w:r>
      <w:r>
        <w:rPr>
          <w:rFonts w:ascii="Arial" w:hAnsi="Arial" w:cs="Arial"/>
          <w:sz w:val="24"/>
          <w:szCs w:val="24"/>
        </w:rPr>
        <w:t>akce</w:t>
      </w:r>
      <w:r w:rsidRPr="00C75C0F">
        <w:rPr>
          <w:rFonts w:ascii="Arial" w:hAnsi="Arial" w:cs="Arial"/>
          <w:sz w:val="24"/>
          <w:szCs w:val="24"/>
        </w:rPr>
        <w:t>. Součástí závěrečné z</w:t>
      </w:r>
      <w:r w:rsidRPr="00C75C0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790A25D8" w:rsidR="00A9730D" w:rsidRPr="00A9730D" w:rsidRDefault="00C6776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6776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172AC7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C6776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B21C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B21C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B21C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21C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B21C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957345" w14:paraId="3C9258FE" w14:textId="77777777" w:rsidTr="00652397">
        <w:trPr>
          <w:trHeight w:val="903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7245BB8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6523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0AFD140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523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7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85F2556" w:rsidR="009A3DA5" w:rsidRPr="006523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52397" w:rsidRPr="00172AC7">
        <w:rPr>
          <w:rFonts w:ascii="Arial" w:hAnsi="Arial" w:cs="Arial"/>
          <w:sz w:val="24"/>
          <w:szCs w:val="24"/>
        </w:rPr>
        <w:t>27 – 4228120277/0100</w:t>
      </w:r>
      <w:r w:rsidR="00D40813" w:rsidRPr="00172A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172AC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652397" w:rsidRPr="00172AC7">
        <w:rPr>
          <w:rFonts w:ascii="Arial" w:hAnsi="Arial" w:cs="Arial"/>
          <w:sz w:val="24"/>
          <w:szCs w:val="24"/>
        </w:rPr>
        <w:br/>
      </w:r>
      <w:r w:rsidR="00D40813" w:rsidRPr="00172AC7">
        <w:rPr>
          <w:rFonts w:ascii="Arial" w:hAnsi="Arial" w:cs="Arial"/>
          <w:sz w:val="24"/>
          <w:szCs w:val="24"/>
        </w:rPr>
        <w:t xml:space="preserve">č. </w:t>
      </w:r>
      <w:r w:rsidR="00652397" w:rsidRPr="00172AC7">
        <w:rPr>
          <w:rFonts w:ascii="Arial" w:hAnsi="Arial" w:cs="Arial"/>
          <w:sz w:val="24"/>
          <w:szCs w:val="24"/>
        </w:rPr>
        <w:t xml:space="preserve">27 - 4228320287/0100 </w:t>
      </w:r>
      <w:r w:rsidR="00D40813" w:rsidRPr="00172AC7">
        <w:rPr>
          <w:rFonts w:ascii="Arial" w:hAnsi="Arial" w:cs="Arial"/>
          <w:sz w:val="24"/>
          <w:szCs w:val="24"/>
        </w:rPr>
        <w:t>na základě vystave</w:t>
      </w:r>
      <w:r w:rsidR="00D40813" w:rsidRPr="00957345">
        <w:rPr>
          <w:rFonts w:ascii="Arial" w:hAnsi="Arial" w:cs="Arial"/>
          <w:sz w:val="24"/>
          <w:szCs w:val="24"/>
        </w:rPr>
        <w:t>né faktury.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68835D3" w:rsidR="00836AA2" w:rsidRPr="00957345" w:rsidRDefault="00F17159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zřízeny), a to </w:t>
      </w:r>
      <w:r w:rsidRPr="00D07293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>, a dále je příjemce povinen označit propagační materiály příjemce, vztahující se k účel</w:t>
      </w:r>
      <w:r w:rsidR="00991D0D">
        <w:rPr>
          <w:rFonts w:ascii="Arial" w:eastAsia="Times New Roman" w:hAnsi="Arial" w:cs="Arial"/>
          <w:sz w:val="24"/>
          <w:szCs w:val="24"/>
          <w:lang w:eastAsia="cs-CZ"/>
        </w:rPr>
        <w:t xml:space="preserve">u dotace, logem poskytovatele.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Spolu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 logem zde bude vždy uvedena informace, že poskytovatel akci finančně podpořil</w:t>
      </w:r>
      <w:r w:rsidR="00836AA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C061892" w:rsidR="001D30FE" w:rsidRPr="00172AC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172A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5267D066" w14:textId="24343294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72A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172A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72A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4F83ECF7" w:rsidR="001D30FE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B4528E8" w14:textId="77777777" w:rsidR="008F070A" w:rsidRPr="00172AC7" w:rsidRDefault="008F070A" w:rsidP="008F070A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2AC7">
        <w:rPr>
          <w:rFonts w:ascii="Arial" w:hAnsi="Arial" w:cs="Arial"/>
          <w:bCs/>
          <w:sz w:val="24"/>
          <w:szCs w:val="24"/>
        </w:rPr>
        <w:t>Příjemce dotace je povinen při zřizování, rozšiřování či modernizaci kamerového systému usilovat o nejvyšší míru kompatibility svého kamerového systému se systémy Krajského ředitelství policie Olomouckého kraje. Dále příjemce bere na vědomí a souhlasí, že bude jeho kamerový systém, v případě nutnosti zvýšené ochrany a bezpečnosti (teroristický útok, pátrání po pachatelích zvlášť závažných trestných činů, apod.), vzdáleně ovládán Policií ČR, která po nezbytně nutnou dobu obsluze uzamkne ovládání kamerového systému.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432CF8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42E0A22" w14:textId="26A91C5E" w:rsidR="00170EC7" w:rsidRPr="008F070A" w:rsidRDefault="00170EC7" w:rsidP="00543DC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13D85CBE" w14:textId="25EB3ABD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8F070A">
        <w:rPr>
          <w:rFonts w:ascii="Arial" w:hAnsi="Arial" w:cs="Arial"/>
          <w:sz w:val="24"/>
          <w:szCs w:val="24"/>
          <w:lang w:eastAsia="cs-CZ"/>
        </w:rPr>
        <w:br/>
      </w:r>
      <w:r w:rsidRPr="00957345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103A1AB" w:rsidR="009A3DA5" w:rsidRPr="00543DC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CF1D4A" w:rsidRPr="009869E4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CF1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1D4A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CF1D4A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</w:t>
      </w:r>
      <w:r w:rsidR="00CF1D4A"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F1D4A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CF1D4A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CF1D4A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8F070A" w:rsidRPr="00543D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897F1B" w14:textId="2D13FBF1" w:rsidR="008F070A" w:rsidRPr="00543DCD" w:rsidRDefault="00932AFB" w:rsidP="008F070A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8F070A" w:rsidRPr="00543DCD">
        <w:rPr>
          <w:rFonts w:ascii="Arial" w:hAnsi="Arial" w:cs="Arial"/>
          <w:sz w:val="24"/>
          <w:szCs w:val="24"/>
        </w:rPr>
        <w:t>.</w:t>
      </w:r>
    </w:p>
    <w:p w14:paraId="3C925923" w14:textId="4AFDC78E" w:rsidR="009A3DA5" w:rsidRPr="00543DCD" w:rsidRDefault="008F070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3DC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543DCD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543D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26B48B" w14:textId="19F46CBC" w:rsidR="008F070A" w:rsidRPr="00543DCD" w:rsidRDefault="008F070A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FC212B" w14:textId="7391434A" w:rsidR="00C6776B" w:rsidRPr="00543DCD" w:rsidRDefault="00C6776B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CF5177" w14:textId="77777777" w:rsidR="00C6776B" w:rsidRPr="00543DCD" w:rsidRDefault="00C6776B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5C9A75E" w:rsidR="009A3DA5" w:rsidRPr="00543DCD" w:rsidRDefault="009A3DA5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3DC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43DC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43DCD" w:rsidRPr="00543DC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A9AA" w14:textId="77777777" w:rsidR="008F070A" w:rsidRPr="00543DCD" w:rsidRDefault="008F070A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2B0C4DC" w14:textId="77777777" w:rsidR="00717952" w:rsidRDefault="00717952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581BEF1B" w:rsidR="009A3DA5" w:rsidRPr="00543DCD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43DCD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E47FD" w14:textId="55953EE0" w:rsidR="008F070A" w:rsidRDefault="008F070A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999EF1D" w14:textId="77777777" w:rsidR="00717952" w:rsidRPr="00543DCD" w:rsidRDefault="00717952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4C735A" w14:textId="77777777" w:rsidR="009A3DA5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2545629A" w14:textId="77777777" w:rsidR="00717952" w:rsidRDefault="00717952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5F4CEDA3" w:rsidR="00717952" w:rsidRPr="00543DCD" w:rsidRDefault="00717952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543DCD" w:rsidRPr="00543DC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43DCD" w:rsidRDefault="009A3DA5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3A62229" w14:textId="77777777" w:rsidR="008F070A" w:rsidRPr="00543DCD" w:rsidRDefault="008F070A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17792616" w:rsidR="009A3DA5" w:rsidRPr="00543DCD" w:rsidRDefault="008F070A" w:rsidP="006D345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43DCD" w:rsidRDefault="009A3DA5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4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52041447" w:rsidR="00A34824" w:rsidRPr="00BE040C" w:rsidRDefault="000328D3" w:rsidP="00BE040C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BE040C" w:rsidSect="0071795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179A5486" w:rsidR="005F64F8" w:rsidRPr="005720E6" w:rsidRDefault="0092641C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17952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17952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17952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F3AD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80</w:t>
    </w:r>
    <w:r w:rsidR="00717952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1634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37DD6731" w:rsidR="005F64F8" w:rsidRDefault="009F3ADB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FD3F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.- 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 pro sociální oblast 2019 - vyhlášení</w:t>
    </w:r>
  </w:p>
  <w:p w14:paraId="37BA5330" w14:textId="1698B114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D6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1.2.6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FD6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84EA" w14:textId="77777777" w:rsidR="00FD67D3" w:rsidRDefault="00FD67D3" w:rsidP="00FD67D3">
    <w:pPr>
      <w:pStyle w:val="Zhlav"/>
      <w:rPr>
        <w:i/>
        <w:iCs/>
      </w:rPr>
    </w:pPr>
    <w:r w:rsidRPr="00FD67D3">
      <w:rPr>
        <w:i/>
        <w:iCs/>
      </w:rPr>
      <w:t>Příloha č. 1.2.6 – Vzorová veřejnoprávní smlouva o poskytnutí dotace na akci obcím, městům nad 35</w:t>
    </w:r>
  </w:p>
  <w:p w14:paraId="5F6345EB" w14:textId="5F8275FB" w:rsidR="00FD67D3" w:rsidRPr="00FD67D3" w:rsidRDefault="00FD67D3" w:rsidP="00FD67D3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FD67D3">
      <w:rPr>
        <w:i/>
        <w:iCs/>
      </w:rPr>
      <w:t xml:space="preserve"> tis. Kč</w:t>
    </w:r>
  </w:p>
  <w:p w14:paraId="6C2A4C82" w14:textId="77777777" w:rsidR="00FD67D3" w:rsidRDefault="00FD6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78A"/>
    <w:rsid w:val="00083837"/>
    <w:rsid w:val="00083C15"/>
    <w:rsid w:val="00086582"/>
    <w:rsid w:val="0009016F"/>
    <w:rsid w:val="00092AE4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3760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486"/>
    <w:rsid w:val="00163897"/>
    <w:rsid w:val="00165A7E"/>
    <w:rsid w:val="0016665E"/>
    <w:rsid w:val="0016783B"/>
    <w:rsid w:val="001705B5"/>
    <w:rsid w:val="00170896"/>
    <w:rsid w:val="00170EC7"/>
    <w:rsid w:val="001720A1"/>
    <w:rsid w:val="00172AC7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EB1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007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E7FE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519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3DCD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8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97"/>
    <w:rsid w:val="00652CC8"/>
    <w:rsid w:val="00654C17"/>
    <w:rsid w:val="00660C32"/>
    <w:rsid w:val="006630A5"/>
    <w:rsid w:val="0066391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459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7952"/>
    <w:rsid w:val="00720A0E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A42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43A9"/>
    <w:rsid w:val="008556B1"/>
    <w:rsid w:val="0085615A"/>
    <w:rsid w:val="00856F2E"/>
    <w:rsid w:val="00865F3D"/>
    <w:rsid w:val="0086634E"/>
    <w:rsid w:val="00866505"/>
    <w:rsid w:val="00874DB6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070A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1C"/>
    <w:rsid w:val="009264AC"/>
    <w:rsid w:val="00930271"/>
    <w:rsid w:val="009329EC"/>
    <w:rsid w:val="00932AFB"/>
    <w:rsid w:val="009332E1"/>
    <w:rsid w:val="00933519"/>
    <w:rsid w:val="00935CA8"/>
    <w:rsid w:val="00937749"/>
    <w:rsid w:val="00937AB9"/>
    <w:rsid w:val="00937E04"/>
    <w:rsid w:val="009435E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00B5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1D0D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ADB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CA5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317"/>
    <w:rsid w:val="00BD5F8F"/>
    <w:rsid w:val="00BD789A"/>
    <w:rsid w:val="00BE040C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6B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1D4A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47A0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210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5EB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15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3F1B"/>
    <w:rsid w:val="00FD67D3"/>
    <w:rsid w:val="00FE2CD1"/>
    <w:rsid w:val="00FE2EE2"/>
    <w:rsid w:val="00FE3476"/>
    <w:rsid w:val="00FE3DFD"/>
    <w:rsid w:val="00FE5408"/>
    <w:rsid w:val="00FF00A6"/>
    <w:rsid w:val="00FF03A9"/>
    <w:rsid w:val="00FF068B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7CB8-BB65-460B-915A-EA99864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2850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28</cp:revision>
  <cp:lastPrinted>2018-08-24T12:55:00Z</cp:lastPrinted>
  <dcterms:created xsi:type="dcterms:W3CDTF">2018-09-18T10:48:00Z</dcterms:created>
  <dcterms:modified xsi:type="dcterms:W3CDTF">2018-11-26T13:50:00Z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