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AB" w:rsidRDefault="00830BAB" w:rsidP="00830BA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830BAB" w:rsidRDefault="00830BAB" w:rsidP="00830BAB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830BAB" w:rsidRPr="00E62519" w:rsidRDefault="00830BAB" w:rsidP="00830BAB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830BAB" w:rsidRPr="00E62519" w:rsidRDefault="00830BAB" w:rsidP="00830BA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:rsidR="00830BAB" w:rsidRPr="00E62519" w:rsidRDefault="00830BAB" w:rsidP="00830BA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  <w:bookmarkStart w:id="0" w:name="_GoBack"/>
      <w:bookmarkEnd w:id="0"/>
    </w:p>
    <w:p w:rsidR="00830BAB" w:rsidRPr="00E62519" w:rsidRDefault="00830BAB" w:rsidP="00830BA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830BAB" w:rsidRPr="00E62519" w:rsidRDefault="00830BAB" w:rsidP="00830BA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830BAB" w:rsidRPr="00E62519" w:rsidRDefault="00830BAB" w:rsidP="00830BA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</w:t>
      </w:r>
      <w:r w:rsidR="009B511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:rsidR="00830BAB" w:rsidRPr="00E62519" w:rsidRDefault="00830BAB" w:rsidP="00830BA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830BAB" w:rsidRPr="00E62519" w:rsidRDefault="00830BAB" w:rsidP="00830BAB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830BAB" w:rsidRPr="008F0080" w:rsidRDefault="00830BAB" w:rsidP="00830BA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:rsidR="00830BAB" w:rsidRPr="008F0080" w:rsidRDefault="00830BAB" w:rsidP="00830BA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830BAB" w:rsidRPr="008F0080" w:rsidRDefault="00830BAB" w:rsidP="00830BA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830BAB" w:rsidRPr="008F0080" w:rsidRDefault="00830BAB" w:rsidP="00830BA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830BAB" w:rsidRPr="008F0080" w:rsidRDefault="00830BAB" w:rsidP="00830BA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:rsidR="00830BAB" w:rsidRPr="008F0080" w:rsidRDefault="00830BAB" w:rsidP="00830BA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:rsidR="00830BAB" w:rsidRPr="008F0080" w:rsidRDefault="00830BAB" w:rsidP="00830BA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např. zmocněnec na základě uděle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moci)</w:t>
      </w:r>
    </w:p>
    <w:p w:rsidR="00830BAB" w:rsidRPr="008F0080" w:rsidRDefault="00830BAB" w:rsidP="00830BA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:rsidR="00830BAB" w:rsidRPr="008F0080" w:rsidRDefault="00830BAB" w:rsidP="00830BA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830BAB" w:rsidRPr="008F0080" w:rsidRDefault="00830BAB" w:rsidP="00830BAB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830BAB" w:rsidRPr="008F0080" w:rsidRDefault="00830BAB" w:rsidP="00830BA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830BAB" w:rsidRPr="002E6F3C" w:rsidRDefault="00830BAB" w:rsidP="00830BA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6F3C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Pr="002E6F3C">
        <w:rPr>
          <w:rFonts w:ascii="Arial" w:hAnsi="Arial" w:cs="Arial"/>
          <w:sz w:val="24"/>
          <w:szCs w:val="24"/>
        </w:rPr>
        <w:t xml:space="preserve"> za účelem vyhlášeného dotačního titulu</w:t>
      </w:r>
      <w:r w:rsidRPr="002E6F3C">
        <w:rPr>
          <w:rFonts w:ascii="Arial" w:eastAsia="Calibri" w:hAnsi="Arial" w:cs="Arial"/>
          <w:sz w:val="24"/>
          <w:szCs w:val="24"/>
        </w:rPr>
        <w:t xml:space="preserve"> Obnova staveb drobné architektury místního významu</w:t>
      </w:r>
      <w:r w:rsidR="00092316">
        <w:rPr>
          <w:rFonts w:ascii="Arial" w:eastAsia="Calibri" w:hAnsi="Arial" w:cs="Arial"/>
          <w:sz w:val="24"/>
          <w:szCs w:val="24"/>
        </w:rPr>
        <w:t>, kterým je podpora obnovy stav</w:t>
      </w:r>
      <w:r w:rsidR="00210AFF">
        <w:rPr>
          <w:rFonts w:ascii="Arial" w:eastAsia="Calibri" w:hAnsi="Arial" w:cs="Arial"/>
          <w:sz w:val="24"/>
          <w:szCs w:val="24"/>
        </w:rPr>
        <w:t>eb</w:t>
      </w:r>
      <w:r w:rsidR="00092316">
        <w:rPr>
          <w:rFonts w:ascii="Arial" w:eastAsia="Calibri" w:hAnsi="Arial" w:cs="Arial"/>
          <w:sz w:val="24"/>
          <w:szCs w:val="24"/>
        </w:rPr>
        <w:t xml:space="preserve"> drobné architektury místního významu</w:t>
      </w:r>
      <w:r w:rsidRPr="002E6F3C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 a to zejména</w:t>
      </w:r>
      <w:r w:rsidRPr="002E6F3C">
        <w:rPr>
          <w:rFonts w:cs="Arial"/>
          <w:sz w:val="24"/>
          <w:szCs w:val="24"/>
        </w:rPr>
        <w:t xml:space="preserve"> </w:t>
      </w:r>
      <w:r w:rsidRPr="002E6F3C">
        <w:rPr>
          <w:rFonts w:ascii="Arial" w:hAnsi="Arial" w:cs="Arial"/>
          <w:sz w:val="24"/>
          <w:szCs w:val="24"/>
        </w:rPr>
        <w:t xml:space="preserve">záchrana a oprava objektů památkové a historické hodnoty </w:t>
      </w:r>
      <w:r w:rsidRPr="002E6F3C">
        <w:rPr>
          <w:rFonts w:ascii="Arial" w:hAnsi="Arial" w:cs="Arial"/>
          <w:sz w:val="24"/>
          <w:szCs w:val="24"/>
        </w:rPr>
        <w:lastRenderedPageBreak/>
        <w:t>nacházejících se ve špatném technickém stavu, zachování kulturně historického charakteru a výpovědní hodnoty staveb drobné architektury</w:t>
      </w:r>
      <w:r w:rsidR="00595767">
        <w:rPr>
          <w:rFonts w:ascii="Arial" w:hAnsi="Arial" w:cs="Arial"/>
          <w:sz w:val="24"/>
          <w:szCs w:val="24"/>
        </w:rPr>
        <w:t xml:space="preserve"> místního významu</w:t>
      </w:r>
      <w:r w:rsidRPr="002E6F3C">
        <w:rPr>
          <w:rFonts w:ascii="Arial" w:hAnsi="Arial" w:cs="Arial"/>
          <w:sz w:val="24"/>
          <w:szCs w:val="24"/>
        </w:rPr>
        <w:t xml:space="preserve">, zvýšení prezentace památkového fondu v krajském i celostátním měřítku, soulad způsobu využití </w:t>
      </w:r>
      <w:r w:rsidR="00A650F7">
        <w:rPr>
          <w:rFonts w:ascii="Arial" w:hAnsi="Arial" w:cs="Arial"/>
          <w:sz w:val="24"/>
          <w:szCs w:val="24"/>
        </w:rPr>
        <w:t>stavby drobné architektury místního významu</w:t>
      </w:r>
      <w:r w:rsidRPr="002E6F3C">
        <w:rPr>
          <w:rFonts w:ascii="Arial" w:hAnsi="Arial" w:cs="Arial"/>
          <w:sz w:val="24"/>
          <w:szCs w:val="24"/>
        </w:rPr>
        <w:t xml:space="preserve"> s charakterem jejích kulturně historických hodnot.</w:t>
      </w:r>
    </w:p>
    <w:p w:rsidR="00830BAB" w:rsidRPr="00B70B1C" w:rsidRDefault="00830BAB" w:rsidP="00830BA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………......... (dále také „akce“).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:rsidR="00830BAB" w:rsidRPr="002E6F3C" w:rsidRDefault="001648D9" w:rsidP="00830BAB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příjemci poskytnuta: po provedené obnově stavby drobné architektury místního významu, kdy obnova bude provedena, je-li kulturní památkou, dle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1648D9">
        <w:rPr>
          <w:rStyle w:val="Tunznak"/>
          <w:b w:val="0"/>
          <w:szCs w:val="24"/>
        </w:rPr>
        <w:t>zák. č. 20/1987 Sb., o státní památkové péči</w:t>
      </w:r>
      <w:r>
        <w:rPr>
          <w:rFonts w:ascii="Arial" w:eastAsia="Times New Roman" w:hAnsi="Arial" w:cs="Arial"/>
          <w:sz w:val="24"/>
          <w:szCs w:val="24"/>
          <w:lang w:eastAsia="cs-CZ"/>
        </w:rPr>
        <w:t>, po předložení dokladů o úhradě výdajů na obnovu stavby drobné architektury místního významu příjemcem v souladu s účelem 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prací, a to pouze v případě, že ve vyúčtování nebudou zjištěny nedostatky, nebo nebude postupováno dle čl. II odst. 5 této smlouvy nebo nebudou zjištěna porušení vyjmenována v čl. II odst. 7. této smlouvy. Za den poskytnutí dotace se pro účely této smlouvy považuje den odepsání finančních prostředků z účtu poskytovatele ve prospěch účtu příjemce.</w:t>
      </w:r>
    </w:p>
    <w:p w:rsidR="00830BAB" w:rsidRDefault="00830BAB" w:rsidP="00830BAB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830BAB" w:rsidRDefault="00830BAB" w:rsidP="00830BA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830BAB" w:rsidRDefault="00830BAB" w:rsidP="00830BAB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:rsidR="00830BAB" w:rsidRDefault="00830BAB" w:rsidP="00830BAB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32a odst. 1 a 2 cit. zákona,</w:t>
      </w:r>
    </w:p>
    <w:p w:rsidR="00830BAB" w:rsidRPr="002E6F3C" w:rsidRDefault="00830BAB" w:rsidP="00830BAB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:rsidR="00830BAB" w:rsidRPr="008F0080" w:rsidRDefault="00830BAB" w:rsidP="00830BA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830BAB" w:rsidRDefault="00830BAB" w:rsidP="00830BAB">
      <w:pPr>
        <w:numPr>
          <w:ilvl w:val="0"/>
          <w:numId w:val="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>dotaci přijímá a zavazuje se provést obnovu stavby drobné architektury</w:t>
      </w:r>
      <w:r w:rsidRPr="002E6F3C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="00A650F7" w:rsidRPr="00A650F7">
        <w:rPr>
          <w:rFonts w:ascii="Arial" w:eastAsia="Times New Roman" w:hAnsi="Arial" w:cs="Arial"/>
          <w:sz w:val="24"/>
          <w:szCs w:val="24"/>
          <w:lang w:eastAsia="cs-CZ"/>
        </w:rPr>
        <w:t xml:space="preserve">místního významu 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>výlučně v souladu s účelem poskytnutí dotace dle čl. I odst. 2 a 4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v souladu s podmínkami stanovenými v této smlouvě a v souladu s pravidly dotačního 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programu Památkové péče v Olomouckém kraji </w:t>
      </w:r>
      <w:r w:rsidR="00A650F7">
        <w:rPr>
          <w:rFonts w:ascii="Arial" w:eastAsia="Times New Roman" w:hAnsi="Arial" w:cs="Arial"/>
          <w:sz w:val="24"/>
          <w:szCs w:val="24"/>
          <w:lang w:eastAsia="cs-CZ"/>
        </w:rPr>
        <w:t xml:space="preserve">v roce 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>2019 pro dotační titul Obnova staveb drobné architektury místního významu</w:t>
      </w:r>
      <w:r w:rsidRPr="002E6F3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dále také jen „Pravidla“).</w:t>
      </w:r>
    </w:p>
    <w:p w:rsidR="00830BAB" w:rsidRPr="008F0080" w:rsidRDefault="00830BAB" w:rsidP="00830BA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830BAB" w:rsidRPr="008F0080" w:rsidRDefault="00830BAB" w:rsidP="00830BA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830BAB" w:rsidRPr="008F0080" w:rsidRDefault="00830BAB" w:rsidP="00830BA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830BAB" w:rsidRDefault="00830BAB" w:rsidP="00830BA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830BAB" w:rsidRDefault="00830BAB" w:rsidP="00830BAB">
      <w:pPr>
        <w:spacing w:after="120"/>
        <w:ind w:left="567" w:firstLine="0"/>
        <w:rPr>
          <w:rFonts w:ascii="Arial" w:hAnsi="Arial" w:cs="Arial"/>
          <w:bCs/>
          <w:i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:rsidR="00830BAB" w:rsidRPr="008F0080" w:rsidRDefault="00830BAB" w:rsidP="00830B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830BAB" w:rsidRPr="002E6F3C" w:rsidRDefault="00830BAB" w:rsidP="00830BAB">
      <w:pPr>
        <w:pStyle w:val="Odstavecseseznamem"/>
        <w:numPr>
          <w:ilvl w:val="0"/>
          <w:numId w:val="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07B2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>ve svém účetnictví odděleně.</w:t>
      </w:r>
    </w:p>
    <w:p w:rsidR="00830BAB" w:rsidRPr="002E6F3C" w:rsidRDefault="00830BAB" w:rsidP="00830BA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6F3C">
        <w:rPr>
          <w:rFonts w:ascii="Arial" w:hAnsi="Arial" w:cs="Arial"/>
          <w:sz w:val="24"/>
          <w:szCs w:val="24"/>
        </w:rPr>
        <w:t xml:space="preserve">Obnova </w:t>
      </w:r>
      <w:r w:rsidR="00A650F7">
        <w:rPr>
          <w:rFonts w:ascii="Arial" w:hAnsi="Arial" w:cs="Arial"/>
          <w:sz w:val="24"/>
          <w:szCs w:val="24"/>
        </w:rPr>
        <w:t xml:space="preserve">stavby drobné architektury místního významu </w:t>
      </w:r>
      <w:r w:rsidRPr="002E6F3C">
        <w:rPr>
          <w:rFonts w:ascii="Arial" w:hAnsi="Arial" w:cs="Arial"/>
          <w:sz w:val="24"/>
          <w:szCs w:val="24"/>
        </w:rPr>
        <w:t>musí být ukončena</w:t>
      </w:r>
      <w:r w:rsidRPr="002E6F3C">
        <w:rPr>
          <w:rFonts w:cs="Arial"/>
          <w:szCs w:val="24"/>
        </w:rPr>
        <w:t xml:space="preserve"> 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>nejpozději do 31. 10. 2019.</w:t>
      </w:r>
    </w:p>
    <w:p w:rsidR="00830BAB" w:rsidRPr="002E6F3C" w:rsidRDefault="00830BAB" w:rsidP="00830B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6F3C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2019 do uzavření této smlouvy.</w:t>
      </w:r>
    </w:p>
    <w:p w:rsidR="00830BAB" w:rsidRPr="002E6F3C" w:rsidRDefault="00830BAB" w:rsidP="00830BA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6F3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830BAB" w:rsidRPr="008F0080" w:rsidRDefault="00830BAB" w:rsidP="00830BAB">
      <w:pPr>
        <w:numPr>
          <w:ilvl w:val="0"/>
          <w:numId w:val="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15. 11. 2019 předložit poskytovateli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poskytnuté dotace (dále jen „vyúčtování“).</w:t>
      </w:r>
    </w:p>
    <w:p w:rsidR="00830BAB" w:rsidRPr="008F0080" w:rsidRDefault="00830BAB" w:rsidP="00830BA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830BAB" w:rsidRPr="008F0080" w:rsidRDefault="00830BAB" w:rsidP="00830BAB">
      <w:pPr>
        <w:pStyle w:val="Odstavecseseznamem"/>
        <w:numPr>
          <w:ilvl w:val="1"/>
          <w:numId w:val="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uvedeném v příloze č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. 1 </w:t>
      </w:r>
      <w:r w:rsidRPr="002E6F3C">
        <w:rPr>
          <w:rFonts w:ascii="Arial" w:hAnsi="Arial" w:cs="Arial"/>
          <w:sz w:val="24"/>
          <w:szCs w:val="24"/>
        </w:rPr>
        <w:t>„Finanční vyúčtování dotace 2019“</w:t>
      </w:r>
      <w:r w:rsidRPr="002E6F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2E6F3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</w:t>
      </w:r>
      <w:r w:rsidRPr="008F008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1 je pro příjemce k dispozici v elektronické formě na webu poskytovatele </w:t>
      </w:r>
      <w:r w:rsidR="0000691B" w:rsidRPr="00C55EA8">
        <w:rPr>
          <w:rFonts w:ascii="Arial" w:hAnsi="Arial" w:cs="Arial"/>
          <w:bCs/>
          <w:color w:val="0563C1" w:themeColor="hyperlink"/>
          <w:sz w:val="24"/>
          <w:szCs w:val="24"/>
          <w:u w:val="single"/>
        </w:rPr>
        <w:t>www.olkraj.cz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Soupis příjmů dle tohoto ustanovení doloží příjemce čestným prohlášením, že všechny příjmy uvedené v soupisu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8F0080">
        <w:rPr>
          <w:rFonts w:ascii="Arial" w:hAnsi="Arial" w:cs="Arial"/>
          <w:sz w:val="24"/>
          <w:szCs w:val="24"/>
        </w:rPr>
        <w:t>příjmy uvedené v odst. 11.22 Pravidel.</w:t>
      </w:r>
    </w:p>
    <w:p w:rsidR="00830BAB" w:rsidRPr="008F0080" w:rsidRDefault="00830BAB" w:rsidP="00830BAB">
      <w:pPr>
        <w:pStyle w:val="Odstavecseseznamem"/>
        <w:numPr>
          <w:ilvl w:val="1"/>
          <w:numId w:val="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uvedeném v příloze č. 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r w:rsidRPr="002E6F3C">
        <w:rPr>
          <w:rFonts w:ascii="Arial" w:hAnsi="Arial" w:cs="Arial"/>
          <w:sz w:val="24"/>
          <w:szCs w:val="24"/>
        </w:rPr>
        <w:t>„Finanční vyúčtování dotace 2019“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. Soupis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dle tohoto ustanovení doloží příjemce čestným prohlášením, že celkové skutečně vynaložené výdaje uvedené v soupisu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830BAB" w:rsidRPr="008F0080" w:rsidRDefault="00830BAB" w:rsidP="00830BAB">
      <w:pPr>
        <w:pStyle w:val="Odstavecseseznamem"/>
        <w:numPr>
          <w:ilvl w:val="1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poskytnuta dotace dle této smlouvy, a to v rozsahu uvedeném v příloze č. 1 </w:t>
      </w:r>
      <w:r w:rsidRPr="002E6F3C">
        <w:rPr>
          <w:rFonts w:ascii="Arial" w:hAnsi="Arial" w:cs="Arial"/>
          <w:sz w:val="24"/>
          <w:szCs w:val="24"/>
        </w:rPr>
        <w:t>„Finanční vyúčtování dotace 2019“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>, doložený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830BAB" w:rsidRPr="008F0080" w:rsidRDefault="00830BAB" w:rsidP="00830BAB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830BAB" w:rsidRPr="008F0080" w:rsidRDefault="00830BAB" w:rsidP="00830BAB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830BAB" w:rsidRPr="008F0080" w:rsidRDefault="00830BAB" w:rsidP="00830BAB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830BAB" w:rsidRPr="002E6F3C" w:rsidRDefault="00830BAB" w:rsidP="00830BAB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>uvedené v soupisu jsou shodné se záznamy v účetnictví příjemce.</w:t>
      </w:r>
    </w:p>
    <w:p w:rsidR="00830BAB" w:rsidRPr="002E6F3C" w:rsidRDefault="00830BAB" w:rsidP="00830BAB">
      <w:pPr>
        <w:spacing w:after="120"/>
        <w:ind w:left="1560" w:hanging="993"/>
        <w:rPr>
          <w:rFonts w:ascii="Arial" w:eastAsia="Times New Roman" w:hAnsi="Arial" w:cs="Arial"/>
          <w:sz w:val="24"/>
          <w:szCs w:val="24"/>
          <w:lang w:eastAsia="cs-CZ"/>
        </w:rPr>
      </w:pPr>
      <w:r w:rsidRPr="002E6F3C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830BAB" w:rsidRPr="002E6F3C" w:rsidRDefault="00830BAB" w:rsidP="00830BA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6F3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2E6F3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stručné zhodnocení akce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E6F3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také fotodokumentaci provedené obnovy </w:t>
      </w:r>
      <w:r>
        <w:rPr>
          <w:rFonts w:ascii="Arial" w:eastAsia="Times New Roman" w:hAnsi="Arial" w:cs="Arial"/>
          <w:sz w:val="24"/>
          <w:szCs w:val="24"/>
          <w:lang w:eastAsia="cs-CZ"/>
        </w:rPr>
        <w:t>stavby drobné archit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>tury</w:t>
      </w:r>
      <w:r w:rsidR="00A650F7">
        <w:rPr>
          <w:rFonts w:ascii="Arial" w:eastAsia="Times New Roman" w:hAnsi="Arial" w:cs="Arial"/>
          <w:sz w:val="24"/>
          <w:szCs w:val="24"/>
          <w:lang w:eastAsia="cs-CZ"/>
        </w:rPr>
        <w:t xml:space="preserve"> místního významu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, včetně doložení propagace poskytovatele dle čl. II. odst. 10 této smlouvy. </w:t>
      </w:r>
    </w:p>
    <w:p w:rsidR="00830BAB" w:rsidRPr="002E6F3C" w:rsidRDefault="00830BAB" w:rsidP="00830BAB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při obnově </w:t>
      </w:r>
      <w:r w:rsidR="00A650F7">
        <w:rPr>
          <w:rFonts w:ascii="Arial" w:eastAsia="Times New Roman" w:hAnsi="Arial" w:cs="Arial"/>
          <w:sz w:val="24"/>
          <w:szCs w:val="24"/>
          <w:lang w:eastAsia="cs-CZ"/>
        </w:rPr>
        <w:t>stavby drobné architektury místního významu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 3., 4., 9., 10., 12., nebo 13. této smlouvy nebo pokud nebude obnova</w:t>
      </w:r>
      <w:r w:rsidR="00A650F7">
        <w:rPr>
          <w:rFonts w:ascii="Arial" w:eastAsia="Times New Roman" w:hAnsi="Arial" w:cs="Arial"/>
          <w:sz w:val="24"/>
          <w:szCs w:val="24"/>
          <w:lang w:eastAsia="cs-CZ"/>
        </w:rPr>
        <w:t>, je-li kulturní památkou,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 provedena dle </w:t>
      </w:r>
      <w:r w:rsidRPr="00A650F7">
        <w:rPr>
          <w:rStyle w:val="Tunznak"/>
          <w:b w:val="0"/>
          <w:szCs w:val="24"/>
        </w:rPr>
        <w:t>zák. č. 20/1987 Sb., o státní památkové péči, ve znění pozdějších předpisů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, je poskytovatel oprávněn dotaci nebo její část podle této smlouvy neposkytnout. </w:t>
      </w:r>
    </w:p>
    <w:p w:rsidR="00830BAB" w:rsidRPr="006A5198" w:rsidRDefault="00830BAB" w:rsidP="00830BAB">
      <w:pPr>
        <w:pStyle w:val="Odstavecseseznamem"/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Pr="002E6F3C">
        <w:rPr>
          <w:rFonts w:ascii="Arial" w:hAnsi="Arial" w:cs="Arial"/>
          <w:sz w:val="24"/>
          <w:szCs w:val="24"/>
        </w:rPr>
        <w:t>že poskytovatel následně zjistí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>, že příjemce použi</w:t>
      </w:r>
      <w:r w:rsidRPr="002E6F3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l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 d</w:t>
      </w:r>
      <w:r w:rsidRPr="00C3749D">
        <w:rPr>
          <w:rFonts w:ascii="Arial" w:eastAsia="Times New Roman" w:hAnsi="Arial" w:cs="Arial"/>
          <w:sz w:val="24"/>
          <w:szCs w:val="24"/>
          <w:lang w:eastAsia="cs-CZ"/>
        </w:rPr>
        <w:t xml:space="preserve">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3749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3749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</w:t>
      </w:r>
      <w:r w:rsidRPr="00C374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neúplné vyúčtování nebo závěrečnou zprávu ve lhůtě 15 dnů ode dne doručení výzvy poskytovatele.</w:t>
      </w:r>
    </w:p>
    <w:p w:rsidR="00830BAB" w:rsidRPr="008F0080" w:rsidRDefault="00830BAB" w:rsidP="00830BAB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30BAB" w:rsidRPr="008F0080" w:rsidTr="00B3722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AB" w:rsidRPr="008F0080" w:rsidRDefault="00830BAB" w:rsidP="00B37227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AB" w:rsidRPr="008F0080" w:rsidRDefault="00830BAB" w:rsidP="00B37227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830BAB" w:rsidRPr="008F0080" w:rsidTr="00B3722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AB" w:rsidRPr="008F0080" w:rsidRDefault="00830BAB" w:rsidP="00B3722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AB" w:rsidRPr="008F0080" w:rsidRDefault="00830BAB" w:rsidP="00B3722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30BAB" w:rsidRPr="008F0080" w:rsidTr="00B3722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AB" w:rsidRPr="008F0080" w:rsidRDefault="00830BAB" w:rsidP="00B3722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AB" w:rsidRPr="008F0080" w:rsidRDefault="00830BAB" w:rsidP="00B3722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830BAB" w:rsidRPr="008F0080" w:rsidTr="00B3722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AB" w:rsidRPr="008F0080" w:rsidRDefault="00830BAB" w:rsidP="00B3722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AB" w:rsidRPr="008F0080" w:rsidRDefault="00830BAB" w:rsidP="00B3722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30BAB" w:rsidRPr="008F0080" w:rsidTr="00B3722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AB" w:rsidRPr="008F0080" w:rsidRDefault="00830BAB" w:rsidP="00B3722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AB" w:rsidRPr="008F0080" w:rsidRDefault="00830BAB" w:rsidP="00B3722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30BAB" w:rsidRPr="008F0080" w:rsidTr="00B3722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AB" w:rsidRPr="008F0080" w:rsidRDefault="00830BAB" w:rsidP="00B3722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AB" w:rsidRPr="008F0080" w:rsidRDefault="00830BAB" w:rsidP="00B3722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30BAB" w:rsidRPr="008F0080" w:rsidTr="00B3722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AB" w:rsidRPr="008F0080" w:rsidRDefault="00830BAB" w:rsidP="00B3722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AB" w:rsidRPr="008F0080" w:rsidRDefault="00830BAB" w:rsidP="00B3722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830BAB" w:rsidRPr="008F0080" w:rsidRDefault="00830BAB" w:rsidP="00830B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830BAB" w:rsidRPr="002E6F3C" w:rsidRDefault="00830BAB" w:rsidP="00830BA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Případný odvod či penále se hradí </w:t>
      </w:r>
      <w:r w:rsidRPr="002E6F3C">
        <w:rPr>
          <w:rFonts w:ascii="Arial" w:hAnsi="Arial" w:cs="Arial"/>
          <w:sz w:val="24"/>
          <w:szCs w:val="24"/>
        </w:rPr>
        <w:t xml:space="preserve">na účet poskytovatele č. 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Pr="002E6F3C">
        <w:rPr>
          <w:rFonts w:ascii="Arial" w:hAnsi="Arial" w:cs="Arial"/>
          <w:sz w:val="24"/>
          <w:szCs w:val="24"/>
        </w:rPr>
        <w:t xml:space="preserve"> na základě vystavené faktury. </w:t>
      </w:r>
    </w:p>
    <w:p w:rsidR="00830BAB" w:rsidRPr="008F0080" w:rsidRDefault="00830BAB" w:rsidP="00830BAB">
      <w:pPr>
        <w:numPr>
          <w:ilvl w:val="0"/>
          <w:numId w:val="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:rsidR="00830BAB" w:rsidRPr="008F0080" w:rsidRDefault="00830BAB" w:rsidP="00830BAB">
      <w:pPr>
        <w:numPr>
          <w:ilvl w:val="0"/>
          <w:numId w:val="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dobu realizace akce, dále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označit propagační materiály příjemce, vztahující se k účelu dotace, logem poskytovatele </w:t>
      </w:r>
      <w:r w:rsidRPr="00DF1DEF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:rsidR="00830BAB" w:rsidRPr="008F0080" w:rsidRDefault="00830BAB" w:rsidP="00830BA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dvě fotografie dokladující propagaci poskytovatele na viditelném veřejně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přístupném místě) musí být poskytovateli příjemcem předložena společně se závěrečnou zprávou.</w:t>
      </w:r>
    </w:p>
    <w:p w:rsidR="00830BAB" w:rsidRPr="008F0080" w:rsidRDefault="00830BAB" w:rsidP="00830BA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830BAB" w:rsidRPr="008F0080" w:rsidRDefault="00830BAB" w:rsidP="00830BAB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>realizaci obnovy stavby drobné architektury</w:t>
      </w:r>
      <w:r w:rsidR="00A650F7">
        <w:rPr>
          <w:rFonts w:ascii="Arial" w:eastAsia="Times New Roman" w:hAnsi="Arial" w:cs="Arial"/>
          <w:sz w:val="24"/>
          <w:szCs w:val="24"/>
          <w:lang w:eastAsia="cs-CZ"/>
        </w:rPr>
        <w:t xml:space="preserve"> místního významu</w:t>
      </w:r>
      <w:r w:rsidRPr="002E6F3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na niž je poskytována dotace dle této smlouvy, zadavatelem veřejné zakázky dle příslušných ustanovení zákona o zadávání veřejných zakázek, je povinen při její realizaci postupovat dle tohoto zákona.</w:t>
      </w:r>
    </w:p>
    <w:p w:rsidR="00830BAB" w:rsidRPr="008F0080" w:rsidRDefault="00830BAB" w:rsidP="00830BAB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314FE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:rsidR="00830BAB" w:rsidRPr="008F0080" w:rsidRDefault="00830BAB" w:rsidP="00830BA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CA5D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10.2.</w:t>
      </w:r>
      <w:r w:rsidRPr="00CA5D8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:rsidR="00830BAB" w:rsidRPr="008F0080" w:rsidRDefault="00830BAB" w:rsidP="00830B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830BAB" w:rsidRPr="008F0080" w:rsidRDefault="00830BAB" w:rsidP="00830BA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830BAB" w:rsidRPr="003301E3" w:rsidRDefault="00830BAB" w:rsidP="00830BAB">
      <w:pPr>
        <w:numPr>
          <w:ilvl w:val="0"/>
          <w:numId w:val="5"/>
        </w:numPr>
        <w:spacing w:after="120"/>
        <w:ind w:left="426" w:hanging="568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zákonem č. 250/2000 Sb., o rozpočtových pravidlech územních rozpočtů, ve znění pozdějších právních </w:t>
      </w:r>
      <w:r w:rsidRPr="003301E3">
        <w:rPr>
          <w:rFonts w:ascii="Arial" w:eastAsia="Times New Roman" w:hAnsi="Arial" w:cs="Arial"/>
          <w:sz w:val="24"/>
          <w:szCs w:val="24"/>
          <w:lang w:eastAsia="cs-CZ"/>
        </w:rPr>
        <w:t>předpisů.</w:t>
      </w:r>
    </w:p>
    <w:p w:rsidR="00830BAB" w:rsidRPr="003301E3" w:rsidRDefault="00830BAB" w:rsidP="00830BAB">
      <w:pPr>
        <w:pStyle w:val="Odstavecseseznamem"/>
        <w:numPr>
          <w:ilvl w:val="0"/>
          <w:numId w:val="6"/>
        </w:numPr>
        <w:spacing w:after="120"/>
        <w:ind w:left="426" w:hanging="567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301E3">
        <w:rPr>
          <w:rFonts w:ascii="Arial" w:hAnsi="Arial" w:cs="Arial"/>
          <w:sz w:val="24"/>
          <w:szCs w:val="24"/>
          <w:lang w:eastAsia="cs-CZ"/>
        </w:rPr>
        <w:t>Tato smlouva nabývá účinnosti dnem jejího uzavření.</w:t>
      </w:r>
    </w:p>
    <w:p w:rsidR="00830BAB" w:rsidRPr="008F0080" w:rsidRDefault="00830BAB" w:rsidP="00830BAB">
      <w:pPr>
        <w:numPr>
          <w:ilvl w:val="0"/>
          <w:numId w:val="6"/>
        </w:numPr>
        <w:spacing w:after="120"/>
        <w:ind w:left="426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830BAB" w:rsidRPr="008F0080" w:rsidRDefault="00830BAB" w:rsidP="00830BAB">
      <w:pPr>
        <w:numPr>
          <w:ilvl w:val="0"/>
          <w:numId w:val="6"/>
        </w:numPr>
        <w:spacing w:after="120"/>
        <w:ind w:left="426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830BAB" w:rsidRPr="008F0080" w:rsidRDefault="00830BAB" w:rsidP="00830BAB">
      <w:pPr>
        <w:numPr>
          <w:ilvl w:val="0"/>
          <w:numId w:val="6"/>
        </w:numPr>
        <w:spacing w:after="120"/>
        <w:ind w:left="426" w:hanging="568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30BAB" w:rsidRDefault="00830BAB" w:rsidP="00830BAB">
      <w:pPr>
        <w:numPr>
          <w:ilvl w:val="0"/>
          <w:numId w:val="6"/>
        </w:numPr>
        <w:spacing w:after="120"/>
        <w:ind w:left="426" w:hanging="568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:rsidR="00830BAB" w:rsidRPr="00A340A5" w:rsidRDefault="00830BAB" w:rsidP="00830BAB">
      <w:pPr>
        <w:pStyle w:val="Zkladntext2"/>
        <w:numPr>
          <w:ilvl w:val="0"/>
          <w:numId w:val="6"/>
        </w:numPr>
        <w:tabs>
          <w:tab w:val="left" w:pos="4536"/>
        </w:tabs>
        <w:spacing w:before="120" w:after="600" w:line="240" w:lineRule="auto"/>
        <w:ind w:left="426" w:hanging="568"/>
        <w:rPr>
          <w:rFonts w:ascii="Arial" w:eastAsia="Times New Roman" w:hAnsi="Arial" w:cs="Arial"/>
          <w:sz w:val="24"/>
          <w:szCs w:val="24"/>
          <w:lang w:eastAsia="cs-CZ"/>
        </w:rPr>
      </w:pPr>
      <w:r w:rsidRPr="007410A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</w:t>
      </w:r>
      <w:r w:rsidRPr="003301E3">
        <w:rPr>
          <w:rFonts w:ascii="Arial" w:eastAsia="Times New Roman" w:hAnsi="Arial" w:cs="Arial"/>
          <w:sz w:val="24"/>
          <w:szCs w:val="24"/>
          <w:lang w:eastAsia="cs-CZ"/>
        </w:rPr>
        <w:t xml:space="preserve">sepsána ve třech vyhotoveních, </w:t>
      </w:r>
      <w:r w:rsidRPr="003301E3">
        <w:rPr>
          <w:rFonts w:ascii="Arial" w:hAnsi="Arial" w:cs="Arial"/>
          <w:sz w:val="24"/>
          <w:szCs w:val="24"/>
        </w:rPr>
        <w:t xml:space="preserve">z nichž jedno obdrží příjemce a dvě vyhotovení obdrží poskytovatel. </w:t>
      </w:r>
    </w:p>
    <w:p w:rsidR="00A340A5" w:rsidRDefault="00A340A5" w:rsidP="00A340A5">
      <w:pPr>
        <w:pStyle w:val="Zkladntext2"/>
        <w:tabs>
          <w:tab w:val="left" w:pos="4536"/>
        </w:tabs>
        <w:spacing w:before="120" w:after="600" w:line="240" w:lineRule="auto"/>
        <w:rPr>
          <w:rFonts w:ascii="Arial" w:hAnsi="Arial" w:cs="Arial"/>
          <w:sz w:val="24"/>
          <w:szCs w:val="24"/>
        </w:rPr>
      </w:pPr>
    </w:p>
    <w:p w:rsidR="00A340A5" w:rsidRPr="003301E3" w:rsidRDefault="00A340A5" w:rsidP="00A340A5">
      <w:pPr>
        <w:pStyle w:val="Zkladntext2"/>
        <w:tabs>
          <w:tab w:val="left" w:pos="4536"/>
        </w:tabs>
        <w:spacing w:before="12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BAB" w:rsidRPr="008F0080" w:rsidRDefault="00830BAB" w:rsidP="00830BAB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30BAB" w:rsidRPr="008F0080" w:rsidTr="00B3722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BAB" w:rsidRPr="008F0080" w:rsidRDefault="00830BAB" w:rsidP="00B37227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830BAB" w:rsidRPr="008F0080" w:rsidRDefault="00830BAB" w:rsidP="00B37227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BAB" w:rsidRPr="008F0080" w:rsidRDefault="00830BAB" w:rsidP="00B37227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Příjemce:</w:t>
            </w:r>
          </w:p>
        </w:tc>
      </w:tr>
      <w:tr w:rsidR="00830BAB" w:rsidRPr="008F0080" w:rsidTr="00B3722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BAB" w:rsidRPr="008F0080" w:rsidRDefault="00830BAB" w:rsidP="00B37227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830BAB" w:rsidRPr="008F0080" w:rsidRDefault="00830BAB" w:rsidP="00B37227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830BAB" w:rsidRPr="008F0080" w:rsidRDefault="00830BAB" w:rsidP="00B37227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BAB" w:rsidRPr="008F0080" w:rsidRDefault="00830BAB" w:rsidP="00B37227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:rsidR="00830BAB" w:rsidRDefault="00830BAB" w:rsidP="00830BAB">
      <w:pPr>
        <w:ind w:left="0" w:firstLine="0"/>
      </w:pPr>
    </w:p>
    <w:p w:rsidR="00394F12" w:rsidRDefault="00394F12"/>
    <w:sectPr w:rsidR="00394F12" w:rsidSect="004D0267">
      <w:footerReference w:type="default" r:id="rId8"/>
      <w:pgSz w:w="11906" w:h="16838"/>
      <w:pgMar w:top="1417" w:right="1417" w:bottom="1417" w:left="1417" w:header="708" w:footer="708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ED" w:rsidRDefault="00451FED" w:rsidP="00323E2C">
      <w:r>
        <w:separator/>
      </w:r>
    </w:p>
  </w:endnote>
  <w:endnote w:type="continuationSeparator" w:id="0">
    <w:p w:rsidR="00451FED" w:rsidRDefault="00451FED" w:rsidP="0032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438003"/>
      <w:docPartObj>
        <w:docPartGallery w:val="Page Numbers (Bottom of Page)"/>
        <w:docPartUnique/>
      </w:docPartObj>
    </w:sdtPr>
    <w:sdtEndPr>
      <w:rPr>
        <w:rFonts w:ascii="Arial" w:eastAsia="Times New Roman" w:hAnsi="Arial" w:cs="Arial"/>
        <w:i/>
        <w:iCs/>
        <w:sz w:val="20"/>
        <w:szCs w:val="20"/>
        <w:lang w:eastAsia="cs-CZ"/>
      </w:rPr>
    </w:sdtEndPr>
    <w:sdtContent>
      <w:p w:rsidR="00323E2C" w:rsidRDefault="00AB0EE8" w:rsidP="00323E2C">
        <w:pPr>
          <w:pStyle w:val="Zpat"/>
          <w:pBdr>
            <w:top w:val="single" w:sz="4" w:space="1" w:color="auto"/>
          </w:pBdr>
          <w:tabs>
            <w:tab w:val="clear" w:pos="9072"/>
            <w:tab w:val="right" w:pos="9070"/>
          </w:tabs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 w:rsidRPr="00AB0EE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 Olomouckého kraje 17. 12. 2018</w:t>
        </w:r>
        <w:r w:rsidR="00323E2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323E2C" w:rsidRPr="007D628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>Strana </w:t>
        </w:r>
        <w:r w:rsidR="00323E2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323E2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  \* MERGEFORMAT </w:instrText>
        </w:r>
        <w:r w:rsidR="00323E2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9B5119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84</w:t>
        </w:r>
        <w:r w:rsidR="00323E2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323E2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4D026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193</w:t>
        </w:r>
        <w:r w:rsidR="00323E2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  <w:r w:rsidR="00323E2C" w:rsidRPr="007D628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</w:p>
      <w:p w:rsidR="00323E2C" w:rsidRDefault="00AB0EE8" w:rsidP="00323E2C">
        <w:pPr>
          <w:pStyle w:val="Zpat"/>
          <w:tabs>
            <w:tab w:val="clear" w:pos="9072"/>
            <w:tab w:val="right" w:pos="9070"/>
          </w:tabs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41</w:t>
        </w:r>
        <w:r w:rsidR="00A340A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</w:t>
        </w:r>
        <w:r w:rsidR="00323E2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– </w:t>
        </w:r>
        <w:r w:rsidR="00323E2C" w:rsidRPr="007065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Program památkové péče v Olomouckém kraji </w:t>
        </w:r>
        <w:r w:rsidR="00830BA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v roce </w:t>
        </w:r>
        <w:r w:rsidR="00323E2C" w:rsidRPr="007065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2019 – vyhlášení</w:t>
        </w:r>
      </w:p>
      <w:p w:rsidR="00323E2C" w:rsidRDefault="00323E2C" w:rsidP="0005564A">
        <w:pPr>
          <w:pStyle w:val="Zpat"/>
          <w:ind w:left="0" w:firstLine="0"/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Příloha č. </w:t>
        </w:r>
        <w:r w:rsidR="00A340A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10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– </w:t>
        </w:r>
        <w:r w:rsidR="0005564A" w:rsidRPr="0005564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>Vzor veřejnoprávní smlouvy pro podnikající fyzické osoby na akci bez spoluúčasti z DT 2 Obnova staveb drobné architektury místního významu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ED" w:rsidRDefault="00451FED" w:rsidP="00323E2C">
      <w:r>
        <w:separator/>
      </w:r>
    </w:p>
  </w:footnote>
  <w:footnote w:type="continuationSeparator" w:id="0">
    <w:p w:rsidR="00451FED" w:rsidRDefault="00451FED" w:rsidP="0032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28D9580B"/>
    <w:multiLevelType w:val="hybridMultilevel"/>
    <w:tmpl w:val="B0C28E16"/>
    <w:lvl w:ilvl="0" w:tplc="74009F4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5C"/>
    <w:rsid w:val="0000691B"/>
    <w:rsid w:val="0004038D"/>
    <w:rsid w:val="000532D9"/>
    <w:rsid w:val="0005564A"/>
    <w:rsid w:val="00092316"/>
    <w:rsid w:val="0010711F"/>
    <w:rsid w:val="0014327A"/>
    <w:rsid w:val="001648D9"/>
    <w:rsid w:val="001718EC"/>
    <w:rsid w:val="001730E3"/>
    <w:rsid w:val="00184922"/>
    <w:rsid w:val="00195A5C"/>
    <w:rsid w:val="00210AFF"/>
    <w:rsid w:val="00242839"/>
    <w:rsid w:val="00295CAD"/>
    <w:rsid w:val="002C3F5E"/>
    <w:rsid w:val="00323E2C"/>
    <w:rsid w:val="00394F12"/>
    <w:rsid w:val="00431829"/>
    <w:rsid w:val="00451FED"/>
    <w:rsid w:val="004D0267"/>
    <w:rsid w:val="00530D4F"/>
    <w:rsid w:val="00595767"/>
    <w:rsid w:val="00732E91"/>
    <w:rsid w:val="00796E87"/>
    <w:rsid w:val="00803315"/>
    <w:rsid w:val="008268AC"/>
    <w:rsid w:val="00830BAB"/>
    <w:rsid w:val="00852B0E"/>
    <w:rsid w:val="008A7500"/>
    <w:rsid w:val="009B5119"/>
    <w:rsid w:val="00A340A5"/>
    <w:rsid w:val="00A650F7"/>
    <w:rsid w:val="00AB0EE8"/>
    <w:rsid w:val="00C801DC"/>
    <w:rsid w:val="00C8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5A8E"/>
  <w15:chartTrackingRefBased/>
  <w15:docId w15:val="{DCDC397D-AE06-4DDA-B58C-F64FADD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0BAB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3E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3E2C"/>
  </w:style>
  <w:style w:type="paragraph" w:styleId="Zpat">
    <w:name w:val="footer"/>
    <w:basedOn w:val="Normln"/>
    <w:link w:val="ZpatChar"/>
    <w:uiPriority w:val="99"/>
    <w:unhideWhenUsed/>
    <w:rsid w:val="00323E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3E2C"/>
  </w:style>
  <w:style w:type="paragraph" w:styleId="Odstavecseseznamem">
    <w:name w:val="List Paragraph"/>
    <w:basedOn w:val="Normln"/>
    <w:uiPriority w:val="34"/>
    <w:qFormat/>
    <w:rsid w:val="00830B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0BAB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830BA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30BAB"/>
  </w:style>
  <w:style w:type="character" w:customStyle="1" w:styleId="Tunznak">
    <w:name w:val="Tučný znak"/>
    <w:rsid w:val="00830BAB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2193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18</cp:revision>
  <dcterms:created xsi:type="dcterms:W3CDTF">2018-11-14T14:13:00Z</dcterms:created>
  <dcterms:modified xsi:type="dcterms:W3CDTF">2018-11-29T12:11:00Z</dcterms:modified>
</cp:coreProperties>
</file>