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BD70AF5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eastAsia="Times New Roman" w:cs="Arial"/>
          <w:b/>
          <w:bCs/>
          <w:caps/>
          <w:sz w:val="28"/>
          <w:szCs w:val="28"/>
          <w:lang w:eastAsia="cs-CZ"/>
        </w:rPr>
        <w:t>říspěvkovým organizacím</w:t>
      </w:r>
      <w:r w:rsidR="001B5743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(</w:t>
      </w:r>
      <w:r w:rsidR="001B5743">
        <w:rPr>
          <w:rFonts w:eastAsia="Times New Roman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24580C5C" w14:textId="77777777" w:rsidR="004E0A68" w:rsidRPr="00550224" w:rsidRDefault="004E0A68" w:rsidP="004E0A68">
      <w:pPr>
        <w:spacing w:after="12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>-Hodolany</w:t>
      </w:r>
    </w:p>
    <w:p w14:paraId="3E55EF6E" w14:textId="2D44E41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4E0A6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DIČ:</w:t>
      </w:r>
      <w:r w:rsidRPr="00E62519">
        <w:rPr>
          <w:rFonts w:eastAsia="Times New Roman" w:cs="Arial"/>
          <w:szCs w:val="24"/>
          <w:lang w:eastAsia="cs-CZ"/>
        </w:rPr>
        <w:tab/>
      </w:r>
      <w:r w:rsidRPr="004E0A68">
        <w:rPr>
          <w:rFonts w:eastAsia="Times New Roman" w:cs="Arial"/>
          <w:szCs w:val="24"/>
          <w:lang w:eastAsia="cs-CZ"/>
        </w:rPr>
        <w:t>CZ60609460</w:t>
      </w:r>
    </w:p>
    <w:p w14:paraId="0420895B" w14:textId="349F1E44" w:rsidR="00E62519" w:rsidRPr="004E0A6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Zastoupený:</w:t>
      </w:r>
      <w:r w:rsidRPr="004E0A68">
        <w:rPr>
          <w:rFonts w:eastAsia="Times New Roman" w:cs="Arial"/>
          <w:szCs w:val="24"/>
          <w:lang w:eastAsia="cs-CZ"/>
        </w:rPr>
        <w:tab/>
      </w:r>
      <w:r w:rsidR="00536F40" w:rsidRPr="004E0A68">
        <w:rPr>
          <w:rFonts w:eastAsia="Times New Roman" w:cs="Arial"/>
          <w:szCs w:val="24"/>
          <w:lang w:eastAsia="cs-CZ"/>
        </w:rPr>
        <w:t>………………………………, náměstkem hej</w:t>
      </w:r>
      <w:r w:rsidR="004E0A68" w:rsidRPr="004E0A68">
        <w:rPr>
          <w:rFonts w:eastAsia="Times New Roman" w:cs="Arial"/>
          <w:szCs w:val="24"/>
          <w:lang w:eastAsia="cs-CZ"/>
        </w:rPr>
        <w:t xml:space="preserve">tmana, na základě usnesení </w:t>
      </w:r>
      <w:r w:rsidR="00536F40" w:rsidRPr="004E0A68">
        <w:rPr>
          <w:rFonts w:eastAsia="Times New Roman" w:cs="Arial"/>
          <w:szCs w:val="24"/>
          <w:lang w:eastAsia="cs-CZ"/>
        </w:rPr>
        <w:t>Zastupitelstva Olomouckého kraje č. …………. ze dne …………….</w:t>
      </w:r>
      <w:r w:rsidRPr="004E0A68">
        <w:rPr>
          <w:rFonts w:eastAsia="Times New Roman" w:cs="Arial"/>
          <w:szCs w:val="24"/>
          <w:lang w:eastAsia="cs-CZ"/>
        </w:rPr>
        <w:t>…</w:t>
      </w:r>
    </w:p>
    <w:p w14:paraId="6F420F65" w14:textId="77777777" w:rsidR="00E62519" w:rsidRPr="004E0A6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Bankovní spojení:</w:t>
      </w:r>
      <w:r w:rsidRPr="004E0A68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poskytovatel“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1B5743">
        <w:rPr>
          <w:rFonts w:eastAsia="Times New Roman" w:cs="Arial"/>
          <w:b/>
          <w:bCs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Sídlo: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50C7B74" w14:textId="14364CEF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IČ:</w:t>
      </w:r>
      <w:r w:rsidRPr="001B5743">
        <w:rPr>
          <w:rFonts w:eastAsia="Times New Roman" w:cs="Arial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DIČ</w:t>
      </w:r>
      <w:r w:rsidRPr="001B5743">
        <w:rPr>
          <w:rFonts w:eastAsia="Times New Roman" w:cs="Arial"/>
          <w:bCs/>
          <w:szCs w:val="24"/>
          <w:lang w:eastAsia="cs-CZ"/>
        </w:rPr>
        <w:t>:</w:t>
      </w:r>
      <w:r w:rsidRPr="001B5743">
        <w:rPr>
          <w:rFonts w:eastAsia="Times New Roman" w:cs="Arial"/>
          <w:bCs/>
          <w:szCs w:val="24"/>
          <w:lang w:eastAsia="cs-CZ"/>
        </w:rPr>
        <w:tab/>
      </w:r>
      <w:r w:rsidRPr="001B5743">
        <w:rPr>
          <w:rFonts w:eastAsia="Times New Roman" w:cs="Arial"/>
          <w:szCs w:val="24"/>
          <w:lang w:eastAsia="cs-CZ"/>
        </w:rPr>
        <w:t xml:space="preserve">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Zastoupený:</w:t>
      </w:r>
      <w:r w:rsidRPr="001B5743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Bankovní spojení: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(dále jen „</w:t>
      </w:r>
      <w:r w:rsidRPr="001B5743">
        <w:rPr>
          <w:rFonts w:eastAsia="Times New Roman" w:cs="Arial"/>
          <w:bCs/>
          <w:szCs w:val="24"/>
          <w:lang w:eastAsia="cs-CZ"/>
        </w:rPr>
        <w:t>příjemce“</w:t>
      </w:r>
      <w:r w:rsidRPr="001B5743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711674C" w:rsidR="009A3DA5" w:rsidRPr="00285125" w:rsidRDefault="004E0A68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>Poskytovatel se na základě této smlouvy zavazuje poskytnout příjemci dotaci ve výši ......... Kč, slovy: ......... korun českých (</w:t>
      </w:r>
      <w:r w:rsidRPr="00520771">
        <w:rPr>
          <w:rFonts w:eastAsia="Times New Roman" w:cs="Arial"/>
          <w:szCs w:val="24"/>
          <w:lang w:eastAsia="cs-CZ"/>
        </w:rPr>
        <w:t xml:space="preserve">dále jen „dotace“) </w:t>
      </w:r>
      <w:r>
        <w:rPr>
          <w:rFonts w:cs="Arial"/>
        </w:rPr>
        <w:t xml:space="preserve">za účelem </w:t>
      </w:r>
      <w:r w:rsidRPr="00CE024D">
        <w:rPr>
          <w:rFonts w:cs="Arial"/>
        </w:rPr>
        <w:t>podpor</w:t>
      </w:r>
      <w:r>
        <w:rPr>
          <w:rFonts w:cs="Arial"/>
        </w:rPr>
        <w:t>y</w:t>
      </w:r>
      <w:r w:rsidRPr="00CE024D">
        <w:rPr>
          <w:rFonts w:cs="Arial"/>
        </w:rPr>
        <w:t xml:space="preserve"> mimořádných, průběžně, nepřerušovaně a dlouhodobě realizovaných významných kulturních akcí na období tří, po sobě jdoucích let, zvlášť důležitých pro rozvoj kultury v Olomouckém kraji a pro jeho obyvatele</w:t>
      </w:r>
      <w:r w:rsidRPr="004D1167">
        <w:rPr>
          <w:rFonts w:cs="Arial"/>
          <w:color w:val="FF0000"/>
          <w:szCs w:val="24"/>
        </w:rPr>
        <w:t>.</w:t>
      </w:r>
    </w:p>
    <w:p w14:paraId="3C9258CF" w14:textId="25B767FE" w:rsidR="009A3DA5" w:rsidRPr="00711602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Účelem poskytnutí dotace je</w:t>
      </w:r>
      <w:r w:rsidRPr="006C5BC4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>
        <w:rPr>
          <w:rFonts w:eastAsia="Times New Roman" w:cs="Arial"/>
          <w:szCs w:val="24"/>
          <w:lang w:eastAsia="cs-CZ"/>
        </w:rPr>
        <w:t>výdajů</w:t>
      </w:r>
      <w:r>
        <w:rPr>
          <w:rFonts w:eastAsia="Times New Roman" w:cs="Arial"/>
          <w:szCs w:val="24"/>
          <w:lang w:eastAsia="cs-CZ"/>
        </w:rPr>
        <w:t xml:space="preserve"> na</w:t>
      </w:r>
      <w:r w:rsidR="00F73535">
        <w:rPr>
          <w:rFonts w:eastAsia="Times New Roman" w:cs="Arial"/>
          <w:szCs w:val="24"/>
          <w:lang w:eastAsia="cs-CZ"/>
        </w:rPr>
        <w:t xml:space="preserve"> ………</w:t>
      </w:r>
      <w:r>
        <w:rPr>
          <w:rFonts w:eastAsia="Times New Roman" w:cs="Arial"/>
          <w:szCs w:val="24"/>
          <w:lang w:eastAsia="cs-CZ"/>
        </w:rPr>
        <w:t xml:space="preserve">......... (dále také „akce“). </w:t>
      </w:r>
      <w:r w:rsidR="00372DE5" w:rsidRPr="00372DE5">
        <w:rPr>
          <w:rFonts w:eastAsia="Times New Roman" w:cs="Arial"/>
          <w:i/>
          <w:color w:val="0000FF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eastAsia="Times New Roman" w:cs="Arial"/>
          <w:i/>
          <w:color w:val="0000FF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1F16F851" w14:textId="30252BC0" w:rsidR="003B0CE4" w:rsidRPr="004E0A68" w:rsidRDefault="006E3BA5" w:rsidP="003B0CE4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státní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 příspěvková organizace, bude toto ustanovení znít: </w:t>
      </w:r>
      <w:r w:rsidR="003B0CE4" w:rsidRPr="00520771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</w:t>
      </w:r>
      <w:r w:rsidR="003B0CE4" w:rsidRPr="004E0A68">
        <w:rPr>
          <w:rFonts w:eastAsia="Times New Roman" w:cs="Arial"/>
          <w:szCs w:val="24"/>
          <w:lang w:eastAsia="cs-CZ"/>
        </w:rPr>
        <w:t>následovně:</w:t>
      </w:r>
    </w:p>
    <w:p w14:paraId="6D5ADE23" w14:textId="77777777" w:rsidR="004E0A68" w:rsidRPr="004E0A68" w:rsidRDefault="004E0A68" w:rsidP="004E0A68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4E0A68">
        <w:rPr>
          <w:rFonts w:cs="Arial"/>
        </w:rPr>
        <w:t>1. část dotace určené pro rok 2019 bude poskytnuta nejpozději do……. ve výši 1/3 celkové schválené dotace.</w:t>
      </w:r>
    </w:p>
    <w:p w14:paraId="5208E298" w14:textId="77777777" w:rsidR="004E0A68" w:rsidRPr="004E0A68" w:rsidRDefault="004E0A68" w:rsidP="004E0A68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4E0A68">
        <w:rPr>
          <w:rFonts w:cs="Arial"/>
        </w:rPr>
        <w:t>2. část dotace určené pro rok 2020 bude poskytnuta nejpozději do….. ve výši 1/3 celkové schválené dotace.</w:t>
      </w:r>
    </w:p>
    <w:p w14:paraId="12E5EC02" w14:textId="39E9C10D" w:rsidR="007A21E9" w:rsidRPr="004E0A68" w:rsidRDefault="004E0A68" w:rsidP="004E0A68">
      <w:pPr>
        <w:pStyle w:val="Odstavecseseznamem"/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4E0A68">
        <w:rPr>
          <w:rFonts w:cs="Arial"/>
        </w:rPr>
        <w:t>3. část dotace určené pro rok 2021 bude poskytnuta nejpozději do……. ve výši 1/3 celkové schválené dotace</w:t>
      </w:r>
    </w:p>
    <w:p w14:paraId="702E2120" w14:textId="77777777" w:rsidR="007A21E9" w:rsidRDefault="007A21E9" w:rsidP="007A21E9">
      <w:pPr>
        <w:pStyle w:val="Odstavecseseznamem"/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</w:p>
    <w:p w14:paraId="74E56D30" w14:textId="2F7D2CD8" w:rsidR="006E3BA5" w:rsidRPr="007A21E9" w:rsidRDefault="006E3BA5" w:rsidP="007A21E9">
      <w:pPr>
        <w:pStyle w:val="Odstavecseseznamem"/>
        <w:spacing w:after="120"/>
        <w:ind w:left="567" w:firstLine="0"/>
        <w:rPr>
          <w:rFonts w:eastAsia="Times New Roman" w:cs="Arial"/>
          <w:color w:val="FF0000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příjemce uvedeného v záhlaví této smlouvy.</w:t>
      </w:r>
    </w:p>
    <w:p w14:paraId="38B090C9" w14:textId="0688F63E" w:rsidR="003B0CE4" w:rsidRPr="004E0A68" w:rsidRDefault="006E3BA5" w:rsidP="003B0CE4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Je-li příjemcem příspěvková </w:t>
      </w:r>
      <w:r w:rsidRPr="00711602">
        <w:rPr>
          <w:rFonts w:eastAsia="Times New Roman" w:cs="Arial"/>
          <w:i/>
          <w:color w:val="0000FF"/>
          <w:szCs w:val="24"/>
          <w:u w:val="single"/>
          <w:lang w:eastAsia="cs-CZ"/>
        </w:rPr>
        <w:t>organizace územního samosprávného celku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>, bude toto ustanovení znít:</w:t>
      </w:r>
      <w:r w:rsidRPr="00711602">
        <w:rPr>
          <w:rFonts w:eastAsia="Times New Roman" w:cs="Arial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(uvede se název zřizovatele a číslo jeho účtu, na který má být dotace poskytnuta) </w:t>
      </w:r>
      <w:r w:rsidR="003B0CE4" w:rsidRPr="004E0A68">
        <w:rPr>
          <w:rFonts w:eastAsia="Times New Roman" w:cs="Arial"/>
          <w:szCs w:val="24"/>
          <w:lang w:eastAsia="cs-CZ"/>
        </w:rPr>
        <w:t>následovně:</w:t>
      </w:r>
    </w:p>
    <w:p w14:paraId="0A50627D" w14:textId="77777777" w:rsidR="004E0A68" w:rsidRPr="004E0A68" w:rsidRDefault="004E0A68" w:rsidP="004E0A68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4E0A68">
        <w:rPr>
          <w:rFonts w:cs="Arial"/>
        </w:rPr>
        <w:t>1. část dotace určené pro rok 2019 bude poskytnuta nejpozději do……. ve výši 1/3 celkové schválené dotace.</w:t>
      </w:r>
    </w:p>
    <w:p w14:paraId="48DF1E77" w14:textId="77777777" w:rsidR="004E0A68" w:rsidRPr="004E0A68" w:rsidRDefault="004E0A68" w:rsidP="004E0A68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4E0A68">
        <w:rPr>
          <w:rFonts w:cs="Arial"/>
        </w:rPr>
        <w:t>2. část dotace určené pro rok 2020 bude poskytnuta nejpozději do….. ve výši 1/3 celkové schválené dotace.</w:t>
      </w:r>
    </w:p>
    <w:p w14:paraId="1B337C34" w14:textId="32A098E4" w:rsidR="007A21E9" w:rsidRPr="004E0A68" w:rsidRDefault="004E0A68" w:rsidP="004E0A68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E0A68">
        <w:rPr>
          <w:rFonts w:cs="Arial"/>
        </w:rPr>
        <w:t>3. část dotace určené pro rok 2021 bude poskytnuta nejpozději do……. ve výši 1/3 celkové schválené dotace</w:t>
      </w:r>
      <w:r w:rsidR="006E3BA5" w:rsidRPr="004E0A68">
        <w:rPr>
          <w:rFonts w:eastAsia="Times New Roman" w:cs="Arial"/>
          <w:szCs w:val="24"/>
          <w:lang w:eastAsia="cs-CZ"/>
        </w:rPr>
        <w:t xml:space="preserve"> </w:t>
      </w:r>
    </w:p>
    <w:p w14:paraId="2C0E8CE8" w14:textId="77777777" w:rsidR="007A21E9" w:rsidRDefault="007A21E9" w:rsidP="007A21E9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</w:p>
    <w:p w14:paraId="209ABD61" w14:textId="21FAC2C4" w:rsidR="006E3BA5" w:rsidRPr="007A21E9" w:rsidRDefault="006E3BA5" w:rsidP="007A21E9">
      <w:pPr>
        <w:pStyle w:val="Odstavecseseznamem"/>
        <w:spacing w:after="120"/>
        <w:ind w:left="567" w:firstLine="0"/>
        <w:rPr>
          <w:rFonts w:eastAsia="Times New Roman" w:cs="Arial"/>
          <w:color w:val="FF0000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0DCF5011" w:rsidR="009A3DA5" w:rsidRPr="00711602" w:rsidRDefault="008B4E09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711602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lastRenderedPageBreak/>
        <w:t>výdajů spojených s pořízením nehmotného majetku dle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eastAsia="Times New Roman" w:cs="Arial"/>
          <w:szCs w:val="24"/>
          <w:lang w:eastAsia="cs-CZ"/>
        </w:rPr>
        <w:t> </w:t>
      </w:r>
      <w:r w:rsidRPr="00711602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50062E06" w:rsidR="00001074" w:rsidRPr="004E0A68" w:rsidRDefault="007A21E9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</w:t>
      </w:r>
      <w:r w:rsidRPr="004E0A68">
        <w:rPr>
          <w:rFonts w:eastAsia="Times New Roman" w:cs="Arial"/>
          <w:szCs w:val="24"/>
          <w:lang w:eastAsia="cs-CZ"/>
        </w:rPr>
        <w:t xml:space="preserve">souladu s pravidly dotačního programu </w:t>
      </w:r>
      <w:r w:rsidRPr="004E0A68">
        <w:rPr>
          <w:rFonts w:cs="Arial"/>
          <w:b/>
          <w:bCs/>
        </w:rPr>
        <w:t>Víceletá podpora významných kulturních akcí</w:t>
      </w:r>
      <w:r w:rsidRPr="004E0A68">
        <w:rPr>
          <w:rFonts w:eastAsia="Times New Roman" w:cs="Arial"/>
          <w:szCs w:val="24"/>
          <w:lang w:eastAsia="cs-CZ"/>
        </w:rPr>
        <w:t xml:space="preserve"> </w:t>
      </w:r>
      <w:r w:rsidRPr="004E0A68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4E0A68">
        <w:rPr>
          <w:rFonts w:eastAsia="Times New Roman" w:cs="Arial"/>
          <w:iCs/>
          <w:szCs w:val="24"/>
          <w:lang w:eastAsia="cs-CZ"/>
        </w:rPr>
        <w:t xml:space="preserve">V případě odchylného </w:t>
      </w:r>
      <w:r w:rsidRPr="00711602">
        <w:rPr>
          <w:rFonts w:eastAsia="Times New Roman" w:cs="Arial"/>
          <w:iCs/>
          <w:szCs w:val="24"/>
          <w:lang w:eastAsia="cs-CZ"/>
        </w:rPr>
        <w:t>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>Příjemce</w:t>
      </w:r>
      <w:r w:rsidRPr="00711602">
        <w:rPr>
          <w:rFonts w:eastAsia="Times New Roman" w:cs="Arial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eastAsia="Times New Roman" w:cs="Arial"/>
          <w:szCs w:val="24"/>
          <w:lang w:eastAsia="cs-CZ"/>
        </w:rPr>
        <w:t>……………</w:t>
      </w:r>
      <w:r w:rsidR="002C095D" w:rsidRPr="00711602">
        <w:rPr>
          <w:rFonts w:eastAsia="Times New Roman" w:cs="Arial"/>
          <w:szCs w:val="24"/>
          <w:lang w:eastAsia="cs-CZ"/>
        </w:rPr>
        <w:t>.</w:t>
      </w:r>
      <w:r w:rsidR="00B542C6" w:rsidRPr="00711602">
        <w:rPr>
          <w:rFonts w:eastAsia="Times New Roman" w:cs="Arial"/>
          <w:szCs w:val="24"/>
          <w:lang w:eastAsia="cs-CZ"/>
        </w:rPr>
        <w:t xml:space="preserve"> 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711602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090EC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eastAsia="Times New Roman" w:cs="Arial"/>
          <w:iCs/>
          <w:szCs w:val="24"/>
          <w:lang w:eastAsia="cs-CZ"/>
        </w:rPr>
        <w:t>„</w:t>
      </w:r>
      <w:r w:rsidRPr="00711602">
        <w:rPr>
          <w:rFonts w:eastAsia="Times New Roman" w:cs="Arial"/>
          <w:iCs/>
          <w:szCs w:val="24"/>
          <w:lang w:eastAsia="cs-CZ"/>
        </w:rPr>
        <w:t>DPH</w:t>
      </w:r>
      <w:r w:rsidR="00045D83" w:rsidRPr="00711602">
        <w:rPr>
          <w:rFonts w:eastAsia="Times New Roman" w:cs="Arial"/>
          <w:iCs/>
          <w:szCs w:val="24"/>
          <w:lang w:eastAsia="cs-CZ"/>
        </w:rPr>
        <w:t>“</w:t>
      </w:r>
      <w:r w:rsidRPr="00711602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eastAsia="Times New Roman" w:cs="Arial"/>
          <w:iCs/>
          <w:szCs w:val="24"/>
          <w:lang w:eastAsia="cs-CZ"/>
        </w:rPr>
        <w:t> </w:t>
      </w:r>
      <w:r w:rsidRPr="00711602">
        <w:rPr>
          <w:rFonts w:eastAsia="Times New Roman" w:cs="Arial"/>
          <w:iCs/>
          <w:szCs w:val="24"/>
          <w:lang w:eastAsia="cs-CZ"/>
        </w:rPr>
        <w:t>75</w:t>
      </w:r>
      <w:r w:rsidR="00AF584A" w:rsidRPr="00711602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711602">
        <w:rPr>
          <w:rFonts w:eastAsia="Times New Roman" w:cs="Arial"/>
          <w:iCs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eastAsia="Times New Roman" w:cs="Arial"/>
          <w:iCs/>
          <w:szCs w:val="24"/>
          <w:lang w:eastAsia="cs-CZ"/>
        </w:rPr>
        <w:t xml:space="preserve"> zdanitelných plnění v souvislosti s realizací </w:t>
      </w:r>
      <w:r w:rsidR="001E478A">
        <w:rPr>
          <w:rFonts w:eastAsia="Times New Roman" w:cs="Arial"/>
          <w:iCs/>
          <w:szCs w:val="24"/>
          <w:lang w:eastAsia="cs-CZ"/>
        </w:rPr>
        <w:t>akce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1E478A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</w:t>
      </w:r>
      <w:r>
        <w:rPr>
          <w:rFonts w:eastAsia="Times New Roman" w:cs="Arial"/>
          <w:iCs/>
          <w:szCs w:val="24"/>
          <w:highlight w:val="yellow"/>
          <w:lang w:eastAsia="cs-CZ"/>
        </w:rPr>
        <w:lastRenderedPageBreak/>
        <w:t>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>zpočtové kázně ve smyslu ust.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cs="Arial"/>
          <w:bCs/>
          <w:szCs w:val="24"/>
          <w:lang w:eastAsia="cs-CZ"/>
        </w:rPr>
        <w:t>,</w:t>
      </w:r>
      <w:r w:rsidRPr="00711602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711602">
        <w:rPr>
          <w:rFonts w:cs="Arial"/>
          <w:bCs/>
          <w:szCs w:val="24"/>
          <w:lang w:eastAsia="cs-CZ"/>
        </w:rPr>
        <w:t xml:space="preserve">je příjemce povinen </w:t>
      </w:r>
      <w:r w:rsidRPr="00711602">
        <w:rPr>
          <w:rFonts w:cs="Arial"/>
          <w:bCs/>
          <w:szCs w:val="24"/>
          <w:lang w:eastAsia="cs-CZ"/>
        </w:rPr>
        <w:t xml:space="preserve">do 10 dnů po </w:t>
      </w:r>
      <w:r w:rsidR="00255AB8" w:rsidRPr="00711602">
        <w:rPr>
          <w:rFonts w:cs="Arial"/>
          <w:bCs/>
          <w:szCs w:val="24"/>
          <w:lang w:eastAsia="cs-CZ"/>
        </w:rPr>
        <w:t xml:space="preserve">uplynutí </w:t>
      </w:r>
      <w:r w:rsidRPr="00711602">
        <w:rPr>
          <w:rFonts w:cs="Arial"/>
          <w:bCs/>
          <w:szCs w:val="24"/>
          <w:lang w:eastAsia="cs-CZ"/>
        </w:rPr>
        <w:t>lhůt</w:t>
      </w:r>
      <w:r w:rsidR="00255AB8" w:rsidRPr="00711602">
        <w:rPr>
          <w:rFonts w:cs="Arial"/>
          <w:bCs/>
          <w:szCs w:val="24"/>
          <w:lang w:eastAsia="cs-CZ"/>
        </w:rPr>
        <w:t>y</w:t>
      </w:r>
      <w:r w:rsidRPr="00711602">
        <w:rPr>
          <w:rFonts w:cs="Arial"/>
          <w:bCs/>
          <w:szCs w:val="24"/>
          <w:lang w:eastAsia="cs-CZ"/>
        </w:rPr>
        <w:t xml:space="preserve"> </w:t>
      </w:r>
      <w:r w:rsidR="00255AB8" w:rsidRPr="00711602">
        <w:rPr>
          <w:rFonts w:cs="Arial"/>
          <w:bCs/>
          <w:szCs w:val="24"/>
          <w:lang w:eastAsia="cs-CZ"/>
        </w:rPr>
        <w:t xml:space="preserve">pro </w:t>
      </w:r>
      <w:r w:rsidRPr="00711602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711602">
        <w:rPr>
          <w:rFonts w:cs="Arial"/>
          <w:bCs/>
          <w:szCs w:val="24"/>
          <w:lang w:eastAsia="cs-CZ"/>
        </w:rPr>
        <w:t>.</w:t>
      </w:r>
      <w:r w:rsidRPr="00711602">
        <w:rPr>
          <w:rFonts w:cs="Arial"/>
          <w:bCs/>
          <w:i/>
          <w:iCs/>
          <w:szCs w:val="24"/>
          <w:lang w:eastAsia="cs-CZ"/>
        </w:rPr>
        <w:t xml:space="preserve"> 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cs="Arial"/>
          <w:bCs/>
          <w:i/>
          <w:iCs/>
          <w:color w:val="0000FF"/>
          <w:szCs w:val="24"/>
          <w:lang w:eastAsia="cs-CZ"/>
        </w:rPr>
        <w:t>rmín pro podání daňového přiznán</w:t>
      </w:r>
      <w:r w:rsidRPr="00711602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711602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0F34A963" w14:textId="77777777" w:rsidR="003B0CE4" w:rsidRPr="004E0A68" w:rsidRDefault="003B0CE4" w:rsidP="003B0CE4">
      <w:pPr>
        <w:numPr>
          <w:ilvl w:val="0"/>
          <w:numId w:val="34"/>
        </w:numPr>
        <w:spacing w:after="120"/>
        <w:rPr>
          <w:rFonts w:eastAsia="Times New Roman" w:cs="Arial"/>
          <w:iCs/>
          <w:strike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Příjemce je povinen použít 1. splátku poskytnuté dotace nejpozději dvou měsíců po ukončení akce</w:t>
      </w:r>
      <w:r w:rsidRPr="004E0A68">
        <w:rPr>
          <w:rFonts w:eastAsia="Times New Roman" w:cs="Arial"/>
          <w:b/>
          <w:szCs w:val="24"/>
          <w:lang w:eastAsia="cs-CZ"/>
        </w:rPr>
        <w:t xml:space="preserve">, </w:t>
      </w:r>
      <w:r w:rsidRPr="004E0A68">
        <w:rPr>
          <w:rFonts w:eastAsia="Times New Roman" w:cs="Arial"/>
          <w:iCs/>
          <w:szCs w:val="24"/>
          <w:lang w:eastAsia="cs-CZ"/>
        </w:rPr>
        <w:t xml:space="preserve">druhou splátku poskytnuté dotace nejpozději do </w:t>
      </w:r>
      <w:r w:rsidRPr="004E0A68">
        <w:rPr>
          <w:rFonts w:eastAsia="Times New Roman" w:cs="Arial"/>
          <w:szCs w:val="24"/>
          <w:lang w:eastAsia="cs-CZ"/>
        </w:rPr>
        <w:t>dvou měsíců po ukončení akce v roce 2020 a</w:t>
      </w:r>
      <w:r w:rsidRPr="004E0A68">
        <w:rPr>
          <w:rFonts w:eastAsia="Times New Roman" w:cs="Arial"/>
          <w:iCs/>
          <w:szCs w:val="24"/>
          <w:lang w:eastAsia="cs-CZ"/>
        </w:rPr>
        <w:t xml:space="preserve"> třetí splátku poskytnuté dotace nejpozději do </w:t>
      </w:r>
      <w:r w:rsidRPr="004E0A68">
        <w:rPr>
          <w:rFonts w:eastAsia="Times New Roman" w:cs="Arial"/>
          <w:szCs w:val="24"/>
          <w:lang w:eastAsia="cs-CZ"/>
        </w:rPr>
        <w:t>dvou měsíců po ukončení akce v roce 2021.</w:t>
      </w:r>
    </w:p>
    <w:p w14:paraId="3C9258E4" w14:textId="22647912" w:rsidR="009A3DA5" w:rsidRPr="004E0A68" w:rsidRDefault="003B0CE4" w:rsidP="003B0C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V případě, že akce byla realizována v termínu před obdržením dotace, je příjemce povinen použít poskytnutou dotaci nejpozději do dvou měsíců po obdržení finančních prostředků ze strany poskytovatele.</w:t>
      </w:r>
    </w:p>
    <w:p w14:paraId="3C9258E5" w14:textId="1D5FCF37" w:rsidR="009A3DA5" w:rsidRPr="00711602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711602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1E54A05C" w:rsidR="009A3DA5" w:rsidRPr="004E0A68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eastAsia="Times New Roman" w:cs="Arial"/>
          <w:iCs/>
          <w:szCs w:val="24"/>
          <w:lang w:eastAsia="cs-CZ"/>
        </w:rPr>
        <w:t>výdajů</w:t>
      </w:r>
      <w:r w:rsidRPr="00711602">
        <w:rPr>
          <w:rFonts w:eastAsia="Times New Roman" w:cs="Arial"/>
          <w:iCs/>
          <w:szCs w:val="24"/>
          <w:lang w:eastAsia="cs-CZ"/>
        </w:rPr>
        <w:t xml:space="preserve"> vynaložených příjemcem v </w:t>
      </w:r>
      <w:r w:rsidRPr="004E0A68">
        <w:rPr>
          <w:rFonts w:eastAsia="Times New Roman" w:cs="Arial"/>
          <w:iCs/>
          <w:szCs w:val="24"/>
          <w:lang w:eastAsia="cs-CZ"/>
        </w:rPr>
        <w:t xml:space="preserve">souladu s účelem poskytnutí dotace dle čl. I odst. 2 a 4 této smlouvy a podmínkami </w:t>
      </w:r>
      <w:r w:rsidR="00F6008E" w:rsidRPr="004E0A68">
        <w:rPr>
          <w:rFonts w:eastAsia="Times New Roman" w:cs="Arial"/>
          <w:iCs/>
          <w:szCs w:val="24"/>
          <w:lang w:eastAsia="cs-CZ"/>
        </w:rPr>
        <w:t>po</w:t>
      </w:r>
      <w:r w:rsidRPr="004E0A68">
        <w:rPr>
          <w:rFonts w:eastAsia="Times New Roman" w:cs="Arial"/>
          <w:iCs/>
          <w:szCs w:val="24"/>
          <w:lang w:eastAsia="cs-CZ"/>
        </w:rPr>
        <w:t xml:space="preserve">užití dotace dle čl. II odst. 1 této smlouvy v období od </w:t>
      </w:r>
      <w:r w:rsidR="007A21E9" w:rsidRPr="004E0A68">
        <w:rPr>
          <w:rFonts w:eastAsia="Times New Roman" w:cs="Arial"/>
          <w:iCs/>
          <w:szCs w:val="24"/>
          <w:lang w:eastAsia="cs-CZ"/>
        </w:rPr>
        <w:t>1. 1. 2019</w:t>
      </w:r>
      <w:r w:rsidRPr="004E0A68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36FCE3FF" w:rsidR="00B67C75" w:rsidRPr="004E0A68" w:rsidRDefault="002F6738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každý rok povinen na tento účel vynaložit </w:t>
      </w:r>
      <w:r w:rsidRPr="004E0A68">
        <w:rPr>
          <w:rFonts w:cs="Arial"/>
          <w:szCs w:val="24"/>
        </w:rPr>
        <w:t xml:space="preserve">minimálně </w:t>
      </w:r>
      <w:r w:rsidR="005C0677" w:rsidRPr="004E0A68">
        <w:rPr>
          <w:rFonts w:cs="Arial"/>
          <w:szCs w:val="24"/>
        </w:rPr>
        <w:t>30</w:t>
      </w:r>
      <w:r w:rsidRPr="004E0A68">
        <w:rPr>
          <w:rFonts w:eastAsia="Times New Roman" w:cs="Arial"/>
          <w:szCs w:val="24"/>
          <w:lang w:eastAsia="cs-CZ"/>
        </w:rPr>
        <w:t xml:space="preserve"> % z vlastních a jiných zdrojů. Budou-li každoroční celkové skutečně vynaložené uznatelné výdaje nižší než celkové předpokládané uznatelné výdaje, je příjemce povinen </w:t>
      </w:r>
      <w:r w:rsidRPr="004E0A68">
        <w:rPr>
          <w:rFonts w:cs="Arial"/>
          <w:szCs w:val="24"/>
        </w:rPr>
        <w:t xml:space="preserve">v rámci vyúčtování dotace vrátit poskytovateli část roční dotace tak, aby výše dotace odpovídala nejvýše </w:t>
      </w:r>
      <w:r w:rsidR="005C0677" w:rsidRPr="004E0A68">
        <w:rPr>
          <w:rFonts w:cs="Arial"/>
          <w:szCs w:val="24"/>
        </w:rPr>
        <w:t>70</w:t>
      </w:r>
      <w:r w:rsidRPr="004E0A68">
        <w:rPr>
          <w:rFonts w:cs="Arial"/>
          <w:szCs w:val="24"/>
        </w:rPr>
        <w:t xml:space="preserve"> % celkových skutečně vynaložených uznatelných výdajů na účel dle čl. I odst. 2 a 4 této smlouvy.</w:t>
      </w:r>
    </w:p>
    <w:p w14:paraId="2A203FAD" w14:textId="24BF31F7" w:rsidR="00CB5336" w:rsidRPr="00711602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711602">
        <w:rPr>
          <w:rFonts w:eastAsia="Times New Roman" w:cs="Arial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 II odst. 2 stanoven pro použití dotace/</w:t>
      </w:r>
      <w:r w:rsidRPr="00841ADB">
        <w:rPr>
          <w:rFonts w:eastAsia="Times New Roman" w:cs="Arial"/>
          <w:szCs w:val="24"/>
          <w:lang w:eastAsia="cs-CZ"/>
        </w:rPr>
        <w:t xml:space="preserve">je příjemce povinen vynaložit nejpozději do …………….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nutné, aby </w:t>
      </w:r>
      <w:r w:rsidR="00E029A9"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>termín vynaložení těchto výdajů předcháze</w:t>
      </w:r>
      <w:r w:rsidR="00BF10A8" w:rsidRPr="00711602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71160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711602" w:rsidRDefault="00331407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r w:rsidR="00064487" w:rsidRPr="00711602">
        <w:rPr>
          <w:rFonts w:eastAsia="Times New Roman" w:cs="Arial"/>
          <w:i/>
          <w:color w:val="0000FF"/>
          <w:szCs w:val="24"/>
          <w:lang w:eastAsia="cs-CZ"/>
        </w:rPr>
        <w:t xml:space="preserve">dotačí </w:t>
      </w:r>
      <w:r w:rsidR="00C57C51" w:rsidRPr="00711602">
        <w:rPr>
          <w:rFonts w:eastAsia="Times New Roman" w:cs="Arial"/>
          <w:i/>
          <w:color w:val="0000FF"/>
          <w:szCs w:val="24"/>
          <w:lang w:eastAsia="cs-CZ"/>
        </w:rPr>
        <w:t>program/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titul uvedeno </w:t>
      </w:r>
      <w:r w:rsidR="00C02F39" w:rsidRPr="00711602">
        <w:rPr>
          <w:rFonts w:eastAsia="Times New Roman" w:cs="Arial"/>
          <w:i/>
          <w:color w:val="0000FF"/>
          <w:szCs w:val="24"/>
          <w:lang w:eastAsia="cs-CZ"/>
        </w:rPr>
        <w:t>v odst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C02F39" w:rsidRPr="00711602">
        <w:rPr>
          <w:rFonts w:eastAsia="Times New Roman" w:cs="Arial"/>
          <w:i/>
          <w:color w:val="0000FF"/>
          <w:szCs w:val="24"/>
          <w:lang w:eastAsia="cs-CZ"/>
        </w:rPr>
        <w:t>11.21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eastAsia="Times New Roman" w:cs="Arial"/>
          <w:i/>
          <w:color w:val="0000FF"/>
          <w:szCs w:val="24"/>
          <w:lang w:eastAsia="cs-CZ"/>
        </w:rPr>
        <w:t xml:space="preserve"> (čl. 6)</w:t>
      </w:r>
      <w:r w:rsidRPr="00711602">
        <w:rPr>
          <w:rFonts w:eastAsia="Times New Roman" w:cs="Arial"/>
          <w:i/>
          <w:color w:val="0000FF"/>
          <w:szCs w:val="24"/>
          <w:lang w:eastAsia="cs-CZ"/>
        </w:rPr>
        <w:t xml:space="preserve"> i zde v ustanovení o spoluúčasti.</w:t>
      </w:r>
    </w:p>
    <w:p w14:paraId="3C9258EB" w14:textId="77777777" w:rsidR="009A3DA5" w:rsidRPr="004E0A68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</w:t>
      </w:r>
      <w:r w:rsidRPr="004E0A68">
        <w:rPr>
          <w:rFonts w:eastAsia="Times New Roman" w:cs="Arial"/>
          <w:szCs w:val="24"/>
          <w:lang w:eastAsia="cs-CZ"/>
        </w:rPr>
        <w:t>oskytovatelem požadovanou součinnost.</w:t>
      </w:r>
    </w:p>
    <w:p w14:paraId="31891FA8" w14:textId="77777777" w:rsidR="004E0A68" w:rsidRPr="004E0A68" w:rsidRDefault="004E0A68" w:rsidP="004E0A68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Příjemce je povinen nejpozději do tří měsíců po ukončení akce předložit poskytovateli vyúčtování první část poskytnuté dotace; do tří měsíců po ukončení akce v roce 2020 vyúčtování druhé části poskytnuté dotace; do tří měsíců po ukončení akce v roce 2021 závěrečné vyúčtování poskytnuté dotace (dále jen „vyúčtování“).</w:t>
      </w:r>
    </w:p>
    <w:p w14:paraId="74904599" w14:textId="77777777" w:rsidR="004E0A68" w:rsidRPr="004E0A68" w:rsidRDefault="004E0A68" w:rsidP="004E0A68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Vyúčtování první a druhé části poskytnuté dotace musí obsahovat:</w:t>
      </w:r>
    </w:p>
    <w:p w14:paraId="5DCAE90E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uskutečněných v roce, ve kterém byla první či druhá část dotace poskytnuta, a to v rozsahu uvedeném v příloze č. 1 „Vyúčtování dotace“. </w:t>
      </w:r>
      <w:r w:rsidRPr="004E0A68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4E0A68">
        <w:rPr>
          <w:rFonts w:cs="Arial"/>
          <w:b/>
          <w:bCs/>
          <w:szCs w:val="24"/>
        </w:rPr>
        <w:t>https://www.olkraj.cz</w:t>
      </w:r>
      <w:r w:rsidRPr="004E0A68">
        <w:rPr>
          <w:rFonts w:eastAsia="Times New Roman" w:cs="Arial"/>
          <w:i/>
          <w:szCs w:val="24"/>
          <w:lang w:eastAsia="cs-CZ"/>
        </w:rPr>
        <w:t xml:space="preserve">. </w:t>
      </w:r>
      <w:r w:rsidRPr="004E0A68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4E0A68">
        <w:rPr>
          <w:rFonts w:cs="Arial"/>
          <w:iCs/>
          <w:szCs w:val="24"/>
        </w:rPr>
        <w:t xml:space="preserve"> </w:t>
      </w:r>
      <w:r w:rsidRPr="004E0A68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4E0A68">
        <w:rPr>
          <w:rFonts w:cs="Arial"/>
          <w:szCs w:val="24"/>
        </w:rPr>
        <w:t>příjmy uvedené v odst. 11.22 Pravidel.</w:t>
      </w:r>
    </w:p>
    <w:p w14:paraId="4C5B9C45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Soupis celkových skutečně vynaložených výdajů na akci, na jejíž realizaci byla poskytnuta dotace dle této smlouvy, uskutečněných v roce, ve kterém byla první či druhá část dotace poskytnuta,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7186E944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uskutečněných v roce, ve kterém byla první či druhá část dotace poskytnuta a to v rozsahu uvedeném v příloze č. 1 „Vyúčtování dotace“, doložený:</w:t>
      </w:r>
    </w:p>
    <w:p w14:paraId="5FAFCC9D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6498710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DCF5D75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17413A08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C5C075E" w14:textId="77777777" w:rsidR="004E0A68" w:rsidRPr="004E0A68" w:rsidRDefault="004E0A68" w:rsidP="004E0A68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b/>
          <w:szCs w:val="24"/>
          <w:lang w:eastAsia="cs-CZ"/>
        </w:rPr>
        <w:t xml:space="preserve">Závěrečné vyúčtování </w:t>
      </w:r>
      <w:r w:rsidRPr="004E0A68">
        <w:rPr>
          <w:rFonts w:eastAsia="Times New Roman" w:cs="Arial"/>
          <w:szCs w:val="24"/>
          <w:lang w:eastAsia="cs-CZ"/>
        </w:rPr>
        <w:t>musí obsahovat:</w:t>
      </w:r>
    </w:p>
    <w:p w14:paraId="31937F69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„Vyúčtování dotace“. </w:t>
      </w:r>
      <w:r w:rsidRPr="004E0A68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4E0A68">
        <w:rPr>
          <w:rFonts w:cs="Arial"/>
          <w:b/>
          <w:bCs/>
          <w:szCs w:val="24"/>
        </w:rPr>
        <w:t>https://www.olkraj.cz</w:t>
      </w:r>
      <w:r w:rsidRPr="004E0A68">
        <w:rPr>
          <w:rFonts w:eastAsia="Times New Roman" w:cs="Arial"/>
          <w:i/>
          <w:szCs w:val="24"/>
          <w:lang w:eastAsia="cs-CZ"/>
        </w:rPr>
        <w:t xml:space="preserve">. </w:t>
      </w:r>
      <w:r w:rsidRPr="004E0A68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4E0A68">
        <w:rPr>
          <w:rFonts w:cs="Arial"/>
          <w:iCs/>
          <w:szCs w:val="24"/>
        </w:rPr>
        <w:t xml:space="preserve"> </w:t>
      </w:r>
      <w:r w:rsidRPr="004E0A68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4E0A68">
        <w:rPr>
          <w:rFonts w:cs="Arial"/>
          <w:szCs w:val="24"/>
        </w:rPr>
        <w:t>příjmy uvedené v odst. 11.22 Pravidel.</w:t>
      </w:r>
    </w:p>
    <w:p w14:paraId="028BA5F5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426A4E11" w14:textId="77777777" w:rsidR="004E0A68" w:rsidRPr="004E0A68" w:rsidRDefault="004E0A68" w:rsidP="004E0A68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a to v rozsahu uvedeném v příloze č. 1 „Vyúčtování dotace“, doložený:</w:t>
      </w:r>
    </w:p>
    <w:p w14:paraId="0341C683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D693C07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9308102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4D1F780" w14:textId="77777777" w:rsidR="004E0A68" w:rsidRPr="004E0A68" w:rsidRDefault="004E0A68" w:rsidP="004E0A6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610D82C" w14:textId="77777777" w:rsidR="004E0A68" w:rsidRPr="004E0A68" w:rsidRDefault="004E0A68" w:rsidP="004E0A68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Společně s vyúčtováním první a druhé části poskytnuté dotace příjemce předloží poskytovateli průběžnou zprávu.</w:t>
      </w:r>
    </w:p>
    <w:p w14:paraId="3F41CE66" w14:textId="77777777" w:rsidR="004E0A68" w:rsidRPr="004E0A68" w:rsidRDefault="004E0A68" w:rsidP="004E0A68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Průběžná zpráva musí být písemná v listinné podobě, musí obsahovat</w:t>
      </w:r>
      <w:r w:rsidRPr="004E0A68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4E0A68">
        <w:rPr>
          <w:rFonts w:cs="Arial"/>
          <w:szCs w:val="24"/>
        </w:rPr>
        <w:t xml:space="preserve">označení příjemce, datum konání akce a označení akce </w:t>
      </w:r>
      <w:r w:rsidRPr="004E0A68">
        <w:rPr>
          <w:rFonts w:eastAsia="Times New Roman" w:cs="Arial"/>
          <w:szCs w:val="24"/>
          <w:lang w:eastAsia="cs-CZ"/>
        </w:rPr>
        <w:t>za období, na které byla poskytnuta konkrétní část dotace. Dále</w:t>
      </w:r>
      <w:r w:rsidRPr="004E0A68">
        <w:rPr>
          <w:rFonts w:cs="Arial"/>
          <w:szCs w:val="24"/>
        </w:rPr>
        <w:t xml:space="preserve"> musí obsahovat</w:t>
      </w:r>
      <w:r w:rsidRPr="004E0A68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4E0A68">
        <w:rPr>
          <w:rFonts w:cs="Arial"/>
          <w:i/>
          <w:iCs/>
          <w:szCs w:val="24"/>
        </w:rPr>
        <w:t>.</w:t>
      </w:r>
    </w:p>
    <w:p w14:paraId="0726C632" w14:textId="5BF82FC9" w:rsidR="00A9730D" w:rsidRPr="004E0A68" w:rsidRDefault="004E0A68" w:rsidP="004E0A68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Závěrečná zpráva musí být písemná v listinné podobě, musí obsahovat</w:t>
      </w:r>
      <w:r w:rsidRPr="004E0A68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4E0A68">
        <w:rPr>
          <w:rFonts w:cs="Arial"/>
          <w:szCs w:val="24"/>
        </w:rPr>
        <w:t>označení příjemce, data konání akce, označení akce a musí obsahovat</w:t>
      </w:r>
      <w:r w:rsidRPr="004E0A68">
        <w:rPr>
          <w:rFonts w:cs="Arial"/>
          <w:iCs/>
          <w:szCs w:val="24"/>
        </w:rPr>
        <w:t xml:space="preserve"> stručné zhodnocení poskytovatelem podporované akce včetně jejího přínosu pro </w:t>
      </w:r>
      <w:r w:rsidRPr="004E0A68">
        <w:rPr>
          <w:rFonts w:cs="Arial"/>
          <w:iCs/>
          <w:szCs w:val="24"/>
        </w:rPr>
        <w:lastRenderedPageBreak/>
        <w:t>Olomoucký kraj a fotodokumentaci užití loga Olomouckého kraje dle čl. 10 této smlouvy</w:t>
      </w:r>
      <w:r w:rsidRPr="004E0A68">
        <w:rPr>
          <w:rFonts w:cs="Arial"/>
          <w:i/>
          <w:iCs/>
          <w:szCs w:val="24"/>
        </w:rPr>
        <w:t>.</w:t>
      </w:r>
    </w:p>
    <w:p w14:paraId="758E3118" w14:textId="719DC7A8" w:rsidR="00A9730D" w:rsidRPr="00A9730D" w:rsidRDefault="004E1C6A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</w:t>
      </w:r>
      <w:r w:rsidRPr="00A9730D">
        <w:rPr>
          <w:rFonts w:eastAsia="Times New Roman" w:cs="Arial"/>
          <w:szCs w:val="24"/>
          <w:lang w:eastAsia="cs-CZ"/>
        </w:rPr>
        <w:t>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="00A9730D" w:rsidRPr="00536F40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536F40">
        <w:rPr>
          <w:rFonts w:eastAsia="Times New Roman" w:cs="Arial"/>
          <w:szCs w:val="24"/>
          <w:lang w:eastAsia="cs-CZ"/>
        </w:rPr>
        <w:t>e, o ni</w:t>
      </w:r>
      <w:r w:rsidR="00A9730D" w:rsidRPr="00536F40">
        <w:rPr>
          <w:rFonts w:eastAsia="Times New Roman" w:cs="Arial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DF7145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zřizova</w:t>
            </w:r>
            <w:r w:rsidR="00B22E47" w:rsidRPr="00DF7145">
              <w:rPr>
                <w:rFonts w:eastAsia="Calibri" w:cs="Arial"/>
                <w:szCs w:val="24"/>
                <w:lang w:eastAsia="cs-CZ"/>
              </w:rPr>
              <w:t>cí</w:t>
            </w:r>
            <w:r w:rsidR="008A100B" w:rsidRPr="00DF7145">
              <w:rPr>
                <w:rFonts w:eastAsia="Calibri" w:cs="Arial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eastAsia="Calibri" w:cs="Arial"/>
                <w:szCs w:val="24"/>
                <w:lang w:eastAsia="cs-CZ"/>
              </w:rPr>
              <w:t>listiny, adre</w:t>
            </w:r>
            <w:r w:rsidRPr="00DF7145">
              <w:rPr>
                <w:rFonts w:eastAsia="Calibri" w:cs="Arial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3C557958" w:rsidR="009A3DA5" w:rsidRPr="00711602" w:rsidRDefault="004E0A68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V případě, že je příjemce dle této smlouvy povinen vrátit dotaci nebo její část, vrátí příjemce dotaci nebo její část</w:t>
      </w:r>
      <w:r>
        <w:rPr>
          <w:rFonts w:eastAsia="Times New Roman" w:cs="Arial"/>
          <w:szCs w:val="24"/>
          <w:lang w:eastAsia="cs-CZ"/>
        </w:rPr>
        <w:t xml:space="preserve"> v roce, kdy obdržel dotaci (2019)</w:t>
      </w:r>
      <w:r w:rsidRPr="006B549F">
        <w:rPr>
          <w:rFonts w:eastAsia="Times New Roman" w:cs="Arial"/>
          <w:szCs w:val="24"/>
          <w:lang w:eastAsia="cs-CZ"/>
        </w:rPr>
        <w:t xml:space="preserve"> na účet poskytovatele č. </w:t>
      </w:r>
      <w:r>
        <w:rPr>
          <w:rFonts w:eastAsia="Times New Roman" w:cs="Arial"/>
          <w:szCs w:val="24"/>
          <w:lang w:eastAsia="cs-CZ"/>
        </w:rPr>
        <w:t>27-4228330207/0100</w:t>
      </w:r>
      <w:r w:rsidRPr="006B549F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V případě, že je vratka realizována následující rok (2020), pak se použije přijmový účet 27-4228320287/0100.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</w:t>
      </w:r>
      <w:r w:rsidR="00AE30DE" w:rsidRPr="00711602">
        <w:rPr>
          <w:rFonts w:cs="Arial"/>
          <w:i/>
          <w:color w:val="0000FF"/>
          <w:szCs w:val="24"/>
        </w:rPr>
        <w:t>.</w:t>
      </w:r>
    </w:p>
    <w:p w14:paraId="3C925913" w14:textId="51FB903F" w:rsidR="009A3DA5" w:rsidRPr="004E0A6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eastAsia="Times New Roman" w:cs="Arial"/>
          <w:szCs w:val="24"/>
          <w:lang w:eastAsia="cs-CZ"/>
        </w:rPr>
        <w:t>zřizova</w:t>
      </w:r>
      <w:r w:rsidR="00B22E47" w:rsidRPr="00711602">
        <w:rPr>
          <w:rFonts w:eastAsia="Times New Roman" w:cs="Arial"/>
          <w:szCs w:val="24"/>
          <w:lang w:eastAsia="cs-CZ"/>
        </w:rPr>
        <w:t>cí</w:t>
      </w:r>
      <w:r w:rsidRPr="00711602">
        <w:rPr>
          <w:rFonts w:eastAsia="Times New Roman" w:cs="Arial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eastAsia="Times New Roman" w:cs="Arial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eastAsia="Times New Roman" w:cs="Arial"/>
          <w:szCs w:val="24"/>
          <w:lang w:eastAsia="cs-CZ"/>
        </w:rPr>
        <w:t xml:space="preserve"> na zřizovatele. </w:t>
      </w:r>
      <w:r w:rsidR="00B22E47" w:rsidRPr="00711602">
        <w:rPr>
          <w:rFonts w:eastAsia="Times New Roman" w:cs="Arial"/>
          <w:szCs w:val="24"/>
          <w:lang w:eastAsia="cs-CZ"/>
        </w:rPr>
        <w:t>V </w:t>
      </w:r>
      <w:r w:rsidR="00B22E47" w:rsidRPr="004E0A68">
        <w:rPr>
          <w:rFonts w:eastAsia="Times New Roman" w:cs="Arial"/>
          <w:szCs w:val="24"/>
          <w:lang w:eastAsia="cs-CZ"/>
        </w:rPr>
        <w:t>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1A1F9EE2" w:rsidR="00836AA2" w:rsidRPr="00CC0204" w:rsidRDefault="004E0A68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a umístit </w:t>
      </w:r>
      <w:r w:rsidRPr="00B455E7">
        <w:rPr>
          <w:rFonts w:eastAsia="Times New Roman" w:cs="Arial"/>
          <w:szCs w:val="24"/>
          <w:lang w:eastAsia="cs-CZ"/>
        </w:rPr>
        <w:t>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D27B7A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F90512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F90512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F90512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eastAsia="Times New Roman" w:cs="Arial"/>
          <w:szCs w:val="24"/>
          <w:lang w:eastAsia="cs-CZ"/>
        </w:rPr>
        <w:t xml:space="preserve">podporované dle této smlouvy </w:t>
      </w:r>
      <w:r w:rsidRPr="00F90512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642F0B11" w:rsidR="00836AA2" w:rsidRPr="00836AA2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lastRenderedPageBreak/>
        <w:t xml:space="preserve">Ustanovení odst. 10 lze dále upravit </w:t>
      </w:r>
      <w:r w:rsidR="004514D3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D0219A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Pokud bude příjemce při realizaci akce, na n</w:t>
      </w:r>
      <w:r w:rsidR="00255AE2">
        <w:rPr>
          <w:rFonts w:eastAsia="Times New Roman" w:cs="Arial"/>
          <w:szCs w:val="24"/>
          <w:lang w:eastAsia="cs-CZ"/>
        </w:rPr>
        <w:t>i</w:t>
      </w:r>
      <w:r>
        <w:rPr>
          <w:rFonts w:eastAsia="Times New Roman" w:cs="Arial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eastAsia="Times New Roman" w:cs="Arial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eastAsia="Times New Roman" w:cs="Arial"/>
          <w:szCs w:val="24"/>
          <w:lang w:eastAsia="cs-CZ"/>
        </w:rPr>
        <w:t xml:space="preserve">zadávání </w:t>
      </w:r>
      <w:r w:rsidRPr="00711602">
        <w:rPr>
          <w:rFonts w:eastAsia="Times New Roman" w:cs="Arial"/>
          <w:szCs w:val="24"/>
          <w:lang w:eastAsia="cs-CZ"/>
        </w:rPr>
        <w:t>veřejných zakáz</w:t>
      </w:r>
      <w:r w:rsidR="000647E7" w:rsidRPr="00711602">
        <w:rPr>
          <w:rFonts w:eastAsia="Times New Roman" w:cs="Arial"/>
          <w:szCs w:val="24"/>
          <w:lang w:eastAsia="cs-CZ"/>
        </w:rPr>
        <w:t>e</w:t>
      </w:r>
      <w:r w:rsidRPr="00711602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635E80B3" w14:textId="787E69B1" w:rsidR="009A332B" w:rsidRPr="00711602" w:rsidRDefault="009A332B" w:rsidP="009A332B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>10.1</w:t>
      </w:r>
      <w:r w:rsidRPr="00711602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3B7C44EB" w14:textId="4ABF33C4" w:rsidR="009A332B" w:rsidRPr="00711602" w:rsidRDefault="009A332B" w:rsidP="009A332B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11602">
        <w:rPr>
          <w:rFonts w:eastAsia="Times New Roman" w:cs="Arial"/>
          <w:bCs/>
          <w:iCs/>
          <w:color w:val="0000FF"/>
          <w:szCs w:val="24"/>
          <w:lang w:eastAsia="cs-CZ"/>
        </w:rPr>
        <w:t>10.2</w:t>
      </w:r>
      <w:r w:rsidRPr="00711602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711602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11602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711602">
        <w:rPr>
          <w:rFonts w:eastAsia="Times New Roman" w:cs="Arial"/>
          <w:b/>
          <w:bCs/>
          <w:szCs w:val="24"/>
          <w:lang w:eastAsia="cs-CZ"/>
        </w:rPr>
        <w:t>III.</w:t>
      </w:r>
    </w:p>
    <w:p w14:paraId="3690F753" w14:textId="77777777" w:rsidR="004E0A68" w:rsidRPr="006B549F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26CFE78" w14:textId="77777777" w:rsidR="004E0A68" w:rsidRPr="006B549F" w:rsidRDefault="004E0A68" w:rsidP="004E0A68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6B549F">
        <w:rPr>
          <w:rFonts w:cs="Arial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A6B4132" w14:textId="77777777" w:rsidR="004E0A68" w:rsidRPr="006B549F" w:rsidRDefault="004E0A68" w:rsidP="004E0A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6B549F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FB101E4" w14:textId="77777777" w:rsidR="004E0A68" w:rsidRPr="00963122" w:rsidRDefault="004E0A68" w:rsidP="004E0A68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24A262CB" w14:textId="77777777" w:rsidR="004E0A68" w:rsidRPr="006B549F" w:rsidRDefault="004E0A68" w:rsidP="004E0A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Pr="00963122">
        <w:rPr>
          <w:rFonts w:cs="Arial"/>
          <w:szCs w:val="24"/>
          <w:lang w:eastAsia="cs-CZ"/>
        </w:rPr>
        <w:t>Tato smlouva nabývá účinnosti dnem jejího uveřejnění v registru smluv</w:t>
      </w:r>
      <w:r w:rsidRPr="00963122">
        <w:rPr>
          <w:rFonts w:cs="Arial"/>
          <w:color w:val="1F497D"/>
          <w:szCs w:val="24"/>
          <w:lang w:eastAsia="cs-CZ"/>
        </w:rPr>
        <w:t>.</w:t>
      </w:r>
      <w:r w:rsidRPr="006B549F">
        <w:rPr>
          <w:rFonts w:eastAsia="Times New Roman" w:cs="Arial"/>
          <w:iCs/>
          <w:szCs w:val="24"/>
          <w:lang w:eastAsia="cs-CZ"/>
        </w:rPr>
        <w:t>.</w:t>
      </w:r>
    </w:p>
    <w:p w14:paraId="04B4CCDB" w14:textId="77777777" w:rsidR="004E0A68" w:rsidRPr="006B549F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2723AF7F" w14:textId="77777777" w:rsidR="004E0A68" w:rsidRPr="006B549F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106EFC" w14:textId="77777777" w:rsidR="004E0A68" w:rsidRPr="004E0A68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E0A68">
        <w:rPr>
          <w:rFonts w:eastAsia="Times New Roman" w:cs="Arial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r w:rsidRPr="004E0A68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4E0A68">
        <w:rPr>
          <w:rFonts w:eastAsia="Times New Roman" w:cs="Arial"/>
          <w:szCs w:val="24"/>
          <w:lang w:eastAsia="cs-CZ"/>
        </w:rPr>
        <w:t>.</w:t>
      </w:r>
    </w:p>
    <w:p w14:paraId="547E76D6" w14:textId="77777777" w:rsidR="004E0A68" w:rsidRPr="004E0A68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12A1DFEA" w:rsidR="009A3DA5" w:rsidRPr="004E0A68" w:rsidRDefault="004E0A68" w:rsidP="004E0A68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4E0A68">
        <w:rPr>
          <w:rFonts w:eastAsia="Times New Roman" w:cs="Arial"/>
          <w:szCs w:val="24"/>
          <w:lang w:eastAsia="cs-CZ"/>
        </w:rPr>
        <w:t>V Olomouci dne .......................</w:t>
      </w:r>
      <w:r w:rsidRPr="004E0A68">
        <w:rPr>
          <w:rFonts w:eastAsia="Times New Roman" w:cs="Arial"/>
          <w:szCs w:val="24"/>
          <w:lang w:eastAsia="cs-CZ"/>
        </w:rPr>
        <w:tab/>
        <w:t xml:space="preserve"> V ................................ </w:t>
      </w:r>
      <w:r>
        <w:rPr>
          <w:rFonts w:eastAsia="Times New Roman" w:cs="Arial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24DE5810" w:rsidR="009B0F59" w:rsidRDefault="009B0F59">
      <w:pPr>
        <w:rPr>
          <w:rFonts w:cs="Arial"/>
          <w:bCs/>
        </w:rPr>
      </w:pPr>
      <w:bookmarkStart w:id="0" w:name="_GoBack"/>
      <w:bookmarkEnd w:id="0"/>
    </w:p>
    <w:sectPr w:rsidR="009B0F59" w:rsidSect="008D4C87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6ACF" w14:textId="77777777" w:rsidR="000E7BFA" w:rsidRDefault="000E7BFA" w:rsidP="00D40C40">
      <w:r>
        <w:separator/>
      </w:r>
    </w:p>
  </w:endnote>
  <w:endnote w:type="continuationSeparator" w:id="0">
    <w:p w14:paraId="541A7EC9" w14:textId="77777777" w:rsidR="000E7BFA" w:rsidRDefault="000E7BF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BD2" w14:textId="3F0B6018" w:rsidR="00FA077E" w:rsidRPr="005720E6" w:rsidRDefault="008D4C87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73</w:t>
    </w:r>
    <w:r w:rsidR="00CE26A7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A60BE4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FA077E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41068DA" w14:textId="3CB1FAEA" w:rsidR="00FA077E" w:rsidRDefault="008D4C87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40</w:t>
    </w:r>
    <w:r w:rsidR="00104E9D">
      <w:rPr>
        <w:rFonts w:eastAsia="Times New Roman" w:cs="Arial"/>
        <w:i/>
        <w:sz w:val="20"/>
        <w:szCs w:val="20"/>
        <w:lang w:eastAsia="cs-CZ"/>
      </w:rPr>
      <w:t>.</w:t>
    </w:r>
    <w:r w:rsidR="00104E9D" w:rsidRPr="00CF61C5">
      <w:rPr>
        <w:rFonts w:eastAsia="Times New Roman" w:cs="Arial"/>
        <w:i/>
        <w:sz w:val="20"/>
        <w:szCs w:val="20"/>
        <w:lang w:eastAsia="cs-CZ"/>
      </w:rPr>
      <w:t xml:space="preserve"> –</w:t>
    </w:r>
    <w:r w:rsidR="00104E9D">
      <w:rPr>
        <w:rFonts w:eastAsia="Times New Roman" w:cs="Arial"/>
        <w:i/>
        <w:sz w:val="20"/>
        <w:szCs w:val="20"/>
        <w:lang w:eastAsia="cs-CZ"/>
      </w:rPr>
      <w:t xml:space="preserve"> Víceletá podpora významných kulturních akcí</w:t>
    </w:r>
    <w:r w:rsidR="00104E9D" w:rsidRPr="00CF61C5">
      <w:rPr>
        <w:rFonts w:eastAsia="Times New Roman" w:cs="Arial"/>
        <w:i/>
        <w:sz w:val="20"/>
        <w:szCs w:val="20"/>
        <w:lang w:eastAsia="cs-CZ"/>
      </w:rPr>
      <w:t xml:space="preserve"> </w:t>
    </w:r>
    <w:r w:rsidR="00104E9D" w:rsidRPr="00CF61C5">
      <w:rPr>
        <w:rFonts w:cs="Arial"/>
        <w:bCs/>
        <w:i/>
        <w:sz w:val="20"/>
        <w:szCs w:val="20"/>
      </w:rPr>
      <w:t>- vyhlášení</w:t>
    </w:r>
  </w:p>
  <w:p w14:paraId="37BA5330" w14:textId="19D660D7" w:rsidR="00D20B9A" w:rsidRPr="00BD19E1" w:rsidRDefault="00FA077E" w:rsidP="00FA077E">
    <w:pPr>
      <w:pStyle w:val="Zpat"/>
      <w:ind w:left="0" w:firstLine="0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FD2706">
      <w:rPr>
        <w:rFonts w:eastAsia="Times New Roman" w:cs="Arial"/>
        <w:i/>
        <w:iCs/>
        <w:noProof/>
        <w:sz w:val="20"/>
        <w:szCs w:val="20"/>
        <w:lang w:eastAsia="cs-CZ"/>
      </w:rPr>
      <w:t>7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104E9D" w:rsidRPr="00104E9D">
      <w:rPr>
        <w:rFonts w:cs="Arial"/>
        <w:bCs/>
        <w:i/>
        <w:sz w:val="20"/>
      </w:rPr>
      <w:t>V</w:t>
    </w:r>
    <w:r w:rsidR="00104E9D" w:rsidRPr="00104E9D">
      <w:rPr>
        <w:rFonts w:cs="Arial"/>
        <w:i/>
        <w:sz w:val="20"/>
      </w:rPr>
      <w:t>zor veřejnoprávní smlouvy o 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B73A" w14:textId="77777777" w:rsidR="000E7BFA" w:rsidRDefault="000E7BFA" w:rsidP="00D40C40">
      <w:r>
        <w:separator/>
      </w:r>
    </w:p>
  </w:footnote>
  <w:footnote w:type="continuationSeparator" w:id="0">
    <w:p w14:paraId="5E5F2FF9" w14:textId="77777777" w:rsidR="000E7BFA" w:rsidRDefault="000E7BF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30B6" w14:textId="060E6F3B" w:rsidR="00104E9D" w:rsidRDefault="00104E9D" w:rsidP="00104E9D">
    <w:pPr>
      <w:pStyle w:val="Zhlav"/>
      <w:jc w:val="center"/>
    </w:pP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FD2706">
      <w:rPr>
        <w:rFonts w:eastAsia="Times New Roman" w:cs="Arial"/>
        <w:i/>
        <w:iCs/>
        <w:noProof/>
        <w:sz w:val="20"/>
        <w:szCs w:val="20"/>
        <w:lang w:eastAsia="cs-CZ"/>
      </w:rPr>
      <w:t>7</w:t>
    </w:r>
    <w:r w:rsidRPr="00FA077E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104E9D">
      <w:rPr>
        <w:rFonts w:cs="Arial"/>
        <w:bCs/>
        <w:i/>
        <w:sz w:val="20"/>
      </w:rPr>
      <w:t>V</w:t>
    </w:r>
    <w:r w:rsidRPr="00104E9D">
      <w:rPr>
        <w:rFonts w:cs="Arial"/>
        <w:i/>
        <w:sz w:val="20"/>
      </w:rPr>
      <w:t>zor veřejnoprávní smlouvy o 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09FA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BFA"/>
    <w:rsid w:val="000E7D2F"/>
    <w:rsid w:val="000F0519"/>
    <w:rsid w:val="000F659E"/>
    <w:rsid w:val="0010380F"/>
    <w:rsid w:val="00104DA7"/>
    <w:rsid w:val="00104E9D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738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FB5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0CE4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667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0A68"/>
    <w:rsid w:val="004E1C6A"/>
    <w:rsid w:val="004E2514"/>
    <w:rsid w:val="004E254D"/>
    <w:rsid w:val="004E2846"/>
    <w:rsid w:val="004E3838"/>
    <w:rsid w:val="004E5314"/>
    <w:rsid w:val="004E5862"/>
    <w:rsid w:val="004E7A87"/>
    <w:rsid w:val="004F0DA0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6F40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0677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34F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1E9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7CF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4E09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C87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0BE4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315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714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079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5B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362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04FA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2706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DC88020-55C3-43D2-A860-D8C2820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4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9C47-6187-44F0-ADC6-2F54DDA8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3542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2018-11-28T07:19:00Z</dcterms:created>
  <dcterms:modified xsi:type="dcterms:W3CDTF">2018-11-28T14:44:00Z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