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40D8FF3B" w:rsidR="00E62519" w:rsidRPr="00E62519" w:rsidRDefault="00573DDC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3CACC836" w:rsidR="00E62519" w:rsidRPr="00EF574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</w:t>
      </w:r>
      <w:r w:rsidRPr="00EF5740">
        <w:rPr>
          <w:rFonts w:eastAsia="Times New Roman" w:cs="Arial"/>
          <w:szCs w:val="24"/>
          <w:lang w:eastAsia="cs-CZ"/>
        </w:rPr>
        <w:t>:</w:t>
      </w:r>
      <w:r w:rsidRPr="00EF5740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EF574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DIČ:</w:t>
      </w:r>
      <w:r w:rsidRPr="00EF5740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234197E1" w:rsidR="00E62519" w:rsidRPr="00EF574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Zastoupený:</w:t>
      </w:r>
      <w:r w:rsidRPr="00EF5740">
        <w:rPr>
          <w:rFonts w:eastAsia="Times New Roman" w:cs="Arial"/>
          <w:szCs w:val="24"/>
          <w:lang w:eastAsia="cs-CZ"/>
        </w:rPr>
        <w:tab/>
      </w:r>
      <w:r w:rsidR="000B49D0" w:rsidRPr="00EF5740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6F420F65" w14:textId="77777777" w:rsidR="00E62519" w:rsidRPr="00EF574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Bankovní spojení:</w:t>
      </w:r>
      <w:r w:rsidRPr="00EF5740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(dále jen „</w:t>
      </w:r>
      <w:r w:rsidRPr="00EF5740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54DF98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138385B2" w:rsidR="009A3DA5" w:rsidRPr="00EF5740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EF5740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EF5740">
        <w:rPr>
          <w:rFonts w:cs="Arial"/>
          <w:szCs w:val="24"/>
        </w:rPr>
        <w:t xml:space="preserve"> </w:t>
      </w:r>
      <w:r w:rsidR="000B49D0" w:rsidRPr="00EF5740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Účelem poskytnutí dotace je</w:t>
      </w:r>
      <w:r w:rsidRPr="00EF5740">
        <w:rPr>
          <w:rFonts w:eastAsia="Times New Roman" w:cs="Arial"/>
          <w:bCs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 xml:space="preserve">úhrada/částečná </w:t>
      </w:r>
      <w:r w:rsidRPr="003E0167">
        <w:rPr>
          <w:rFonts w:eastAsia="Times New Roman" w:cs="Arial"/>
          <w:szCs w:val="24"/>
          <w:lang w:eastAsia="cs-CZ"/>
        </w:rPr>
        <w:t xml:space="preserve">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………</w:t>
      </w:r>
      <w:r w:rsidRPr="003E0167">
        <w:rPr>
          <w:rFonts w:eastAsia="Times New Roman" w:cs="Arial"/>
          <w:szCs w:val="24"/>
          <w:lang w:eastAsia="cs-CZ"/>
        </w:rPr>
        <w:t xml:space="preserve">......... (dále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3951B002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3E472BB3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34763571" w:rsidR="00001074" w:rsidRPr="00EF574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</w:t>
      </w:r>
      <w:r w:rsidRPr="00EF5740">
        <w:rPr>
          <w:rFonts w:eastAsia="Times New Roman" w:cs="Arial"/>
          <w:szCs w:val="24"/>
          <w:lang w:eastAsia="cs-CZ"/>
        </w:rPr>
        <w:t>dotace dle čl. I odst. 2 a 4 této smlouvy, v souladu s podmínkami stanovenými v této smlouvě a v souladu s</w:t>
      </w:r>
      <w:r w:rsidR="00F17899" w:rsidRPr="00EF5740">
        <w:rPr>
          <w:rFonts w:eastAsia="Times New Roman" w:cs="Arial"/>
          <w:szCs w:val="24"/>
          <w:lang w:eastAsia="cs-CZ"/>
        </w:rPr>
        <w:t xml:space="preserve"> pravidly </w:t>
      </w:r>
      <w:r w:rsidR="00ED68BB" w:rsidRPr="00EF5740">
        <w:rPr>
          <w:rFonts w:eastAsia="Times New Roman" w:cs="Arial"/>
          <w:szCs w:val="24"/>
          <w:lang w:eastAsia="cs-CZ"/>
        </w:rPr>
        <w:t xml:space="preserve">dotačního </w:t>
      </w:r>
      <w:r w:rsidR="000B49D0" w:rsidRPr="00EF5740">
        <w:rPr>
          <w:rFonts w:eastAsia="Times New Roman" w:cs="Arial"/>
          <w:szCs w:val="24"/>
          <w:lang w:eastAsia="cs-CZ"/>
        </w:rPr>
        <w:t xml:space="preserve">programu </w:t>
      </w:r>
      <w:r w:rsidR="000B49D0" w:rsidRPr="00EF5740">
        <w:rPr>
          <w:rFonts w:cs="Arial"/>
          <w:b/>
          <w:szCs w:val="24"/>
        </w:rPr>
        <w:t>Program podpory kultury v Olomouckém kraji v roce 2019</w:t>
      </w:r>
      <w:r w:rsidR="000B49D0" w:rsidRPr="00EF5740">
        <w:rPr>
          <w:rFonts w:eastAsia="Times New Roman" w:cs="Arial"/>
          <w:szCs w:val="24"/>
          <w:lang w:eastAsia="cs-CZ"/>
        </w:rPr>
        <w:t xml:space="preserve"> </w:t>
      </w:r>
      <w:r w:rsidR="000B49D0" w:rsidRPr="00EF5740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EF5740">
        <w:rPr>
          <w:rFonts w:eastAsia="Times New Roman" w:cs="Arial"/>
          <w:iCs/>
          <w:szCs w:val="24"/>
          <w:lang w:eastAsia="cs-CZ"/>
        </w:rPr>
        <w:t xml:space="preserve">V případě odchylného znění Pravidel a této smlouvy mají přednost ustanovení této </w:t>
      </w:r>
      <w:r w:rsidRPr="003E0167">
        <w:rPr>
          <w:rFonts w:eastAsia="Times New Roman" w:cs="Arial"/>
          <w:iCs/>
          <w:szCs w:val="24"/>
          <w:lang w:eastAsia="cs-CZ"/>
        </w:rPr>
        <w:t>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eastAsia="Times New Roman" w:cs="Arial"/>
          <w:szCs w:val="24"/>
          <w:lang w:eastAsia="cs-CZ"/>
        </w:rPr>
        <w:t>……………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>zpočtové kázně ve smyslu ust.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Příjemce je povinen použít poskytnutou dotaci nejpozději do </w:t>
      </w:r>
      <w:r w:rsidRPr="00B6510E">
        <w:rPr>
          <w:rFonts w:eastAsia="Times New Roman" w:cs="Arial"/>
          <w:szCs w:val="24"/>
          <w:lang w:eastAsia="cs-CZ"/>
        </w:rPr>
        <w:t>..........</w:t>
      </w:r>
      <w:r w:rsidRPr="00B6510E">
        <w:rPr>
          <w:rFonts w:eastAsia="Times New Roman" w:cs="Arial"/>
          <w:iCs/>
          <w:szCs w:val="24"/>
          <w:lang w:eastAsia="cs-CZ"/>
        </w:rPr>
        <w:t>..</w:t>
      </w:r>
      <w:r w:rsidR="00B6510E">
        <w:rPr>
          <w:rFonts w:eastAsia="Times New Roman" w:cs="Arial"/>
          <w:iCs/>
          <w:szCs w:val="24"/>
          <w:lang w:eastAsia="cs-CZ"/>
        </w:rPr>
        <w:t>…</w:t>
      </w:r>
      <w:r w:rsidR="009A4F51">
        <w:rPr>
          <w:rFonts w:eastAsia="Times New Roman" w:cs="Arial"/>
          <w:iCs/>
          <w:szCs w:val="24"/>
          <w:lang w:eastAsia="cs-CZ"/>
        </w:rPr>
        <w:t>.</w:t>
      </w:r>
      <w:r w:rsidR="00B9505C" w:rsidRP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9505C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nejpozději do konce měsíce následujícího po konci termínu realizace akce, </w:t>
      </w:r>
      <w:r w:rsidR="00B9505C" w:rsidRPr="003E0167">
        <w:rPr>
          <w:rFonts w:eastAsia="Times New Roman" w:cs="Arial"/>
          <w:i/>
          <w:iCs/>
          <w:color w:val="0000FF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1D5FCF37" w:rsidR="009A3DA5" w:rsidRPr="003E0167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3E0167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eastAsia="Times New Roman" w:cs="Arial"/>
          <w:iCs/>
          <w:szCs w:val="24"/>
          <w:lang w:eastAsia="cs-CZ"/>
        </w:rPr>
        <w:t>výdajů</w:t>
      </w:r>
      <w:r w:rsidRPr="003E0167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</w:t>
      </w:r>
      <w:r>
        <w:rPr>
          <w:rFonts w:eastAsia="Times New Roman" w:cs="Arial"/>
          <w:iCs/>
          <w:szCs w:val="24"/>
          <w:lang w:eastAsia="cs-CZ"/>
        </w:rPr>
        <w:t xml:space="preserve"> dle čl. I odst. 2 a 4 této smlouvy a podmínkami </w:t>
      </w:r>
      <w:r w:rsidR="00F6008E">
        <w:rPr>
          <w:rFonts w:eastAsia="Times New Roman" w:cs="Arial"/>
          <w:iCs/>
          <w:szCs w:val="24"/>
          <w:lang w:eastAsia="cs-CZ"/>
        </w:rPr>
        <w:t>po</w:t>
      </w:r>
      <w:r>
        <w:rPr>
          <w:rFonts w:eastAsia="Times New Roman" w:cs="Arial"/>
          <w:iCs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78379E3D" w:rsidR="00B67C75" w:rsidRPr="00EF5740" w:rsidRDefault="00AB7FDF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</w:t>
      </w:r>
      <w:r w:rsidRPr="00EF5740">
        <w:rPr>
          <w:rFonts w:eastAsia="Times New Roman" w:cs="Arial"/>
          <w:szCs w:val="24"/>
          <w:lang w:eastAsia="cs-CZ"/>
        </w:rPr>
        <w:t xml:space="preserve">předpokládané uznatelné výdaje na účel uvedený v čl. I odst. 2 a 4 této smlouvy činí ….…… Kč (slovy: …..…… korun českých). Příjemce je povinen na tento účel vynaložit </w:t>
      </w:r>
      <w:r w:rsidRPr="00EF5740">
        <w:rPr>
          <w:rFonts w:cs="Arial"/>
          <w:szCs w:val="24"/>
        </w:rPr>
        <w:t>minimálně 50</w:t>
      </w:r>
      <w:r w:rsidRPr="00EF5740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EF5740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14ACB8E3" w14:textId="2A7CEE87" w:rsidR="00CB5336" w:rsidRPr="00EF5740" w:rsidRDefault="00CB5336" w:rsidP="00CB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</w:t>
      </w:r>
      <w:r w:rsidR="00331407" w:rsidRPr="00EF5740">
        <w:rPr>
          <w:rFonts w:eastAsia="Times New Roman" w:cs="Arial"/>
          <w:i/>
          <w:szCs w:val="24"/>
          <w:lang w:eastAsia="cs-CZ"/>
        </w:rPr>
        <w:t>.</w:t>
      </w:r>
    </w:p>
    <w:p w14:paraId="3C9258EB" w14:textId="77777777" w:rsidR="009A3DA5" w:rsidRPr="00EF574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EF574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EF5740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EF5740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104231FC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</w:t>
      </w:r>
      <w:r w:rsidR="000B49D0" w:rsidRPr="00EF5740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0B49D0" w:rsidRPr="00EF5740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0B49D0" w:rsidRPr="00EF5740">
        <w:rPr>
          <w:rFonts w:eastAsia="Times New Roman" w:cs="Arial"/>
          <w:szCs w:val="24"/>
          <w:lang w:eastAsia="cs-CZ"/>
        </w:rPr>
        <w:t>https://www.</w:t>
      </w:r>
      <w:r w:rsidR="008A5E29" w:rsidRPr="00EF5740">
        <w:rPr>
          <w:rFonts w:eastAsia="Times New Roman" w:cs="Arial"/>
          <w:szCs w:val="24"/>
          <w:lang w:eastAsia="cs-CZ"/>
        </w:rPr>
        <w:t>olkraj</w:t>
      </w:r>
      <w:r w:rsidR="000B49D0" w:rsidRPr="00EF5740">
        <w:rPr>
          <w:rFonts w:eastAsia="Times New Roman" w:cs="Arial"/>
          <w:szCs w:val="24"/>
          <w:lang w:eastAsia="cs-CZ"/>
        </w:rPr>
        <w:t xml:space="preserve">.cz/vyuctovani-dotace-cl-4390.html </w:t>
      </w:r>
      <w:r w:rsidR="00A9730D" w:rsidRPr="00EF5740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0B49D0" w:rsidRPr="00EF5740">
        <w:rPr>
          <w:rFonts w:eastAsia="Times New Roman" w:cs="Arial"/>
          <w:szCs w:val="24"/>
          <w:lang w:eastAsia="cs-CZ"/>
        </w:rPr>
        <w:t>v soupisu jsou pravdivé a úplné</w:t>
      </w:r>
      <w:r w:rsidR="00A9730D" w:rsidRPr="00EF5740">
        <w:rPr>
          <w:rFonts w:eastAsia="Times New Roman" w:cs="Arial"/>
          <w:szCs w:val="24"/>
          <w:lang w:eastAsia="cs-CZ"/>
        </w:rPr>
        <w:t>.</w:t>
      </w:r>
      <w:r w:rsidR="00A9730D" w:rsidRPr="00EF5740">
        <w:rPr>
          <w:rFonts w:cs="Arial"/>
          <w:iCs/>
          <w:szCs w:val="24"/>
        </w:rPr>
        <w:t xml:space="preserve"> </w:t>
      </w:r>
      <w:r w:rsidR="00A9730D" w:rsidRPr="003E0167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3E0167">
        <w:rPr>
          <w:rFonts w:cs="Arial"/>
          <w:szCs w:val="24"/>
        </w:rPr>
        <w:t>příjmy uvedené v odst. 11.22 Pravidel</w:t>
      </w:r>
      <w:r w:rsidR="00840C0F" w:rsidRPr="003E0167">
        <w:rPr>
          <w:rFonts w:cs="Arial"/>
          <w:szCs w:val="24"/>
        </w:rPr>
        <w:t>.</w:t>
      </w:r>
    </w:p>
    <w:p w14:paraId="2FDE39D2" w14:textId="32E3774C" w:rsidR="00822CBA" w:rsidRPr="00EF574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0B49D0" w:rsidRPr="00EF5740">
        <w:rPr>
          <w:rFonts w:eastAsia="Times New Roman" w:cs="Arial"/>
          <w:szCs w:val="24"/>
          <w:lang w:eastAsia="cs-CZ"/>
        </w:rPr>
        <w:t>Vyúčtování dotace</w:t>
      </w:r>
      <w:r w:rsidR="00A9730D" w:rsidRPr="00EF5740">
        <w:rPr>
          <w:rFonts w:eastAsia="Times New Roman" w:cs="Arial"/>
          <w:szCs w:val="24"/>
          <w:lang w:eastAsia="cs-CZ"/>
        </w:rPr>
        <w:t>“</w:t>
      </w:r>
      <w:r w:rsidR="004C0852" w:rsidRPr="00EF5740">
        <w:rPr>
          <w:rFonts w:eastAsia="Times New Roman" w:cs="Arial"/>
          <w:szCs w:val="24"/>
          <w:lang w:eastAsia="cs-CZ"/>
        </w:rPr>
        <w:t>.</w:t>
      </w:r>
      <w:r w:rsidR="00DC038B" w:rsidRPr="00EF5740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EF5740">
        <w:rPr>
          <w:rFonts w:eastAsia="Times New Roman" w:cs="Arial"/>
          <w:szCs w:val="24"/>
          <w:lang w:eastAsia="cs-CZ"/>
        </w:rPr>
        <w:t>.</w:t>
      </w:r>
    </w:p>
    <w:p w14:paraId="0B5E3DCC" w14:textId="6DFD1DF6" w:rsidR="00A9730D" w:rsidRPr="00EF574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B49D0" w:rsidRPr="00EF5740">
        <w:rPr>
          <w:rFonts w:eastAsia="Times New Roman" w:cs="Arial"/>
          <w:szCs w:val="24"/>
          <w:lang w:eastAsia="cs-CZ"/>
        </w:rPr>
        <w:t>Vyúčtování dotace</w:t>
      </w:r>
      <w:r w:rsidR="00A9730D" w:rsidRPr="00EF5740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EF574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fotokopiemi výdajových dokladů </w:t>
      </w:r>
      <w:r w:rsidRPr="003E0167">
        <w:rPr>
          <w:rFonts w:eastAsia="Times New Roman" w:cs="Arial"/>
          <w:szCs w:val="24"/>
          <w:lang w:eastAsia="cs-CZ"/>
        </w:rPr>
        <w:t>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2A3AFD5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448FCD1F" w:rsidR="00A9730D" w:rsidRPr="00A9730D" w:rsidRDefault="000B49D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Závěrečná zpráva musí obsahovat</w:t>
      </w:r>
      <w:r w:rsidRPr="00EF5740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poskytovateli fotodokumentaci a </w:t>
      </w:r>
      <w:r w:rsidRPr="00EF5740">
        <w:rPr>
          <w:rFonts w:cs="Arial"/>
          <w:szCs w:val="24"/>
        </w:rPr>
        <w:t>prokázání splnění povinností příjemce dle čl. II. odst. 10 této smlouvy.</w:t>
      </w:r>
      <w:r w:rsidRPr="00EF5740">
        <w:rPr>
          <w:rFonts w:eastAsia="Times New Roman" w:cs="Arial"/>
          <w:i/>
          <w:szCs w:val="24"/>
          <w:lang w:eastAsia="cs-CZ"/>
        </w:rPr>
        <w:t xml:space="preserve"> </w:t>
      </w:r>
      <w:r w:rsidR="009C5E46" w:rsidRPr="003E0167">
        <w:rPr>
          <w:rFonts w:eastAsia="Times New Roman" w:cs="Arial"/>
          <w:i/>
          <w:color w:val="0000FF"/>
          <w:szCs w:val="24"/>
          <w:lang w:eastAsia="cs-CZ"/>
        </w:rPr>
        <w:t>(</w:t>
      </w:r>
      <w:r w:rsidR="009C5E46" w:rsidRPr="003E0167">
        <w:rPr>
          <w:rFonts w:eastAsia="Times New Roman" w:cs="Arial"/>
          <w:i/>
          <w:iCs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vypustí)</w:t>
      </w:r>
      <w:r w:rsidR="009C5E46"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758E3118" w14:textId="0717A868" w:rsidR="00A9730D" w:rsidRPr="00A9730D" w:rsidRDefault="00AB7FDF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V případě, </w:t>
      </w:r>
      <w:r w:rsidRPr="00EF5740">
        <w:rPr>
          <w:rFonts w:eastAsia="Times New Roman" w:cs="Arial"/>
          <w:szCs w:val="24"/>
          <w:lang w:eastAsia="cs-CZ"/>
        </w:rPr>
        <w:t>že dotace nebyla použita v celé výši ve lhůtě uvedené v čl. II odst. 2 této smlouvy,</w:t>
      </w:r>
      <w:r w:rsidRPr="00EF5740">
        <w:rPr>
          <w:rFonts w:eastAsia="Times New Roman" w:cs="Arial"/>
          <w:i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EF5740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EF5740">
        <w:rPr>
          <w:rFonts w:eastAsia="Times New Roman" w:cs="Arial"/>
          <w:szCs w:val="24"/>
          <w:lang w:eastAsia="cs-CZ"/>
        </w:rPr>
        <w:t>,</w:t>
      </w:r>
      <w:r w:rsidR="00A9730D" w:rsidRPr="00EF5740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</w:t>
      </w:r>
      <w:r w:rsidR="00A9730D" w:rsidRPr="000B49D0">
        <w:rPr>
          <w:rFonts w:eastAsia="Times New Roman" w:cs="Arial"/>
          <w:szCs w:val="24"/>
          <w:lang w:eastAsia="cs-CZ"/>
        </w:rPr>
        <w:t>. V témže termínu je příjemce povinen vrátit poskytovateli poskytnutou dotaci v částc</w:t>
      </w:r>
      <w:r w:rsidR="0007359B" w:rsidRPr="000B49D0">
        <w:rPr>
          <w:rFonts w:eastAsia="Times New Roman" w:cs="Arial"/>
          <w:szCs w:val="24"/>
          <w:lang w:eastAsia="cs-CZ"/>
        </w:rPr>
        <w:t>e, o ni</w:t>
      </w:r>
      <w:r w:rsidR="00A9730D" w:rsidRPr="000B49D0">
        <w:rPr>
          <w:rFonts w:eastAsia="Times New Roman" w:cs="Arial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</w:t>
      </w:r>
      <w:r>
        <w:rPr>
          <w:rFonts w:eastAsia="Times New Roman" w:cs="Arial"/>
          <w:szCs w:val="24"/>
          <w:lang w:eastAsia="cs-CZ"/>
        </w:rPr>
        <w:lastRenderedPageBreak/>
        <w:t xml:space="preserve">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5AEC50B9" w:rsidR="009A3DA5" w:rsidRPr="003E0167" w:rsidRDefault="004731F9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EF574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</w:t>
      </w:r>
      <w:r w:rsidRPr="00EF5740">
        <w:rPr>
          <w:rFonts w:eastAsia="Times New Roman" w:cs="Arial"/>
          <w:szCs w:val="24"/>
          <w:lang w:eastAsia="cs-CZ"/>
        </w:rPr>
        <w:t>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8358CA" w:rsidR="00836AA2" w:rsidRPr="003E0167" w:rsidRDefault="000B49D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573DDC" w:rsidRPr="00EF5740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EF5740">
        <w:rPr>
          <w:rFonts w:eastAsia="Times New Roman" w:cs="Arial"/>
          <w:szCs w:val="24"/>
          <w:lang w:eastAsia="cs-CZ"/>
        </w:rPr>
        <w:t xml:space="preserve">, dále je příjemce povinen označit propagační materiály příjemce, </w:t>
      </w:r>
      <w:r w:rsidRPr="00EF5740">
        <w:rPr>
          <w:rFonts w:eastAsia="Times New Roman" w:cs="Arial"/>
          <w:szCs w:val="24"/>
          <w:lang w:eastAsia="cs-CZ"/>
        </w:rPr>
        <w:lastRenderedPageBreak/>
        <w:t>vztahující se k účelu dotace, logem posk</w:t>
      </w:r>
      <w:r w:rsidRPr="006B549F">
        <w:rPr>
          <w:rFonts w:eastAsia="Times New Roman" w:cs="Arial"/>
          <w:szCs w:val="24"/>
          <w:lang w:eastAsia="cs-CZ"/>
        </w:rPr>
        <w:t xml:space="preserve">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EF5740">
        <w:rPr>
          <w:rFonts w:eastAsia="Times New Roman" w:cs="Arial"/>
          <w:color w:val="3333FF"/>
          <w:szCs w:val="24"/>
          <w:lang w:eastAsia="cs-CZ"/>
        </w:rPr>
        <w:t xml:space="preserve"> 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="00836AA2" w:rsidRPr="003E0167">
        <w:rPr>
          <w:rFonts w:eastAsia="Times New Roman" w:cs="Arial"/>
          <w:szCs w:val="24"/>
          <w:lang w:eastAsia="cs-CZ"/>
        </w:rPr>
        <w:t>.</w:t>
      </w:r>
    </w:p>
    <w:p w14:paraId="4711E03D" w14:textId="22D3B272" w:rsidR="00836AA2" w:rsidRPr="003E0167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3E0167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630FF09D" w:rsidR="00836AA2" w:rsidRPr="003E0167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3E0167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3E0167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1 mil. Kč, se navíc uvede</w:t>
      </w:r>
      <w:r w:rsidR="000B2B07" w:rsidRPr="003E0167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eastAsia="Times New Roman" w:cs="Arial"/>
          <w:szCs w:val="24"/>
          <w:lang w:eastAsia="cs-CZ"/>
        </w:rPr>
        <w:t xml:space="preserve">podporované dle této smlouvy </w:t>
      </w:r>
      <w:r w:rsidRPr="003E0167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166B508C" w:rsidR="00836AA2" w:rsidRPr="003E0167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3E0167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3E0167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3E0167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3E0167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F957ED" w:rsidRPr="003E0167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3E0167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79DAB92C" w:rsidR="00AF3968" w:rsidRPr="000B49D0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</w:t>
      </w:r>
      <w:r w:rsidRPr="000B49D0">
        <w:rPr>
          <w:rFonts w:eastAsia="Times New Roman" w:cs="Arial"/>
          <w:bCs/>
          <w:iCs/>
          <w:szCs w:val="24"/>
          <w:lang w:eastAsia="cs-CZ"/>
        </w:rPr>
        <w:t>smlouvy u něj není dána žádná ze skutečností, pro kterou nelze poskytnout dotaci dle odst. 10.1 Pravidel.</w:t>
      </w:r>
    </w:p>
    <w:p w14:paraId="6C15CEB6" w14:textId="0ABE083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0B49D0">
        <w:rPr>
          <w:rFonts w:eastAsia="Times New Roman" w:cs="Arial"/>
          <w:bCs/>
          <w:iCs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B49D0" w:rsidRPr="000B49D0">
        <w:rPr>
          <w:rFonts w:eastAsia="Times New Roman" w:cs="Arial"/>
          <w:bCs/>
          <w:iCs/>
          <w:szCs w:val="24"/>
          <w:lang w:eastAsia="cs-CZ"/>
        </w:rPr>
        <w:t xml:space="preserve"> </w:t>
      </w:r>
      <w:r w:rsidRPr="000B49D0">
        <w:rPr>
          <w:rFonts w:eastAsia="Times New Roman" w:cs="Arial"/>
          <w:bCs/>
          <w:iCs/>
          <w:szCs w:val="24"/>
          <w:lang w:eastAsia="cs-CZ"/>
        </w:rPr>
        <w:t>Pravidel</w:t>
      </w:r>
      <w:r w:rsidRPr="003E0167">
        <w:rPr>
          <w:rFonts w:eastAsia="Times New Roman" w:cs="Arial"/>
          <w:bCs/>
          <w:iCs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3E0167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minimis. V takovém případě se 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lastRenderedPageBreak/>
        <w:t>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3E0167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eastAsia="Times New Roman" w:cs="Arial"/>
          <w:szCs w:val="24"/>
          <w:lang w:eastAsia="cs-CZ"/>
        </w:rPr>
        <w:t xml:space="preserve">dotace </w:t>
      </w:r>
      <w:r w:rsidRPr="003E0167">
        <w:rPr>
          <w:rFonts w:eastAsia="Times New Roman" w:cs="Arial"/>
          <w:iCs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 w:rsidRPr="003E0167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cs="Arial"/>
          <w:szCs w:val="24"/>
          <w:lang w:eastAsia="cs-CZ"/>
        </w:rPr>
        <w:t xml:space="preserve"> Smluvní strany jsou srozuměny s tím, že t</w:t>
      </w:r>
      <w:r w:rsidRPr="003E0167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3E0167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3E0167">
        <w:rPr>
          <w:rFonts w:cs="Arial"/>
          <w:szCs w:val="24"/>
          <w:lang w:eastAsia="cs-CZ"/>
        </w:rPr>
        <w:t>T</w:t>
      </w:r>
      <w:r w:rsidRPr="003E0167">
        <w:rPr>
          <w:rFonts w:cs="Arial"/>
          <w:szCs w:val="24"/>
          <w:lang w:eastAsia="cs-CZ"/>
        </w:rPr>
        <w:t>ato smlouva nabývá účinnosti dnem jejího uveřejnění v registru smluv</w:t>
      </w:r>
      <w:r w:rsidRPr="003E0167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2660F6DC" w:rsidR="004C50AD" w:rsidRPr="00EF5740" w:rsidRDefault="000B49D0" w:rsidP="005C12B7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Příjemce bere na vědomí, že osobní údaje poskytnuté Olomouckému kraji v souvislosti s </w:t>
      </w:r>
      <w:r w:rsidRPr="00EF5740">
        <w:rPr>
          <w:rFonts w:eastAsia="Times New Roman" w:cs="Arial"/>
          <w:szCs w:val="24"/>
          <w:lang w:eastAsia="cs-CZ"/>
        </w:rPr>
        <w:t xml:space="preserve">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5C12B7" w:rsidRPr="00EF5740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C50AD" w:rsidRPr="00EF5740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EF574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6372C55" w:rsidR="009A3DA5" w:rsidRPr="00EF5740" w:rsidRDefault="000B49D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EF5740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Olomouci 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61A5EF78" w14:textId="77777777" w:rsidR="00B1715E" w:rsidRPr="006B549F" w:rsidRDefault="00B1715E" w:rsidP="00B1715E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6B549F">
        <w:rPr>
          <w:rFonts w:eastAsia="Times New Roman" w:cs="Arial"/>
          <w:b/>
          <w:sz w:val="28"/>
          <w:szCs w:val="28"/>
          <w:lang w:eastAsia="cs-CZ"/>
        </w:rPr>
        <w:t>Vzorové ustanovení čl. II odst. 2 – 5 smluv o poskytnutí</w:t>
      </w:r>
      <w:r w:rsidRPr="006B549F">
        <w:rPr>
          <w:rFonts w:eastAsia="Times New Roman" w:cs="Arial"/>
          <w:b/>
          <w:sz w:val="28"/>
          <w:szCs w:val="28"/>
          <w:lang w:eastAsia="cs-CZ"/>
        </w:rPr>
        <w:br/>
        <w:t xml:space="preserve">programové </w:t>
      </w:r>
      <w:r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dotace nepřevyšující 35 tisíc Kč na akci</w:t>
      </w:r>
    </w:p>
    <w:p w14:paraId="35E0A9A2" w14:textId="77777777" w:rsidR="00B1715E" w:rsidRPr="006B549F" w:rsidRDefault="00B1715E" w:rsidP="00B1715E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je povinen použít poskytnutou dotaci nejpozději do ……………</w:t>
      </w:r>
      <w:r w:rsidRPr="006B549F">
        <w:rPr>
          <w:rFonts w:eastAsia="Times New Roman" w:cs="Arial"/>
          <w:iCs/>
          <w:color w:val="0000FF"/>
          <w:szCs w:val="24"/>
          <w:lang w:eastAsia="cs-CZ"/>
        </w:rPr>
        <w:t>.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06D879EE" w14:textId="77777777" w:rsidR="00B1715E" w:rsidRPr="006B549F" w:rsidRDefault="00B1715E" w:rsidP="00B1715E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39CA5D47" w14:textId="77777777" w:rsidR="00B1715E" w:rsidRPr="00EF5740" w:rsidRDefault="00B1715E" w:rsidP="00B1715E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 xml:space="preserve">Příjemce je oprávněn použít dotaci také </w:t>
      </w:r>
      <w:r w:rsidRPr="00EF5740">
        <w:rPr>
          <w:rFonts w:eastAsia="Times New Roman" w:cs="Arial"/>
          <w:iCs/>
          <w:szCs w:val="24"/>
          <w:lang w:eastAsia="cs-CZ"/>
        </w:rPr>
        <w:t>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23694104" w14:textId="77777777" w:rsidR="00B1715E" w:rsidRPr="00EF5740" w:rsidRDefault="00B1715E" w:rsidP="00B1715E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7EFF03A" w14:textId="77777777" w:rsidR="00B1715E" w:rsidRPr="00EF5740" w:rsidRDefault="00B1715E" w:rsidP="00B1715E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ADF9644" w14:textId="77777777" w:rsidR="00B1715E" w:rsidRPr="00EF5740" w:rsidRDefault="00B1715E" w:rsidP="00B1715E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Vyúčtování musí obsahovat:</w:t>
      </w:r>
    </w:p>
    <w:p w14:paraId="1E94AD8F" w14:textId="50074FDA" w:rsidR="00B1715E" w:rsidRPr="006B549F" w:rsidRDefault="00B1715E" w:rsidP="00B1715E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„Vyúčtování dotace“.</w:t>
      </w:r>
      <w:r w:rsidRPr="00EF5740">
        <w:rPr>
          <w:rFonts w:eastAsia="Times New Roman" w:cs="Arial"/>
          <w:i/>
          <w:szCs w:val="24"/>
          <w:lang w:eastAsia="cs-CZ"/>
        </w:rPr>
        <w:t xml:space="preserve"> </w:t>
      </w:r>
      <w:r w:rsidRPr="00EF5740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EF5740">
        <w:rPr>
          <w:rFonts w:eastAsia="Times New Roman" w:cs="Arial"/>
          <w:szCs w:val="24"/>
          <w:lang w:eastAsia="cs-CZ"/>
        </w:rPr>
        <w:t>https://www.</w:t>
      </w:r>
      <w:r w:rsidR="008A5E29" w:rsidRPr="00EF5740">
        <w:rPr>
          <w:rFonts w:eastAsia="Times New Roman" w:cs="Arial"/>
          <w:szCs w:val="24"/>
          <w:lang w:eastAsia="cs-CZ"/>
        </w:rPr>
        <w:t>olkraj</w:t>
      </w:r>
      <w:r w:rsidRPr="00EF5740">
        <w:rPr>
          <w:rFonts w:eastAsia="Times New Roman" w:cs="Arial"/>
          <w:szCs w:val="24"/>
          <w:lang w:eastAsia="cs-CZ"/>
        </w:rPr>
        <w:t xml:space="preserve">.cz/vyuctovani-dotace-cl-4390.html Soupis příjmů dle tohoto ustanovení doloží příjemce čestným prohlášením, že všechny příjmy uvedené v soupisu jsou pravdivé a úplné. </w:t>
      </w:r>
      <w:r w:rsidRPr="00EF5740">
        <w:rPr>
          <w:rFonts w:eastAsia="Times New Roman" w:cs="Arial"/>
          <w:iCs/>
          <w:szCs w:val="24"/>
          <w:lang w:eastAsia="cs-CZ"/>
        </w:rPr>
        <w:t xml:space="preserve">Za příjem </w:t>
      </w:r>
      <w:r w:rsidRPr="006B549F">
        <w:rPr>
          <w:rFonts w:eastAsia="Times New Roman" w:cs="Arial"/>
          <w:iCs/>
          <w:szCs w:val="24"/>
          <w:lang w:eastAsia="cs-CZ"/>
        </w:rPr>
        <w:t xml:space="preserve">se považují veškeré </w:t>
      </w:r>
      <w:r w:rsidRPr="006B549F">
        <w:rPr>
          <w:rFonts w:cs="Arial"/>
          <w:szCs w:val="24"/>
        </w:rPr>
        <w:t>příjmy uvedené v odst. 11.22 Pravidel.</w:t>
      </w:r>
    </w:p>
    <w:p w14:paraId="48D30E5B" w14:textId="77777777" w:rsidR="00B1715E" w:rsidRPr="006B549F" w:rsidRDefault="00B1715E" w:rsidP="00B1715E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63DA96DE" w14:textId="4AE8F47A" w:rsidR="00B1715E" w:rsidRPr="00EF5740" w:rsidRDefault="00B1715E" w:rsidP="00B1715E">
      <w:pPr>
        <w:spacing w:before="120" w:after="120"/>
        <w:ind w:left="1287" w:hanging="720"/>
        <w:rPr>
          <w:rFonts w:eastAsia="Times New Roman" w:cs="Arial"/>
          <w:strike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4.2.</w:t>
      </w:r>
      <w:r w:rsidRPr="006B549F">
        <w:rPr>
          <w:rFonts w:eastAsia="Times New Roman" w:cs="Arial"/>
          <w:szCs w:val="24"/>
          <w:lang w:eastAsia="cs-CZ"/>
        </w:rPr>
        <w:tab/>
        <w:t xml:space="preserve">Soupis výdajů hrazených z poskytnuté dotace na akci, na jejíž realizaci byla poskytnuta </w:t>
      </w:r>
      <w:r w:rsidRPr="00EF5740">
        <w:rPr>
          <w:rFonts w:eastAsia="Times New Roman" w:cs="Arial"/>
          <w:szCs w:val="24"/>
          <w:lang w:eastAsia="cs-CZ"/>
        </w:rPr>
        <w:t>dotace dle této smlouvy, a to v rozsahu uvedeném v příloze č. 1 „Vyúčtování dotace“. Tento soupis bude doložen čestným prohlášením, že výdaje uvedené v soupisu jsou shodné s údaji na originálech účetních dokladů a jsou pravdivé</w:t>
      </w:r>
      <w:r w:rsidR="00EF5740" w:rsidRPr="00EF5740">
        <w:rPr>
          <w:rFonts w:eastAsia="Times New Roman" w:cs="Arial"/>
          <w:szCs w:val="24"/>
          <w:lang w:eastAsia="cs-CZ"/>
        </w:rPr>
        <w:t>.</w:t>
      </w:r>
    </w:p>
    <w:p w14:paraId="07139DAB" w14:textId="77777777" w:rsidR="00B1715E" w:rsidRPr="00EF5740" w:rsidRDefault="00B1715E" w:rsidP="00B1715E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169464D8" w14:textId="311E8EFD" w:rsidR="00B1715E" w:rsidRPr="00EF5740" w:rsidRDefault="00B1715E" w:rsidP="00B1715E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Závěrečná zpráva musí obsahovat</w:t>
      </w:r>
      <w:r w:rsidRPr="00EF5740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>popis projektu a statistické údaje související s</w:t>
      </w:r>
      <w:r w:rsidR="00EF5740" w:rsidRPr="00EF5740">
        <w:rPr>
          <w:rFonts w:eastAsia="Times New Roman" w:cs="Arial"/>
          <w:szCs w:val="24"/>
          <w:lang w:eastAsia="cs-CZ"/>
        </w:rPr>
        <w:t> </w:t>
      </w:r>
      <w:r w:rsidRPr="00EF5740">
        <w:rPr>
          <w:rFonts w:eastAsia="Times New Roman" w:cs="Arial"/>
          <w:szCs w:val="24"/>
          <w:lang w:eastAsia="cs-CZ"/>
        </w:rPr>
        <w:t>projektem</w:t>
      </w:r>
      <w:r w:rsidR="00EF5740" w:rsidRPr="00EF5740">
        <w:rPr>
          <w:rFonts w:eastAsia="Times New Roman" w:cs="Arial"/>
          <w:szCs w:val="24"/>
          <w:lang w:eastAsia="cs-CZ"/>
        </w:rPr>
        <w:t>.</w:t>
      </w:r>
    </w:p>
    <w:p w14:paraId="55ED5D07" w14:textId="77777777" w:rsidR="00B1715E" w:rsidRPr="00077E87" w:rsidRDefault="00B1715E" w:rsidP="00B1715E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</w:t>
      </w:r>
      <w:r w:rsidRPr="00A44540">
        <w:rPr>
          <w:rFonts w:eastAsia="Times New Roman" w:cs="Arial"/>
          <w:szCs w:val="24"/>
          <w:lang w:eastAsia="cs-CZ"/>
        </w:rPr>
        <w:t>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</w:t>
      </w:r>
    </w:p>
    <w:p w14:paraId="7063F5ED" w14:textId="192954C6" w:rsidR="00FE3DFD" w:rsidRDefault="00FE3DFD" w:rsidP="00B1715E">
      <w:pPr>
        <w:tabs>
          <w:tab w:val="left" w:pos="540"/>
        </w:tabs>
        <w:spacing w:after="120"/>
        <w:ind w:left="567" w:firstLine="0"/>
        <w:rPr>
          <w:rFonts w:eastAsia="Times New Roman" w:cs="Arial"/>
          <w:szCs w:val="24"/>
          <w:lang w:eastAsia="cs-CZ"/>
        </w:rPr>
      </w:pPr>
    </w:p>
    <w:sectPr w:rsidR="00FE3DFD" w:rsidSect="00F07FF9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3AFA" w14:textId="77777777" w:rsidR="009566A5" w:rsidRDefault="009566A5" w:rsidP="00D40C40">
      <w:r>
        <w:separator/>
      </w:r>
    </w:p>
  </w:endnote>
  <w:endnote w:type="continuationSeparator" w:id="0">
    <w:p w14:paraId="433B5007" w14:textId="77777777" w:rsidR="009566A5" w:rsidRDefault="009566A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7A1E39B5" w:rsidR="0092407D" w:rsidRPr="005720E6" w:rsidRDefault="00CB68D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69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DD14A5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361D73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1C9E9A77" w14:textId="0EA301B2" w:rsidR="0092407D" w:rsidRDefault="00CB68D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EC14EB">
      <w:rPr>
        <w:rFonts w:eastAsia="Times New Roman" w:cs="Arial"/>
        <w:i/>
        <w:sz w:val="20"/>
        <w:szCs w:val="20"/>
        <w:lang w:eastAsia="cs-CZ"/>
      </w:rPr>
      <w:t>.</w:t>
    </w:r>
    <w:r w:rsidR="00EC14EB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EC14EB" w:rsidRPr="00CF61C5">
      <w:rPr>
        <w:rFonts w:cs="Arial"/>
        <w:bCs/>
        <w:i/>
        <w:sz w:val="20"/>
        <w:szCs w:val="20"/>
      </w:rPr>
      <w:t>Program podpory kultury v Olomouckém kraji v roce 201</w:t>
    </w:r>
    <w:r w:rsidR="00EC14EB">
      <w:rPr>
        <w:rFonts w:cs="Arial"/>
        <w:bCs/>
        <w:i/>
        <w:sz w:val="20"/>
        <w:szCs w:val="20"/>
      </w:rPr>
      <w:t>9</w:t>
    </w:r>
    <w:r w:rsidR="00EC14EB" w:rsidRPr="00CF61C5">
      <w:rPr>
        <w:rFonts w:cs="Arial"/>
        <w:bCs/>
        <w:i/>
        <w:sz w:val="20"/>
        <w:szCs w:val="20"/>
      </w:rPr>
      <w:t xml:space="preserve"> - vyhlášení</w:t>
    </w:r>
  </w:p>
  <w:p w14:paraId="37BA5330" w14:textId="679BEB0C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EC14EB">
      <w:rPr>
        <w:rFonts w:eastAsia="Times New Roman" w:cs="Arial"/>
        <w:i/>
        <w:iCs/>
        <w:noProof/>
        <w:sz w:val="20"/>
        <w:szCs w:val="20"/>
        <w:lang w:eastAsia="cs-CZ"/>
      </w:rPr>
      <w:t>7</w:t>
    </w:r>
    <w:r w:rsidR="0092407D"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EC14EB" w:rsidRPr="00EC14EB">
      <w:rPr>
        <w:rFonts w:cs="Arial"/>
        <w:bCs/>
        <w:i/>
        <w:sz w:val="20"/>
      </w:rPr>
      <w:t>V</w:t>
    </w:r>
    <w:r w:rsidR="00EC14EB" w:rsidRPr="00EC14EB">
      <w:rPr>
        <w:rFonts w:cs="Arial"/>
        <w:i/>
        <w:sz w:val="20"/>
      </w:rPr>
      <w:t>zor veřejnoprávní smlouvy o poskytnutí dotace na akci právnickým osobám (mimo obce a 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5529" w14:textId="77777777" w:rsidR="009566A5" w:rsidRDefault="009566A5" w:rsidP="00D40C40">
      <w:r>
        <w:separator/>
      </w:r>
    </w:p>
  </w:footnote>
  <w:footnote w:type="continuationSeparator" w:id="0">
    <w:p w14:paraId="61B5FDC0" w14:textId="77777777" w:rsidR="009566A5" w:rsidRDefault="009566A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E7AA" w14:textId="76CD7250" w:rsidR="00EC14EB" w:rsidRDefault="00EC14EB" w:rsidP="00EC14EB">
    <w:pPr>
      <w:pStyle w:val="Zhlav"/>
      <w:tabs>
        <w:tab w:val="clear" w:pos="4536"/>
        <w:tab w:val="clear" w:pos="9072"/>
        <w:tab w:val="left" w:pos="3960"/>
      </w:tabs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7</w:t>
    </w:r>
    <w:r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EC14EB">
      <w:rPr>
        <w:rFonts w:cs="Arial"/>
        <w:bCs/>
        <w:i/>
        <w:sz w:val="20"/>
      </w:rPr>
      <w:t>V</w:t>
    </w:r>
    <w:r w:rsidRPr="00EC14EB">
      <w:rPr>
        <w:rFonts w:cs="Arial"/>
        <w:i/>
        <w:sz w:val="20"/>
      </w:rPr>
      <w:t>zor veřejnoprávní smlouvy o poskytnutí dotace na akci právnickým osobám (mimo obce a příspěvkové organizace)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9D0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86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BE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D73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31F9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3DDC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13"/>
    <w:rsid w:val="005B6083"/>
    <w:rsid w:val="005B6375"/>
    <w:rsid w:val="005B6805"/>
    <w:rsid w:val="005C12B7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31A5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B08"/>
    <w:rsid w:val="007F500D"/>
    <w:rsid w:val="007F5343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5E29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6A5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03A"/>
    <w:rsid w:val="00A1282D"/>
    <w:rsid w:val="00A13671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DF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15E"/>
    <w:rsid w:val="00B177B5"/>
    <w:rsid w:val="00B204EE"/>
    <w:rsid w:val="00B21683"/>
    <w:rsid w:val="00B21ADD"/>
    <w:rsid w:val="00B21F9C"/>
    <w:rsid w:val="00B22181"/>
    <w:rsid w:val="00B2218C"/>
    <w:rsid w:val="00B2219F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E44"/>
    <w:rsid w:val="00CB0A48"/>
    <w:rsid w:val="00CB5336"/>
    <w:rsid w:val="00CB66EB"/>
    <w:rsid w:val="00CB68D5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C47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4EB"/>
    <w:rsid w:val="00EC3077"/>
    <w:rsid w:val="00EC3BEC"/>
    <w:rsid w:val="00EC41C1"/>
    <w:rsid w:val="00EC54DD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40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07FF9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3CB51B5C-AE7D-4B2F-BF2F-B7D0BB2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D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C098-AE59-4EA4-8D09-9B97F07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3652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2018-11-28T07:06:00Z</dcterms:created>
  <dcterms:modified xsi:type="dcterms:W3CDTF">2018-11-28T10:14:00Z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