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EBB0F8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8F1AF2B" w:rsidR="00E62519" w:rsidRPr="00E62519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E62519"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33F9640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CC652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94C11" w:rsidRPr="006F4A5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6F4A5A"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A5A"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628456B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C4357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32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54ED54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8D69B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62FD1589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="009A3DA5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6344775A" w:rsid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4A3A264" w14:textId="62670BA5" w:rsidR="005C3055" w:rsidRDefault="005C3055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2636ADC2" w14:textId="277D98E9" w:rsidR="005C3055" w:rsidRDefault="005C3055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185FF1C6" w14:textId="77777777" w:rsidR="005C3055" w:rsidRPr="00403137" w:rsidRDefault="005C3055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2E573B8E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8D69B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1E9D2F63" w14:textId="77777777" w:rsidR="005C3055" w:rsidRDefault="005C305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6D7E161" w14:textId="77777777" w:rsidR="005C3055" w:rsidRDefault="005C305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8DF" w14:textId="59AA56F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027A09D6" w14:textId="77777777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983290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68E377FD" w14:textId="77777777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97F18D2" w14:textId="77777777" w:rsidR="00723ADD" w:rsidRPr="00841ADB" w:rsidRDefault="00723ADD" w:rsidP="00723ADD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 vynaložení těchto výdajů předcháze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BE8306B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 (lhůtě)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7777777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6F6CCD7C" w14:textId="77777777" w:rsidR="00723ADD" w:rsidRPr="00841ADB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C13F5D3" w:rsidR="00CB5336" w:rsidRPr="00696A9F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</w:t>
      </w:r>
      <w:r w:rsidR="00150BF2" w:rsidRPr="00150BF2">
        <w:rPr>
          <w:rFonts w:ascii="Arial" w:hAnsi="Arial" w:cs="Arial"/>
          <w:sz w:val="24"/>
          <w:szCs w:val="24"/>
        </w:rPr>
        <w:lastRenderedPageBreak/>
        <w:t xml:space="preserve">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9BBCD4D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48B0CC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6A21BCB" w:rsidR="00A9730D" w:rsidRPr="00A9730D" w:rsidRDefault="00723AD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(v případě, že v čl. II odst. 2 není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A11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5A2603" w14:textId="77777777" w:rsidR="00960EF3" w:rsidRPr="005F0780" w:rsidRDefault="00960EF3" w:rsidP="00960EF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770E86D" w14:textId="16D6BA78" w:rsidR="00960EF3" w:rsidRPr="005F0780" w:rsidRDefault="00164C2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83952D0" w14:textId="77777777" w:rsidR="005C3055" w:rsidRDefault="005C305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5495EB64" w14:textId="77777777" w:rsidR="005C3055" w:rsidRDefault="005C3055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07AB9E3" w14:textId="78DBE664" w:rsidR="004514E3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27228536" w14:textId="77777777" w:rsidR="005C3055" w:rsidRPr="00CC0204" w:rsidRDefault="005C3055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12DFBDFA" w14:textId="004A4543" w:rsid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3C4FD70F" w14:textId="77777777" w:rsidR="005C3055" w:rsidRPr="00170EC7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C572FE8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84644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4138E33" w14:textId="6A5DD26E" w:rsidR="00771E3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  <w:tr w:rsidR="005C3055" w14:paraId="44D1624C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14099" w14:textId="77777777" w:rsidR="005C3055" w:rsidRDefault="005C305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7D55F" w14:textId="77777777" w:rsidR="005C3055" w:rsidRDefault="005C305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8E243B3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6AD2EA9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34F6FD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17146B3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CE86AF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2963A79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44CCD4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D107886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AD9C0E0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6B1EE0B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14BD6C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7DDFF9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83FF10E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53C1E8A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9C8D203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67489C1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0B45674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F618E18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2FC5F34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C30ED7D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4E49FA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5DE702C" w14:textId="4124E411" w:rsidR="00FE3DFD" w:rsidRPr="00803A28" w:rsidRDefault="007E1EFE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5 smluv o poskytnutí 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>individuální d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do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včetně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18DC98F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D571FB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63BF0EA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51162D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9B0B" w14:textId="77777777" w:rsidR="006C3A1A" w:rsidRDefault="006C3A1A" w:rsidP="00D40C40">
      <w:r>
        <w:separator/>
      </w:r>
    </w:p>
  </w:endnote>
  <w:endnote w:type="continuationSeparator" w:id="0">
    <w:p w14:paraId="1D5C7717" w14:textId="77777777" w:rsidR="006C3A1A" w:rsidRDefault="006C3A1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3E12" w14:textId="39DC8A3B" w:rsidR="00202933" w:rsidRDefault="00E4267B" w:rsidP="00202933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0293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02933" w:rsidRPr="003D5F9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202933" w:rsidRPr="003D5F9A">
      <w:rPr>
        <w:rFonts w:ascii="Arial" w:hAnsi="Arial" w:cs="Arial"/>
        <w:i/>
        <w:sz w:val="20"/>
        <w:szCs w:val="20"/>
      </w:rPr>
      <w:t>. 201</w:t>
    </w:r>
    <w:r w:rsidR="00202933">
      <w:rPr>
        <w:rFonts w:ascii="Arial" w:hAnsi="Arial" w:cs="Arial"/>
        <w:i/>
        <w:sz w:val="20"/>
        <w:szCs w:val="20"/>
      </w:rPr>
      <w:t>8</w:t>
    </w:r>
    <w:r w:rsidR="00202933" w:rsidRPr="003D5F9A">
      <w:rPr>
        <w:rFonts w:ascii="Arial" w:hAnsi="Arial" w:cs="Arial"/>
        <w:i/>
        <w:sz w:val="20"/>
        <w:szCs w:val="20"/>
      </w:rPr>
      <w:tab/>
    </w:r>
    <w:r w:rsidR="00202933">
      <w:rPr>
        <w:rFonts w:ascii="Arial" w:hAnsi="Arial" w:cs="Arial"/>
        <w:i/>
        <w:sz w:val="20"/>
        <w:szCs w:val="20"/>
      </w:rPr>
      <w:t xml:space="preserve">                                     Strana </w:t>
    </w:r>
    <w:r w:rsidR="00202933" w:rsidRPr="005F35C5">
      <w:rPr>
        <w:rFonts w:ascii="Arial" w:hAnsi="Arial" w:cs="Arial"/>
        <w:i/>
        <w:sz w:val="20"/>
        <w:szCs w:val="20"/>
      </w:rPr>
      <w:fldChar w:fldCharType="begin"/>
    </w:r>
    <w:r w:rsidR="00202933" w:rsidRPr="005F35C5">
      <w:rPr>
        <w:rFonts w:ascii="Arial" w:hAnsi="Arial" w:cs="Arial"/>
        <w:i/>
        <w:sz w:val="20"/>
        <w:szCs w:val="20"/>
      </w:rPr>
      <w:instrText>PAGE   \* MERGEFORMAT</w:instrText>
    </w:r>
    <w:r w:rsidR="00202933" w:rsidRPr="005F35C5">
      <w:rPr>
        <w:rFonts w:ascii="Arial" w:hAnsi="Arial" w:cs="Arial"/>
        <w:i/>
        <w:sz w:val="20"/>
        <w:szCs w:val="20"/>
      </w:rPr>
      <w:fldChar w:fldCharType="separate"/>
    </w:r>
    <w:r w:rsidR="005C3055">
      <w:rPr>
        <w:rFonts w:ascii="Arial" w:hAnsi="Arial" w:cs="Arial"/>
        <w:i/>
        <w:noProof/>
        <w:sz w:val="20"/>
        <w:szCs w:val="20"/>
      </w:rPr>
      <w:t>134</w:t>
    </w:r>
    <w:r w:rsidR="00202933" w:rsidRPr="005F35C5">
      <w:rPr>
        <w:rFonts w:ascii="Arial" w:hAnsi="Arial" w:cs="Arial"/>
        <w:i/>
        <w:sz w:val="20"/>
        <w:szCs w:val="20"/>
      </w:rPr>
      <w:fldChar w:fldCharType="end"/>
    </w:r>
    <w:r w:rsidR="00202933">
      <w:rPr>
        <w:rFonts w:ascii="Arial" w:hAnsi="Arial" w:cs="Arial"/>
        <w:i/>
        <w:sz w:val="20"/>
        <w:szCs w:val="20"/>
      </w:rPr>
      <w:t xml:space="preserve"> (celkem</w:t>
    </w:r>
    <w:r w:rsidR="001C3182">
      <w:rPr>
        <w:rFonts w:ascii="Arial" w:hAnsi="Arial" w:cs="Arial"/>
        <w:i/>
        <w:sz w:val="20"/>
        <w:szCs w:val="20"/>
      </w:rPr>
      <w:t xml:space="preserve"> 14</w:t>
    </w:r>
    <w:r w:rsidR="003A2582">
      <w:rPr>
        <w:rFonts w:ascii="Arial" w:hAnsi="Arial" w:cs="Arial"/>
        <w:i/>
        <w:sz w:val="20"/>
        <w:szCs w:val="20"/>
      </w:rPr>
      <w:t>8</w:t>
    </w:r>
    <w:r w:rsidR="00202933">
      <w:rPr>
        <w:rFonts w:ascii="Arial" w:hAnsi="Arial" w:cs="Arial"/>
        <w:i/>
        <w:sz w:val="20"/>
        <w:szCs w:val="20"/>
      </w:rPr>
      <w:t>)</w:t>
    </w:r>
  </w:p>
  <w:p w14:paraId="129C3393" w14:textId="55288B2A" w:rsidR="00202933" w:rsidRPr="00B378BC" w:rsidRDefault="009D549F" w:rsidP="0020293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202933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0D734BC6" w14:textId="66C13B30" w:rsidR="00202933" w:rsidRPr="003457F8" w:rsidRDefault="00202933" w:rsidP="00202933">
    <w:pPr>
      <w:pStyle w:val="Zpat"/>
    </w:pPr>
    <w:r>
      <w:rPr>
        <w:rFonts w:ascii="Arial" w:hAnsi="Arial" w:cs="Arial"/>
        <w:i/>
        <w:sz w:val="20"/>
        <w:szCs w:val="20"/>
      </w:rPr>
      <w:t>Příloha č. 12: Vzorová veřejnoprávní smlouva o poskytnutí individuální dotace na akci obcím, městům</w:t>
    </w:r>
  </w:p>
  <w:p w14:paraId="55E76EC7" w14:textId="300AF1C5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2A9D" w14:textId="77777777" w:rsidR="006C3A1A" w:rsidRDefault="006C3A1A" w:rsidP="00D40C40">
      <w:r>
        <w:separator/>
      </w:r>
    </w:p>
  </w:footnote>
  <w:footnote w:type="continuationSeparator" w:id="0">
    <w:p w14:paraId="266BEF3A" w14:textId="77777777" w:rsidR="006C3A1A" w:rsidRDefault="006C3A1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8F99-09F9-4950-AF20-D9751044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4385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9</cp:revision>
  <cp:lastPrinted>2018-11-27T09:23:00Z</cp:lastPrinted>
  <dcterms:created xsi:type="dcterms:W3CDTF">2018-11-20T05:51:00Z</dcterms:created>
  <dcterms:modified xsi:type="dcterms:W3CDTF">2018-11-27T09:29:00Z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