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61C3" w14:textId="77777777"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14:paraId="63C52677" w14:textId="77777777" w:rsidR="00183781" w:rsidRDefault="00183781" w:rsidP="00183781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</w:p>
    <w:p w14:paraId="1D619F04" w14:textId="049EFBDC" w:rsidR="00080939" w:rsidRPr="003C58B6" w:rsidRDefault="00080939" w:rsidP="00E21CC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</w:rPr>
      </w:pPr>
      <w:r w:rsidRPr="003C58B6">
        <w:rPr>
          <w:rFonts w:ascii="Arial" w:eastAsia="Calibri" w:hAnsi="Arial" w:cs="Arial"/>
          <w:b/>
          <w:bCs/>
        </w:rPr>
        <w:t xml:space="preserve">V této důvodové zprávě předkládá </w:t>
      </w:r>
      <w:r w:rsidR="00504FB0" w:rsidRPr="00504FB0">
        <w:rPr>
          <w:rFonts w:ascii="Arial" w:eastAsia="Calibri" w:hAnsi="Arial" w:cs="Arial"/>
          <w:b/>
          <w:bCs/>
        </w:rPr>
        <w:t>Rada Olomouckého kraje Zastupitelstvu Olomouckého kraje</w:t>
      </w:r>
      <w:r w:rsidRPr="003C58B6">
        <w:rPr>
          <w:rFonts w:ascii="Arial" w:eastAsia="Calibri" w:hAnsi="Arial" w:cs="Arial"/>
          <w:b/>
          <w:bCs/>
        </w:rPr>
        <w:t xml:space="preserve"> k projednání </w:t>
      </w:r>
      <w:r w:rsidR="001C0664" w:rsidRPr="003C58B6">
        <w:rPr>
          <w:rFonts w:ascii="Arial" w:eastAsia="Calibri" w:hAnsi="Arial" w:cs="Arial"/>
          <w:b/>
          <w:bCs/>
        </w:rPr>
        <w:t xml:space="preserve">návrh na rozdělení </w:t>
      </w:r>
      <w:r w:rsidR="000D1968" w:rsidRPr="003C58B6">
        <w:rPr>
          <w:rFonts w:ascii="Arial" w:eastAsia="Calibri" w:hAnsi="Arial" w:cs="Arial"/>
          <w:b/>
          <w:bCs/>
        </w:rPr>
        <w:t xml:space="preserve">účelové </w:t>
      </w:r>
      <w:r w:rsidRPr="003C58B6">
        <w:rPr>
          <w:rFonts w:ascii="Arial" w:eastAsia="Calibri" w:hAnsi="Arial" w:cs="Arial"/>
          <w:b/>
          <w:bCs/>
        </w:rPr>
        <w:t>dotace z rozpočtu Olomouckého kraje</w:t>
      </w:r>
      <w:r w:rsidR="00B43CF3" w:rsidRPr="003C58B6">
        <w:rPr>
          <w:rFonts w:ascii="Arial" w:eastAsia="Calibri" w:hAnsi="Arial" w:cs="Arial"/>
          <w:b/>
          <w:bCs/>
        </w:rPr>
        <w:t xml:space="preserve"> určené </w:t>
      </w:r>
      <w:r w:rsidRPr="003C58B6">
        <w:rPr>
          <w:rFonts w:ascii="Arial" w:eastAsia="Calibri" w:hAnsi="Arial" w:cs="Arial"/>
          <w:b/>
          <w:bCs/>
        </w:rPr>
        <w:t xml:space="preserve">na financování běžných výdajů souvisejících s poskytováním základních druhů a forem sociálních služeb </w:t>
      </w:r>
      <w:r w:rsidR="00017BF5" w:rsidRPr="003C58B6">
        <w:rPr>
          <w:rFonts w:ascii="Arial" w:eastAsia="Calibri" w:hAnsi="Arial" w:cs="Arial"/>
          <w:b/>
          <w:bCs/>
        </w:rPr>
        <w:t xml:space="preserve">v roce </w:t>
      </w:r>
      <w:r w:rsidR="004C2BB2">
        <w:rPr>
          <w:rFonts w:ascii="Arial" w:eastAsia="Calibri" w:hAnsi="Arial" w:cs="Arial"/>
          <w:b/>
          <w:bCs/>
        </w:rPr>
        <w:t>202</w:t>
      </w:r>
      <w:r w:rsidR="005A49CA">
        <w:rPr>
          <w:rFonts w:ascii="Arial" w:eastAsia="Calibri" w:hAnsi="Arial" w:cs="Arial"/>
          <w:b/>
          <w:bCs/>
        </w:rPr>
        <w:t>4</w:t>
      </w:r>
      <w:r w:rsidR="000D1968" w:rsidRPr="003C58B6">
        <w:rPr>
          <w:rFonts w:ascii="Arial" w:eastAsia="Calibri" w:hAnsi="Arial" w:cs="Arial"/>
          <w:b/>
          <w:bCs/>
        </w:rPr>
        <w:t xml:space="preserve"> </w:t>
      </w:r>
      <w:r w:rsidR="00C9005D" w:rsidRPr="003C58B6">
        <w:rPr>
          <w:rFonts w:ascii="Arial" w:eastAsia="Calibri" w:hAnsi="Arial" w:cs="Arial"/>
          <w:b/>
          <w:bCs/>
        </w:rPr>
        <w:t xml:space="preserve">dle </w:t>
      </w:r>
      <w:r w:rsidRPr="003C58B6">
        <w:rPr>
          <w:rFonts w:ascii="Arial" w:eastAsia="Calibri" w:hAnsi="Arial" w:cs="Arial"/>
          <w:b/>
          <w:bCs/>
        </w:rPr>
        <w:t>Programu finanční podpory poskytování sociálních služeb v Olomouckém kraji (dále jen „Program“)</w:t>
      </w:r>
      <w:r w:rsidR="00A7128E" w:rsidRPr="003C58B6">
        <w:rPr>
          <w:rFonts w:ascii="Arial" w:eastAsia="Calibri" w:hAnsi="Arial" w:cs="Arial"/>
          <w:b/>
          <w:bCs/>
        </w:rPr>
        <w:t xml:space="preserve">, </w:t>
      </w:r>
      <w:r w:rsidRPr="003C58B6">
        <w:rPr>
          <w:rFonts w:ascii="Arial" w:eastAsia="Calibri" w:hAnsi="Arial" w:cs="Arial"/>
          <w:b/>
          <w:bCs/>
        </w:rPr>
        <w:t>Podprogramu</w:t>
      </w:r>
      <w:r w:rsidR="00197E96" w:rsidRPr="003C58B6">
        <w:rPr>
          <w:rFonts w:ascii="Arial" w:eastAsia="Calibri" w:hAnsi="Arial" w:cs="Arial"/>
          <w:b/>
          <w:bCs/>
        </w:rPr>
        <w:t xml:space="preserve"> </w:t>
      </w:r>
      <w:r w:rsidRPr="003C58B6">
        <w:rPr>
          <w:rFonts w:ascii="Arial" w:eastAsia="Calibri" w:hAnsi="Arial" w:cs="Arial"/>
          <w:b/>
          <w:bCs/>
        </w:rPr>
        <w:t>č. 2.</w:t>
      </w:r>
    </w:p>
    <w:p w14:paraId="451E12A0" w14:textId="77777777" w:rsidR="00BE3003" w:rsidRDefault="00BE3003" w:rsidP="00E21CC9">
      <w:pPr>
        <w:pStyle w:val="textDZ"/>
      </w:pPr>
      <w:r>
        <w:t>Ú</w:t>
      </w:r>
      <w:r w:rsidRPr="00305888">
        <w:t xml:space="preserve">čelem </w:t>
      </w:r>
      <w:r>
        <w:t>P</w:t>
      </w:r>
      <w:r w:rsidRPr="00305888">
        <w:t>odprogramu</w:t>
      </w:r>
      <w:r>
        <w:t xml:space="preserve"> č. 2 </w:t>
      </w:r>
      <w:r w:rsidRPr="00305888">
        <w:t xml:space="preserve">je částečné finanční zajištění poskytování sociálních služeb zařazených do </w:t>
      </w:r>
      <w:r w:rsidR="003C4E57">
        <w:t>S</w:t>
      </w:r>
      <w:r w:rsidR="003C4E57" w:rsidRPr="00305888">
        <w:t xml:space="preserve">ítě </w:t>
      </w:r>
      <w:r w:rsidRPr="00305888">
        <w:t>sociálních služeb Olomouckého kraje</w:t>
      </w:r>
      <w:r w:rsidR="00CF4B65">
        <w:t xml:space="preserve"> </w:t>
      </w:r>
      <w:r w:rsidRPr="00305888">
        <w:t>z finančních prostředků rozpočtu Olomouckého kraje.</w:t>
      </w:r>
      <w:r>
        <w:t xml:space="preserve"> </w:t>
      </w:r>
    </w:p>
    <w:p w14:paraId="2DBD6A7A" w14:textId="70B97B22" w:rsidR="002F5D8A" w:rsidRPr="002B6429" w:rsidRDefault="00D10C3D" w:rsidP="00E21CC9">
      <w:pPr>
        <w:pStyle w:val="textDZ"/>
        <w:rPr>
          <w:bCs w:val="0"/>
        </w:rPr>
      </w:pPr>
      <w:r>
        <w:t>D</w:t>
      </w:r>
      <w:r w:rsidR="002F5D8A">
        <w:t>o Podprogramu</w:t>
      </w:r>
      <w:r w:rsidR="004B199C">
        <w:t xml:space="preserve"> č.</w:t>
      </w:r>
      <w:r w:rsidR="00432A72">
        <w:t xml:space="preserve"> </w:t>
      </w:r>
      <w:r w:rsidR="004B199C">
        <w:t>2</w:t>
      </w:r>
      <w:r w:rsidR="002F5D8A">
        <w:t xml:space="preserve"> byl</w:t>
      </w:r>
      <w:r>
        <w:t>y</w:t>
      </w:r>
      <w:r w:rsidR="002F5D8A">
        <w:t xml:space="preserve"> </w:t>
      </w:r>
      <w:r w:rsidR="008115DE">
        <w:t xml:space="preserve">pro rok 2024 z rozpočtu Olomouckého kraje </w:t>
      </w:r>
      <w:r>
        <w:t xml:space="preserve">alokovány finanční prostředky </w:t>
      </w:r>
      <w:r w:rsidR="002F5D8A" w:rsidRPr="00712F01">
        <w:t xml:space="preserve">ve výši </w:t>
      </w:r>
      <w:r w:rsidR="004C2BB2">
        <w:rPr>
          <w:b/>
        </w:rPr>
        <w:t xml:space="preserve">55 000 </w:t>
      </w:r>
      <w:r w:rsidR="002F5D8A" w:rsidRPr="00712F01">
        <w:rPr>
          <w:b/>
        </w:rPr>
        <w:t>000 Kč.</w:t>
      </w:r>
      <w:r w:rsidR="00ED6DD8">
        <w:rPr>
          <w:b/>
        </w:rPr>
        <w:t xml:space="preserve"> </w:t>
      </w:r>
      <w:r w:rsidR="008115DE">
        <w:rPr>
          <w:bCs w:val="0"/>
        </w:rPr>
        <w:t>Tato</w:t>
      </w:r>
      <w:r w:rsidR="00ED6DD8" w:rsidRPr="002B6429">
        <w:rPr>
          <w:bCs w:val="0"/>
        </w:rPr>
        <w:t xml:space="preserve"> alokace </w:t>
      </w:r>
      <w:r w:rsidR="008115DE">
        <w:rPr>
          <w:bCs w:val="0"/>
        </w:rPr>
        <w:t xml:space="preserve">byla </w:t>
      </w:r>
      <w:r w:rsidR="00ED6DD8" w:rsidRPr="002B6429">
        <w:rPr>
          <w:b/>
        </w:rPr>
        <w:t>navýšena o částku 1 104 564 Kč</w:t>
      </w:r>
      <w:r w:rsidR="00ED6DD8" w:rsidRPr="002B6429">
        <w:rPr>
          <w:bCs w:val="0"/>
        </w:rPr>
        <w:t xml:space="preserve">, </w:t>
      </w:r>
      <w:r w:rsidR="008115DE">
        <w:rPr>
          <w:bCs w:val="0"/>
        </w:rPr>
        <w:t>jež</w:t>
      </w:r>
      <w:r w:rsidR="008115DE" w:rsidRPr="002B6429">
        <w:rPr>
          <w:bCs w:val="0"/>
        </w:rPr>
        <w:t xml:space="preserve"> </w:t>
      </w:r>
      <w:r w:rsidR="00ED6DD8" w:rsidRPr="002B6429">
        <w:rPr>
          <w:bCs w:val="0"/>
        </w:rPr>
        <w:t>je vratk</w:t>
      </w:r>
      <w:r w:rsidR="008115DE">
        <w:rPr>
          <w:bCs w:val="0"/>
        </w:rPr>
        <w:t>ou</w:t>
      </w:r>
      <w:r w:rsidR="002B6429" w:rsidRPr="002B6429">
        <w:rPr>
          <w:bCs w:val="0"/>
        </w:rPr>
        <w:t xml:space="preserve"> </w:t>
      </w:r>
      <w:r w:rsidR="002B6429">
        <w:rPr>
          <w:bCs w:val="0"/>
        </w:rPr>
        <w:t xml:space="preserve">části </w:t>
      </w:r>
      <w:r w:rsidR="002B6429" w:rsidRPr="002B6429">
        <w:rPr>
          <w:bCs w:val="0"/>
        </w:rPr>
        <w:t xml:space="preserve">dotace na poskytování sociálních služeb v Olomouckém kraji z účelové dotace ze státního rozpočtu </w:t>
      </w:r>
      <w:r w:rsidR="008115DE">
        <w:rPr>
          <w:bCs w:val="0"/>
        </w:rPr>
        <w:t xml:space="preserve">pro rok 2023 </w:t>
      </w:r>
      <w:r w:rsidR="002B6429" w:rsidRPr="002B6429">
        <w:rPr>
          <w:bCs w:val="0"/>
        </w:rPr>
        <w:t>na poskytování sociálních služeb</w:t>
      </w:r>
      <w:r w:rsidR="00ED6DD8" w:rsidRPr="002B6429">
        <w:rPr>
          <w:bCs w:val="0"/>
        </w:rPr>
        <w:t xml:space="preserve"> organizace </w:t>
      </w:r>
      <w:r w:rsidR="002B6429" w:rsidRPr="002B6429">
        <w:rPr>
          <w:bCs w:val="0"/>
        </w:rPr>
        <w:t>v rámci Podprogramu č. 1</w:t>
      </w:r>
      <w:r w:rsidR="00741AD7">
        <w:rPr>
          <w:bCs w:val="0"/>
        </w:rPr>
        <w:t xml:space="preserve"> Programu</w:t>
      </w:r>
      <w:r w:rsidR="002B6429" w:rsidRPr="002B6429">
        <w:rPr>
          <w:bCs w:val="0"/>
        </w:rPr>
        <w:t xml:space="preserve">, kterou organizace </w:t>
      </w:r>
      <w:r w:rsidR="00ED6DD8" w:rsidRPr="002B6429">
        <w:rPr>
          <w:bCs w:val="0"/>
        </w:rPr>
        <w:t>LIPKA, z.s.</w:t>
      </w:r>
      <w:r w:rsidR="00B5612B" w:rsidRPr="002B6429">
        <w:rPr>
          <w:bCs w:val="0"/>
        </w:rPr>
        <w:t xml:space="preserve">, </w:t>
      </w:r>
      <w:r w:rsidR="002B6429" w:rsidRPr="002B6429">
        <w:rPr>
          <w:bCs w:val="0"/>
        </w:rPr>
        <w:t xml:space="preserve">vrátila </w:t>
      </w:r>
      <w:r w:rsidR="00B5612B" w:rsidRPr="002B6429">
        <w:rPr>
          <w:bCs w:val="0"/>
        </w:rPr>
        <w:t>dne 24. 4. 2024 na účet Olomouckého kraje</w:t>
      </w:r>
      <w:r w:rsidR="002B6429">
        <w:rPr>
          <w:bCs w:val="0"/>
        </w:rPr>
        <w:t>.</w:t>
      </w:r>
      <w:r w:rsidR="00B5612B" w:rsidRPr="002B6429">
        <w:rPr>
          <w:bCs w:val="0"/>
        </w:rPr>
        <w:t xml:space="preserve"> </w:t>
      </w:r>
      <w:r w:rsidR="008115DE">
        <w:rPr>
          <w:bCs w:val="0"/>
        </w:rPr>
        <w:t>Podle stanoviska Ministerstva práce a sociálních věcí může být tato vratka využita pouze k účel</w:t>
      </w:r>
      <w:r w:rsidR="00F258A7">
        <w:rPr>
          <w:bCs w:val="0"/>
        </w:rPr>
        <w:t>u</w:t>
      </w:r>
      <w:r w:rsidR="008115DE">
        <w:rPr>
          <w:bCs w:val="0"/>
        </w:rPr>
        <w:t>, na který byla poskytnuta, tedy na zajištění sociálních služeb, jinak by musela být vrácena do státního rozpočtu.</w:t>
      </w:r>
    </w:p>
    <w:p w14:paraId="0300C7D3" w14:textId="4D914EA5" w:rsidR="00ED6DD8" w:rsidRDefault="00ED6DD8" w:rsidP="00ED6DD8">
      <w:pPr>
        <w:rPr>
          <w:sz w:val="22"/>
          <w:szCs w:val="22"/>
        </w:rPr>
      </w:pPr>
    </w:p>
    <w:p w14:paraId="7EA487C0" w14:textId="26447959" w:rsidR="001900FC" w:rsidRPr="000235CF" w:rsidRDefault="008C4219" w:rsidP="00E21CC9">
      <w:pPr>
        <w:pStyle w:val="textDZ"/>
      </w:pPr>
      <w:r>
        <w:rPr>
          <w:b/>
        </w:rPr>
        <w:t>Celková a</w:t>
      </w:r>
      <w:r w:rsidR="002B6429">
        <w:rPr>
          <w:b/>
        </w:rPr>
        <w:t xml:space="preserve">lokace do Podprogramu č. 2 je </w:t>
      </w:r>
      <w:r w:rsidR="00AB6A26" w:rsidRPr="000235CF">
        <w:rPr>
          <w:b/>
        </w:rPr>
        <w:t xml:space="preserve">56 104 564 Kč. </w:t>
      </w:r>
    </w:p>
    <w:p w14:paraId="56AAA8CE" w14:textId="77777777"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Oprávnění žadatelé</w:t>
      </w:r>
    </w:p>
    <w:p w14:paraId="6C1AC28C" w14:textId="77777777" w:rsidR="00775821" w:rsidRDefault="00775821" w:rsidP="00E21CC9">
      <w:pPr>
        <w:pStyle w:val="Default"/>
        <w:spacing w:before="120" w:line="264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Oprávněnými žadateli jsou:</w:t>
      </w:r>
    </w:p>
    <w:p w14:paraId="59A65B49" w14:textId="77777777" w:rsidR="00775821" w:rsidRPr="00145160" w:rsidRDefault="00775821" w:rsidP="00E21CC9">
      <w:pPr>
        <w:pStyle w:val="Default"/>
        <w:numPr>
          <w:ilvl w:val="0"/>
          <w:numId w:val="16"/>
        </w:numPr>
        <w:spacing w:before="120" w:line="264" w:lineRule="auto"/>
        <w:jc w:val="both"/>
        <w:rPr>
          <w:rFonts w:eastAsia="Calibri"/>
          <w:bCs/>
          <w:color w:val="auto"/>
        </w:rPr>
      </w:pPr>
      <w:r w:rsidRPr="00145160">
        <w:rPr>
          <w:rFonts w:eastAsia="Calibri"/>
          <w:bCs/>
          <w:color w:val="auto"/>
        </w:rPr>
        <w:t xml:space="preserve">příjemci dotace z Podprogramu č. 1, s výjimkou příspěvkových organizací nebo obcí; </w:t>
      </w:r>
    </w:p>
    <w:p w14:paraId="5E08E50C" w14:textId="77777777" w:rsidR="00775821" w:rsidRDefault="00775821" w:rsidP="00E21CC9">
      <w:pPr>
        <w:pStyle w:val="Default"/>
        <w:numPr>
          <w:ilvl w:val="0"/>
          <w:numId w:val="16"/>
        </w:numPr>
        <w:spacing w:before="120" w:line="264" w:lineRule="auto"/>
        <w:ind w:left="351" w:hanging="357"/>
        <w:jc w:val="both"/>
        <w:rPr>
          <w:rFonts w:eastAsia="Calibri"/>
          <w:bCs/>
          <w:color w:val="auto"/>
        </w:rPr>
      </w:pPr>
      <w:r w:rsidRPr="005620AE">
        <w:rPr>
          <w:rFonts w:eastAsia="Calibri"/>
          <w:bCs/>
          <w:color w:val="auto"/>
        </w:rPr>
        <w:t>poskytovatelé sociálních služeb zařazených do sítě sociálních služeb definované AKČNÍM PLÁNEM na příslušný kalendářní rok financované prostřednictvím Programu podpory B, s výjimkou pří</w:t>
      </w:r>
      <w:r w:rsidR="00050B95">
        <w:rPr>
          <w:rFonts w:eastAsia="Calibri"/>
          <w:bCs/>
          <w:color w:val="auto"/>
        </w:rPr>
        <w:t>spěvkových organizací nebo obcí</w:t>
      </w:r>
      <w:r w:rsidR="00D50148" w:rsidRPr="00922ACE">
        <w:rPr>
          <w:rFonts w:eastAsia="Calibri"/>
          <w:bCs/>
          <w:color w:val="auto"/>
        </w:rPr>
        <w:t>.</w:t>
      </w:r>
    </w:p>
    <w:p w14:paraId="1647DBEC" w14:textId="77777777" w:rsidR="00775821" w:rsidRPr="00C45AFD" w:rsidRDefault="00775821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C45AFD">
        <w:rPr>
          <w:b/>
        </w:rPr>
        <w:t>Administrace dotačního řízení</w:t>
      </w:r>
    </w:p>
    <w:p w14:paraId="5DCCA90D" w14:textId="0B67E26B" w:rsidR="004C2BB2" w:rsidRDefault="003F2FA8" w:rsidP="003F2FA8">
      <w:pPr>
        <w:pStyle w:val="textDZ"/>
      </w:pPr>
      <w:r>
        <w:t>Na základě v</w:t>
      </w:r>
      <w:r w:rsidRPr="003F2537">
        <w:t>yhlášení výzvy pro podávání žádostí do Podprogramu č</w:t>
      </w:r>
      <w:r>
        <w:t xml:space="preserve">. 2 byla stanovena lhůta pro podávání žádostí do tohoto podprogramu </w:t>
      </w:r>
      <w:r w:rsidR="00922ACE">
        <w:t>18</w:t>
      </w:r>
      <w:r>
        <w:t>.03.</w:t>
      </w:r>
      <w:r w:rsidR="004C2BB2">
        <w:t>202</w:t>
      </w:r>
      <w:r w:rsidR="00922ACE">
        <w:t>4</w:t>
      </w:r>
      <w:r>
        <w:t xml:space="preserve"> – 1</w:t>
      </w:r>
      <w:r w:rsidR="00922ACE">
        <w:t>5</w:t>
      </w:r>
      <w:r>
        <w:t>.04.</w:t>
      </w:r>
      <w:r w:rsidR="004C2BB2">
        <w:t>202</w:t>
      </w:r>
      <w:r w:rsidR="00922ACE">
        <w:t>4</w:t>
      </w:r>
      <w:r w:rsidR="004C2BB2">
        <w:t xml:space="preserve"> (12:00 hod.)</w:t>
      </w:r>
      <w:r>
        <w:t xml:space="preserve">. </w:t>
      </w:r>
    </w:p>
    <w:p w14:paraId="451B841D" w14:textId="063C22E3" w:rsidR="00E57B9B" w:rsidRPr="002B0AD7" w:rsidRDefault="003F2FA8" w:rsidP="002668C5">
      <w:pPr>
        <w:pStyle w:val="textDZ"/>
        <w:rPr>
          <w:b/>
          <w:lang w:eastAsia="en-US"/>
        </w:rPr>
      </w:pPr>
      <w:r w:rsidRPr="00E57B9B">
        <w:rPr>
          <w:b/>
          <w:lang w:eastAsia="en-US"/>
        </w:rPr>
        <w:t xml:space="preserve">Ve lhůtě stanovené pro příjem žádostí bylo </w:t>
      </w:r>
      <w:r w:rsidR="00E57B9B">
        <w:rPr>
          <w:b/>
          <w:lang w:eastAsia="en-US"/>
        </w:rPr>
        <w:t xml:space="preserve">podáno </w:t>
      </w:r>
      <w:r w:rsidR="00922ACE">
        <w:rPr>
          <w:b/>
          <w:lang w:eastAsia="en-US"/>
        </w:rPr>
        <w:t>53</w:t>
      </w:r>
      <w:r w:rsidR="002668C5" w:rsidRPr="00E57B9B">
        <w:rPr>
          <w:b/>
          <w:lang w:eastAsia="en-US"/>
        </w:rPr>
        <w:t xml:space="preserve"> </w:t>
      </w:r>
      <w:r w:rsidR="00E57B9B">
        <w:rPr>
          <w:b/>
          <w:lang w:eastAsia="en-US"/>
        </w:rPr>
        <w:t xml:space="preserve">žádostí. </w:t>
      </w:r>
      <w:r w:rsidRPr="00E57B9B">
        <w:rPr>
          <w:b/>
          <w:lang w:eastAsia="en-US"/>
        </w:rPr>
        <w:t xml:space="preserve"> </w:t>
      </w:r>
    </w:p>
    <w:p w14:paraId="4BA81A03" w14:textId="77EF979A" w:rsidR="003F2FA8" w:rsidRPr="00715B43" w:rsidRDefault="003F2FA8" w:rsidP="002668C5">
      <w:pPr>
        <w:pStyle w:val="textDZ"/>
        <w:rPr>
          <w:lang w:eastAsia="en-US"/>
        </w:rPr>
      </w:pPr>
      <w:r w:rsidRPr="00715B43">
        <w:rPr>
          <w:lang w:eastAsia="en-US"/>
        </w:rPr>
        <w:t>Celková výše požadavků na dotac</w:t>
      </w:r>
      <w:r w:rsidR="005679C3">
        <w:rPr>
          <w:lang w:eastAsia="en-US"/>
        </w:rPr>
        <w:t>e</w:t>
      </w:r>
      <w:r w:rsidRPr="00715B43">
        <w:rPr>
          <w:lang w:eastAsia="en-US"/>
        </w:rPr>
        <w:t xml:space="preserve"> čin</w:t>
      </w:r>
      <w:r w:rsidR="005679C3">
        <w:rPr>
          <w:lang w:eastAsia="en-US"/>
        </w:rPr>
        <w:t>í</w:t>
      </w:r>
      <w:r w:rsidRPr="00715B43">
        <w:rPr>
          <w:lang w:eastAsia="en-US"/>
        </w:rPr>
        <w:t xml:space="preserve"> </w:t>
      </w:r>
      <w:r w:rsidR="00922ACE">
        <w:rPr>
          <w:b/>
          <w:lang w:eastAsia="en-US"/>
        </w:rPr>
        <w:t>122 524 767,94</w:t>
      </w:r>
      <w:r w:rsidR="002668C5" w:rsidRPr="00715B43">
        <w:rPr>
          <w:b/>
          <w:lang w:eastAsia="en-US"/>
        </w:rPr>
        <w:t xml:space="preserve"> Kč.</w:t>
      </w:r>
      <w:r w:rsidR="002668C5" w:rsidRPr="00715B43">
        <w:rPr>
          <w:lang w:eastAsia="en-US"/>
        </w:rPr>
        <w:t xml:space="preserve"> </w:t>
      </w:r>
      <w:r w:rsidRPr="00715B43">
        <w:rPr>
          <w:lang w:eastAsia="en-US"/>
        </w:rPr>
        <w:t>Podané žádosti byly po formální stránce zkontrolovány v souladu se schváleným Programem, Podprogramem č. 2.</w:t>
      </w:r>
    </w:p>
    <w:p w14:paraId="0AFAB7E4" w14:textId="366813C4" w:rsidR="003F2FA8" w:rsidRPr="00715B43" w:rsidRDefault="003F2FA8" w:rsidP="003F2FA8">
      <w:pPr>
        <w:pStyle w:val="textDZ"/>
        <w:rPr>
          <w:b/>
        </w:rPr>
      </w:pPr>
      <w:r w:rsidRPr="00715B43">
        <w:rPr>
          <w:b/>
        </w:rPr>
        <w:t xml:space="preserve">Podmínky vyhlášeného dotačního řízení dle Programu, Podprogramu č. 2, splnilo všech </w:t>
      </w:r>
      <w:r w:rsidR="00922ACE">
        <w:rPr>
          <w:b/>
        </w:rPr>
        <w:t>53</w:t>
      </w:r>
      <w:r w:rsidR="002668C5" w:rsidRPr="00715B43">
        <w:rPr>
          <w:b/>
        </w:rPr>
        <w:t xml:space="preserve"> </w:t>
      </w:r>
      <w:r w:rsidRPr="00715B43">
        <w:rPr>
          <w:b/>
        </w:rPr>
        <w:t xml:space="preserve">podaných žádostí poskytovatelů sociálních služeb pro </w:t>
      </w:r>
      <w:r w:rsidR="00922ACE">
        <w:rPr>
          <w:b/>
        </w:rPr>
        <w:t>150</w:t>
      </w:r>
      <w:r w:rsidR="002668C5" w:rsidRPr="00715B43">
        <w:rPr>
          <w:b/>
        </w:rPr>
        <w:t xml:space="preserve"> </w:t>
      </w:r>
      <w:r w:rsidRPr="00715B43">
        <w:rPr>
          <w:b/>
        </w:rPr>
        <w:t xml:space="preserve">služeb. </w:t>
      </w:r>
    </w:p>
    <w:p w14:paraId="4F6D4E4A" w14:textId="77777777" w:rsidR="00775821" w:rsidRDefault="00775821" w:rsidP="00E21CC9">
      <w:pPr>
        <w:pStyle w:val="textDZ"/>
      </w:pPr>
      <w:r w:rsidRPr="00715B43">
        <w:lastRenderedPageBreak/>
        <w:t>Souhrn požadavků na dotaci v rámci Podprogramu č. 2 v členění dle způsobu financování</w:t>
      </w:r>
      <w:r w:rsidR="00414812" w:rsidRPr="00715B43">
        <w:t xml:space="preserve"> je uveden v tabulce č. 1.</w:t>
      </w:r>
    </w:p>
    <w:p w14:paraId="4B7062C2" w14:textId="77777777" w:rsidR="00AB6A26" w:rsidRDefault="00AB6A26" w:rsidP="00414812">
      <w:pPr>
        <w:pStyle w:val="Titulek"/>
        <w:spacing w:before="120" w:after="120" w:line="264" w:lineRule="auto"/>
      </w:pPr>
    </w:p>
    <w:p w14:paraId="2F614A05" w14:textId="33FEC2EB" w:rsidR="00056CDF" w:rsidRPr="009E540F" w:rsidRDefault="00414812" w:rsidP="00414812">
      <w:pPr>
        <w:pStyle w:val="Titulek"/>
        <w:spacing w:before="120" w:after="120" w:line="264" w:lineRule="auto"/>
      </w:pPr>
      <w:r w:rsidRPr="00A5230F">
        <w:t xml:space="preserve">Tabulka č. </w:t>
      </w:r>
      <w:r>
        <w:t>1</w:t>
      </w:r>
    </w:p>
    <w:tbl>
      <w:tblPr>
        <w:tblW w:w="9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2976"/>
        <w:gridCol w:w="2828"/>
      </w:tblGrid>
      <w:tr w:rsidR="00A51193" w:rsidRPr="00167ECF" w14:paraId="21787EF9" w14:textId="77777777" w:rsidTr="005120EC">
        <w:trPr>
          <w:trHeight w:val="454"/>
          <w:tblHeader/>
        </w:trPr>
        <w:tc>
          <w:tcPr>
            <w:tcW w:w="3833" w:type="dxa"/>
            <w:shd w:val="clear" w:color="auto" w:fill="D9D9D9" w:themeFill="background1" w:themeFillShade="D9"/>
            <w:vAlign w:val="center"/>
            <w:hideMark/>
          </w:tcPr>
          <w:p w14:paraId="42617330" w14:textId="77777777" w:rsidR="00A51193" w:rsidRPr="00167ECF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Způsob financování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14:paraId="2F8CDC51" w14:textId="77777777" w:rsidR="00A51193" w:rsidRPr="00167ECF" w:rsidRDefault="00A51193" w:rsidP="003C58B6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Počet služeb jednotlivých žadatelů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  <w:hideMark/>
          </w:tcPr>
          <w:p w14:paraId="49ECEE23" w14:textId="57813431" w:rsidR="00A51193" w:rsidRPr="00167ECF" w:rsidRDefault="00A51193" w:rsidP="00E21CC9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Požadovaná výše dotace </w:t>
            </w:r>
            <w:r w:rsidR="002B3377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v Kč</w:t>
            </w:r>
          </w:p>
        </w:tc>
      </w:tr>
      <w:tr w:rsidR="00A51193" w:rsidRPr="00167ECF" w14:paraId="7B2CD5E0" w14:textId="77777777" w:rsidTr="005120EC">
        <w:trPr>
          <w:trHeight w:val="454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26ABCA29" w14:textId="77777777" w:rsidR="00A51193" w:rsidRPr="00167ECF" w:rsidRDefault="00712F01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Program podpory A</w:t>
            </w:r>
            <w:r w:rsidR="00032451" w:rsidRPr="00167EC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příjemci dotace z Podprogramu č. 1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777471C" w14:textId="6C6E8A86" w:rsidR="00A51193" w:rsidRPr="00167ECF" w:rsidRDefault="00922ACE" w:rsidP="00712F01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25EFCA33" w14:textId="2B257810" w:rsidR="00A51193" w:rsidRPr="00167ECF" w:rsidRDefault="00054014" w:rsidP="00054014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="00922AC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139 715,00</w:t>
            </w:r>
          </w:p>
        </w:tc>
      </w:tr>
      <w:tr w:rsidR="00A51193" w:rsidRPr="00167ECF" w14:paraId="05947092" w14:textId="77777777" w:rsidTr="005120EC">
        <w:trPr>
          <w:trHeight w:val="454"/>
        </w:trPr>
        <w:tc>
          <w:tcPr>
            <w:tcW w:w="3833" w:type="dxa"/>
            <w:shd w:val="clear" w:color="auto" w:fill="auto"/>
            <w:noWrap/>
            <w:vAlign w:val="center"/>
            <w:hideMark/>
          </w:tcPr>
          <w:p w14:paraId="0215D9EE" w14:textId="77777777" w:rsidR="00A51193" w:rsidRPr="00167ECF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Program podpory B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B563423" w14:textId="77777777" w:rsidR="00A51193" w:rsidRPr="00167ECF" w:rsidRDefault="00630D71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551AF0CB" w14:textId="1365EC1C" w:rsidR="00A51193" w:rsidRPr="00167ECF" w:rsidRDefault="00054014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1 385 052,94</w:t>
            </w:r>
          </w:p>
        </w:tc>
      </w:tr>
      <w:tr w:rsidR="00A51193" w:rsidRPr="00A51193" w14:paraId="3B7F4A70" w14:textId="77777777" w:rsidTr="005120EC">
        <w:trPr>
          <w:trHeight w:val="454"/>
        </w:trPr>
        <w:tc>
          <w:tcPr>
            <w:tcW w:w="3833" w:type="dxa"/>
            <w:shd w:val="clear" w:color="auto" w:fill="auto"/>
            <w:vAlign w:val="center"/>
            <w:hideMark/>
          </w:tcPr>
          <w:p w14:paraId="2AAF35D5" w14:textId="77777777" w:rsidR="00A51193" w:rsidRPr="00167ECF" w:rsidRDefault="00A51193" w:rsidP="00E21CC9">
            <w:pPr>
              <w:autoSpaceDE/>
              <w:autoSpaceDN/>
              <w:spacing w:before="120" w:line="264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7E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Celkový součet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EB0E6FA" w14:textId="1F98F6C4" w:rsidR="00A51193" w:rsidRPr="00167ECF" w:rsidRDefault="00054014" w:rsidP="00E21CC9">
            <w:pPr>
              <w:autoSpaceDE/>
              <w:autoSpaceDN/>
              <w:spacing w:before="120" w:line="264" w:lineRule="auto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14:paraId="0399B9F3" w14:textId="5BB89AEA" w:rsidR="00A51193" w:rsidRPr="00054014" w:rsidRDefault="00054014" w:rsidP="00054014">
            <w:pPr>
              <w:autoSpaceDE/>
              <w:autoSpaceDN/>
              <w:spacing w:before="120" w:line="264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Pr="00054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122 524 767,94</w:t>
            </w:r>
          </w:p>
        </w:tc>
      </w:tr>
    </w:tbl>
    <w:p w14:paraId="1D577625" w14:textId="77777777" w:rsidR="002668C5" w:rsidRDefault="002668C5" w:rsidP="00FC34CA">
      <w:pPr>
        <w:pStyle w:val="textDZ"/>
        <w:rPr>
          <w:b/>
        </w:rPr>
      </w:pPr>
    </w:p>
    <w:p w14:paraId="3F5C198C" w14:textId="66F89077" w:rsidR="00045B44" w:rsidRPr="00FC34CA" w:rsidRDefault="00715B43" w:rsidP="00FC34CA">
      <w:pPr>
        <w:pStyle w:val="textDZ"/>
        <w:rPr>
          <w:b/>
        </w:rPr>
      </w:pPr>
      <w:r>
        <w:rPr>
          <w:b/>
        </w:rPr>
        <w:t>V letošním roce došlo k </w:t>
      </w:r>
      <w:r w:rsidR="00054014">
        <w:rPr>
          <w:b/>
        </w:rPr>
        <w:t>navýšení</w:t>
      </w:r>
      <w:r w:rsidR="00167ECF">
        <w:rPr>
          <w:b/>
        </w:rPr>
        <w:t xml:space="preserve"> </w:t>
      </w:r>
      <w:r w:rsidR="00045B44" w:rsidRPr="00FC34CA">
        <w:rPr>
          <w:b/>
        </w:rPr>
        <w:t>počtu subjektů (žadatelů), počtu sociálních služeb, na které je dotace požadována a rovněž výše požadavku na dotaci</w:t>
      </w:r>
      <w:r w:rsidR="00167ECF">
        <w:rPr>
          <w:b/>
        </w:rPr>
        <w:t xml:space="preserve"> ve srovnání s rokem 202</w:t>
      </w:r>
      <w:r w:rsidR="00054014">
        <w:rPr>
          <w:b/>
        </w:rPr>
        <w:t>3</w:t>
      </w:r>
      <w:r w:rsidR="00001E7B">
        <w:rPr>
          <w:b/>
        </w:rPr>
        <w:t>.</w:t>
      </w:r>
    </w:p>
    <w:p w14:paraId="4B4CDADD" w14:textId="695F025C" w:rsidR="00045B44" w:rsidRDefault="00045B44" w:rsidP="00FC34CA">
      <w:pPr>
        <w:pStyle w:val="textDZ"/>
      </w:pPr>
      <w:r w:rsidRPr="00FC34CA">
        <w:t>V roce 202</w:t>
      </w:r>
      <w:r w:rsidR="00001E7B">
        <w:t>3</w:t>
      </w:r>
      <w:r w:rsidRPr="00FC34CA">
        <w:t xml:space="preserve"> splnilo podmínky vyhlášeného dotačního řízení dle tohoto podprogramu </w:t>
      </w:r>
      <w:r w:rsidR="00001E7B">
        <w:t>42</w:t>
      </w:r>
      <w:r w:rsidRPr="00FC34CA">
        <w:t xml:space="preserve"> žádostí na podporu celkem </w:t>
      </w:r>
      <w:r w:rsidR="00001E7B">
        <w:t>118</w:t>
      </w:r>
      <w:r w:rsidRPr="00FC34CA">
        <w:t xml:space="preserve"> služeb, přičemž souhrnná výše požadavků na dotaci činila </w:t>
      </w:r>
      <w:r w:rsidR="00001E7B" w:rsidRPr="00001E7B">
        <w:t>57 929</w:t>
      </w:r>
      <w:r w:rsidR="009469E3">
        <w:t> </w:t>
      </w:r>
      <w:r w:rsidR="00001E7B" w:rsidRPr="00001E7B">
        <w:t>365</w:t>
      </w:r>
      <w:r w:rsidR="009469E3">
        <w:t>,00</w:t>
      </w:r>
      <w:r w:rsidR="00001E7B">
        <w:t xml:space="preserve"> </w:t>
      </w:r>
      <w:r w:rsidRPr="00FC34CA">
        <w:t>Kč.</w:t>
      </w:r>
    </w:p>
    <w:p w14:paraId="5E75234E" w14:textId="77C98218" w:rsidR="00414812" w:rsidRPr="00414812" w:rsidRDefault="00414812" w:rsidP="00414812">
      <w:pPr>
        <w:pStyle w:val="textDZ"/>
      </w:pPr>
      <w:r w:rsidRPr="00414812">
        <w:t>Přehled výše požadavku na dotaci ze strany poskytovatelů sociálníc</w:t>
      </w:r>
      <w:r w:rsidR="00715B43">
        <w:t xml:space="preserve">h služeb a celkové výše dotace; </w:t>
      </w:r>
      <w:r w:rsidRPr="00414812">
        <w:t xml:space="preserve">srovnání </w:t>
      </w:r>
      <w:r w:rsidR="00167ECF">
        <w:t xml:space="preserve">let </w:t>
      </w:r>
      <w:proofErr w:type="gramStart"/>
      <w:r w:rsidR="00167ECF">
        <w:t>202</w:t>
      </w:r>
      <w:r w:rsidR="00001E7B">
        <w:t>3</w:t>
      </w:r>
      <w:r w:rsidR="00167ECF">
        <w:t xml:space="preserve"> – 202</w:t>
      </w:r>
      <w:r w:rsidR="00001E7B">
        <w:t>4</w:t>
      </w:r>
      <w:proofErr w:type="gramEnd"/>
      <w:r w:rsidR="00715B43">
        <w:t xml:space="preserve">; </w:t>
      </w:r>
      <w:r w:rsidRPr="00414812">
        <w:t>je uveden</w:t>
      </w:r>
      <w:r w:rsidR="00167ECF">
        <w:t>o</w:t>
      </w:r>
      <w:r w:rsidRPr="00414812">
        <w:t xml:space="preserve"> v tabulce č. 2.</w:t>
      </w:r>
    </w:p>
    <w:p w14:paraId="4ED84B11" w14:textId="77777777" w:rsidR="00414812" w:rsidRPr="00F9270F" w:rsidRDefault="00414812" w:rsidP="00414812">
      <w:pPr>
        <w:pStyle w:val="Titulek"/>
        <w:spacing w:before="120" w:after="120" w:line="264" w:lineRule="auto"/>
        <w:rPr>
          <w:color w:val="000000"/>
          <w:shd w:val="clear" w:color="auto" w:fill="FFFFFF"/>
        </w:rPr>
      </w:pPr>
      <w:r w:rsidRPr="00A5230F">
        <w:t xml:space="preserve">Tabulka č. </w:t>
      </w:r>
      <w: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041"/>
        <w:gridCol w:w="2435"/>
        <w:gridCol w:w="2436"/>
      </w:tblGrid>
      <w:tr w:rsidR="00FC34CA" w14:paraId="39BDD751" w14:textId="77777777" w:rsidTr="00E57B9B">
        <w:trPr>
          <w:trHeight w:val="454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C49BF2" w14:textId="77777777" w:rsidR="00FC34CA" w:rsidRPr="003C58B6" w:rsidRDefault="00FC34CA" w:rsidP="00FC34CA">
            <w:pPr>
              <w:pStyle w:val="textDZ"/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39F8BC6" w14:textId="77777777"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žadatelů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5AC2043E" w14:textId="77777777"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Počet služeb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6029AC24" w14:textId="268F2B7F" w:rsidR="00FC34CA" w:rsidRPr="003C58B6" w:rsidRDefault="00FC34CA" w:rsidP="00FC34CA">
            <w:pPr>
              <w:pStyle w:val="textDZ"/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C58B6">
              <w:rPr>
                <w:b/>
                <w:sz w:val="20"/>
                <w:szCs w:val="20"/>
              </w:rPr>
              <w:t>Výše požadavku</w:t>
            </w:r>
            <w:r w:rsidR="002B3377">
              <w:rPr>
                <w:b/>
                <w:sz w:val="20"/>
                <w:szCs w:val="20"/>
              </w:rPr>
              <w:t xml:space="preserve"> v Kč</w:t>
            </w:r>
          </w:p>
        </w:tc>
      </w:tr>
      <w:tr w:rsidR="00FC34CA" w14:paraId="0D65A21C" w14:textId="77777777" w:rsidTr="005120EC">
        <w:trPr>
          <w:trHeight w:val="454"/>
        </w:trPr>
        <w:tc>
          <w:tcPr>
            <w:tcW w:w="2830" w:type="dxa"/>
            <w:vAlign w:val="center"/>
          </w:tcPr>
          <w:p w14:paraId="42FA0A07" w14:textId="36FE3939" w:rsidR="00FC34CA" w:rsidRDefault="00FC34CA" w:rsidP="00FC34CA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001E7B">
              <w:t>3</w:t>
            </w:r>
          </w:p>
        </w:tc>
        <w:tc>
          <w:tcPr>
            <w:tcW w:w="2041" w:type="dxa"/>
            <w:vAlign w:val="center"/>
          </w:tcPr>
          <w:p w14:paraId="0D5F92F3" w14:textId="032CC482" w:rsidR="00FC34CA" w:rsidRPr="00FC34CA" w:rsidRDefault="00FC34CA" w:rsidP="00FC34CA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4C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001E7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5" w:type="dxa"/>
            <w:vAlign w:val="center"/>
          </w:tcPr>
          <w:p w14:paraId="2695370A" w14:textId="158EE111" w:rsidR="00FC34CA" w:rsidRPr="00FC34CA" w:rsidRDefault="00001E7B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36" w:type="dxa"/>
            <w:vAlign w:val="center"/>
          </w:tcPr>
          <w:p w14:paraId="456D4E67" w14:textId="392CAAB2" w:rsidR="00FC34CA" w:rsidRPr="00FC34CA" w:rsidRDefault="00001E7B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1E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57 929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001E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365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C34CA" w14:paraId="256ECB8E" w14:textId="77777777" w:rsidTr="005120EC">
        <w:trPr>
          <w:trHeight w:val="454"/>
        </w:trPr>
        <w:tc>
          <w:tcPr>
            <w:tcW w:w="2830" w:type="dxa"/>
            <w:vAlign w:val="center"/>
          </w:tcPr>
          <w:p w14:paraId="0F08B3BD" w14:textId="64A8DB97" w:rsidR="00FC34CA" w:rsidRDefault="004C2BB2" w:rsidP="00167ECF">
            <w:pPr>
              <w:pStyle w:val="textDZ"/>
              <w:spacing w:before="0" w:line="240" w:lineRule="auto"/>
              <w:jc w:val="left"/>
            </w:pPr>
            <w:r>
              <w:t>202</w:t>
            </w:r>
            <w:r w:rsidR="00001E7B">
              <w:t>4</w:t>
            </w:r>
          </w:p>
        </w:tc>
        <w:tc>
          <w:tcPr>
            <w:tcW w:w="2041" w:type="dxa"/>
            <w:vAlign w:val="center"/>
          </w:tcPr>
          <w:p w14:paraId="5BE4098A" w14:textId="7B01AC00" w:rsidR="00FC34CA" w:rsidRPr="00FC34CA" w:rsidRDefault="00001E7B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35" w:type="dxa"/>
            <w:vAlign w:val="center"/>
          </w:tcPr>
          <w:p w14:paraId="564ECF98" w14:textId="53216E87" w:rsidR="00FC34CA" w:rsidRPr="00FC34CA" w:rsidRDefault="00001E7B" w:rsidP="00FC34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36" w:type="dxa"/>
            <w:vAlign w:val="center"/>
          </w:tcPr>
          <w:p w14:paraId="287ED99B" w14:textId="56B528F8" w:rsidR="00FC34CA" w:rsidRPr="00FC34CA" w:rsidRDefault="00001E7B" w:rsidP="00FC34CA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01E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122 524 767,94</w:t>
            </w:r>
          </w:p>
        </w:tc>
      </w:tr>
      <w:tr w:rsidR="00FC34CA" w14:paraId="090EF1C3" w14:textId="77777777" w:rsidTr="005120EC">
        <w:trPr>
          <w:trHeight w:val="454"/>
        </w:trPr>
        <w:tc>
          <w:tcPr>
            <w:tcW w:w="2830" w:type="dxa"/>
            <w:vAlign w:val="center"/>
          </w:tcPr>
          <w:p w14:paraId="70D02FF1" w14:textId="283A3327" w:rsidR="00FC34CA" w:rsidRPr="00FC34CA" w:rsidRDefault="00360BC1" w:rsidP="00360BC1">
            <w:pPr>
              <w:pStyle w:val="textDZ"/>
              <w:spacing w:before="0" w:line="240" w:lineRule="auto"/>
              <w:jc w:val="left"/>
              <w:rPr>
                <w:b/>
              </w:rPr>
            </w:pPr>
            <w:r>
              <w:rPr>
                <w:b/>
              </w:rPr>
              <w:t>Srovnání 202</w:t>
            </w:r>
            <w:r w:rsidR="00001E7B">
              <w:rPr>
                <w:b/>
              </w:rPr>
              <w:t>3</w:t>
            </w:r>
            <w:r>
              <w:rPr>
                <w:b/>
              </w:rPr>
              <w:t xml:space="preserve"> a 202</w:t>
            </w:r>
            <w:r w:rsidR="00001E7B">
              <w:rPr>
                <w:b/>
              </w:rPr>
              <w:t>4</w:t>
            </w:r>
          </w:p>
        </w:tc>
        <w:tc>
          <w:tcPr>
            <w:tcW w:w="2041" w:type="dxa"/>
            <w:vAlign w:val="center"/>
          </w:tcPr>
          <w:p w14:paraId="7DCC36E5" w14:textId="147DB923" w:rsidR="00FC34CA" w:rsidRPr="00FC34CA" w:rsidRDefault="00001E7B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126 </w:t>
            </w:r>
            <w:r w:rsidR="00360BC1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2435" w:type="dxa"/>
            <w:vAlign w:val="center"/>
          </w:tcPr>
          <w:p w14:paraId="1E62E342" w14:textId="2139E4CB" w:rsidR="00FC34CA" w:rsidRPr="00FC34CA" w:rsidRDefault="00001E7B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127</w:t>
            </w:r>
            <w:r w:rsidR="00360BC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436" w:type="dxa"/>
            <w:vAlign w:val="center"/>
          </w:tcPr>
          <w:p w14:paraId="52B51C63" w14:textId="1E415745" w:rsidR="00FC34CA" w:rsidRPr="00FC34CA" w:rsidRDefault="00944750" w:rsidP="00FC34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212 </w:t>
            </w:r>
            <w:r w:rsidR="00FC34CA" w:rsidRPr="00FC34CA">
              <w:rPr>
                <w:rFonts w:ascii="Arial" w:hAnsi="Arial" w:cs="Arial"/>
                <w:b/>
                <w:color w:val="000000"/>
                <w:sz w:val="22"/>
                <w:szCs w:val="22"/>
              </w:rPr>
              <w:t>%</w:t>
            </w:r>
          </w:p>
        </w:tc>
      </w:tr>
    </w:tbl>
    <w:p w14:paraId="1D5D799E" w14:textId="212CD927" w:rsidR="00FA5928" w:rsidRPr="000235CF" w:rsidRDefault="00FA5928" w:rsidP="00414812">
      <w:pPr>
        <w:pStyle w:val="textDZ"/>
      </w:pPr>
      <w:r w:rsidRPr="000235CF">
        <w:t xml:space="preserve">Na tyto skutečnosti </w:t>
      </w:r>
      <w:r w:rsidR="00414812" w:rsidRPr="000235CF">
        <w:t xml:space="preserve">měla zásadní vliv výše přiznané dotace ze státního rozpočtu (MPSV ČR) pro rok </w:t>
      </w:r>
      <w:r w:rsidR="004C2BB2" w:rsidRPr="000235CF">
        <w:t>202</w:t>
      </w:r>
      <w:r w:rsidR="00DD22E0" w:rsidRPr="000235CF">
        <w:t>4</w:t>
      </w:r>
      <w:r w:rsidR="00414812" w:rsidRPr="000235CF">
        <w:t xml:space="preserve">, </w:t>
      </w:r>
      <w:r w:rsidRPr="000235CF">
        <w:t xml:space="preserve">jejíž alokace pro Olomoucký kraj byla </w:t>
      </w:r>
      <w:r w:rsidR="00AF6704" w:rsidRPr="000235CF">
        <w:t xml:space="preserve">pouze </w:t>
      </w:r>
      <w:r w:rsidR="00414812" w:rsidRPr="000235CF">
        <w:t xml:space="preserve">o </w:t>
      </w:r>
      <w:r w:rsidR="00AF6704" w:rsidRPr="000235CF">
        <w:t xml:space="preserve">5 270 458 Kč vyšší než </w:t>
      </w:r>
      <w:r w:rsidR="00414812" w:rsidRPr="000235CF">
        <w:t>dotace přiznan</w:t>
      </w:r>
      <w:r w:rsidR="00AF6704" w:rsidRPr="000235CF">
        <w:t>á</w:t>
      </w:r>
      <w:r w:rsidR="00414812" w:rsidRPr="000235CF">
        <w:t xml:space="preserve"> Olomouckému kraji v roce 202</w:t>
      </w:r>
      <w:r w:rsidR="00AF6704" w:rsidRPr="000235CF">
        <w:t>3, přičemž však došlo k zařazení nových sociálních služeb do Sítě (dopad cca 45 mil. Kč) a k dalšímu navýšení jednotek v Síti, které rovněž mělo značný dopad na výši nákladů sociálních služeb.</w:t>
      </w:r>
    </w:p>
    <w:p w14:paraId="260F6995" w14:textId="77777777" w:rsidR="003F2537" w:rsidRPr="003F2537" w:rsidRDefault="003F2537" w:rsidP="007C03D4">
      <w:pPr>
        <w:pStyle w:val="textDZ"/>
        <w:pBdr>
          <w:bottom w:val="single" w:sz="4" w:space="1" w:color="auto"/>
        </w:pBdr>
        <w:spacing w:before="360"/>
        <w:rPr>
          <w:b/>
        </w:rPr>
      </w:pPr>
      <w:r w:rsidRPr="003F2537">
        <w:rPr>
          <w:b/>
        </w:rPr>
        <w:t xml:space="preserve">Výpočet výše dotace </w:t>
      </w:r>
    </w:p>
    <w:p w14:paraId="38524209" w14:textId="77777777" w:rsidR="000471E4" w:rsidRPr="003F2537" w:rsidRDefault="000471E4" w:rsidP="00E21CC9">
      <w:pPr>
        <w:pStyle w:val="textDZ"/>
      </w:pPr>
      <w:r>
        <w:t xml:space="preserve">Výpočet výše dotace </w:t>
      </w:r>
      <w:r w:rsidRPr="003F2537">
        <w:t>jednotlivým službám, na které byla podána žádost splňující podmínky vyhlášeného dotačního řízení, byl stanoven v </w:t>
      </w:r>
      <w:r>
        <w:t>souladu s čl. 3.1 Podprogramu č.</w:t>
      </w:r>
      <w:r w:rsidRPr="003F2537">
        <w:t xml:space="preserve"> </w:t>
      </w:r>
      <w:proofErr w:type="gramStart"/>
      <w:r w:rsidRPr="003F2537">
        <w:t xml:space="preserve">2 </w:t>
      </w:r>
      <w:r>
        <w:t xml:space="preserve"> Programu</w:t>
      </w:r>
      <w:proofErr w:type="gramEnd"/>
      <w:r>
        <w:t xml:space="preserve">. </w:t>
      </w:r>
      <w:r w:rsidRPr="00B34958">
        <w:t xml:space="preserve">Výše požadavku do tohoto podprogramu nesmí </w:t>
      </w:r>
      <w:r>
        <w:t xml:space="preserve">dle čl. II. odst. 2.1 </w:t>
      </w:r>
      <w:r w:rsidRPr="00B34958">
        <w:t xml:space="preserve">převyšovat rozdíl mezi požadavkem na dotaci (poníženým o nadhodnocené/neuznatelné náklady) v rámci Podprogramu č. 1 a přiznanou výší dotace z Podprogramu č. 1. </w:t>
      </w:r>
      <w:r>
        <w:t>Požadavky</w:t>
      </w:r>
      <w:r w:rsidRPr="00B34958">
        <w:t xml:space="preserve"> nižší než </w:t>
      </w:r>
      <w:r w:rsidRPr="00B34958">
        <w:lastRenderedPageBreak/>
        <w:t>minimální hranice podpory 25 000 Kč byly eliminovány. Následně byly návrhy dotací stanoveny uvedeným způsobem</w:t>
      </w:r>
      <w:r w:rsidRPr="003F2537">
        <w:t>:</w:t>
      </w:r>
    </w:p>
    <w:p w14:paraId="46BC22FE" w14:textId="77777777" w:rsidR="00183C41" w:rsidRDefault="00183C41" w:rsidP="00E21CC9">
      <w:pPr>
        <w:pStyle w:val="slovn"/>
        <w:numPr>
          <w:ilvl w:val="1"/>
          <w:numId w:val="15"/>
        </w:numPr>
        <w:ind w:left="851" w:hanging="425"/>
      </w:pPr>
      <w:r w:rsidRPr="00BB73B9">
        <w:t>Žádostem o dotaci pro sociální služby, které obdržely dotaci v rámci Podprogramu č. 1</w:t>
      </w:r>
      <w:r>
        <w:t>:</w:t>
      </w:r>
    </w:p>
    <w:p w14:paraId="3A974E4E" w14:textId="77777777" w:rsidR="00FB6475" w:rsidRDefault="00FB6475" w:rsidP="00EF13F1">
      <w:pPr>
        <w:pStyle w:val="textDZ"/>
        <w:numPr>
          <w:ilvl w:val="0"/>
          <w:numId w:val="19"/>
        </w:numPr>
      </w:pPr>
      <w:r>
        <w:t xml:space="preserve">Podkladem pro stanovení výše dotace byla kalkulace </w:t>
      </w:r>
      <w:r w:rsidRPr="003F2537">
        <w:t>na základě výpočtu v Podprogramu č. 1</w:t>
      </w:r>
      <w:r w:rsidRPr="00FB6475">
        <w:rPr>
          <w:vertAlign w:val="superscript"/>
        </w:rPr>
        <w:t>i</w:t>
      </w:r>
      <w:r w:rsidRPr="00FB6475">
        <w:t>.</w:t>
      </w:r>
    </w:p>
    <w:p w14:paraId="59A3CC9E" w14:textId="77777777" w:rsidR="00EF13F1" w:rsidRDefault="00183C41" w:rsidP="00EF13F1">
      <w:pPr>
        <w:pStyle w:val="textDZ"/>
        <w:numPr>
          <w:ilvl w:val="0"/>
          <w:numId w:val="19"/>
        </w:numPr>
      </w:pPr>
      <w:r w:rsidRPr="003F2537">
        <w:t xml:space="preserve">Žádostem byla stanovena výše dotace výpočtem dle vzorce </w:t>
      </w:r>
      <w:r w:rsidR="00EF13F1">
        <w:t xml:space="preserve">stanoveném v Podprogramu č. 2 – </w:t>
      </w:r>
      <w:r w:rsidR="00FB6475">
        <w:t>od</w:t>
      </w:r>
      <w:r w:rsidR="00EF13F1">
        <w:t xml:space="preserve"> podkladu uvedeného v bodě 1. </w:t>
      </w:r>
      <w:r w:rsidRPr="003F2537">
        <w:t xml:space="preserve">byla odpočítána skutečná výše dotace v Podprogramu 1. </w:t>
      </w:r>
    </w:p>
    <w:p w14:paraId="7BEDB1C5" w14:textId="77777777" w:rsidR="00183C41" w:rsidRPr="00626699" w:rsidRDefault="00183C41" w:rsidP="00EF13F1">
      <w:pPr>
        <w:pStyle w:val="textDZ"/>
        <w:numPr>
          <w:ilvl w:val="0"/>
          <w:numId w:val="19"/>
        </w:numPr>
      </w:pPr>
      <w:r w:rsidRPr="003F2537">
        <w:t>Záporné a nulové hodnoty byly eliminovány</w:t>
      </w:r>
      <w:r w:rsidR="00F75028">
        <w:t>,</w:t>
      </w:r>
      <w:r w:rsidR="007D77DC">
        <w:t xml:space="preserve"> </w:t>
      </w:r>
      <w:r w:rsidR="007D77DC" w:rsidRPr="00626699">
        <w:t>(</w:t>
      </w:r>
      <w:r w:rsidR="00626699" w:rsidRPr="00626699">
        <w:t>tzn.</w:t>
      </w:r>
      <w:r w:rsidR="00C47F90">
        <w:t xml:space="preserve">, </w:t>
      </w:r>
      <w:r w:rsidR="007D77DC" w:rsidRPr="00626699">
        <w:t>těmto požadavkům nebylo vyhověno)</w:t>
      </w:r>
      <w:r w:rsidRPr="00626699">
        <w:t xml:space="preserve">. </w:t>
      </w:r>
    </w:p>
    <w:p w14:paraId="68C9D3BE" w14:textId="77777777" w:rsidR="00183C41" w:rsidRDefault="00183C41" w:rsidP="00E21CC9">
      <w:pPr>
        <w:pStyle w:val="slovn"/>
        <w:numPr>
          <w:ilvl w:val="1"/>
          <w:numId w:val="10"/>
        </w:numPr>
        <w:ind w:left="851" w:hanging="425"/>
      </w:pPr>
      <w:r w:rsidRPr="00BB73B9">
        <w:t>Žádostem o dotaci pro sociální služby, které obdržely dotaci v rámci Programu podpory B</w:t>
      </w:r>
      <w:r>
        <w:t>:</w:t>
      </w:r>
    </w:p>
    <w:p w14:paraId="21CCFF8F" w14:textId="77777777" w:rsidR="00EF13F1" w:rsidRDefault="00EF13F1" w:rsidP="00EF13F1">
      <w:pPr>
        <w:pStyle w:val="textDZ"/>
        <w:numPr>
          <w:ilvl w:val="0"/>
          <w:numId w:val="20"/>
        </w:numPr>
      </w:pPr>
      <w:r>
        <w:t xml:space="preserve">Podkladem pro stanovení výše dotace byla kalkulace </w:t>
      </w:r>
      <w:r w:rsidRPr="003F2537">
        <w:t>na základě výpočtu v Podprogramu č. 1</w:t>
      </w:r>
      <w:r w:rsidRPr="00FB6475">
        <w:t>.</w:t>
      </w:r>
    </w:p>
    <w:p w14:paraId="5074DB21" w14:textId="77777777" w:rsidR="002C61F9" w:rsidRDefault="00183C41" w:rsidP="00EF13F1">
      <w:pPr>
        <w:pStyle w:val="textDZ"/>
        <w:numPr>
          <w:ilvl w:val="0"/>
          <w:numId w:val="20"/>
        </w:numPr>
      </w:pPr>
      <w:r w:rsidRPr="003F2537">
        <w:t xml:space="preserve">Z takto stanovené kalkulace bylo jako podklad pro stanovení výše dotace použito 20 %. </w:t>
      </w:r>
      <w:r w:rsidR="002C61F9">
        <w:t xml:space="preserve"> </w:t>
      </w:r>
    </w:p>
    <w:p w14:paraId="2E075416" w14:textId="77777777" w:rsidR="00FB6475" w:rsidRPr="00FB6475" w:rsidRDefault="00FB6475" w:rsidP="00FB6475">
      <w:pPr>
        <w:pStyle w:val="textDZ"/>
      </w:pPr>
      <w:r w:rsidRPr="00FB6475">
        <w:rPr>
          <w:vertAlign w:val="superscript"/>
        </w:rPr>
        <w:t>i</w:t>
      </w:r>
      <w:r>
        <w:rPr>
          <w:vertAlign w:val="superscript"/>
        </w:rPr>
        <w:t xml:space="preserve"> </w:t>
      </w:r>
      <w:r w:rsidRPr="00FB6475">
        <w:t>Výpočt</w:t>
      </w:r>
      <w:r>
        <w:t>y</w:t>
      </w:r>
      <w:r w:rsidRPr="00FB6475">
        <w:t xml:space="preserve"> v </w:t>
      </w:r>
      <w:r>
        <w:t>P</w:t>
      </w:r>
      <w:r w:rsidRPr="00FB6475">
        <w:t>odprogramu č. 1 jsou realizovány na základě kalkulace</w:t>
      </w:r>
      <w:r>
        <w:t xml:space="preserve">, kterou se rozumí </w:t>
      </w:r>
      <w:r w:rsidRPr="003F2537">
        <w:t xml:space="preserve">výpočet dle </w:t>
      </w:r>
      <w:r>
        <w:t xml:space="preserve">hodnot stanovených pro jednotlivé druhy sociálních služeb </w:t>
      </w:r>
      <w:r w:rsidRPr="003F2537">
        <w:t>na</w:t>
      </w:r>
      <w:r>
        <w:t> </w:t>
      </w:r>
      <w:r w:rsidRPr="003F2537">
        <w:t>základě počtu jednotek zařazených do sítě sociálních služeb</w:t>
      </w:r>
      <w:r>
        <w:t>. Hodnoty jsou stanoveny na základě mediánů „provozní ztráty“ (nákladů po odečtení úhrad a jiných zdrojů).</w:t>
      </w:r>
    </w:p>
    <w:p w14:paraId="7B9F9324" w14:textId="77777777" w:rsidR="0079173D" w:rsidRDefault="0079173D" w:rsidP="00121352">
      <w:pPr>
        <w:pStyle w:val="textDZ"/>
        <w:rPr>
          <w:b/>
        </w:rPr>
      </w:pPr>
    </w:p>
    <w:p w14:paraId="45B416EC" w14:textId="77777777" w:rsidR="0079173D" w:rsidRPr="000235CF" w:rsidRDefault="0079173D" w:rsidP="0079173D">
      <w:pPr>
        <w:pStyle w:val="textDZ"/>
      </w:pPr>
      <w:r w:rsidRPr="000235CF">
        <w:t>Následně byly vypočtené hodnoty sečteny a na jejich základě byl stanoven koeficient, kterým byly navrhované výše dotací upraveny tak, aby se souhrn návrhů dotace pro jednotlivé sociální služby rovnal výši disponibilních zdrojů (koeficient – podíl, v jehož čitateli je výše disponibilních zdrojů a v jeho jmenovateli součet všech stanovených návrhů dotace).</w:t>
      </w:r>
    </w:p>
    <w:p w14:paraId="28E03547" w14:textId="77777777" w:rsidR="0079173D" w:rsidRPr="000235CF" w:rsidRDefault="0079173D" w:rsidP="0079173D">
      <w:pPr>
        <w:pStyle w:val="textDZ"/>
      </w:pPr>
      <w:r w:rsidRPr="000235CF">
        <w:t>Výsledné hodnoty (vypočtené na základě vzorce) byly dále upraveny:</w:t>
      </w:r>
    </w:p>
    <w:p w14:paraId="3C689A98" w14:textId="77777777" w:rsidR="0079173D" w:rsidRPr="000235CF" w:rsidRDefault="0079173D" w:rsidP="0079173D">
      <w:pPr>
        <w:pStyle w:val="textDZ"/>
        <w:numPr>
          <w:ilvl w:val="3"/>
          <w:numId w:val="21"/>
        </w:numPr>
        <w:ind w:left="851" w:hanging="567"/>
      </w:pPr>
      <w:r w:rsidRPr="000235CF">
        <w:t xml:space="preserve">V případě, že byla vypočtená hodnota podpory projektu vyšší než stanovená maximální hranice dotace, byla tato hodnota snížena na maximální hranici podpory a součet rozdílů hodnot byl použit k poměrnému navýšení vypočtených hodnot ostatních projektů. </w:t>
      </w:r>
    </w:p>
    <w:p w14:paraId="13FF7CBB" w14:textId="77777777" w:rsidR="0079173D" w:rsidRPr="000235CF" w:rsidRDefault="0079173D" w:rsidP="0079173D">
      <w:pPr>
        <w:pStyle w:val="textDZ"/>
        <w:numPr>
          <w:ilvl w:val="3"/>
          <w:numId w:val="21"/>
        </w:numPr>
        <w:ind w:left="851" w:hanging="567"/>
      </w:pPr>
      <w:r w:rsidRPr="000235CF">
        <w:t>Vypočteným hodnotám podpory projektu, které nedosáhly minimální hranice 25 000 Kč, byla přiřazena hodnota 0</w:t>
      </w:r>
      <w:r w:rsidRPr="009469E3">
        <w:t>;</w:t>
      </w:r>
      <w:r w:rsidRPr="000235CF">
        <w:t xml:space="preserve"> součet rozdílů hodnot byl použit k poměrnému navýšení vypočtených hodnot ostatních projektů.</w:t>
      </w:r>
    </w:p>
    <w:p w14:paraId="4B60DEA9" w14:textId="30DDAFC6" w:rsidR="0079173D" w:rsidRPr="000235CF" w:rsidRDefault="0079173D" w:rsidP="0079173D">
      <w:pPr>
        <w:pStyle w:val="textDZ"/>
      </w:pPr>
      <w:r w:rsidRPr="000235CF">
        <w:t>Výsledné návrhy dotací byly zaokrouhleny na stovky (pokud to bylo možné, vzhledem k hodnotě alokovaných prostředků).</w:t>
      </w:r>
    </w:p>
    <w:p w14:paraId="5E4AD33B" w14:textId="77777777" w:rsidR="0079173D" w:rsidRPr="000235CF" w:rsidRDefault="0079173D" w:rsidP="0079173D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0235CF">
        <w:rPr>
          <w:rFonts w:ascii="Arial" w:eastAsia="Calibri" w:hAnsi="Arial" w:cs="Arial"/>
          <w:b/>
          <w:szCs w:val="22"/>
        </w:rPr>
        <w:lastRenderedPageBreak/>
        <w:t xml:space="preserve">Konkrétní návrh na poskytnutí dotace jednotlivým sociálním službám, </w:t>
      </w:r>
      <w:r w:rsidRPr="000235CF">
        <w:rPr>
          <w:rFonts w:ascii="Arial" w:eastAsia="Calibri" w:hAnsi="Arial" w:cs="Arial"/>
          <w:b/>
          <w:bCs/>
        </w:rPr>
        <w:t xml:space="preserve">zpracovaný </w:t>
      </w:r>
      <w:r w:rsidRPr="001219DE">
        <w:rPr>
          <w:rFonts w:ascii="Arial" w:eastAsia="Calibri" w:hAnsi="Arial" w:cs="Arial"/>
          <w:b/>
          <w:bCs/>
        </w:rPr>
        <w:t xml:space="preserve">v souladu s Podprogramem č. 2 Programu, </w:t>
      </w:r>
      <w:r w:rsidRPr="001219DE">
        <w:rPr>
          <w:rFonts w:ascii="Arial" w:eastAsia="Calibri" w:hAnsi="Arial" w:cs="Arial"/>
          <w:b/>
          <w:szCs w:val="22"/>
        </w:rPr>
        <w:t>je uveden</w:t>
      </w:r>
      <w:r w:rsidRPr="001219DE">
        <w:rPr>
          <w:rFonts w:ascii="Arial" w:eastAsia="Calibri" w:hAnsi="Arial" w:cs="Arial"/>
          <w:szCs w:val="22"/>
        </w:rPr>
        <w:t xml:space="preserve"> </w:t>
      </w:r>
      <w:r w:rsidRPr="001219DE">
        <w:rPr>
          <w:rFonts w:ascii="Arial" w:eastAsia="Calibri" w:hAnsi="Arial" w:cs="Arial"/>
          <w:b/>
          <w:szCs w:val="22"/>
        </w:rPr>
        <w:t>v</w:t>
      </w:r>
      <w:r w:rsidRPr="001219DE">
        <w:rPr>
          <w:rFonts w:ascii="Arial" w:eastAsia="Calibri" w:hAnsi="Arial" w:cs="Arial"/>
          <w:szCs w:val="22"/>
        </w:rPr>
        <w:t> </w:t>
      </w:r>
      <w:r w:rsidRPr="001219DE">
        <w:rPr>
          <w:rFonts w:ascii="Arial" w:eastAsia="Calibri" w:hAnsi="Arial" w:cs="Arial"/>
          <w:b/>
          <w:szCs w:val="22"/>
        </w:rPr>
        <w:t>příloze č. 01 usnesení.</w:t>
      </w:r>
      <w:r w:rsidRPr="000235CF">
        <w:rPr>
          <w:rFonts w:ascii="Arial" w:eastAsia="Calibri" w:hAnsi="Arial" w:cs="Arial"/>
          <w:b/>
          <w:szCs w:val="22"/>
        </w:rPr>
        <w:t xml:space="preserve"> </w:t>
      </w:r>
    </w:p>
    <w:p w14:paraId="77967677" w14:textId="77777777" w:rsidR="0079173D" w:rsidRPr="000235CF" w:rsidRDefault="0079173D" w:rsidP="0079173D">
      <w:pPr>
        <w:autoSpaceDE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0235CF">
        <w:rPr>
          <w:rFonts w:ascii="Arial" w:eastAsia="Calibri" w:hAnsi="Arial" w:cs="Arial"/>
          <w:szCs w:val="22"/>
        </w:rPr>
        <w:t xml:space="preserve">K přerozdělení a distribuci finančních prostředků jednotlivým poskytovatelům v rámci Podprogramu č. 2 Programu je nutno schválit vzorovou veřejnoprávní smlouvu. </w:t>
      </w:r>
      <w:r w:rsidRPr="000235CF">
        <w:rPr>
          <w:rFonts w:ascii="Arial" w:eastAsia="Calibri" w:hAnsi="Arial" w:cs="Arial"/>
          <w:b/>
          <w:szCs w:val="22"/>
        </w:rPr>
        <w:t>Návrh vzorové veřejnoprávní smlouvy o poskytnutí účelové dotace je uveden v příloze č. 02 usnesení.</w:t>
      </w:r>
    </w:p>
    <w:p w14:paraId="624BB2FB" w14:textId="77777777" w:rsidR="0079173D" w:rsidRDefault="0079173D" w:rsidP="0079173D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14:paraId="0DBA6A59" w14:textId="77777777" w:rsidR="00320B62" w:rsidRDefault="00320B62" w:rsidP="00320B62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93453B">
        <w:rPr>
          <w:rFonts w:ascii="Arial" w:eastAsia="Calibri" w:hAnsi="Arial" w:cs="Arial"/>
          <w:szCs w:val="22"/>
          <w:lang w:eastAsia="en-US"/>
        </w:rPr>
        <w:t xml:space="preserve">Materiál byl předložen na jednání Komise pro rodinu a sociální záležitosti Rady Olomouckého </w:t>
      </w:r>
      <w:r w:rsidRPr="003D0482">
        <w:rPr>
          <w:rFonts w:ascii="Arial" w:eastAsia="Calibri" w:hAnsi="Arial" w:cs="Arial"/>
          <w:szCs w:val="22"/>
          <w:lang w:eastAsia="en-US"/>
        </w:rPr>
        <w:t xml:space="preserve">kraje dne </w:t>
      </w:r>
      <w:r w:rsidRPr="001219DE">
        <w:rPr>
          <w:rFonts w:ascii="Arial" w:eastAsia="Calibri" w:hAnsi="Arial" w:cs="Arial"/>
          <w:szCs w:val="22"/>
          <w:lang w:eastAsia="en-US"/>
        </w:rPr>
        <w:t>15.05.2024.</w:t>
      </w:r>
      <w:r w:rsidRPr="003D0482">
        <w:rPr>
          <w:rFonts w:ascii="Arial" w:eastAsia="Calibri" w:hAnsi="Arial" w:cs="Arial"/>
          <w:szCs w:val="22"/>
          <w:lang w:eastAsia="en-US"/>
        </w:rPr>
        <w:t xml:space="preserve"> Komise projednala předložený materiál a svým usnesením </w:t>
      </w:r>
      <w:r w:rsidRPr="003D0482">
        <w:rPr>
          <w:rFonts w:ascii="Arial" w:eastAsia="Calibri" w:hAnsi="Arial" w:cs="Arial"/>
          <w:szCs w:val="22"/>
          <w:lang w:eastAsia="en-US"/>
        </w:rPr>
        <w:br/>
      </w:r>
      <w:r w:rsidRPr="006D684E">
        <w:rPr>
          <w:rFonts w:ascii="Arial" w:eastAsia="Calibri" w:hAnsi="Arial" w:cs="Arial"/>
          <w:bCs/>
          <w:szCs w:val="22"/>
          <w:lang w:eastAsia="en-US"/>
        </w:rPr>
        <w:t>UK-RS/26/2/2024</w:t>
      </w:r>
      <w:r w:rsidRPr="003D0482">
        <w:rPr>
          <w:rFonts w:ascii="Arial" w:eastAsia="Calibri" w:hAnsi="Arial" w:cs="Arial"/>
          <w:bCs/>
          <w:szCs w:val="22"/>
          <w:lang w:eastAsia="en-US"/>
        </w:rPr>
        <w:t>, doporučila Radě Olomouckého kraje:</w:t>
      </w:r>
      <w:r>
        <w:rPr>
          <w:rFonts w:ascii="Arial" w:eastAsia="Calibri" w:hAnsi="Arial" w:cs="Arial"/>
          <w:bCs/>
          <w:szCs w:val="22"/>
          <w:lang w:eastAsia="en-US"/>
        </w:rPr>
        <w:t xml:space="preserve"> </w:t>
      </w:r>
    </w:p>
    <w:p w14:paraId="438E8105" w14:textId="77777777" w:rsidR="00320B62" w:rsidRPr="00165C1C" w:rsidRDefault="00320B62" w:rsidP="00320B62">
      <w:pPr>
        <w:pStyle w:val="Zkladntextodsazendek"/>
        <w:spacing w:before="120" w:after="0" w:line="264" w:lineRule="auto"/>
        <w:ind w:left="567" w:hanging="567"/>
        <w:rPr>
          <w:rFonts w:eastAsia="Calibri" w:cs="Arial"/>
          <w:bCs/>
          <w:szCs w:val="22"/>
          <w:lang w:eastAsia="en-US"/>
        </w:rPr>
      </w:pPr>
      <w:r w:rsidRPr="00165C1C">
        <w:rPr>
          <w:rFonts w:eastAsia="Calibri" w:cs="Arial"/>
          <w:bCs/>
          <w:szCs w:val="22"/>
          <w:lang w:eastAsia="en-US"/>
        </w:rPr>
        <w:t xml:space="preserve">a) </w:t>
      </w:r>
      <w:r>
        <w:rPr>
          <w:rFonts w:eastAsia="Calibri" w:cs="Arial"/>
          <w:bCs/>
          <w:szCs w:val="22"/>
          <w:lang w:eastAsia="en-US"/>
        </w:rPr>
        <w:tab/>
      </w:r>
      <w:r w:rsidRPr="00165C1C">
        <w:rPr>
          <w:rFonts w:eastAsia="Calibri" w:cs="Arial"/>
          <w:bCs/>
          <w:szCs w:val="22"/>
          <w:lang w:eastAsia="en-US"/>
        </w:rPr>
        <w:t xml:space="preserve">souhlasit s návrhem na poskytnutí dotace </w:t>
      </w:r>
      <w:bookmarkStart w:id="0" w:name="_Hlk166681164"/>
      <w:r w:rsidRPr="00165C1C">
        <w:rPr>
          <w:rFonts w:eastAsia="Calibri" w:cs="Arial"/>
          <w:bCs/>
          <w:szCs w:val="22"/>
          <w:lang w:eastAsia="en-US"/>
        </w:rPr>
        <w:t>jednotlivým sociální</w:t>
      </w:r>
      <w:r>
        <w:rPr>
          <w:rFonts w:eastAsia="Calibri" w:cs="Arial"/>
          <w:bCs/>
          <w:szCs w:val="22"/>
          <w:lang w:eastAsia="en-US"/>
        </w:rPr>
        <w:t>m</w:t>
      </w:r>
      <w:r w:rsidRPr="00165C1C">
        <w:rPr>
          <w:rFonts w:eastAsia="Calibri" w:cs="Arial"/>
          <w:bCs/>
          <w:szCs w:val="22"/>
          <w:lang w:eastAsia="en-US"/>
        </w:rPr>
        <w:t xml:space="preserve"> služb</w:t>
      </w:r>
      <w:r>
        <w:rPr>
          <w:rFonts w:eastAsia="Calibri" w:cs="Arial"/>
          <w:bCs/>
          <w:szCs w:val="22"/>
          <w:lang w:eastAsia="en-US"/>
        </w:rPr>
        <w:t>ám</w:t>
      </w:r>
      <w:r w:rsidRPr="00165C1C">
        <w:rPr>
          <w:rFonts w:eastAsia="Calibri" w:cs="Arial"/>
          <w:bCs/>
          <w:szCs w:val="22"/>
          <w:lang w:eastAsia="en-US"/>
        </w:rPr>
        <w:t xml:space="preserve"> </w:t>
      </w:r>
      <w:bookmarkEnd w:id="0"/>
      <w:r w:rsidRPr="00165C1C">
        <w:rPr>
          <w:rFonts w:eastAsia="Calibri" w:cs="Arial"/>
          <w:bCs/>
          <w:szCs w:val="22"/>
          <w:lang w:eastAsia="en-US"/>
        </w:rPr>
        <w:t>zpracovaným v souladu s Podprogramem č. 2 Programu finanční podpory poskytování sociálních služeb v Olomouckém kraji</w:t>
      </w:r>
    </w:p>
    <w:p w14:paraId="4CF8687E" w14:textId="77777777" w:rsidR="00320B62" w:rsidRPr="00165C1C" w:rsidRDefault="00320B62" w:rsidP="00320B62">
      <w:pPr>
        <w:pStyle w:val="Zkladntextodsazendek"/>
        <w:spacing w:before="120" w:after="0" w:line="264" w:lineRule="auto"/>
        <w:ind w:left="567" w:hanging="567"/>
        <w:rPr>
          <w:rFonts w:eastAsia="Calibri" w:cs="Arial"/>
          <w:bCs/>
          <w:szCs w:val="22"/>
          <w:lang w:eastAsia="en-US"/>
        </w:rPr>
      </w:pPr>
      <w:r w:rsidRPr="00165C1C">
        <w:rPr>
          <w:rFonts w:eastAsia="Calibri" w:cs="Arial"/>
          <w:bCs/>
          <w:szCs w:val="22"/>
          <w:lang w:eastAsia="en-US"/>
        </w:rPr>
        <w:t xml:space="preserve">b) </w:t>
      </w:r>
      <w:r>
        <w:rPr>
          <w:rFonts w:eastAsia="Calibri" w:cs="Arial"/>
          <w:bCs/>
          <w:szCs w:val="22"/>
          <w:lang w:eastAsia="en-US"/>
        </w:rPr>
        <w:tab/>
      </w:r>
      <w:r w:rsidRPr="00165C1C">
        <w:rPr>
          <w:rFonts w:eastAsia="Calibri" w:cs="Arial"/>
          <w:bCs/>
          <w:szCs w:val="22"/>
          <w:lang w:eastAsia="en-US"/>
        </w:rPr>
        <w:t xml:space="preserve">předložit Zastupitelstvu Olomouckého kraje návrh na poskytnutí dotace jednotlivým </w:t>
      </w:r>
      <w:r w:rsidRPr="00D20835">
        <w:rPr>
          <w:rFonts w:eastAsia="Calibri" w:cs="Arial"/>
          <w:bCs/>
          <w:szCs w:val="22"/>
          <w:lang w:eastAsia="en-US"/>
        </w:rPr>
        <w:t xml:space="preserve">sociálním službám </w:t>
      </w:r>
      <w:r>
        <w:rPr>
          <w:rFonts w:eastAsia="Calibri" w:cs="Arial"/>
          <w:bCs/>
          <w:szCs w:val="22"/>
          <w:lang w:eastAsia="en-US"/>
        </w:rPr>
        <w:t>z</w:t>
      </w:r>
      <w:r w:rsidRPr="00165C1C">
        <w:rPr>
          <w:rFonts w:eastAsia="Calibri" w:cs="Arial"/>
          <w:bCs/>
          <w:szCs w:val="22"/>
          <w:lang w:eastAsia="en-US"/>
        </w:rPr>
        <w:t>pracovaný v souladu s Podprogramem č. 2 Programu finanční podpory poskytování sociálních služeb v Olomouckém kraji k projednání.</w:t>
      </w:r>
    </w:p>
    <w:p w14:paraId="5910B436" w14:textId="2DCC65BB" w:rsidR="0004047D" w:rsidRDefault="0004047D" w:rsidP="00E21CC9">
      <w:pPr>
        <w:pStyle w:val="Zkladntextodsazendek"/>
        <w:spacing w:before="120" w:after="0" w:line="264" w:lineRule="auto"/>
        <w:ind w:firstLine="0"/>
        <w:rPr>
          <w:b/>
          <w:strike/>
          <w:color w:val="FF0000"/>
        </w:rPr>
      </w:pPr>
    </w:p>
    <w:p w14:paraId="3E1910E8" w14:textId="249EDF2D" w:rsidR="00504FB0" w:rsidRPr="00343983" w:rsidRDefault="00504FB0" w:rsidP="00504FB0">
      <w:pPr>
        <w:pStyle w:val="Zkladntextodsazendek"/>
        <w:spacing w:after="0" w:line="264" w:lineRule="auto"/>
        <w:ind w:firstLine="0"/>
        <w:rPr>
          <w:b/>
          <w:bCs/>
        </w:rPr>
      </w:pPr>
      <w:r w:rsidRPr="00343983">
        <w:rPr>
          <w:b/>
        </w:rPr>
        <w:t xml:space="preserve">Rada </w:t>
      </w:r>
      <w:r w:rsidRPr="00343983">
        <w:rPr>
          <w:b/>
          <w:bCs/>
        </w:rPr>
        <w:t xml:space="preserve">Olomouckého kraje na svém jednání dne </w:t>
      </w:r>
      <w:r>
        <w:rPr>
          <w:b/>
          <w:bCs/>
        </w:rPr>
        <w:t>27</w:t>
      </w:r>
      <w:r w:rsidRPr="00343983">
        <w:rPr>
          <w:b/>
          <w:bCs/>
        </w:rPr>
        <w:t>.0</w:t>
      </w:r>
      <w:r>
        <w:rPr>
          <w:b/>
          <w:bCs/>
        </w:rPr>
        <w:t>5</w:t>
      </w:r>
      <w:r w:rsidRPr="00343983">
        <w:rPr>
          <w:b/>
          <w:bCs/>
        </w:rPr>
        <w:t>.202</w:t>
      </w:r>
      <w:r>
        <w:rPr>
          <w:b/>
          <w:bCs/>
        </w:rPr>
        <w:t>4</w:t>
      </w:r>
      <w:r w:rsidRPr="00343983">
        <w:rPr>
          <w:b/>
          <w:bCs/>
        </w:rPr>
        <w:t xml:space="preserve"> projednala uvedené dokumenty a svým usnesením č</w:t>
      </w:r>
      <w:r w:rsidR="00CF010D">
        <w:rPr>
          <w:b/>
          <w:bCs/>
        </w:rPr>
        <w:t xml:space="preserve">. </w:t>
      </w:r>
      <w:r w:rsidR="00CF010D">
        <w:rPr>
          <w:b/>
        </w:rPr>
        <w:t xml:space="preserve">UR/110/47/2024 </w:t>
      </w:r>
      <w:r w:rsidRPr="00343983">
        <w:rPr>
          <w:b/>
          <w:bCs/>
        </w:rPr>
        <w:t>doporučuje Zastupitelstvu Olomouckého kraje přijmout usnesení v tomto znění:</w:t>
      </w:r>
    </w:p>
    <w:p w14:paraId="2F1DFF4D" w14:textId="77777777" w:rsidR="002831E4" w:rsidRDefault="002831E4" w:rsidP="002831E4">
      <w:pPr>
        <w:pStyle w:val="Zkladntextodsazendek"/>
        <w:spacing w:after="0" w:line="264" w:lineRule="auto"/>
        <w:ind w:firstLine="0"/>
      </w:pPr>
    </w:p>
    <w:p w14:paraId="2D01CA87" w14:textId="31E81297" w:rsidR="002831E4" w:rsidRDefault="002831E4" w:rsidP="002831E4">
      <w:pPr>
        <w:pStyle w:val="Zkladntextodsazendek"/>
        <w:spacing w:after="0" w:line="264" w:lineRule="auto"/>
        <w:ind w:firstLine="0"/>
      </w:pPr>
      <w:r w:rsidRPr="00343983">
        <w:t xml:space="preserve">Zastupitelstvo Olomouckého kraje po projednání: </w:t>
      </w:r>
    </w:p>
    <w:p w14:paraId="38C37AEE" w14:textId="77777777" w:rsidR="002831E4" w:rsidRPr="00343983" w:rsidRDefault="002831E4" w:rsidP="002831E4">
      <w:pPr>
        <w:pStyle w:val="Zkladntextodsazendek"/>
        <w:spacing w:after="0" w:line="264" w:lineRule="auto"/>
        <w:ind w:firstLine="0"/>
      </w:pPr>
      <w:r w:rsidRPr="00343983">
        <w:t xml:space="preserve"> 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2831E4" w:rsidRPr="00343983" w14:paraId="6D3E08F6" w14:textId="77777777" w:rsidTr="00811BBB">
        <w:tc>
          <w:tcPr>
            <w:tcW w:w="609" w:type="dxa"/>
          </w:tcPr>
          <w:p w14:paraId="3E4FC6CA" w14:textId="77777777" w:rsidR="002831E4" w:rsidRPr="00343983" w:rsidRDefault="002831E4" w:rsidP="00811BBB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14:paraId="158A146B" w14:textId="77777777" w:rsidR="002831E4" w:rsidRPr="00343983" w:rsidRDefault="002831E4" w:rsidP="00811BBB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jednotlivým sociálním službám,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1 usnesení</w:t>
            </w:r>
          </w:p>
        </w:tc>
      </w:tr>
      <w:tr w:rsidR="002831E4" w:rsidRPr="00343983" w14:paraId="594EAC9A" w14:textId="77777777" w:rsidTr="00811BBB">
        <w:tc>
          <w:tcPr>
            <w:tcW w:w="609" w:type="dxa"/>
          </w:tcPr>
          <w:p w14:paraId="7FEAB921" w14:textId="77777777" w:rsidR="002831E4" w:rsidRPr="00343983" w:rsidRDefault="002831E4" w:rsidP="00811BBB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14:paraId="6ACD1940" w14:textId="77777777" w:rsidR="002831E4" w:rsidRPr="00343983" w:rsidRDefault="002831E4" w:rsidP="00811BBB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nevyhovuje žádostem</w:t>
            </w:r>
            <w:r w:rsidRPr="00343983">
              <w:rPr>
                <w:rFonts w:ascii="Arial" w:hAnsi="Arial" w:cs="Arial"/>
              </w:rPr>
              <w:t xml:space="preserve"> o poskytnutí účelově určené dotace z rozpočtu Olomouckého kraje v rámci Podprogramu č. 2 Programu finanční podpory poskytování sociálních služeb v Olomouckém kraji sociálním službám,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 xml:space="preserve">1 usnesení, na základě odůvodnění dle důvodové zprávy a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1 usnesení</w:t>
            </w:r>
          </w:p>
        </w:tc>
      </w:tr>
      <w:tr w:rsidR="002831E4" w:rsidRPr="00343983" w14:paraId="13EC442A" w14:textId="77777777" w:rsidTr="00811BBB">
        <w:tc>
          <w:tcPr>
            <w:tcW w:w="609" w:type="dxa"/>
          </w:tcPr>
          <w:p w14:paraId="3A406FA1" w14:textId="77777777" w:rsidR="002831E4" w:rsidRPr="00343983" w:rsidRDefault="002831E4" w:rsidP="00811BBB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34398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14:paraId="55074B9A" w14:textId="77777777" w:rsidR="002831E4" w:rsidRPr="00343983" w:rsidRDefault="002831E4" w:rsidP="00811BBB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schvaluje</w:t>
            </w:r>
            <w:r w:rsidRPr="00343983">
              <w:rPr>
                <w:rFonts w:ascii="Arial" w:hAnsi="Arial" w:cs="Arial"/>
              </w:rPr>
              <w:t xml:space="preserve"> znění vzorové veřejnoprávní smlouvy o poskytnutí účelově určené dotace z rozpočtu Olomouckého kraje na poskytování sociálních služeb,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2 usnesení</w:t>
            </w:r>
          </w:p>
        </w:tc>
      </w:tr>
      <w:tr w:rsidR="006400A5" w:rsidRPr="00343983" w14:paraId="0F0CE9D2" w14:textId="77777777" w:rsidTr="00811BBB">
        <w:tc>
          <w:tcPr>
            <w:tcW w:w="609" w:type="dxa"/>
          </w:tcPr>
          <w:p w14:paraId="2067B177" w14:textId="77777777" w:rsidR="006400A5" w:rsidRPr="00343983" w:rsidRDefault="006400A5" w:rsidP="00811BBB">
            <w:pPr>
              <w:autoSpaceDE/>
              <w:autoSpaceDN/>
              <w:rPr>
                <w:rFonts w:ascii="Arial" w:hAnsi="Arial" w:cs="Arial"/>
                <w:szCs w:val="22"/>
              </w:rPr>
            </w:pPr>
            <w:bookmarkStart w:id="1" w:name="_Hlk165973779"/>
            <w:r w:rsidRPr="0034398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8505" w:type="dxa"/>
          </w:tcPr>
          <w:p w14:paraId="450FED3C" w14:textId="77777777" w:rsidR="006400A5" w:rsidRPr="00343983" w:rsidRDefault="006400A5" w:rsidP="00811BBB">
            <w:pPr>
              <w:adjustRightInd w:val="0"/>
              <w:jc w:val="both"/>
              <w:rPr>
                <w:rFonts w:ascii="Arial" w:hAnsi="Arial" w:cs="Arial"/>
              </w:rPr>
            </w:pPr>
            <w:r w:rsidRPr="00343983">
              <w:rPr>
                <w:rFonts w:ascii="Arial" w:hAnsi="Arial" w:cs="Arial"/>
                <w:b/>
                <w:spacing w:val="70"/>
              </w:rPr>
              <w:t>rozhoduje</w:t>
            </w:r>
            <w:r w:rsidRPr="00343983">
              <w:rPr>
                <w:rFonts w:ascii="Arial" w:hAnsi="Arial" w:cs="Arial"/>
              </w:rPr>
              <w:t xml:space="preserve"> o uzavření veřejnoprávních smluv o poskytnutí účelově určené dotace z rozpočtu Olomouckého kraje na poskytování sociálních služeb s jednotlivými poskytovateli sociálních služeb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 xml:space="preserve">1 usnesení, ve znění vzorové veřejnoprávní smlouvy o poskytnutí účelově určené dotace z rozpočtu Olomouckého kraje na poskytování sociálních služeb, dle přílohy č. </w:t>
            </w:r>
            <w:r>
              <w:rPr>
                <w:rFonts w:ascii="Arial" w:hAnsi="Arial" w:cs="Arial"/>
              </w:rPr>
              <w:t>0</w:t>
            </w:r>
            <w:r w:rsidRPr="00343983">
              <w:rPr>
                <w:rFonts w:ascii="Arial" w:hAnsi="Arial" w:cs="Arial"/>
              </w:rPr>
              <w:t>2 usnesení</w:t>
            </w:r>
          </w:p>
        </w:tc>
      </w:tr>
      <w:tr w:rsidR="002831E4" w:rsidRPr="00343983" w14:paraId="1773E2CB" w14:textId="77777777" w:rsidTr="00811BBB">
        <w:tc>
          <w:tcPr>
            <w:tcW w:w="609" w:type="dxa"/>
          </w:tcPr>
          <w:p w14:paraId="69FFC457" w14:textId="1EF1BCC8" w:rsidR="002831E4" w:rsidRPr="00343983" w:rsidRDefault="002831E4" w:rsidP="00811BBB">
            <w:pPr>
              <w:autoSpaceDE/>
              <w:autoSpaceDN/>
              <w:rPr>
                <w:rFonts w:ascii="Arial" w:hAnsi="Arial" w:cs="Arial"/>
                <w:szCs w:val="22"/>
              </w:rPr>
            </w:pPr>
          </w:p>
        </w:tc>
        <w:tc>
          <w:tcPr>
            <w:tcW w:w="8505" w:type="dxa"/>
          </w:tcPr>
          <w:p w14:paraId="141C2995" w14:textId="5A26D622" w:rsidR="002831E4" w:rsidRPr="00343983" w:rsidRDefault="002831E4" w:rsidP="00811BBB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7E6CBFAA" w14:textId="77777777" w:rsidR="002831E4" w:rsidRDefault="002831E4" w:rsidP="00E21CC9">
      <w:pPr>
        <w:pStyle w:val="Zkladntextodsazendek"/>
        <w:spacing w:before="120" w:after="0" w:line="264" w:lineRule="auto"/>
        <w:ind w:firstLine="0"/>
        <w:rPr>
          <w:b/>
        </w:rPr>
      </w:pPr>
    </w:p>
    <w:p w14:paraId="6B9ADC1C" w14:textId="77777777" w:rsidR="007A2D9F" w:rsidRPr="00AF1FB6" w:rsidRDefault="007A2D9F" w:rsidP="007A2D9F">
      <w:pPr>
        <w:pBdr>
          <w:bottom w:val="single" w:sz="4" w:space="1" w:color="auto"/>
        </w:pBdr>
        <w:autoSpaceDE/>
        <w:autoSpaceDN/>
        <w:spacing w:before="360" w:line="264" w:lineRule="auto"/>
        <w:jc w:val="both"/>
        <w:rPr>
          <w:rFonts w:ascii="Arial" w:hAnsi="Arial" w:cs="Arial"/>
          <w:b/>
          <w:szCs w:val="22"/>
        </w:rPr>
      </w:pPr>
      <w:r w:rsidRPr="00AF1FB6">
        <w:rPr>
          <w:rFonts w:ascii="Arial" w:hAnsi="Arial" w:cs="Arial"/>
          <w:b/>
          <w:szCs w:val="22"/>
        </w:rPr>
        <w:t>Přílohy</w:t>
      </w:r>
      <w:r>
        <w:rPr>
          <w:rFonts w:ascii="Arial" w:hAnsi="Arial" w:cs="Arial"/>
          <w:b/>
          <w:szCs w:val="22"/>
        </w:rPr>
        <w:t xml:space="preserve"> usnesení</w:t>
      </w:r>
    </w:p>
    <w:p w14:paraId="2EFAFC82" w14:textId="77777777"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proofErr w:type="spellStart"/>
      <w:r w:rsidRPr="00156B1D">
        <w:rPr>
          <w:rFonts w:ascii="Arial" w:eastAsia="Calibri" w:hAnsi="Arial" w:cs="Arial"/>
        </w:rPr>
        <w:t>Usnesení_příloha</w:t>
      </w:r>
      <w:proofErr w:type="spellEnd"/>
      <w:r w:rsidRPr="00156B1D">
        <w:rPr>
          <w:rFonts w:ascii="Arial" w:eastAsia="Calibri" w:hAnsi="Arial" w:cs="Arial"/>
        </w:rPr>
        <w:t xml:space="preserve"> č. 01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>Návrh</w:t>
      </w:r>
      <w:r w:rsidR="00683A11"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 xml:space="preserve">na </w:t>
      </w:r>
      <w:r w:rsidR="008E6E02">
        <w:rPr>
          <w:rFonts w:ascii="Arial" w:eastAsia="Calibri" w:hAnsi="Arial" w:cs="Arial"/>
        </w:rPr>
        <w:t xml:space="preserve">poskytnutí </w:t>
      </w:r>
      <w:r w:rsidRPr="00156B1D">
        <w:rPr>
          <w:rFonts w:ascii="Arial" w:eastAsia="Calibri" w:hAnsi="Arial" w:cs="Arial"/>
        </w:rPr>
        <w:t xml:space="preserve">dotace jednotlivým sociálním službám </w:t>
      </w:r>
    </w:p>
    <w:p w14:paraId="6DB5D513" w14:textId="2313582F"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proofErr w:type="spellStart"/>
      <w:r w:rsidRPr="00156B1D">
        <w:rPr>
          <w:rFonts w:ascii="Arial" w:eastAsia="Calibri" w:hAnsi="Arial" w:cs="Arial"/>
        </w:rPr>
        <w:t>Usnesení_příloha</w:t>
      </w:r>
      <w:proofErr w:type="spellEnd"/>
      <w:r w:rsidRPr="00156B1D">
        <w:rPr>
          <w:rFonts w:ascii="Arial" w:eastAsia="Calibri" w:hAnsi="Arial" w:cs="Arial"/>
        </w:rPr>
        <w:t xml:space="preserve"> č. 0</w:t>
      </w:r>
      <w:r w:rsidR="008E6E0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Vzorová</w:t>
      </w:r>
      <w:r w:rsidR="00683A11"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veřejnoprávní smlouva o poskytnutí účelové dotace</w:t>
      </w:r>
    </w:p>
    <w:sectPr w:rsidR="007A2D9F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4A06" w14:textId="77777777" w:rsidR="009C1E64" w:rsidRDefault="009C1E64">
      <w:r>
        <w:separator/>
      </w:r>
    </w:p>
    <w:p w14:paraId="602F86AB" w14:textId="77777777" w:rsidR="009C1E64" w:rsidRDefault="009C1E64"/>
    <w:p w14:paraId="1A4E3AB2" w14:textId="77777777" w:rsidR="009C1E64" w:rsidRDefault="009C1E64"/>
  </w:endnote>
  <w:endnote w:type="continuationSeparator" w:id="0">
    <w:p w14:paraId="7FFFF3AF" w14:textId="77777777" w:rsidR="009C1E64" w:rsidRDefault="009C1E64">
      <w:r>
        <w:continuationSeparator/>
      </w:r>
    </w:p>
    <w:p w14:paraId="19348619" w14:textId="77777777" w:rsidR="009C1E64" w:rsidRDefault="009C1E64"/>
    <w:p w14:paraId="0F093AF0" w14:textId="77777777" w:rsidR="009C1E64" w:rsidRDefault="009C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0DA8" w14:textId="77777777"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14:paraId="034FB310" w14:textId="77777777"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14:paraId="239515CD" w14:textId="35DE6BE2" w:rsidR="00BD5C9B" w:rsidRPr="00BD5C9B" w:rsidRDefault="008F19BD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 w:rsidRPr="008F19BD">
      <w:rPr>
        <w:i/>
        <w:sz w:val="20"/>
        <w:szCs w:val="20"/>
      </w:rPr>
      <w:t>Zastupitelstvo Olomouckého kraje 17.06.2024</w:t>
    </w:r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7D2B69">
      <w:rPr>
        <w:i/>
        <w:noProof/>
        <w:sz w:val="20"/>
        <w:szCs w:val="20"/>
      </w:rPr>
      <w:t>5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2F06E0">
      <w:rPr>
        <w:i/>
        <w:sz w:val="20"/>
        <w:szCs w:val="20"/>
      </w:rPr>
      <w:t>5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14:paraId="29721AAA" w14:textId="379E607F" w:rsidR="00986D9B" w:rsidRDefault="004E52B6" w:rsidP="00ED73DC">
    <w:pPr>
      <w:pStyle w:val="Zpat"/>
    </w:pPr>
    <w:r>
      <w:rPr>
        <w:i/>
        <w:sz w:val="20"/>
        <w:szCs w:val="20"/>
      </w:rPr>
      <w:t>28.</w:t>
    </w:r>
    <w:r w:rsidR="009469E3">
      <w:rPr>
        <w:i/>
        <w:sz w:val="20"/>
        <w:szCs w:val="20"/>
      </w:rPr>
      <w:t xml:space="preserve">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D5C9B">
      <w:rPr>
        <w:i/>
        <w:sz w:val="20"/>
        <w:szCs w:val="20"/>
      </w:rPr>
      <w:t>2</w:t>
    </w:r>
    <w:r w:rsidR="000876D5">
      <w:rPr>
        <w:i/>
        <w:sz w:val="20"/>
        <w:szCs w:val="20"/>
      </w:rPr>
      <w:t xml:space="preserve"> </w:t>
    </w:r>
    <w:r w:rsidR="00CB362F">
      <w:rPr>
        <w:i/>
        <w:sz w:val="20"/>
        <w:szCs w:val="20"/>
      </w:rPr>
      <w:t>– návrh výše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B1FD" w14:textId="77777777" w:rsidR="009C1E64" w:rsidRDefault="009C1E64">
      <w:r>
        <w:separator/>
      </w:r>
    </w:p>
    <w:p w14:paraId="5C3EE032" w14:textId="77777777" w:rsidR="009C1E64" w:rsidRDefault="009C1E64"/>
    <w:p w14:paraId="732BBB39" w14:textId="77777777" w:rsidR="009C1E64" w:rsidRDefault="009C1E64"/>
  </w:footnote>
  <w:footnote w:type="continuationSeparator" w:id="0">
    <w:p w14:paraId="5D938C08" w14:textId="77777777" w:rsidR="009C1E64" w:rsidRDefault="009C1E64">
      <w:r>
        <w:continuationSeparator/>
      </w:r>
    </w:p>
    <w:p w14:paraId="006FF44A" w14:textId="77777777" w:rsidR="009C1E64" w:rsidRDefault="009C1E64"/>
    <w:p w14:paraId="61FB6524" w14:textId="77777777" w:rsidR="009C1E64" w:rsidRDefault="009C1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291D" w14:textId="77777777" w:rsidR="00B21F3B" w:rsidRDefault="00B21F3B" w:rsidP="00633192">
    <w:pPr>
      <w:pStyle w:val="Zhlav"/>
      <w:numPr>
        <w:ilvl w:val="0"/>
        <w:numId w:val="0"/>
      </w:numPr>
    </w:pPr>
  </w:p>
  <w:p w14:paraId="188A1C3F" w14:textId="77777777" w:rsidR="00B21F3B" w:rsidRDefault="00B21F3B"/>
  <w:p w14:paraId="056A6725" w14:textId="77777777"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44ED416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1C04324"/>
    <w:multiLevelType w:val="hybridMultilevel"/>
    <w:tmpl w:val="0CB0F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156B38"/>
    <w:multiLevelType w:val="hybridMultilevel"/>
    <w:tmpl w:val="2F52E3A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C92046"/>
    <w:multiLevelType w:val="hybridMultilevel"/>
    <w:tmpl w:val="2F52E3A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8C3764"/>
    <w:multiLevelType w:val="hybridMultilevel"/>
    <w:tmpl w:val="AF24A2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07B29"/>
    <w:multiLevelType w:val="hybridMultilevel"/>
    <w:tmpl w:val="5DB2E4A2"/>
    <w:lvl w:ilvl="0" w:tplc="9620F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275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480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2D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0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AB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A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A4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9CA75F8"/>
    <w:multiLevelType w:val="multilevel"/>
    <w:tmpl w:val="EDE2A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512499">
    <w:abstractNumId w:val="17"/>
  </w:num>
  <w:num w:numId="2" w16cid:durableId="841045696">
    <w:abstractNumId w:val="3"/>
  </w:num>
  <w:num w:numId="3" w16cid:durableId="1684941128">
    <w:abstractNumId w:val="20"/>
  </w:num>
  <w:num w:numId="4" w16cid:durableId="995956677">
    <w:abstractNumId w:val="12"/>
  </w:num>
  <w:num w:numId="5" w16cid:durableId="511575698">
    <w:abstractNumId w:val="2"/>
  </w:num>
  <w:num w:numId="6" w16cid:durableId="890311284">
    <w:abstractNumId w:val="9"/>
  </w:num>
  <w:num w:numId="7" w16cid:durableId="1220626418">
    <w:abstractNumId w:val="6"/>
  </w:num>
  <w:num w:numId="8" w16cid:durableId="554582396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538080223">
    <w:abstractNumId w:val="11"/>
  </w:num>
  <w:num w:numId="10" w16cid:durableId="1832283505">
    <w:abstractNumId w:val="0"/>
  </w:num>
  <w:num w:numId="11" w16cid:durableId="1119490164">
    <w:abstractNumId w:val="7"/>
  </w:num>
  <w:num w:numId="12" w16cid:durableId="2050451926">
    <w:abstractNumId w:val="15"/>
  </w:num>
  <w:num w:numId="13" w16cid:durableId="639531234">
    <w:abstractNumId w:val="18"/>
  </w:num>
  <w:num w:numId="14" w16cid:durableId="1785148916">
    <w:abstractNumId w:val="5"/>
  </w:num>
  <w:num w:numId="15" w16cid:durableId="1354188144">
    <w:abstractNumId w:val="0"/>
  </w:num>
  <w:num w:numId="16" w16cid:durableId="1375152272">
    <w:abstractNumId w:val="19"/>
  </w:num>
  <w:num w:numId="17" w16cid:durableId="885263346">
    <w:abstractNumId w:val="8"/>
  </w:num>
  <w:num w:numId="18" w16cid:durableId="969633663">
    <w:abstractNumId w:val="14"/>
  </w:num>
  <w:num w:numId="19" w16cid:durableId="519776939">
    <w:abstractNumId w:val="10"/>
  </w:num>
  <w:num w:numId="20" w16cid:durableId="1871256962">
    <w:abstractNumId w:val="4"/>
  </w:num>
  <w:num w:numId="21" w16cid:durableId="1055196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78177">
    <w:abstractNumId w:val="16"/>
  </w:num>
  <w:num w:numId="23" w16cid:durableId="801190814">
    <w:abstractNumId w:val="1"/>
  </w:num>
  <w:num w:numId="24" w16cid:durableId="206120345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B"/>
    <w:rsid w:val="0000084A"/>
    <w:rsid w:val="00001E7B"/>
    <w:rsid w:val="00002F83"/>
    <w:rsid w:val="00003913"/>
    <w:rsid w:val="00003D55"/>
    <w:rsid w:val="00005997"/>
    <w:rsid w:val="00005BA6"/>
    <w:rsid w:val="000063A7"/>
    <w:rsid w:val="00007B57"/>
    <w:rsid w:val="000104A7"/>
    <w:rsid w:val="00013C28"/>
    <w:rsid w:val="0001505C"/>
    <w:rsid w:val="000157BA"/>
    <w:rsid w:val="00017BF5"/>
    <w:rsid w:val="000206EE"/>
    <w:rsid w:val="00023189"/>
    <w:rsid w:val="000235CF"/>
    <w:rsid w:val="00027C3F"/>
    <w:rsid w:val="00031A24"/>
    <w:rsid w:val="00032451"/>
    <w:rsid w:val="00034621"/>
    <w:rsid w:val="00035970"/>
    <w:rsid w:val="00035A11"/>
    <w:rsid w:val="000368BE"/>
    <w:rsid w:val="00036F88"/>
    <w:rsid w:val="00037C2B"/>
    <w:rsid w:val="0004047D"/>
    <w:rsid w:val="000406E5"/>
    <w:rsid w:val="00041AC8"/>
    <w:rsid w:val="000436EC"/>
    <w:rsid w:val="00043D71"/>
    <w:rsid w:val="0004414C"/>
    <w:rsid w:val="00044648"/>
    <w:rsid w:val="00044B2D"/>
    <w:rsid w:val="00045B44"/>
    <w:rsid w:val="00046432"/>
    <w:rsid w:val="000471E4"/>
    <w:rsid w:val="000505C9"/>
    <w:rsid w:val="00050A5D"/>
    <w:rsid w:val="00050B95"/>
    <w:rsid w:val="00050DE0"/>
    <w:rsid w:val="000530B8"/>
    <w:rsid w:val="00054014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87A7F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E4AE8"/>
    <w:rsid w:val="000F0140"/>
    <w:rsid w:val="000F0FE4"/>
    <w:rsid w:val="000F29E5"/>
    <w:rsid w:val="000F31B1"/>
    <w:rsid w:val="000F3CF3"/>
    <w:rsid w:val="000F4012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1352"/>
    <w:rsid w:val="001219DE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65916"/>
    <w:rsid w:val="00165C1C"/>
    <w:rsid w:val="00167ECF"/>
    <w:rsid w:val="001718E7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00FC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50E4"/>
    <w:rsid w:val="001A5EA4"/>
    <w:rsid w:val="001A608B"/>
    <w:rsid w:val="001B04DE"/>
    <w:rsid w:val="001B04FE"/>
    <w:rsid w:val="001B1266"/>
    <w:rsid w:val="001B15D7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C7C6C"/>
    <w:rsid w:val="001D05A0"/>
    <w:rsid w:val="001D55E8"/>
    <w:rsid w:val="001D6AE4"/>
    <w:rsid w:val="001D6EED"/>
    <w:rsid w:val="001E166F"/>
    <w:rsid w:val="001E467E"/>
    <w:rsid w:val="001E4830"/>
    <w:rsid w:val="001E57F1"/>
    <w:rsid w:val="001E5C8A"/>
    <w:rsid w:val="001E6573"/>
    <w:rsid w:val="001E6593"/>
    <w:rsid w:val="001F08A9"/>
    <w:rsid w:val="001F1217"/>
    <w:rsid w:val="001F27B1"/>
    <w:rsid w:val="001F5513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D6"/>
    <w:rsid w:val="00227042"/>
    <w:rsid w:val="0023039E"/>
    <w:rsid w:val="002323D6"/>
    <w:rsid w:val="00232BDE"/>
    <w:rsid w:val="00232D39"/>
    <w:rsid w:val="00235698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6C4D"/>
    <w:rsid w:val="00247044"/>
    <w:rsid w:val="00247C67"/>
    <w:rsid w:val="00247DBB"/>
    <w:rsid w:val="00247E20"/>
    <w:rsid w:val="00254C38"/>
    <w:rsid w:val="00255510"/>
    <w:rsid w:val="00256B84"/>
    <w:rsid w:val="002618C1"/>
    <w:rsid w:val="00261A11"/>
    <w:rsid w:val="00262234"/>
    <w:rsid w:val="00262B1C"/>
    <w:rsid w:val="00264B25"/>
    <w:rsid w:val="002668C5"/>
    <w:rsid w:val="00267C4D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831E4"/>
    <w:rsid w:val="00291327"/>
    <w:rsid w:val="00293FBE"/>
    <w:rsid w:val="00297875"/>
    <w:rsid w:val="00297C03"/>
    <w:rsid w:val="002A25B0"/>
    <w:rsid w:val="002A47D7"/>
    <w:rsid w:val="002A5FF4"/>
    <w:rsid w:val="002A6E04"/>
    <w:rsid w:val="002B0AD7"/>
    <w:rsid w:val="002B0CB2"/>
    <w:rsid w:val="002B14CC"/>
    <w:rsid w:val="002B1775"/>
    <w:rsid w:val="002B2515"/>
    <w:rsid w:val="002B3261"/>
    <w:rsid w:val="002B3377"/>
    <w:rsid w:val="002B37A5"/>
    <w:rsid w:val="002B3A44"/>
    <w:rsid w:val="002B429C"/>
    <w:rsid w:val="002B5FCD"/>
    <w:rsid w:val="002B5FD6"/>
    <w:rsid w:val="002B61B6"/>
    <w:rsid w:val="002B6429"/>
    <w:rsid w:val="002C03A5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D7F0F"/>
    <w:rsid w:val="002E006B"/>
    <w:rsid w:val="002E028B"/>
    <w:rsid w:val="002E0ADD"/>
    <w:rsid w:val="002E1890"/>
    <w:rsid w:val="002E2B0C"/>
    <w:rsid w:val="002E2B25"/>
    <w:rsid w:val="002E2DC0"/>
    <w:rsid w:val="002E2FB8"/>
    <w:rsid w:val="002E39B5"/>
    <w:rsid w:val="002E4AD1"/>
    <w:rsid w:val="002F06E0"/>
    <w:rsid w:val="002F400D"/>
    <w:rsid w:val="002F4651"/>
    <w:rsid w:val="002F5D8A"/>
    <w:rsid w:val="002F5E87"/>
    <w:rsid w:val="002F6859"/>
    <w:rsid w:val="002F6E76"/>
    <w:rsid w:val="002F710D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0B62"/>
    <w:rsid w:val="003229FA"/>
    <w:rsid w:val="00322B95"/>
    <w:rsid w:val="00322BA8"/>
    <w:rsid w:val="00330AE1"/>
    <w:rsid w:val="003321EC"/>
    <w:rsid w:val="00332EE5"/>
    <w:rsid w:val="003346E7"/>
    <w:rsid w:val="0033722B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1F5"/>
    <w:rsid w:val="0036026A"/>
    <w:rsid w:val="00360BC1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4A5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5767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130"/>
    <w:rsid w:val="003C58B6"/>
    <w:rsid w:val="003C5DAD"/>
    <w:rsid w:val="003D0482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2D8"/>
    <w:rsid w:val="003E44C3"/>
    <w:rsid w:val="003E5199"/>
    <w:rsid w:val="003E6418"/>
    <w:rsid w:val="003E64B9"/>
    <w:rsid w:val="003E67CB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10141"/>
    <w:rsid w:val="00412401"/>
    <w:rsid w:val="00414812"/>
    <w:rsid w:val="00415539"/>
    <w:rsid w:val="00416A30"/>
    <w:rsid w:val="004178B3"/>
    <w:rsid w:val="00420BD6"/>
    <w:rsid w:val="00420C5D"/>
    <w:rsid w:val="00423303"/>
    <w:rsid w:val="00423C9B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199C"/>
    <w:rsid w:val="004B4752"/>
    <w:rsid w:val="004B5374"/>
    <w:rsid w:val="004B601A"/>
    <w:rsid w:val="004B6929"/>
    <w:rsid w:val="004B76FD"/>
    <w:rsid w:val="004B7BF9"/>
    <w:rsid w:val="004C01E3"/>
    <w:rsid w:val="004C15F8"/>
    <w:rsid w:val="004C1D4D"/>
    <w:rsid w:val="004C1E12"/>
    <w:rsid w:val="004C2BB2"/>
    <w:rsid w:val="004C4C84"/>
    <w:rsid w:val="004C634B"/>
    <w:rsid w:val="004C6BEA"/>
    <w:rsid w:val="004C6DE9"/>
    <w:rsid w:val="004C6E52"/>
    <w:rsid w:val="004C70C2"/>
    <w:rsid w:val="004C71FF"/>
    <w:rsid w:val="004C7438"/>
    <w:rsid w:val="004D114E"/>
    <w:rsid w:val="004D12F5"/>
    <w:rsid w:val="004D3BD0"/>
    <w:rsid w:val="004D459C"/>
    <w:rsid w:val="004E073D"/>
    <w:rsid w:val="004E124B"/>
    <w:rsid w:val="004E1CD5"/>
    <w:rsid w:val="004E48C2"/>
    <w:rsid w:val="004E5182"/>
    <w:rsid w:val="004E52B6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4FB0"/>
    <w:rsid w:val="00505740"/>
    <w:rsid w:val="00506E21"/>
    <w:rsid w:val="00511680"/>
    <w:rsid w:val="00511F4B"/>
    <w:rsid w:val="005120EC"/>
    <w:rsid w:val="005125DB"/>
    <w:rsid w:val="005138A0"/>
    <w:rsid w:val="005144CB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18AF"/>
    <w:rsid w:val="00542099"/>
    <w:rsid w:val="0054352C"/>
    <w:rsid w:val="00545A98"/>
    <w:rsid w:val="00545CFE"/>
    <w:rsid w:val="00546264"/>
    <w:rsid w:val="00546852"/>
    <w:rsid w:val="005469FB"/>
    <w:rsid w:val="00546DA5"/>
    <w:rsid w:val="00547654"/>
    <w:rsid w:val="00550440"/>
    <w:rsid w:val="0055044A"/>
    <w:rsid w:val="005507CB"/>
    <w:rsid w:val="00551048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679C3"/>
    <w:rsid w:val="005702EB"/>
    <w:rsid w:val="00576275"/>
    <w:rsid w:val="00577CC4"/>
    <w:rsid w:val="005803CA"/>
    <w:rsid w:val="0058131E"/>
    <w:rsid w:val="005839CD"/>
    <w:rsid w:val="00583B5D"/>
    <w:rsid w:val="00584164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03E5"/>
    <w:rsid w:val="005A330C"/>
    <w:rsid w:val="005A339F"/>
    <w:rsid w:val="005A4430"/>
    <w:rsid w:val="005A49CA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2C3B"/>
    <w:rsid w:val="005F2CB1"/>
    <w:rsid w:val="005F3592"/>
    <w:rsid w:val="005F4F7D"/>
    <w:rsid w:val="005F779E"/>
    <w:rsid w:val="005F798B"/>
    <w:rsid w:val="006005AA"/>
    <w:rsid w:val="006007E7"/>
    <w:rsid w:val="00604F6B"/>
    <w:rsid w:val="00605672"/>
    <w:rsid w:val="00605775"/>
    <w:rsid w:val="006123F2"/>
    <w:rsid w:val="00614D0E"/>
    <w:rsid w:val="00615733"/>
    <w:rsid w:val="006158C8"/>
    <w:rsid w:val="00615AAB"/>
    <w:rsid w:val="006179D1"/>
    <w:rsid w:val="00620549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EED"/>
    <w:rsid w:val="00635246"/>
    <w:rsid w:val="0063576A"/>
    <w:rsid w:val="00635E27"/>
    <w:rsid w:val="00636698"/>
    <w:rsid w:val="006400A5"/>
    <w:rsid w:val="00640917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3A11"/>
    <w:rsid w:val="00687CD3"/>
    <w:rsid w:val="00691A32"/>
    <w:rsid w:val="006925EC"/>
    <w:rsid w:val="00694361"/>
    <w:rsid w:val="006948EE"/>
    <w:rsid w:val="006950A0"/>
    <w:rsid w:val="00696685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6E4A"/>
    <w:rsid w:val="006B7A80"/>
    <w:rsid w:val="006C0242"/>
    <w:rsid w:val="006C29F6"/>
    <w:rsid w:val="006C3667"/>
    <w:rsid w:val="006C41D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07B18"/>
    <w:rsid w:val="0071224B"/>
    <w:rsid w:val="00712F01"/>
    <w:rsid w:val="00715B43"/>
    <w:rsid w:val="007173C8"/>
    <w:rsid w:val="00722FB5"/>
    <w:rsid w:val="007231F3"/>
    <w:rsid w:val="007236E8"/>
    <w:rsid w:val="00723E9C"/>
    <w:rsid w:val="00724358"/>
    <w:rsid w:val="00724671"/>
    <w:rsid w:val="00724CB8"/>
    <w:rsid w:val="00725BC5"/>
    <w:rsid w:val="00725F8E"/>
    <w:rsid w:val="00726F01"/>
    <w:rsid w:val="007270B3"/>
    <w:rsid w:val="00727C6F"/>
    <w:rsid w:val="0073150B"/>
    <w:rsid w:val="00735539"/>
    <w:rsid w:val="00735AB7"/>
    <w:rsid w:val="00736537"/>
    <w:rsid w:val="00737B7F"/>
    <w:rsid w:val="007419AC"/>
    <w:rsid w:val="00741AD7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1589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B31"/>
    <w:rsid w:val="00777FBA"/>
    <w:rsid w:val="00780F72"/>
    <w:rsid w:val="00782305"/>
    <w:rsid w:val="0078252E"/>
    <w:rsid w:val="007876F3"/>
    <w:rsid w:val="00791464"/>
    <w:rsid w:val="0079173D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945"/>
    <w:rsid w:val="007B5696"/>
    <w:rsid w:val="007C03D4"/>
    <w:rsid w:val="007C1D4F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B69"/>
    <w:rsid w:val="007D2E8D"/>
    <w:rsid w:val="007D32CA"/>
    <w:rsid w:val="007D77DC"/>
    <w:rsid w:val="007E07CF"/>
    <w:rsid w:val="007E1057"/>
    <w:rsid w:val="007E13DD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15DE"/>
    <w:rsid w:val="008124F1"/>
    <w:rsid w:val="008158E4"/>
    <w:rsid w:val="008172A3"/>
    <w:rsid w:val="008209FF"/>
    <w:rsid w:val="00820A69"/>
    <w:rsid w:val="00820EF0"/>
    <w:rsid w:val="0082159E"/>
    <w:rsid w:val="008226E6"/>
    <w:rsid w:val="00823CA7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0C69"/>
    <w:rsid w:val="00842524"/>
    <w:rsid w:val="008441CF"/>
    <w:rsid w:val="008465B2"/>
    <w:rsid w:val="00850273"/>
    <w:rsid w:val="00850ED0"/>
    <w:rsid w:val="00852AF8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481"/>
    <w:rsid w:val="00887D69"/>
    <w:rsid w:val="00890481"/>
    <w:rsid w:val="008905B2"/>
    <w:rsid w:val="00890EB2"/>
    <w:rsid w:val="008920EB"/>
    <w:rsid w:val="00893997"/>
    <w:rsid w:val="008946B9"/>
    <w:rsid w:val="00897C4F"/>
    <w:rsid w:val="008A0475"/>
    <w:rsid w:val="008A0A30"/>
    <w:rsid w:val="008A2270"/>
    <w:rsid w:val="008A26A6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9C2"/>
    <w:rsid w:val="008B5EAA"/>
    <w:rsid w:val="008B5FA1"/>
    <w:rsid w:val="008B7563"/>
    <w:rsid w:val="008C0019"/>
    <w:rsid w:val="008C1B6F"/>
    <w:rsid w:val="008C1C5A"/>
    <w:rsid w:val="008C315A"/>
    <w:rsid w:val="008C3201"/>
    <w:rsid w:val="008C4219"/>
    <w:rsid w:val="008D0A3F"/>
    <w:rsid w:val="008D38E4"/>
    <w:rsid w:val="008D5042"/>
    <w:rsid w:val="008D5940"/>
    <w:rsid w:val="008D611C"/>
    <w:rsid w:val="008D7AE8"/>
    <w:rsid w:val="008E2CE9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19BD"/>
    <w:rsid w:val="008F4BF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3A1"/>
    <w:rsid w:val="009168DE"/>
    <w:rsid w:val="00916C3F"/>
    <w:rsid w:val="00922ACE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4A6"/>
    <w:rsid w:val="00940926"/>
    <w:rsid w:val="00941BC6"/>
    <w:rsid w:val="00941BDA"/>
    <w:rsid w:val="00941E64"/>
    <w:rsid w:val="00944501"/>
    <w:rsid w:val="00944750"/>
    <w:rsid w:val="009451D0"/>
    <w:rsid w:val="009469E3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5FA8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B5CF5"/>
    <w:rsid w:val="009B622B"/>
    <w:rsid w:val="009B66EA"/>
    <w:rsid w:val="009B6F95"/>
    <w:rsid w:val="009B709B"/>
    <w:rsid w:val="009B73E3"/>
    <w:rsid w:val="009C10AC"/>
    <w:rsid w:val="009C1E64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A0079E"/>
    <w:rsid w:val="00A01874"/>
    <w:rsid w:val="00A02140"/>
    <w:rsid w:val="00A02C90"/>
    <w:rsid w:val="00A03D8B"/>
    <w:rsid w:val="00A04A54"/>
    <w:rsid w:val="00A079DF"/>
    <w:rsid w:val="00A100E2"/>
    <w:rsid w:val="00A11E9F"/>
    <w:rsid w:val="00A1254B"/>
    <w:rsid w:val="00A13CE0"/>
    <w:rsid w:val="00A20999"/>
    <w:rsid w:val="00A22BFA"/>
    <w:rsid w:val="00A2558B"/>
    <w:rsid w:val="00A27196"/>
    <w:rsid w:val="00A30B95"/>
    <w:rsid w:val="00A31290"/>
    <w:rsid w:val="00A3214F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298C"/>
    <w:rsid w:val="00A4307D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362F"/>
    <w:rsid w:val="00A55781"/>
    <w:rsid w:val="00A55BED"/>
    <w:rsid w:val="00A5669C"/>
    <w:rsid w:val="00A60720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60D4"/>
    <w:rsid w:val="00A76709"/>
    <w:rsid w:val="00A76E3A"/>
    <w:rsid w:val="00A80B8B"/>
    <w:rsid w:val="00A81306"/>
    <w:rsid w:val="00A81E7F"/>
    <w:rsid w:val="00A824CD"/>
    <w:rsid w:val="00A82A8E"/>
    <w:rsid w:val="00A85DB9"/>
    <w:rsid w:val="00A86647"/>
    <w:rsid w:val="00A87559"/>
    <w:rsid w:val="00A905B3"/>
    <w:rsid w:val="00A91D30"/>
    <w:rsid w:val="00A92E16"/>
    <w:rsid w:val="00A941A9"/>
    <w:rsid w:val="00A95666"/>
    <w:rsid w:val="00A95814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6A26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6C16"/>
    <w:rsid w:val="00AD7F2B"/>
    <w:rsid w:val="00AE18C7"/>
    <w:rsid w:val="00AE36AC"/>
    <w:rsid w:val="00AE3AB2"/>
    <w:rsid w:val="00AE56CA"/>
    <w:rsid w:val="00AE6433"/>
    <w:rsid w:val="00AF04EA"/>
    <w:rsid w:val="00AF1568"/>
    <w:rsid w:val="00AF240C"/>
    <w:rsid w:val="00AF3D81"/>
    <w:rsid w:val="00AF5357"/>
    <w:rsid w:val="00AF6704"/>
    <w:rsid w:val="00AF73F5"/>
    <w:rsid w:val="00B000B6"/>
    <w:rsid w:val="00B0212B"/>
    <w:rsid w:val="00B04ABA"/>
    <w:rsid w:val="00B05A1C"/>
    <w:rsid w:val="00B05C74"/>
    <w:rsid w:val="00B07343"/>
    <w:rsid w:val="00B152ED"/>
    <w:rsid w:val="00B1580B"/>
    <w:rsid w:val="00B15A27"/>
    <w:rsid w:val="00B15B06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010"/>
    <w:rsid w:val="00B31679"/>
    <w:rsid w:val="00B31B0D"/>
    <w:rsid w:val="00B3386D"/>
    <w:rsid w:val="00B3521A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612B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87893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6611"/>
    <w:rsid w:val="00BB051D"/>
    <w:rsid w:val="00BB1428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7093"/>
    <w:rsid w:val="00BF0EA6"/>
    <w:rsid w:val="00BF2976"/>
    <w:rsid w:val="00C00318"/>
    <w:rsid w:val="00C00826"/>
    <w:rsid w:val="00C010D9"/>
    <w:rsid w:val="00C017D2"/>
    <w:rsid w:val="00C01CB9"/>
    <w:rsid w:val="00C031A1"/>
    <w:rsid w:val="00C03CFB"/>
    <w:rsid w:val="00C04FCD"/>
    <w:rsid w:val="00C05055"/>
    <w:rsid w:val="00C05890"/>
    <w:rsid w:val="00C10DD5"/>
    <w:rsid w:val="00C10E7F"/>
    <w:rsid w:val="00C12426"/>
    <w:rsid w:val="00C14B44"/>
    <w:rsid w:val="00C1533D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47F90"/>
    <w:rsid w:val="00C51CAD"/>
    <w:rsid w:val="00C51FAD"/>
    <w:rsid w:val="00C54354"/>
    <w:rsid w:val="00C54619"/>
    <w:rsid w:val="00C57D24"/>
    <w:rsid w:val="00C603F2"/>
    <w:rsid w:val="00C61024"/>
    <w:rsid w:val="00C62EC8"/>
    <w:rsid w:val="00C662AF"/>
    <w:rsid w:val="00C71DC4"/>
    <w:rsid w:val="00C72B6E"/>
    <w:rsid w:val="00C7378C"/>
    <w:rsid w:val="00C74D5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362F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D4D71"/>
    <w:rsid w:val="00CD7D47"/>
    <w:rsid w:val="00CE2247"/>
    <w:rsid w:val="00CE23A1"/>
    <w:rsid w:val="00CE2D46"/>
    <w:rsid w:val="00CE3D09"/>
    <w:rsid w:val="00CE51CD"/>
    <w:rsid w:val="00CE5809"/>
    <w:rsid w:val="00CE58CD"/>
    <w:rsid w:val="00CF010D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18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2B55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7CA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5456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4811"/>
    <w:rsid w:val="00DC656A"/>
    <w:rsid w:val="00DC6DE5"/>
    <w:rsid w:val="00DD0E76"/>
    <w:rsid w:val="00DD22E0"/>
    <w:rsid w:val="00DD314C"/>
    <w:rsid w:val="00DD6777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578"/>
    <w:rsid w:val="00DF0B22"/>
    <w:rsid w:val="00DF3D26"/>
    <w:rsid w:val="00DF6221"/>
    <w:rsid w:val="00DF69E7"/>
    <w:rsid w:val="00E01F18"/>
    <w:rsid w:val="00E04931"/>
    <w:rsid w:val="00E05B44"/>
    <w:rsid w:val="00E10F67"/>
    <w:rsid w:val="00E12F96"/>
    <w:rsid w:val="00E14773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57B9B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2F84"/>
    <w:rsid w:val="00E84911"/>
    <w:rsid w:val="00E8643F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443"/>
    <w:rsid w:val="00EC2695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6DD8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13F1"/>
    <w:rsid w:val="00EF2667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58A7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3330"/>
    <w:rsid w:val="00F844D9"/>
    <w:rsid w:val="00F84CDB"/>
    <w:rsid w:val="00F87654"/>
    <w:rsid w:val="00F91A1F"/>
    <w:rsid w:val="00F9216D"/>
    <w:rsid w:val="00F93360"/>
    <w:rsid w:val="00F959D2"/>
    <w:rsid w:val="00F96CA4"/>
    <w:rsid w:val="00F9780D"/>
    <w:rsid w:val="00FA0A8C"/>
    <w:rsid w:val="00FA21A2"/>
    <w:rsid w:val="00FA2A66"/>
    <w:rsid w:val="00FA386E"/>
    <w:rsid w:val="00FA491C"/>
    <w:rsid w:val="00FA57A0"/>
    <w:rsid w:val="00FA5928"/>
    <w:rsid w:val="00FA5C95"/>
    <w:rsid w:val="00FA6787"/>
    <w:rsid w:val="00FA6ABC"/>
    <w:rsid w:val="00FB1E34"/>
    <w:rsid w:val="00FB553A"/>
    <w:rsid w:val="00FB5D40"/>
    <w:rsid w:val="00FB6475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4C8DC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3653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  <w:style w:type="paragraph" w:customStyle="1" w:styleId="slovn3">
    <w:name w:val="Číslování 3"/>
    <w:basedOn w:val="slovn2"/>
    <w:qFormat/>
    <w:rsid w:val="00121352"/>
    <w:pPr>
      <w:keepLines/>
      <w:numPr>
        <w:ilvl w:val="0"/>
        <w:numId w:val="0"/>
      </w:numPr>
      <w:ind w:left="1418" w:hanging="284"/>
    </w:pPr>
    <w:rPr>
      <w:sz w:val="22"/>
    </w:rPr>
  </w:style>
  <w:style w:type="paragraph" w:styleId="Textvysvtlivek">
    <w:name w:val="endnote text"/>
    <w:basedOn w:val="Normln"/>
    <w:link w:val="TextvysvtlivekChar"/>
    <w:semiHidden/>
    <w:unhideWhenUsed/>
    <w:rsid w:val="0012135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2"/>
  </w:style>
  <w:style w:type="character" w:styleId="Odkaznavysvtlivky">
    <w:name w:val="endnote reference"/>
    <w:basedOn w:val="Standardnpsmoodstavce"/>
    <w:semiHidden/>
    <w:unhideWhenUsed/>
    <w:rsid w:val="00121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1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0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CB8A0E-56EC-471A-92EA-6BD89111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1303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Říha Zdeněk</cp:lastModifiedBy>
  <cp:revision>13</cp:revision>
  <cp:lastPrinted>2019-05-13T06:28:00Z</cp:lastPrinted>
  <dcterms:created xsi:type="dcterms:W3CDTF">2024-04-29T11:19:00Z</dcterms:created>
  <dcterms:modified xsi:type="dcterms:W3CDTF">2024-05-30T09:47:00Z</dcterms:modified>
</cp:coreProperties>
</file>