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292E" w14:textId="77777777" w:rsidR="004E1377" w:rsidRPr="00570AA0" w:rsidRDefault="004E1377" w:rsidP="004E1377">
      <w:pPr>
        <w:rPr>
          <w:rFonts w:ascii="Arial" w:hAnsi="Arial" w:cs="Arial"/>
        </w:rPr>
      </w:pPr>
      <w:r w:rsidRPr="00570AA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A05BDE7" wp14:editId="19530171">
            <wp:simplePos x="0" y="0"/>
            <wp:positionH relativeFrom="column">
              <wp:posOffset>-505280</wp:posOffset>
            </wp:positionH>
            <wp:positionV relativeFrom="paragraph">
              <wp:posOffset>-466677</wp:posOffset>
            </wp:positionV>
            <wp:extent cx="2101850" cy="7372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329">
        <w:rPr>
          <w:rFonts w:ascii="Arial" w:hAnsi="Arial" w:cs="Arial"/>
        </w:rPr>
        <w:t xml:space="preserve"> </w:t>
      </w:r>
    </w:p>
    <w:p w14:paraId="6B909D41" w14:textId="77777777" w:rsidR="004E1377" w:rsidRPr="00570AA0" w:rsidRDefault="004E1377" w:rsidP="004E1377">
      <w:pPr>
        <w:rPr>
          <w:rFonts w:ascii="Arial" w:hAnsi="Arial" w:cs="Arial"/>
        </w:rPr>
      </w:pPr>
    </w:p>
    <w:tbl>
      <w:tblPr>
        <w:tblW w:w="9639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4E1377" w:rsidRPr="00570AA0" w14:paraId="1A6DE33F" w14:textId="77777777" w:rsidTr="00C91CBF">
        <w:trPr>
          <w:trHeight w:val="4123"/>
        </w:trPr>
        <w:tc>
          <w:tcPr>
            <w:tcW w:w="9639" w:type="dxa"/>
          </w:tcPr>
          <w:p w14:paraId="25EDB4C3" w14:textId="77777777" w:rsidR="004E1377" w:rsidRPr="00570AA0" w:rsidRDefault="004E1377" w:rsidP="00C91CBF">
            <w:pPr>
              <w:pStyle w:val="Vbornadpis"/>
              <w:rPr>
                <w:rFonts w:cs="Arial"/>
              </w:rPr>
            </w:pPr>
          </w:p>
          <w:p w14:paraId="2B3C50EB" w14:textId="0623EBB8" w:rsidR="004E1377" w:rsidRPr="00570AA0" w:rsidRDefault="004E1377" w:rsidP="00C91CBF">
            <w:pPr>
              <w:pStyle w:val="Vbornadpis"/>
              <w:rPr>
                <w:rFonts w:cs="Arial"/>
              </w:rPr>
            </w:pPr>
            <w:r w:rsidRPr="00570AA0">
              <w:rPr>
                <w:rFonts w:cs="Arial"/>
              </w:rPr>
              <w:t xml:space="preserve">Zápis č. </w:t>
            </w:r>
            <w:r w:rsidR="00A377B9">
              <w:rPr>
                <w:rFonts w:cs="Arial"/>
              </w:rPr>
              <w:t>1</w:t>
            </w:r>
            <w:r w:rsidR="00311488">
              <w:rPr>
                <w:rFonts w:cs="Arial"/>
              </w:rPr>
              <w:t>7</w:t>
            </w:r>
          </w:p>
          <w:p w14:paraId="43F90410" w14:textId="77777777" w:rsidR="004E1377" w:rsidRPr="00570AA0" w:rsidRDefault="004E1377" w:rsidP="00C91CBF">
            <w:pPr>
              <w:pStyle w:val="Vbornadpis"/>
              <w:rPr>
                <w:rFonts w:cs="Arial"/>
              </w:rPr>
            </w:pPr>
            <w:r w:rsidRPr="00570AA0">
              <w:rPr>
                <w:rFonts w:cs="Arial"/>
              </w:rPr>
              <w:t xml:space="preserve">ze zasedání Výboru </w:t>
            </w:r>
            <w:r w:rsidR="00A377B9">
              <w:rPr>
                <w:rFonts w:cs="Arial"/>
              </w:rPr>
              <w:t>pro výchovu, vzdělávání a zaměstnanost</w:t>
            </w:r>
          </w:p>
          <w:p w14:paraId="431DB899" w14:textId="77777777" w:rsidR="004E1377" w:rsidRPr="00570AA0" w:rsidRDefault="004E1377" w:rsidP="00C91CBF">
            <w:pPr>
              <w:pStyle w:val="Vbornadpis"/>
              <w:rPr>
                <w:rFonts w:cs="Arial"/>
              </w:rPr>
            </w:pPr>
            <w:r w:rsidRPr="00570AA0">
              <w:rPr>
                <w:rFonts w:cs="Arial"/>
              </w:rPr>
              <w:t>Zastupitelstva Olomouckého kraje</w:t>
            </w:r>
          </w:p>
          <w:p w14:paraId="663F96CD" w14:textId="57211657" w:rsidR="004E1377" w:rsidRPr="003012C5" w:rsidRDefault="004E1377" w:rsidP="00C91C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70AA0">
              <w:rPr>
                <w:rFonts w:ascii="Arial" w:hAnsi="Arial" w:cs="Arial"/>
                <w:b/>
                <w:sz w:val="32"/>
                <w:szCs w:val="20"/>
              </w:rPr>
              <w:t xml:space="preserve">ze </w:t>
            </w:r>
            <w:r w:rsidRPr="003012C5">
              <w:rPr>
                <w:rFonts w:ascii="Arial" w:hAnsi="Arial" w:cs="Arial"/>
                <w:b/>
                <w:sz w:val="32"/>
                <w:szCs w:val="20"/>
              </w:rPr>
              <w:t>dne</w:t>
            </w:r>
            <w:r w:rsidRPr="003012C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311488">
              <w:rPr>
                <w:rFonts w:ascii="Arial" w:hAnsi="Arial" w:cs="Arial"/>
                <w:b/>
                <w:sz w:val="32"/>
                <w:szCs w:val="32"/>
              </w:rPr>
              <w:t>22</w:t>
            </w:r>
            <w:r w:rsidRPr="003012C5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311488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Pr="003012C5">
              <w:rPr>
                <w:rFonts w:ascii="Arial" w:hAnsi="Arial" w:cs="Arial"/>
                <w:b/>
                <w:sz w:val="32"/>
                <w:szCs w:val="32"/>
              </w:rPr>
              <w:t>. 202</w:t>
            </w:r>
            <w:r w:rsidR="003B51C1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  <w:p w14:paraId="308932C8" w14:textId="77777777" w:rsidR="004E1377" w:rsidRPr="00570AA0" w:rsidRDefault="004E1377" w:rsidP="00C91CBF">
            <w:pPr>
              <w:pStyle w:val="Vbornadpis"/>
              <w:rPr>
                <w:rFonts w:cs="Arial"/>
              </w:rPr>
            </w:pPr>
          </w:p>
        </w:tc>
      </w:tr>
    </w:tbl>
    <w:p w14:paraId="04B3B165" w14:textId="77777777" w:rsidR="00975D37" w:rsidRPr="00570AA0" w:rsidRDefault="00975D37">
      <w:pPr>
        <w:pStyle w:val="Zkladntext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1"/>
        <w:gridCol w:w="5037"/>
      </w:tblGrid>
      <w:tr w:rsidR="00975D37" w:rsidRPr="00570AA0" w14:paraId="725B081A" w14:textId="77777777">
        <w:tc>
          <w:tcPr>
            <w:tcW w:w="4606" w:type="dxa"/>
          </w:tcPr>
          <w:p w14:paraId="7CA92A6F" w14:textId="77777777" w:rsidR="00975D37" w:rsidRPr="00570AA0" w:rsidRDefault="00975D37">
            <w:pPr>
              <w:pStyle w:val="Vborptomni"/>
            </w:pPr>
            <w:r w:rsidRPr="00570AA0">
              <w:t>Přítomni:</w:t>
            </w:r>
          </w:p>
        </w:tc>
        <w:tc>
          <w:tcPr>
            <w:tcW w:w="5042" w:type="dxa"/>
          </w:tcPr>
          <w:p w14:paraId="00CDCDC1" w14:textId="77777777" w:rsidR="00975D37" w:rsidRPr="00570AA0" w:rsidRDefault="00975D37">
            <w:pPr>
              <w:pStyle w:val="Vborptomni"/>
            </w:pPr>
            <w:r w:rsidRPr="00570AA0">
              <w:t>Nepřítomni:</w:t>
            </w:r>
          </w:p>
        </w:tc>
      </w:tr>
      <w:tr w:rsidR="00975D37" w:rsidRPr="00570AA0" w14:paraId="1DC783BF" w14:textId="77777777">
        <w:tc>
          <w:tcPr>
            <w:tcW w:w="4606" w:type="dxa"/>
          </w:tcPr>
          <w:p w14:paraId="2952C6FB" w14:textId="77777777" w:rsidR="00A377B9" w:rsidRPr="005434EA" w:rsidRDefault="00A377B9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Marta Husičková</w:t>
            </w:r>
          </w:p>
          <w:p w14:paraId="41C56E06" w14:textId="77777777" w:rsidR="00A377B9" w:rsidRPr="00191B68" w:rsidRDefault="00A377B9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Roman Šťastný</w:t>
            </w:r>
          </w:p>
          <w:p w14:paraId="4E1AC0F5" w14:textId="77777777" w:rsidR="00A377B9" w:rsidRPr="00191B68" w:rsidRDefault="00A377B9" w:rsidP="00F137D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Radek Vincour</w:t>
            </w:r>
          </w:p>
          <w:p w14:paraId="7EC0B5DC" w14:textId="77777777" w:rsidR="003012C5" w:rsidRPr="00191B68" w:rsidRDefault="003012C5" w:rsidP="003012C5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Michael Tesař</w:t>
            </w:r>
          </w:p>
          <w:p w14:paraId="420DC57D" w14:textId="77777777" w:rsidR="003012C5" w:rsidRPr="00191B68" w:rsidRDefault="003012C5" w:rsidP="003012C5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Pavel Doubrava</w:t>
            </w:r>
          </w:p>
          <w:p w14:paraId="0EA28AAF" w14:textId="2FA9EF84" w:rsidR="00F23521" w:rsidRDefault="008E5F2C" w:rsidP="00F23521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Jaromíra Lónová</w:t>
            </w:r>
          </w:p>
          <w:p w14:paraId="6326553D" w14:textId="392121EA" w:rsidR="003B51C1" w:rsidRDefault="003B51C1" w:rsidP="003B51C1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 xml:space="preserve">Mgr. Bc. et Mgr. Jiří Viterna, MBA, </w:t>
            </w:r>
            <w:proofErr w:type="spellStart"/>
            <w:r w:rsidRPr="00191B68">
              <w:rPr>
                <w:b w:val="0"/>
                <w:sz w:val="24"/>
                <w:szCs w:val="24"/>
              </w:rPr>
              <w:t>MSc</w:t>
            </w:r>
            <w:proofErr w:type="spellEnd"/>
            <w:r w:rsidR="00C931E8">
              <w:rPr>
                <w:b w:val="0"/>
                <w:sz w:val="24"/>
                <w:szCs w:val="24"/>
              </w:rPr>
              <w:t xml:space="preserve">. </w:t>
            </w:r>
          </w:p>
          <w:p w14:paraId="50A0F7E0" w14:textId="2CA494C7" w:rsidR="003B51C1" w:rsidRDefault="003B51C1" w:rsidP="003B51C1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Ing. Aleš Suchánek</w:t>
            </w:r>
          </w:p>
          <w:p w14:paraId="40EC5250" w14:textId="19BA125D" w:rsidR="008E5F2C" w:rsidRPr="00191B68" w:rsidRDefault="008E5F2C" w:rsidP="003B51C1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Ing. Tomáš </w:t>
            </w:r>
            <w:proofErr w:type="spellStart"/>
            <w:r>
              <w:rPr>
                <w:b w:val="0"/>
                <w:sz w:val="24"/>
                <w:szCs w:val="24"/>
              </w:rPr>
              <w:t>Lázna</w:t>
            </w:r>
            <w:proofErr w:type="spellEnd"/>
          </w:p>
          <w:p w14:paraId="46F0B2C9" w14:textId="77777777" w:rsidR="00107077" w:rsidRDefault="00107077" w:rsidP="00107077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Mgr. Jakub Knápek</w:t>
            </w:r>
          </w:p>
          <w:p w14:paraId="10C2EF4B" w14:textId="65B079BB" w:rsidR="00107077" w:rsidRDefault="00107077" w:rsidP="00107077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proofErr w:type="spellStart"/>
            <w:r w:rsidRPr="00191B68">
              <w:rPr>
                <w:b w:val="0"/>
                <w:sz w:val="24"/>
                <w:szCs w:val="24"/>
              </w:rPr>
              <w:t>Angelis</w:t>
            </w:r>
            <w:proofErr w:type="spellEnd"/>
            <w:r w:rsidRPr="00191B6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91B68">
              <w:rPr>
                <w:b w:val="0"/>
                <w:sz w:val="24"/>
                <w:szCs w:val="24"/>
              </w:rPr>
              <w:t>Zdukos</w:t>
            </w:r>
            <w:proofErr w:type="spellEnd"/>
            <w:r w:rsidRPr="00191B68">
              <w:rPr>
                <w:b w:val="0"/>
                <w:sz w:val="24"/>
                <w:szCs w:val="24"/>
              </w:rPr>
              <w:t xml:space="preserve"> </w:t>
            </w:r>
          </w:p>
          <w:p w14:paraId="734652FC" w14:textId="77777777" w:rsidR="00107077" w:rsidRDefault="00107077" w:rsidP="00107077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Leoš Ptáček</w:t>
            </w:r>
          </w:p>
          <w:p w14:paraId="3E3ADD3D" w14:textId="77777777" w:rsidR="00107077" w:rsidRPr="00191B68" w:rsidRDefault="00107077" w:rsidP="00107077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</w:p>
          <w:p w14:paraId="124BB159" w14:textId="77777777"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  <w:color w:val="FF0000"/>
              </w:rPr>
            </w:pPr>
          </w:p>
        </w:tc>
        <w:tc>
          <w:tcPr>
            <w:tcW w:w="5042" w:type="dxa"/>
          </w:tcPr>
          <w:p w14:paraId="7CDF4E30" w14:textId="77777777"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</w:tr>
      <w:tr w:rsidR="00975D37" w:rsidRPr="00570AA0" w14:paraId="0BFD2127" w14:textId="77777777">
        <w:tc>
          <w:tcPr>
            <w:tcW w:w="4606" w:type="dxa"/>
          </w:tcPr>
          <w:p w14:paraId="0A15F70E" w14:textId="77777777"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  <w:tc>
          <w:tcPr>
            <w:tcW w:w="5042" w:type="dxa"/>
          </w:tcPr>
          <w:p w14:paraId="07B37E33" w14:textId="77777777"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</w:tr>
      <w:tr w:rsidR="00975D37" w:rsidRPr="00570AA0" w14:paraId="22E7C223" w14:textId="77777777">
        <w:tc>
          <w:tcPr>
            <w:tcW w:w="4606" w:type="dxa"/>
          </w:tcPr>
          <w:p w14:paraId="08ED989B" w14:textId="77777777"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  <w:tc>
          <w:tcPr>
            <w:tcW w:w="5042" w:type="dxa"/>
          </w:tcPr>
          <w:p w14:paraId="1E043812" w14:textId="77777777"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</w:tr>
      <w:tr w:rsidR="00975D37" w:rsidRPr="00570AA0" w14:paraId="13D84CD5" w14:textId="77777777">
        <w:tc>
          <w:tcPr>
            <w:tcW w:w="4606" w:type="dxa"/>
          </w:tcPr>
          <w:p w14:paraId="300F8A03" w14:textId="77777777"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  <w:tc>
          <w:tcPr>
            <w:tcW w:w="5042" w:type="dxa"/>
          </w:tcPr>
          <w:p w14:paraId="5F2E7200" w14:textId="77777777" w:rsidR="00975D37" w:rsidRPr="00570AA0" w:rsidRDefault="00975D37" w:rsidP="00F137D0">
            <w:pPr>
              <w:pStyle w:val="Vborptomni"/>
              <w:spacing w:before="0" w:after="0"/>
            </w:pPr>
            <w:r w:rsidRPr="00570AA0">
              <w:t>Omluveni:</w:t>
            </w:r>
          </w:p>
        </w:tc>
      </w:tr>
      <w:tr w:rsidR="00975D37" w:rsidRPr="00570AA0" w14:paraId="36B50D6F" w14:textId="77777777">
        <w:tc>
          <w:tcPr>
            <w:tcW w:w="4606" w:type="dxa"/>
          </w:tcPr>
          <w:p w14:paraId="6C085141" w14:textId="77777777"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  <w:tc>
          <w:tcPr>
            <w:tcW w:w="5042" w:type="dxa"/>
          </w:tcPr>
          <w:p w14:paraId="1FBC6DB7" w14:textId="39394B0A" w:rsidR="00F23521" w:rsidRDefault="008E5F2C" w:rsidP="00F23521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Mgr. Pavel </w:t>
            </w:r>
            <w:proofErr w:type="spellStart"/>
            <w:r>
              <w:rPr>
                <w:b w:val="0"/>
                <w:sz w:val="24"/>
                <w:szCs w:val="24"/>
              </w:rPr>
              <w:t>Polcr</w:t>
            </w:r>
            <w:proofErr w:type="spellEnd"/>
          </w:p>
          <w:p w14:paraId="3733D584" w14:textId="77777777" w:rsidR="00031630" w:rsidRPr="00191B68" w:rsidRDefault="00031630" w:rsidP="0003163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Ing. Petr Lipčík</w:t>
            </w:r>
          </w:p>
          <w:p w14:paraId="522D1675" w14:textId="77777777" w:rsidR="00031630" w:rsidRPr="00191B68" w:rsidRDefault="00031630" w:rsidP="00031630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 xml:space="preserve">Mgr. </w:t>
            </w:r>
            <w:r>
              <w:rPr>
                <w:b w:val="0"/>
                <w:sz w:val="24"/>
                <w:szCs w:val="24"/>
              </w:rPr>
              <w:t xml:space="preserve">Dita </w:t>
            </w:r>
            <w:proofErr w:type="spellStart"/>
            <w:r>
              <w:rPr>
                <w:b w:val="0"/>
                <w:sz w:val="24"/>
                <w:szCs w:val="24"/>
              </w:rPr>
              <w:t>Palaščáková</w:t>
            </w:r>
            <w:proofErr w:type="spellEnd"/>
          </w:p>
          <w:p w14:paraId="481708AF" w14:textId="4A761900" w:rsidR="00975D37" w:rsidRPr="00F23521" w:rsidRDefault="00031630" w:rsidP="008E5F2C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Mgr. Dominik Voráč</w:t>
            </w:r>
          </w:p>
        </w:tc>
      </w:tr>
      <w:tr w:rsidR="00975D37" w:rsidRPr="00570AA0" w14:paraId="1E8D187E" w14:textId="77777777">
        <w:tc>
          <w:tcPr>
            <w:tcW w:w="4606" w:type="dxa"/>
          </w:tcPr>
          <w:p w14:paraId="5AD1340A" w14:textId="77777777" w:rsidR="00975D37" w:rsidRPr="00570AA0" w:rsidRDefault="00975D37">
            <w:pPr>
              <w:pStyle w:val="Vborptomnitext"/>
              <w:rPr>
                <w:rFonts w:cs="Arial"/>
              </w:rPr>
            </w:pPr>
          </w:p>
        </w:tc>
        <w:tc>
          <w:tcPr>
            <w:tcW w:w="5042" w:type="dxa"/>
          </w:tcPr>
          <w:p w14:paraId="78152E4B" w14:textId="77777777" w:rsidR="00107077" w:rsidRPr="00191B68" w:rsidRDefault="00107077" w:rsidP="00107077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Jakub Dolníček</w:t>
            </w:r>
          </w:p>
          <w:p w14:paraId="1F6F7A88" w14:textId="77777777" w:rsidR="00107077" w:rsidRDefault="00107077" w:rsidP="00107077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et Mgr. Jakub Lysek, Ph.D.</w:t>
            </w:r>
          </w:p>
          <w:p w14:paraId="645B9463" w14:textId="77777777" w:rsidR="00107077" w:rsidRPr="00191B68" w:rsidRDefault="00107077" w:rsidP="00107077">
            <w:pPr>
              <w:pStyle w:val="Vborptomni"/>
              <w:spacing w:before="0" w:after="0"/>
              <w:rPr>
                <w:b w:val="0"/>
                <w:sz w:val="24"/>
                <w:szCs w:val="24"/>
              </w:rPr>
            </w:pPr>
            <w:r w:rsidRPr="00191B68">
              <w:rPr>
                <w:b w:val="0"/>
                <w:sz w:val="24"/>
                <w:szCs w:val="24"/>
              </w:rPr>
              <w:t>Mgr. Ing. Hana Vacková</w:t>
            </w:r>
          </w:p>
          <w:p w14:paraId="26C63FDF" w14:textId="77777777" w:rsidR="00975D37" w:rsidRPr="00570AA0" w:rsidRDefault="00975D37">
            <w:pPr>
              <w:pStyle w:val="Vborptomnitext"/>
              <w:rPr>
                <w:rFonts w:cs="Arial"/>
              </w:rPr>
            </w:pPr>
          </w:p>
        </w:tc>
      </w:tr>
      <w:tr w:rsidR="00975D37" w:rsidRPr="00570AA0" w14:paraId="22A3194B" w14:textId="77777777">
        <w:tc>
          <w:tcPr>
            <w:tcW w:w="4606" w:type="dxa"/>
          </w:tcPr>
          <w:p w14:paraId="25F16262" w14:textId="77777777" w:rsidR="00975D37" w:rsidRPr="00570AA0" w:rsidRDefault="00975D37">
            <w:pPr>
              <w:pStyle w:val="Vborptomnitext"/>
              <w:rPr>
                <w:rFonts w:cs="Arial"/>
              </w:rPr>
            </w:pPr>
          </w:p>
        </w:tc>
        <w:tc>
          <w:tcPr>
            <w:tcW w:w="5042" w:type="dxa"/>
          </w:tcPr>
          <w:p w14:paraId="3857FD74" w14:textId="77777777" w:rsidR="00975D37" w:rsidRPr="00570AA0" w:rsidRDefault="00975D37">
            <w:pPr>
              <w:pStyle w:val="Vborptomni"/>
            </w:pPr>
            <w:r w:rsidRPr="00570AA0">
              <w:t>Hosté:</w:t>
            </w:r>
          </w:p>
        </w:tc>
      </w:tr>
      <w:tr w:rsidR="00975D37" w:rsidRPr="00570AA0" w14:paraId="7CD6BFF8" w14:textId="77777777">
        <w:tc>
          <w:tcPr>
            <w:tcW w:w="4606" w:type="dxa"/>
          </w:tcPr>
          <w:p w14:paraId="660E1707" w14:textId="77777777" w:rsidR="00975D37" w:rsidRPr="00570AA0" w:rsidRDefault="00975D37">
            <w:pPr>
              <w:pStyle w:val="Vborptomnitext"/>
              <w:rPr>
                <w:rFonts w:cs="Arial"/>
              </w:rPr>
            </w:pPr>
          </w:p>
        </w:tc>
        <w:tc>
          <w:tcPr>
            <w:tcW w:w="5042" w:type="dxa"/>
          </w:tcPr>
          <w:p w14:paraId="45965E01" w14:textId="77777777" w:rsidR="002D2013" w:rsidRPr="00B9008B" w:rsidRDefault="002D2013" w:rsidP="002D2013">
            <w:pPr>
              <w:pStyle w:val="Vborptomni"/>
              <w:rPr>
                <w:b w:val="0"/>
                <w:sz w:val="24"/>
                <w:szCs w:val="24"/>
              </w:rPr>
            </w:pPr>
            <w:r w:rsidRPr="00B9008B">
              <w:rPr>
                <w:b w:val="0"/>
                <w:sz w:val="24"/>
                <w:szCs w:val="24"/>
              </w:rPr>
              <w:t>RNDr. Aleš Jakubec, Ph.D.</w:t>
            </w:r>
          </w:p>
          <w:p w14:paraId="26433F0E" w14:textId="1D26BB44" w:rsidR="00F23521" w:rsidRPr="001A40E9" w:rsidRDefault="003B51C1" w:rsidP="00A71492">
            <w:pPr>
              <w:pStyle w:val="Vborptomni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</w:t>
            </w:r>
            <w:r w:rsidR="00F23521">
              <w:rPr>
                <w:rFonts w:cs="Arial"/>
                <w:sz w:val="24"/>
                <w:szCs w:val="24"/>
              </w:rPr>
              <w:t>gr. Martin Pustaj</w:t>
            </w:r>
          </w:p>
        </w:tc>
      </w:tr>
      <w:tr w:rsidR="00975D37" w:rsidRPr="00570AA0" w14:paraId="4582A5B0" w14:textId="77777777">
        <w:tc>
          <w:tcPr>
            <w:tcW w:w="4606" w:type="dxa"/>
          </w:tcPr>
          <w:p w14:paraId="558F7CA9" w14:textId="77777777"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  <w:tc>
          <w:tcPr>
            <w:tcW w:w="5042" w:type="dxa"/>
          </w:tcPr>
          <w:p w14:paraId="7CAE4B10" w14:textId="4C9F3C0D" w:rsidR="00975D37" w:rsidRPr="00570AA0" w:rsidRDefault="00031630" w:rsidP="00F137D0">
            <w:pPr>
              <w:pStyle w:val="Vborptomnitext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Mgr. Pavel Podivínský</w:t>
            </w:r>
          </w:p>
        </w:tc>
      </w:tr>
      <w:tr w:rsidR="00975D37" w:rsidRPr="00570AA0" w14:paraId="12A06682" w14:textId="77777777">
        <w:tc>
          <w:tcPr>
            <w:tcW w:w="4606" w:type="dxa"/>
          </w:tcPr>
          <w:p w14:paraId="401B3AF6" w14:textId="77777777"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  <w:tc>
          <w:tcPr>
            <w:tcW w:w="5042" w:type="dxa"/>
          </w:tcPr>
          <w:p w14:paraId="6FB1CA07" w14:textId="77777777"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</w:tr>
      <w:tr w:rsidR="00975D37" w:rsidRPr="00570AA0" w14:paraId="48BD90EB" w14:textId="77777777">
        <w:tc>
          <w:tcPr>
            <w:tcW w:w="4606" w:type="dxa"/>
          </w:tcPr>
          <w:p w14:paraId="2E89355C" w14:textId="77777777"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  <w:tc>
          <w:tcPr>
            <w:tcW w:w="5042" w:type="dxa"/>
          </w:tcPr>
          <w:p w14:paraId="60D0E3BC" w14:textId="77777777"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</w:tr>
      <w:tr w:rsidR="00975D37" w:rsidRPr="00570AA0" w14:paraId="7A2FBAD0" w14:textId="77777777">
        <w:tc>
          <w:tcPr>
            <w:tcW w:w="4606" w:type="dxa"/>
          </w:tcPr>
          <w:p w14:paraId="2B6D573F" w14:textId="77777777"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  <w:tc>
          <w:tcPr>
            <w:tcW w:w="5042" w:type="dxa"/>
          </w:tcPr>
          <w:p w14:paraId="1CB8D77E" w14:textId="77777777" w:rsidR="00975D37" w:rsidRPr="00570AA0" w:rsidRDefault="00975D37" w:rsidP="00F137D0">
            <w:pPr>
              <w:pStyle w:val="Vborptomnitext"/>
              <w:spacing w:before="0" w:after="0"/>
              <w:rPr>
                <w:rFonts w:cs="Arial"/>
              </w:rPr>
            </w:pPr>
          </w:p>
        </w:tc>
      </w:tr>
    </w:tbl>
    <w:p w14:paraId="141EA6B1" w14:textId="5DB0F3AB" w:rsidR="00975D37" w:rsidRDefault="00975D37" w:rsidP="00F137D0">
      <w:pPr>
        <w:pStyle w:val="Vborprogram"/>
        <w:spacing w:before="0" w:after="0"/>
        <w:rPr>
          <w:rFonts w:cs="Arial"/>
        </w:rPr>
      </w:pPr>
      <w:r w:rsidRPr="00570AA0">
        <w:rPr>
          <w:rFonts w:cs="Arial"/>
        </w:rPr>
        <w:t>Program:</w:t>
      </w:r>
    </w:p>
    <w:p w14:paraId="6880D6C3" w14:textId="77777777" w:rsidR="00733EBF" w:rsidRDefault="00733EBF" w:rsidP="00F137D0">
      <w:pPr>
        <w:pStyle w:val="Vborprogram"/>
        <w:spacing w:before="0" w:after="0"/>
        <w:rPr>
          <w:rFonts w:cs="Arial"/>
        </w:rPr>
      </w:pPr>
    </w:p>
    <w:p w14:paraId="2870D93E" w14:textId="77777777" w:rsidR="00733EBF" w:rsidRDefault="00733EBF" w:rsidP="00733EBF">
      <w:pPr>
        <w:numPr>
          <w:ilvl w:val="0"/>
          <w:numId w:val="27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Zahájení</w:t>
      </w:r>
    </w:p>
    <w:p w14:paraId="0C4AEAAE" w14:textId="40FCB546" w:rsidR="00733EBF" w:rsidRPr="004F7CB3" w:rsidRDefault="004F7CB3" w:rsidP="004F7CB3">
      <w:pPr>
        <w:numPr>
          <w:ilvl w:val="0"/>
          <w:numId w:val="27"/>
        </w:numPr>
        <w:spacing w:after="120"/>
        <w:jc w:val="both"/>
        <w:rPr>
          <w:rFonts w:ascii="Arial" w:hAnsi="Arial"/>
          <w:bCs/>
        </w:rPr>
      </w:pPr>
      <w:r w:rsidRPr="004F7CB3">
        <w:rPr>
          <w:rFonts w:ascii="Arial" w:hAnsi="Arial"/>
          <w:bCs/>
        </w:rPr>
        <w:t xml:space="preserve">Strategie rozvoje systému péče o ohrožené děti Olomouckého kraje do roku 2035 </w:t>
      </w:r>
    </w:p>
    <w:p w14:paraId="3119CFCE" w14:textId="77777777" w:rsidR="00733EBF" w:rsidRDefault="00733EBF" w:rsidP="00733EBF">
      <w:pPr>
        <w:pStyle w:val="Odstavecseseznamem"/>
        <w:numPr>
          <w:ilvl w:val="0"/>
          <w:numId w:val="27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Dlouhodobý záměr vzdělávání a rozvoje vzdělávací soustavy Olomouckého kraje 2024–2028</w:t>
      </w:r>
    </w:p>
    <w:p w14:paraId="4645ED53" w14:textId="77777777" w:rsidR="00733EBF" w:rsidRDefault="00733EBF" w:rsidP="00733EBF">
      <w:pPr>
        <w:pStyle w:val="Odstavecseseznamem"/>
        <w:numPr>
          <w:ilvl w:val="0"/>
          <w:numId w:val="27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Podpora mezinárodních výměnných pobytů mládeže a mezinárodních vzdělávacích programů v roce 2024 – vyhodnocení</w:t>
      </w:r>
    </w:p>
    <w:p w14:paraId="03AE5AAE" w14:textId="77777777" w:rsidR="00733EBF" w:rsidRDefault="00733EBF" w:rsidP="00733EBF">
      <w:pPr>
        <w:numPr>
          <w:ilvl w:val="0"/>
          <w:numId w:val="27"/>
        </w:numPr>
        <w:autoSpaceDE w:val="0"/>
        <w:autoSpaceDN w:val="0"/>
        <w:adjustRightInd w:val="0"/>
        <w:spacing w:after="60"/>
        <w:ind w:left="1077" w:hanging="357"/>
        <w:jc w:val="both"/>
        <w:rPr>
          <w:rFonts w:ascii="Arial" w:eastAsiaTheme="minorHAnsi" w:hAnsi="Arial" w:cs="Arial"/>
        </w:rPr>
      </w:pPr>
      <w:r>
        <w:rPr>
          <w:rFonts w:ascii="Arial" w:hAnsi="Arial" w:cs="Arial"/>
        </w:rPr>
        <w:t>Různé</w:t>
      </w:r>
    </w:p>
    <w:p w14:paraId="52D96A4D" w14:textId="77777777" w:rsidR="00733EBF" w:rsidRDefault="00733EBF" w:rsidP="00733EBF">
      <w:pPr>
        <w:numPr>
          <w:ilvl w:val="0"/>
          <w:numId w:val="27"/>
        </w:numPr>
        <w:autoSpaceDE w:val="0"/>
        <w:autoSpaceDN w:val="0"/>
        <w:adjustRightInd w:val="0"/>
        <w:spacing w:after="60"/>
        <w:ind w:left="107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Usnesení, závěr</w:t>
      </w:r>
    </w:p>
    <w:p w14:paraId="5D2DEC03" w14:textId="77777777" w:rsidR="00733EBF" w:rsidRPr="00EC36CB" w:rsidRDefault="00733EBF" w:rsidP="00F137D0">
      <w:pPr>
        <w:pStyle w:val="Vborprogram"/>
        <w:spacing w:before="0" w:after="0"/>
        <w:rPr>
          <w:rFonts w:cs="Arial"/>
          <w:szCs w:val="24"/>
        </w:rPr>
      </w:pPr>
    </w:p>
    <w:p w14:paraId="2A97F3E6" w14:textId="77777777" w:rsidR="002D2013" w:rsidRDefault="002D2013" w:rsidP="002D2013">
      <w:pPr>
        <w:pStyle w:val="Vborzpis"/>
        <w:rPr>
          <w:szCs w:val="24"/>
        </w:rPr>
      </w:pPr>
      <w:r w:rsidRPr="00191B68">
        <w:rPr>
          <w:szCs w:val="24"/>
        </w:rPr>
        <w:t>Zápis:</w:t>
      </w:r>
    </w:p>
    <w:p w14:paraId="2274885C" w14:textId="77777777" w:rsidR="002D2013" w:rsidRPr="00191B68" w:rsidRDefault="002D2013" w:rsidP="00E20C49">
      <w:pPr>
        <w:numPr>
          <w:ilvl w:val="0"/>
          <w:numId w:val="26"/>
        </w:numPr>
        <w:spacing w:after="120"/>
        <w:ind w:left="499" w:hanging="357"/>
        <w:jc w:val="both"/>
        <w:rPr>
          <w:rFonts w:ascii="Arial" w:hAnsi="Arial" w:cs="Arial"/>
          <w:b/>
        </w:rPr>
      </w:pPr>
      <w:r w:rsidRPr="00191B68">
        <w:rPr>
          <w:rFonts w:ascii="Arial" w:hAnsi="Arial" w:cs="Arial"/>
          <w:b/>
        </w:rPr>
        <w:t xml:space="preserve">Program </w:t>
      </w:r>
    </w:p>
    <w:p w14:paraId="6BA00809" w14:textId="2A4B818A" w:rsidR="002D2013" w:rsidRPr="00191B68" w:rsidRDefault="002D2013" w:rsidP="002D2013">
      <w:pPr>
        <w:pStyle w:val="slo1text"/>
        <w:tabs>
          <w:tab w:val="clear" w:pos="567"/>
        </w:tabs>
        <w:spacing w:after="240"/>
        <w:ind w:left="510" w:firstLine="0"/>
        <w:rPr>
          <w:rFonts w:cs="Arial"/>
          <w:szCs w:val="24"/>
        </w:rPr>
      </w:pPr>
      <w:r w:rsidRPr="00191B68">
        <w:rPr>
          <w:rFonts w:cs="Arial"/>
          <w:szCs w:val="24"/>
        </w:rPr>
        <w:t>Výbor jednomyslně schválil program zasedání</w:t>
      </w:r>
      <w:r w:rsidR="00B24373">
        <w:rPr>
          <w:rFonts w:cs="Arial"/>
          <w:szCs w:val="24"/>
        </w:rPr>
        <w:t>.</w:t>
      </w:r>
      <w:r w:rsidRPr="00191B68">
        <w:rPr>
          <w:rFonts w:cs="Arial"/>
          <w:szCs w:val="24"/>
        </w:rPr>
        <w:t xml:space="preserve"> </w:t>
      </w:r>
    </w:p>
    <w:p w14:paraId="75614092" w14:textId="64F721A7" w:rsidR="007E0900" w:rsidRDefault="004F7CB3" w:rsidP="00E20C49">
      <w:pPr>
        <w:numPr>
          <w:ilvl w:val="0"/>
          <w:numId w:val="26"/>
        </w:numPr>
        <w:spacing w:after="120"/>
        <w:ind w:left="499" w:hanging="357"/>
        <w:jc w:val="both"/>
        <w:rPr>
          <w:rFonts w:ascii="Arial" w:hAnsi="Arial"/>
          <w:b/>
        </w:rPr>
      </w:pPr>
      <w:r w:rsidRPr="004F7CB3">
        <w:rPr>
          <w:rFonts w:ascii="Arial" w:hAnsi="Arial"/>
          <w:b/>
        </w:rPr>
        <w:t>Strategie rozvoje systému péče o ohrožené děti O</w:t>
      </w:r>
      <w:r w:rsidR="00733EBF">
        <w:rPr>
          <w:rFonts w:ascii="Arial" w:hAnsi="Arial"/>
          <w:b/>
        </w:rPr>
        <w:t>lomouckého kraje do roku 2035</w:t>
      </w:r>
      <w:r w:rsidR="000368AB">
        <w:rPr>
          <w:rFonts w:ascii="Arial" w:hAnsi="Arial"/>
          <w:b/>
        </w:rPr>
        <w:t xml:space="preserve"> </w:t>
      </w:r>
    </w:p>
    <w:p w14:paraId="44D4FC7F" w14:textId="6559BC68" w:rsidR="00874E15" w:rsidRDefault="00874E15" w:rsidP="005F229F">
      <w:pPr>
        <w:pStyle w:val="Nadpis6"/>
        <w:ind w:left="49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Materiál okomentoval </w:t>
      </w:r>
      <w:r w:rsidR="00031630">
        <w:rPr>
          <w:rFonts w:ascii="Arial" w:hAnsi="Arial" w:cs="Arial"/>
        </w:rPr>
        <w:t>Mgr. Pavel Podivínský, vedoucí oddělení sociálně právní ochrany odboru sociálních věcí KÚOK.</w:t>
      </w:r>
    </w:p>
    <w:p w14:paraId="5705EEDF" w14:textId="1B2DF00A" w:rsidR="004F7CB3" w:rsidRDefault="004F7CB3" w:rsidP="004F7CB3">
      <w:pPr>
        <w:pStyle w:val="slo1text"/>
      </w:pPr>
      <w:r>
        <w:tab/>
        <w:t xml:space="preserve">Olomoucký kraj se aktivně staví k tématu ohrožených dětí a rodin. </w:t>
      </w:r>
      <w:bookmarkStart w:id="0" w:name="_Hlk164266900"/>
      <w:r>
        <w:t xml:space="preserve">Na základě dohody s Nadací J&amp;T byly na území OK zpracovány analýzy a následně tato Strategie, která obsahuje stručné výstupy z analýz, stanoví vizi, hlavní cíle a dílčí cíle, jichž je možné na krajské úrovni v horizontu následujících deseti let dosáhnout. </w:t>
      </w:r>
      <w:bookmarkEnd w:id="0"/>
      <w:r>
        <w:t>Problematika je velmi široká a vyžaduje pozornost jak ze strany všech míst, kde děti a rodiny žijí, tak ze strany institucí a zainteresovaných subjektů, které nastavují systémová řešení nebo se na řešení nepříznivých situací rodin přímo podílejí.</w:t>
      </w:r>
    </w:p>
    <w:p w14:paraId="19A9B456" w14:textId="4C5E8247" w:rsidR="004F7CB3" w:rsidRDefault="004F7CB3" w:rsidP="004F7CB3">
      <w:pPr>
        <w:pStyle w:val="slo1text"/>
        <w:rPr>
          <w:rFonts w:cs="Arial"/>
        </w:rPr>
      </w:pPr>
      <w:r>
        <w:rPr>
          <w:rFonts w:cs="Arial"/>
        </w:rPr>
        <w:tab/>
        <w:t>Strategie obsahuje informace o transformaci pobytových služeb a vychází z výstupů zpracovaných analýz ohrožených dětí a dětí s postižením. Součástí je i návrh změn v participaci jednotlivých subjektů působících v oblasti ohrožených dětí, rozvoj oblasti náhradní rodinné péče, spolupráce NNO a orgánů sociálně-právní ochrany dětí, dětských domovů a dalších klíčových subjektů.</w:t>
      </w:r>
    </w:p>
    <w:p w14:paraId="1E77FA1F" w14:textId="60B8C50B" w:rsidR="004F7CB3" w:rsidRDefault="004F7CB3" w:rsidP="004F7CB3">
      <w:pPr>
        <w:pStyle w:val="slo1text"/>
      </w:pPr>
      <w:r>
        <w:rPr>
          <w:rFonts w:cs="Arial"/>
        </w:rPr>
        <w:tab/>
        <w:t>Strategie je vyústěním mnoha jednotlivých aktivit ve prospěch dětí a rodin, jejichž podporu Olomoucký kraj řeší ve svých koncepčních dokumentech. Olomoucký kraj má zkušenost s transformací pobytových služeb v sociální i zdravotní oblasti a zahájil proces kvalitativních změn pro děti vyrůstající v dětských domovech</w:t>
      </w:r>
      <w:r>
        <w:t xml:space="preserve">.     </w:t>
      </w:r>
    </w:p>
    <w:p w14:paraId="7BC3378C" w14:textId="2B6C1C60" w:rsidR="004F7CB3" w:rsidRDefault="004F7CB3" w:rsidP="004F7CB3">
      <w:pPr>
        <w:pStyle w:val="slo1text"/>
        <w:rPr>
          <w:rFonts w:cs="Arial"/>
        </w:rPr>
      </w:pPr>
      <w:r>
        <w:tab/>
        <w:t xml:space="preserve">Současně je </w:t>
      </w:r>
      <w:bookmarkStart w:id="1" w:name="_Hlk166489158"/>
      <w:r>
        <w:t>Strategie prvním strategickým dokumentem dlouhodobého charakteru, který propojuje resorty sociálních věcí, školství a zdravotnictví, aby společným úsilím minimalizovaly počet ohrožených dětí a rodin na území kraje</w:t>
      </w:r>
      <w:bookmarkEnd w:id="1"/>
      <w:r>
        <w:t>.</w:t>
      </w:r>
    </w:p>
    <w:p w14:paraId="0B36F039" w14:textId="6D895F7F" w:rsidR="004F7CB3" w:rsidRDefault="004F7CB3" w:rsidP="004F7CB3">
      <w:pPr>
        <w:pStyle w:val="slo1text"/>
      </w:pPr>
      <w:r>
        <w:tab/>
        <w:t>Na tuto Strategii budou navazovat akční plány, které budou obsahovat konkrétní návrhy opatření a odpovědnosti.</w:t>
      </w:r>
    </w:p>
    <w:p w14:paraId="55AA5FA5" w14:textId="77777777" w:rsidR="004F7CB3" w:rsidRDefault="004F7CB3" w:rsidP="004F7CB3">
      <w:pPr>
        <w:spacing w:before="120" w:line="264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Při přípravě strategie se současně vycházelo ze zpracovaných analýz:</w:t>
      </w:r>
    </w:p>
    <w:p w14:paraId="04242BD7" w14:textId="77777777" w:rsidR="004F7CB3" w:rsidRDefault="004F7CB3" w:rsidP="004F7CB3">
      <w:p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  <w:t>Analýza dětí s postižením</w:t>
      </w:r>
    </w:p>
    <w:p w14:paraId="7AB283FC" w14:textId="77777777" w:rsidR="004F7CB3" w:rsidRDefault="004F7CB3" w:rsidP="004F7CB3">
      <w:p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Analýza mapuje stávající služby, potřeby služeb v regionu a potřeby klientů a jejich rodičů a navrhuje změny v systému, které by více odpovídaly potřebám této cílové skupiny. Obsahem analýzy je současně spolupráce mezi aktéry systému. </w:t>
      </w:r>
    </w:p>
    <w:p w14:paraId="2D7E532F" w14:textId="77777777" w:rsidR="004F7CB3" w:rsidRDefault="004F7CB3" w:rsidP="004F7CB3">
      <w:p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  <w:t xml:space="preserve">Analýza ohrožené děti. </w:t>
      </w:r>
    </w:p>
    <w:p w14:paraId="6249F6A2" w14:textId="77777777" w:rsidR="004F7CB3" w:rsidRDefault="004F7CB3" w:rsidP="004F7CB3">
      <w:p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Obě analýzy mapují stávající služby a potřeby v regionu, současně pak potřeby klientů a navrhuje změny systému, které by více reflektovaly potřeby cílové skupiny. Současně je věnována pozornost činnosti orgánů sociálně-právní ochrany dětí a spolupráci mezi aktéry systému.</w:t>
      </w:r>
    </w:p>
    <w:p w14:paraId="4C3C30A7" w14:textId="4A10144F" w:rsidR="004F7CB3" w:rsidRDefault="004F7CB3" w:rsidP="004F7CB3">
      <w:pPr>
        <w:spacing w:before="120" w:line="264" w:lineRule="auto"/>
        <w:jc w:val="both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>Za účelem přípravy podkladových materiálů pro Strategii byly vytvořeny dvě pracovní skupiny. První pracovní skupina byla zaměřena na oblast ohrožených dětí, druhá pracovní skupina byla zaměřena na děti s postižením. Složení pracovních skupin bylo multidisciplinární, kdy jejími zástupci jsou pracovníci OSV, OZ, OŠM, poskytovatelů sociálních služeb, školských zařízení, orgánů sociálně-právní ochrany dětí, pěstounů, organizací doprovázející pěstounské rodiny a v neposlední řadě i zástupci Nadace J&amp;T.</w:t>
      </w:r>
    </w:p>
    <w:p w14:paraId="65E7E746" w14:textId="1FF9DF3E" w:rsidR="004F7CB3" w:rsidRDefault="004F7CB3" w:rsidP="004F7CB3">
      <w:pPr>
        <w:spacing w:before="120" w:line="264" w:lineRule="auto"/>
        <w:jc w:val="both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>Po diskuzi výbor doporučil samosprávným orgánům strategii schválit dle Přílohy č. 1 zápisu.</w:t>
      </w:r>
    </w:p>
    <w:p w14:paraId="4FF614B4" w14:textId="2D59DF13" w:rsidR="00870AA9" w:rsidRDefault="00870AA9" w:rsidP="004F7CB3">
      <w:pPr>
        <w:spacing w:before="120" w:line="264" w:lineRule="auto"/>
        <w:jc w:val="both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>Současně vyslovil požadavek, aby byl výbor průběžně informován o realizaci strategie.</w:t>
      </w:r>
    </w:p>
    <w:p w14:paraId="314257EA" w14:textId="7C90A112" w:rsidR="005F229F" w:rsidRPr="007C2A10" w:rsidRDefault="005F229F" w:rsidP="005F229F">
      <w:pPr>
        <w:spacing w:after="120"/>
        <w:ind w:left="142"/>
        <w:jc w:val="both"/>
        <w:rPr>
          <w:rFonts w:ascii="Arial" w:hAnsi="Arial"/>
        </w:rPr>
      </w:pPr>
    </w:p>
    <w:p w14:paraId="57843322" w14:textId="0B75C9D9" w:rsidR="002D2013" w:rsidRDefault="00733EBF" w:rsidP="00E20C49">
      <w:pPr>
        <w:numPr>
          <w:ilvl w:val="0"/>
          <w:numId w:val="26"/>
        </w:numPr>
        <w:spacing w:after="120"/>
        <w:ind w:left="499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Dlouhodobý záměr vzdělávání a rozvoje vzdělávací soustavy  Olomouckého kraje 2024 </w:t>
      </w:r>
      <w:r w:rsidR="00811D4B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2028</w:t>
      </w:r>
    </w:p>
    <w:p w14:paraId="40CD500A" w14:textId="77777777" w:rsidR="00811D4B" w:rsidRDefault="00811D4B" w:rsidP="00811D4B">
      <w:pPr>
        <w:spacing w:before="120" w:after="120"/>
        <w:jc w:val="both"/>
        <w:rPr>
          <w:rFonts w:ascii="Arial" w:hAnsi="Arial" w:cs="Arial"/>
        </w:rPr>
      </w:pPr>
      <w:r w:rsidRPr="00FF45E8">
        <w:rPr>
          <w:rFonts w:ascii="Arial" w:hAnsi="Arial" w:cs="Arial"/>
        </w:rPr>
        <w:t xml:space="preserve">Jedná se v pořadí o </w:t>
      </w:r>
      <w:r>
        <w:rPr>
          <w:rFonts w:ascii="Arial" w:hAnsi="Arial" w:cs="Arial"/>
        </w:rPr>
        <w:t>sedmý</w:t>
      </w:r>
      <w:r w:rsidRPr="00FF45E8">
        <w:rPr>
          <w:rFonts w:ascii="Arial" w:hAnsi="Arial" w:cs="Arial"/>
        </w:rPr>
        <w:t xml:space="preserve"> Dlouhodobý záměr zpracovaný pro území Olomouckého kraje</w:t>
      </w:r>
      <w:r>
        <w:rPr>
          <w:rFonts w:ascii="Arial" w:hAnsi="Arial" w:cs="Arial"/>
        </w:rPr>
        <w:t>, který</w:t>
      </w:r>
      <w:r w:rsidRPr="00FF45E8">
        <w:rPr>
          <w:rFonts w:ascii="Arial" w:hAnsi="Arial" w:cs="Arial"/>
        </w:rPr>
        <w:t xml:space="preserve"> vychází zejména z Dlouhodobého záměru vzdělávání a rozvoje vzdělávací soustavy České republiky 20</w:t>
      </w:r>
      <w:r>
        <w:rPr>
          <w:rFonts w:ascii="Arial" w:hAnsi="Arial" w:cs="Arial"/>
        </w:rPr>
        <w:t>23</w:t>
      </w:r>
      <w:r w:rsidRPr="00FF45E8">
        <w:rPr>
          <w:rFonts w:ascii="Arial" w:hAnsi="Arial" w:cs="Arial"/>
        </w:rPr>
        <w:t>–202</w:t>
      </w:r>
      <w:r>
        <w:rPr>
          <w:rFonts w:ascii="Arial" w:hAnsi="Arial" w:cs="Arial"/>
        </w:rPr>
        <w:t>7</w:t>
      </w:r>
      <w:r w:rsidRPr="00FF45E8">
        <w:rPr>
          <w:rFonts w:ascii="Arial" w:hAnsi="Arial" w:cs="Arial"/>
        </w:rPr>
        <w:t xml:space="preserve"> zpracovaného MŠMT a také ze základního strategického dokumentu Olomouckého kraje, </w:t>
      </w:r>
      <w:r w:rsidRPr="00FF45E8">
        <w:rPr>
          <w:rFonts w:ascii="Arial" w:hAnsi="Arial" w:cs="Arial"/>
          <w:iCs/>
        </w:rPr>
        <w:t xml:space="preserve">Strategie rozvoje územního obvodu Olomouckého kraje </w:t>
      </w:r>
      <w:r>
        <w:rPr>
          <w:rFonts w:ascii="Arial" w:hAnsi="Arial" w:cs="Arial"/>
          <w:iCs/>
        </w:rPr>
        <w:t>2021</w:t>
      </w:r>
      <w:r w:rsidRPr="00FF45E8">
        <w:rPr>
          <w:rFonts w:ascii="Arial" w:hAnsi="Arial" w:cs="Arial"/>
          <w:iCs/>
        </w:rPr>
        <w:t>–202</w:t>
      </w:r>
      <w:r>
        <w:rPr>
          <w:rFonts w:ascii="Arial" w:hAnsi="Arial" w:cs="Arial"/>
          <w:iCs/>
        </w:rPr>
        <w:t>7</w:t>
      </w:r>
      <w:r w:rsidRPr="00FF45E8">
        <w:rPr>
          <w:rFonts w:ascii="Arial" w:hAnsi="Arial" w:cs="Arial"/>
        </w:rPr>
        <w:t>, v jehož rámci jsou mimo jiné definovány základní strategické směry v oblasti vzdělávání</w:t>
      </w:r>
      <w:r>
        <w:rPr>
          <w:rFonts w:ascii="Arial" w:hAnsi="Arial" w:cs="Arial"/>
        </w:rPr>
        <w:t xml:space="preserve"> a zaměstnanosti</w:t>
      </w:r>
      <w:r w:rsidRPr="00FF45E8">
        <w:rPr>
          <w:rFonts w:ascii="Arial" w:hAnsi="Arial" w:cs="Arial"/>
        </w:rPr>
        <w:t>.</w:t>
      </w:r>
    </w:p>
    <w:p w14:paraId="1F84710B" w14:textId="77777777" w:rsidR="00811D4B" w:rsidRPr="008D0D2E" w:rsidRDefault="00811D4B" w:rsidP="00811D4B">
      <w:pPr>
        <w:spacing w:before="120" w:after="120"/>
        <w:jc w:val="both"/>
        <w:rPr>
          <w:rFonts w:ascii="Arial" w:hAnsi="Arial" w:cs="Arial"/>
        </w:rPr>
      </w:pPr>
      <w:r w:rsidRPr="008D0D2E">
        <w:rPr>
          <w:rFonts w:ascii="Arial" w:hAnsi="Arial" w:cs="Arial"/>
        </w:rPr>
        <w:t>Cílem DZ OK je rozvíjet vzdělávací systém, který umožní dětem, žákům a studentům získat znalosti, dovednosti a postoje, které jsou využitelné v osobním, občanském i</w:t>
      </w:r>
      <w:r>
        <w:rPr>
          <w:rFonts w:ascii="Arial" w:hAnsi="Arial" w:cs="Arial"/>
        </w:rPr>
        <w:t> </w:t>
      </w:r>
      <w:r w:rsidRPr="008D0D2E">
        <w:rPr>
          <w:rFonts w:ascii="Arial" w:hAnsi="Arial" w:cs="Arial"/>
        </w:rPr>
        <w:t>profesním životě. Vzhledem k rychle se měnícímu světu je nutné tomuto vývoji přizpůsobit obsah, metody a formy vzdělávání a zároveň vytvořit ve vzdělávacích institucích prostředí, které bude pro všechny bezpečné, spravedlivé, podnětné a</w:t>
      </w:r>
      <w:r>
        <w:rPr>
          <w:rFonts w:ascii="Arial" w:hAnsi="Arial" w:cs="Arial"/>
        </w:rPr>
        <w:t> </w:t>
      </w:r>
      <w:r w:rsidRPr="008D0D2E">
        <w:rPr>
          <w:rFonts w:ascii="Arial" w:hAnsi="Arial" w:cs="Arial"/>
        </w:rPr>
        <w:t>dostatečně náročné.</w:t>
      </w:r>
    </w:p>
    <w:p w14:paraId="36F16B91" w14:textId="77777777" w:rsidR="00811D4B" w:rsidRPr="008D0D2E" w:rsidRDefault="00811D4B" w:rsidP="00811D4B">
      <w:pPr>
        <w:spacing w:after="120"/>
        <w:jc w:val="both"/>
        <w:rPr>
          <w:rFonts w:ascii="Arial" w:hAnsi="Arial" w:cs="Arial"/>
          <w:bCs/>
        </w:rPr>
      </w:pPr>
      <w:r w:rsidRPr="008D0D2E">
        <w:rPr>
          <w:rFonts w:ascii="Arial" w:hAnsi="Arial" w:cs="Arial"/>
          <w:bCs/>
        </w:rPr>
        <w:t>V souladu s tímto cílem obsahuje DZ následující průřezová opatření, která se týkají všech oblastí regionálního školství:</w:t>
      </w:r>
    </w:p>
    <w:p w14:paraId="66B878D5" w14:textId="77777777" w:rsidR="00811D4B" w:rsidRPr="008D0D2E" w:rsidRDefault="00811D4B" w:rsidP="008D35E4">
      <w:pPr>
        <w:pStyle w:val="Odstavecseseznamem"/>
        <w:numPr>
          <w:ilvl w:val="0"/>
          <w:numId w:val="29"/>
        </w:numPr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8D0D2E">
        <w:rPr>
          <w:rFonts w:ascii="Arial" w:hAnsi="Arial" w:cs="Arial"/>
          <w:bCs/>
          <w:sz w:val="24"/>
          <w:szCs w:val="24"/>
        </w:rPr>
        <w:t>Digitální vzdělávání a umělá inteligence</w:t>
      </w:r>
    </w:p>
    <w:p w14:paraId="4E007771" w14:textId="77777777" w:rsidR="00811D4B" w:rsidRPr="008D0D2E" w:rsidRDefault="00811D4B" w:rsidP="008D35E4">
      <w:pPr>
        <w:pStyle w:val="Odstavecseseznamem"/>
        <w:numPr>
          <w:ilvl w:val="0"/>
          <w:numId w:val="29"/>
        </w:numPr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8D0D2E">
        <w:rPr>
          <w:rFonts w:ascii="Arial" w:hAnsi="Arial" w:cs="Arial"/>
          <w:bCs/>
          <w:sz w:val="24"/>
          <w:szCs w:val="24"/>
        </w:rPr>
        <w:t>Rozvoj podnikavosti a kreativity</w:t>
      </w:r>
    </w:p>
    <w:p w14:paraId="02F311C1" w14:textId="77777777" w:rsidR="00811D4B" w:rsidRPr="008D0D2E" w:rsidRDefault="00811D4B" w:rsidP="008D35E4">
      <w:pPr>
        <w:pStyle w:val="Odstavecseseznamem"/>
        <w:numPr>
          <w:ilvl w:val="0"/>
          <w:numId w:val="29"/>
        </w:numPr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8D0D2E">
        <w:rPr>
          <w:rFonts w:ascii="Arial" w:hAnsi="Arial" w:cs="Arial"/>
          <w:bCs/>
          <w:sz w:val="24"/>
          <w:szCs w:val="24"/>
        </w:rPr>
        <w:t>Vzdělávání pro udržitelnost</w:t>
      </w:r>
    </w:p>
    <w:p w14:paraId="41FCDB93" w14:textId="77777777" w:rsidR="00811D4B" w:rsidRPr="008D0D2E" w:rsidRDefault="00811D4B" w:rsidP="008D35E4">
      <w:pPr>
        <w:pStyle w:val="Odstavecseseznamem"/>
        <w:numPr>
          <w:ilvl w:val="0"/>
          <w:numId w:val="29"/>
        </w:numPr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8D0D2E">
        <w:rPr>
          <w:rFonts w:ascii="Arial" w:hAnsi="Arial" w:cs="Arial"/>
          <w:bCs/>
          <w:sz w:val="24"/>
          <w:szCs w:val="24"/>
        </w:rPr>
        <w:t>Well-being</w:t>
      </w:r>
      <w:proofErr w:type="spellEnd"/>
      <w:r w:rsidRPr="008D0D2E">
        <w:rPr>
          <w:rFonts w:ascii="Arial" w:hAnsi="Arial" w:cs="Arial"/>
          <w:bCs/>
          <w:sz w:val="24"/>
          <w:szCs w:val="24"/>
        </w:rPr>
        <w:t>, klima školy a podpora pohybových aktivit z hlediska rovných příležitostí</w:t>
      </w:r>
    </w:p>
    <w:p w14:paraId="1C8074AB" w14:textId="77777777" w:rsidR="00811D4B" w:rsidRDefault="00811D4B" w:rsidP="00811D4B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Dále obsahuje Dlouhodobý záměr strategická opatření dle jednotlivých oblastí.</w:t>
      </w:r>
    </w:p>
    <w:p w14:paraId="07087B92" w14:textId="4A79B760" w:rsidR="00811D4B" w:rsidRDefault="00811D4B" w:rsidP="00811D4B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Dlouhodobý záměr </w:t>
      </w:r>
      <w:r w:rsidR="00521E50">
        <w:rPr>
          <w:rFonts w:ascii="Arial" w:hAnsi="Arial" w:cs="Arial"/>
        </w:rPr>
        <w:t xml:space="preserve">byl zaslán k připomínkování MŠMT ČR, které vyjádřilo pozitivní hodnocení v oblasti:  </w:t>
      </w:r>
    </w:p>
    <w:p w14:paraId="4FE90F63" w14:textId="12C6F373" w:rsidR="00521E50" w:rsidRPr="00521E50" w:rsidRDefault="00521E50" w:rsidP="008D35E4">
      <w:pPr>
        <w:pStyle w:val="Odstavecseseznamem"/>
        <w:numPr>
          <w:ilvl w:val="0"/>
          <w:numId w:val="30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521E50">
        <w:rPr>
          <w:rFonts w:ascii="Arial" w:hAnsi="Arial" w:cs="Arial"/>
          <w:sz w:val="24"/>
          <w:szCs w:val="24"/>
        </w:rPr>
        <w:t>začlenění vzdělávání pedagogických pracovníků v logopedické prevenci a celkově v oblasti rovných příležitostí</w:t>
      </w:r>
    </w:p>
    <w:p w14:paraId="757631D4" w14:textId="5BC38E9E" w:rsidR="00521E50" w:rsidRPr="00521E50" w:rsidRDefault="00521E50" w:rsidP="008D35E4">
      <w:pPr>
        <w:pStyle w:val="Odstavecseseznamem"/>
        <w:numPr>
          <w:ilvl w:val="0"/>
          <w:numId w:val="30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521E50">
        <w:rPr>
          <w:rFonts w:ascii="Arial" w:hAnsi="Arial" w:cs="Arial"/>
          <w:sz w:val="24"/>
          <w:szCs w:val="24"/>
        </w:rPr>
        <w:t>podpor</w:t>
      </w:r>
      <w:r w:rsidRPr="00521E50">
        <w:rPr>
          <w:rFonts w:ascii="Arial" w:hAnsi="Arial" w:cs="Arial"/>
          <w:sz w:val="24"/>
          <w:szCs w:val="24"/>
        </w:rPr>
        <w:t>y</w:t>
      </w:r>
      <w:r w:rsidRPr="00521E50">
        <w:rPr>
          <w:rFonts w:ascii="Arial" w:hAnsi="Arial" w:cs="Arial"/>
          <w:sz w:val="24"/>
          <w:szCs w:val="24"/>
        </w:rPr>
        <w:t xml:space="preserve"> podpůrných profesí ve vzdělávání a zajištění dostatečných kapacit ve školách/třídách zřízených podle § 16 odst. 9 školského zákona</w:t>
      </w:r>
    </w:p>
    <w:p w14:paraId="6E15DEFB" w14:textId="28712B49" w:rsidR="00521E50" w:rsidRPr="00521E50" w:rsidRDefault="00521E50" w:rsidP="008D35E4">
      <w:pPr>
        <w:pStyle w:val="Default"/>
        <w:numPr>
          <w:ilvl w:val="0"/>
          <w:numId w:val="30"/>
        </w:numPr>
        <w:rPr>
          <w:rFonts w:ascii="Arial" w:hAnsi="Arial" w:cs="Arial"/>
        </w:rPr>
      </w:pPr>
      <w:r w:rsidRPr="00521E50">
        <w:rPr>
          <w:rFonts w:ascii="Arial" w:hAnsi="Arial" w:cs="Arial"/>
        </w:rPr>
        <w:lastRenderedPageBreak/>
        <w:t xml:space="preserve">navyšování personálních kapacit školských poradenských zařízení a zvyšování kvality jejich zázemí </w:t>
      </w:r>
    </w:p>
    <w:p w14:paraId="646F543A" w14:textId="2A40BCD7" w:rsidR="00521E50" w:rsidRPr="00521E50" w:rsidRDefault="00521E50" w:rsidP="008D35E4">
      <w:pPr>
        <w:pStyle w:val="Odstavecseseznamem"/>
        <w:numPr>
          <w:ilvl w:val="0"/>
          <w:numId w:val="30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521E50">
        <w:rPr>
          <w:rFonts w:ascii="Arial" w:hAnsi="Arial" w:cs="Arial"/>
          <w:sz w:val="24"/>
          <w:szCs w:val="24"/>
        </w:rPr>
        <w:t>metodick</w:t>
      </w:r>
      <w:r w:rsidRPr="00521E50">
        <w:rPr>
          <w:rFonts w:ascii="Arial" w:hAnsi="Arial" w:cs="Arial"/>
          <w:sz w:val="24"/>
          <w:szCs w:val="24"/>
        </w:rPr>
        <w:t>é</w:t>
      </w:r>
      <w:r w:rsidRPr="00521E50">
        <w:rPr>
          <w:rFonts w:ascii="Arial" w:hAnsi="Arial" w:cs="Arial"/>
          <w:sz w:val="24"/>
          <w:szCs w:val="24"/>
        </w:rPr>
        <w:t xml:space="preserve"> podpor</w:t>
      </w:r>
      <w:r w:rsidRPr="00521E50">
        <w:rPr>
          <w:rFonts w:ascii="Arial" w:hAnsi="Arial" w:cs="Arial"/>
          <w:sz w:val="24"/>
          <w:szCs w:val="24"/>
        </w:rPr>
        <w:t>y</w:t>
      </w:r>
      <w:r w:rsidRPr="00521E50">
        <w:rPr>
          <w:rFonts w:ascii="Arial" w:hAnsi="Arial" w:cs="Arial"/>
          <w:sz w:val="24"/>
          <w:szCs w:val="24"/>
        </w:rPr>
        <w:t xml:space="preserve"> školních metodiků prevence</w:t>
      </w:r>
      <w:r w:rsidRPr="00521E50">
        <w:rPr>
          <w:rFonts w:ascii="Arial" w:hAnsi="Arial" w:cs="Arial"/>
          <w:sz w:val="24"/>
          <w:szCs w:val="24"/>
        </w:rPr>
        <w:t xml:space="preserve"> a </w:t>
      </w:r>
      <w:r w:rsidRPr="00521E50">
        <w:rPr>
          <w:rFonts w:ascii="Arial" w:hAnsi="Arial" w:cs="Arial"/>
          <w:sz w:val="24"/>
          <w:szCs w:val="24"/>
        </w:rPr>
        <w:t>podpor</w:t>
      </w:r>
      <w:r w:rsidRPr="00521E50">
        <w:rPr>
          <w:rFonts w:ascii="Arial" w:hAnsi="Arial" w:cs="Arial"/>
          <w:sz w:val="24"/>
          <w:szCs w:val="24"/>
        </w:rPr>
        <w:t>y</w:t>
      </w:r>
      <w:r w:rsidRPr="00521E50">
        <w:rPr>
          <w:rFonts w:ascii="Arial" w:hAnsi="Arial" w:cs="Arial"/>
          <w:sz w:val="24"/>
          <w:szCs w:val="24"/>
        </w:rPr>
        <w:t xml:space="preserve"> hodnocení kvality programů primární prevence</w:t>
      </w:r>
    </w:p>
    <w:p w14:paraId="3E86E064" w14:textId="239BBB2A" w:rsidR="00521E50" w:rsidRDefault="00521E50" w:rsidP="008D35E4">
      <w:pPr>
        <w:pStyle w:val="Odstavecseseznamem"/>
        <w:numPr>
          <w:ilvl w:val="0"/>
          <w:numId w:val="30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521E50">
        <w:rPr>
          <w:rFonts w:ascii="Arial" w:hAnsi="Arial" w:cs="Arial"/>
          <w:sz w:val="24"/>
          <w:szCs w:val="24"/>
        </w:rPr>
        <w:t>vlastní koncepc</w:t>
      </w:r>
      <w:r w:rsidRPr="00521E50">
        <w:rPr>
          <w:rFonts w:ascii="Arial" w:hAnsi="Arial" w:cs="Arial"/>
          <w:sz w:val="24"/>
          <w:szCs w:val="24"/>
        </w:rPr>
        <w:t>e</w:t>
      </w:r>
      <w:r w:rsidRPr="00521E50">
        <w:rPr>
          <w:rFonts w:ascii="Arial" w:hAnsi="Arial" w:cs="Arial"/>
          <w:sz w:val="24"/>
          <w:szCs w:val="24"/>
        </w:rPr>
        <w:t xml:space="preserve"> vzdělávání k udržitelnému rozvoji a </w:t>
      </w:r>
      <w:r w:rsidRPr="00521E50">
        <w:rPr>
          <w:rFonts w:ascii="Arial" w:hAnsi="Arial" w:cs="Arial"/>
          <w:sz w:val="24"/>
          <w:szCs w:val="24"/>
        </w:rPr>
        <w:t>p</w:t>
      </w:r>
      <w:r w:rsidRPr="00521E50">
        <w:rPr>
          <w:rFonts w:ascii="Arial" w:hAnsi="Arial" w:cs="Arial"/>
          <w:sz w:val="24"/>
          <w:szCs w:val="24"/>
        </w:rPr>
        <w:t>odpo</w:t>
      </w:r>
      <w:r w:rsidRPr="00521E50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y</w:t>
      </w:r>
      <w:r w:rsidRPr="00521E50">
        <w:rPr>
          <w:rFonts w:ascii="Arial" w:hAnsi="Arial" w:cs="Arial"/>
          <w:sz w:val="24"/>
          <w:szCs w:val="24"/>
        </w:rPr>
        <w:t xml:space="preserve"> podnikavosti dle rámce </w:t>
      </w:r>
      <w:proofErr w:type="spellStart"/>
      <w:r w:rsidRPr="00521E50">
        <w:rPr>
          <w:rFonts w:ascii="Arial" w:hAnsi="Arial" w:cs="Arial"/>
          <w:sz w:val="24"/>
          <w:szCs w:val="24"/>
        </w:rPr>
        <w:t>EntreComp</w:t>
      </w:r>
      <w:proofErr w:type="spellEnd"/>
      <w:r w:rsidRPr="00521E50">
        <w:rPr>
          <w:rFonts w:ascii="Arial" w:hAnsi="Arial" w:cs="Arial"/>
          <w:sz w:val="24"/>
          <w:szCs w:val="24"/>
        </w:rPr>
        <w:t xml:space="preserve"> a rozvoji kreativity, včetně vzniku nového krajského kulturně edukačního centra</w:t>
      </w:r>
      <w:r w:rsidR="00783462">
        <w:rPr>
          <w:rFonts w:ascii="Arial" w:hAnsi="Arial" w:cs="Arial"/>
          <w:sz w:val="24"/>
          <w:szCs w:val="24"/>
        </w:rPr>
        <w:t>.</w:t>
      </w:r>
    </w:p>
    <w:p w14:paraId="28680EDB" w14:textId="69795544" w:rsidR="00783462" w:rsidRPr="00783462" w:rsidRDefault="00783462" w:rsidP="0078346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 zásadních připomínek MŠMT ČR uplatnilo </w:t>
      </w:r>
      <w:r w:rsidR="009F7F7C">
        <w:rPr>
          <w:rFonts w:ascii="Arial" w:hAnsi="Arial" w:cs="Arial"/>
        </w:rPr>
        <w:t xml:space="preserve">zejména </w:t>
      </w:r>
      <w:r>
        <w:rPr>
          <w:rFonts w:ascii="Arial" w:hAnsi="Arial" w:cs="Arial"/>
        </w:rPr>
        <w:t>tyto připomínky:</w:t>
      </w:r>
    </w:p>
    <w:p w14:paraId="3FEF5E86" w14:textId="686A62FF" w:rsidR="00521E50" w:rsidRPr="00783462" w:rsidRDefault="00521E50" w:rsidP="00783462">
      <w:pPr>
        <w:pStyle w:val="Default"/>
        <w:rPr>
          <w:rFonts w:ascii="Arial" w:hAnsi="Arial" w:cs="Arial"/>
          <w:color w:val="auto"/>
        </w:rPr>
      </w:pPr>
      <w:r>
        <w:rPr>
          <w:color w:val="auto"/>
          <w:sz w:val="22"/>
          <w:szCs w:val="22"/>
        </w:rPr>
        <w:t xml:space="preserve"> </w:t>
      </w:r>
    </w:p>
    <w:p w14:paraId="5D0A054F" w14:textId="191DD9CE" w:rsidR="00521E50" w:rsidRPr="00783462" w:rsidRDefault="00521E50" w:rsidP="00783462">
      <w:pPr>
        <w:pStyle w:val="Default"/>
        <w:spacing w:after="167"/>
        <w:jc w:val="both"/>
        <w:rPr>
          <w:rFonts w:ascii="Arial" w:hAnsi="Arial" w:cs="Arial"/>
          <w:color w:val="auto"/>
        </w:rPr>
      </w:pPr>
      <w:r w:rsidRPr="00783462">
        <w:rPr>
          <w:rFonts w:ascii="Arial" w:hAnsi="Arial" w:cs="Arial"/>
          <w:color w:val="auto"/>
        </w:rPr>
        <w:t xml:space="preserve">a) </w:t>
      </w:r>
      <w:r w:rsidR="00783462" w:rsidRPr="00783462">
        <w:rPr>
          <w:rFonts w:ascii="Arial" w:hAnsi="Arial" w:cs="Arial"/>
          <w:color w:val="auto"/>
        </w:rPr>
        <w:t>doplnit</w:t>
      </w:r>
      <w:r w:rsidRPr="00783462">
        <w:rPr>
          <w:rFonts w:ascii="Arial" w:hAnsi="Arial" w:cs="Arial"/>
          <w:color w:val="auto"/>
        </w:rPr>
        <w:t xml:space="preserve"> vyhodnocení dosaženého stavu navazující na předchozí DZ kraje z hlediska cílů a opatření uvedených v předchozím dlouhodobém záměru </w:t>
      </w:r>
    </w:p>
    <w:p w14:paraId="647A7E3D" w14:textId="1F755B6F" w:rsidR="00521E50" w:rsidRPr="00783462" w:rsidRDefault="00521E50" w:rsidP="00783462">
      <w:pPr>
        <w:pStyle w:val="Default"/>
        <w:spacing w:after="167"/>
        <w:jc w:val="both"/>
        <w:rPr>
          <w:rFonts w:ascii="Arial" w:hAnsi="Arial" w:cs="Arial"/>
          <w:color w:val="auto"/>
        </w:rPr>
      </w:pPr>
      <w:r w:rsidRPr="00783462">
        <w:rPr>
          <w:rFonts w:ascii="Arial" w:hAnsi="Arial" w:cs="Arial"/>
          <w:color w:val="auto"/>
        </w:rPr>
        <w:t xml:space="preserve">b) </w:t>
      </w:r>
      <w:r w:rsidR="00783462" w:rsidRPr="00783462">
        <w:rPr>
          <w:rFonts w:ascii="Arial" w:hAnsi="Arial" w:cs="Arial"/>
          <w:color w:val="auto"/>
        </w:rPr>
        <w:t>doplnit a</w:t>
      </w:r>
      <w:r w:rsidRPr="00783462">
        <w:rPr>
          <w:rFonts w:ascii="Arial" w:hAnsi="Arial" w:cs="Arial"/>
          <w:color w:val="auto"/>
        </w:rPr>
        <w:t>nalýz</w:t>
      </w:r>
      <w:r w:rsidR="00783462" w:rsidRPr="00783462">
        <w:rPr>
          <w:rFonts w:ascii="Arial" w:hAnsi="Arial" w:cs="Arial"/>
          <w:color w:val="auto"/>
        </w:rPr>
        <w:t>u</w:t>
      </w:r>
      <w:r w:rsidRPr="00783462">
        <w:rPr>
          <w:rFonts w:ascii="Arial" w:hAnsi="Arial" w:cs="Arial"/>
          <w:color w:val="auto"/>
        </w:rPr>
        <w:t xml:space="preserve"> potřeb škol a školských zařízení v kraji </w:t>
      </w:r>
    </w:p>
    <w:p w14:paraId="4A49E27F" w14:textId="3C8F8A0C" w:rsidR="00521E50" w:rsidRPr="00783462" w:rsidRDefault="00521E50" w:rsidP="00783462">
      <w:pPr>
        <w:pStyle w:val="Default"/>
        <w:spacing w:after="167"/>
        <w:jc w:val="both"/>
        <w:rPr>
          <w:rFonts w:ascii="Arial" w:hAnsi="Arial" w:cs="Arial"/>
          <w:color w:val="auto"/>
        </w:rPr>
      </w:pPr>
      <w:r w:rsidRPr="00783462">
        <w:rPr>
          <w:rFonts w:ascii="Arial" w:hAnsi="Arial" w:cs="Arial"/>
          <w:color w:val="auto"/>
        </w:rPr>
        <w:t xml:space="preserve">c) </w:t>
      </w:r>
      <w:r w:rsidR="00783462" w:rsidRPr="00783462">
        <w:rPr>
          <w:rFonts w:ascii="Arial" w:hAnsi="Arial" w:cs="Arial"/>
          <w:color w:val="auto"/>
        </w:rPr>
        <w:t>doplnit jednotlivá opatření o měřitelné indikátory</w:t>
      </w:r>
      <w:r w:rsidRPr="00783462">
        <w:rPr>
          <w:rFonts w:ascii="Arial" w:hAnsi="Arial" w:cs="Arial"/>
          <w:color w:val="auto"/>
        </w:rPr>
        <w:t xml:space="preserve"> </w:t>
      </w:r>
    </w:p>
    <w:p w14:paraId="0F82F10A" w14:textId="78B987EC" w:rsidR="00521E50" w:rsidRPr="00783462" w:rsidRDefault="00521E50" w:rsidP="00783462">
      <w:pPr>
        <w:pStyle w:val="Default"/>
        <w:spacing w:after="167"/>
        <w:jc w:val="both"/>
        <w:rPr>
          <w:rFonts w:ascii="Arial" w:hAnsi="Arial" w:cs="Arial"/>
          <w:color w:val="auto"/>
        </w:rPr>
      </w:pPr>
      <w:r w:rsidRPr="00783462">
        <w:rPr>
          <w:rFonts w:ascii="Arial" w:hAnsi="Arial" w:cs="Arial"/>
          <w:color w:val="auto"/>
        </w:rPr>
        <w:t>d) dopln</w:t>
      </w:r>
      <w:r w:rsidR="00783462" w:rsidRPr="00783462">
        <w:rPr>
          <w:rFonts w:ascii="Arial" w:hAnsi="Arial" w:cs="Arial"/>
          <w:color w:val="auto"/>
        </w:rPr>
        <w:t>it</w:t>
      </w:r>
      <w:r w:rsidRPr="00783462">
        <w:rPr>
          <w:rFonts w:ascii="Arial" w:hAnsi="Arial" w:cs="Arial"/>
          <w:color w:val="auto"/>
        </w:rPr>
        <w:t xml:space="preserve"> Střední člán</w:t>
      </w:r>
      <w:r w:rsidR="00783462" w:rsidRPr="00783462">
        <w:rPr>
          <w:rFonts w:ascii="Arial" w:hAnsi="Arial" w:cs="Arial"/>
          <w:color w:val="auto"/>
        </w:rPr>
        <w:t>e</w:t>
      </w:r>
      <w:r w:rsidRPr="00783462">
        <w:rPr>
          <w:rFonts w:ascii="Arial" w:hAnsi="Arial" w:cs="Arial"/>
          <w:color w:val="auto"/>
        </w:rPr>
        <w:t xml:space="preserve">k podpory do opatření vedoucích ke spolupráci aktérů ve vzdělávání </w:t>
      </w:r>
    </w:p>
    <w:p w14:paraId="2D65CA60" w14:textId="1EAB479B" w:rsidR="00521E50" w:rsidRPr="00783462" w:rsidRDefault="00521E50" w:rsidP="00783462">
      <w:pPr>
        <w:pStyle w:val="Default"/>
        <w:spacing w:after="167"/>
        <w:jc w:val="both"/>
        <w:rPr>
          <w:rFonts w:ascii="Arial" w:hAnsi="Arial" w:cs="Arial"/>
          <w:color w:val="auto"/>
        </w:rPr>
      </w:pPr>
      <w:r w:rsidRPr="00783462">
        <w:rPr>
          <w:rFonts w:ascii="Arial" w:hAnsi="Arial" w:cs="Arial"/>
          <w:color w:val="auto"/>
        </w:rPr>
        <w:t>e) upřesnit</w:t>
      </w:r>
      <w:r w:rsidR="00783462" w:rsidRPr="00783462">
        <w:rPr>
          <w:rFonts w:ascii="Arial" w:hAnsi="Arial" w:cs="Arial"/>
          <w:color w:val="auto"/>
        </w:rPr>
        <w:t>,</w:t>
      </w:r>
      <w:r w:rsidRPr="00783462">
        <w:rPr>
          <w:rFonts w:ascii="Arial" w:hAnsi="Arial" w:cs="Arial"/>
          <w:color w:val="auto"/>
        </w:rPr>
        <w:t xml:space="preserve"> jakým způsobem a podle kterých údajů bude posuzováno uplatnění absolventů v dalším studiu</w:t>
      </w:r>
    </w:p>
    <w:p w14:paraId="35119221" w14:textId="6918075C" w:rsidR="00521E50" w:rsidRPr="00783462" w:rsidRDefault="00521E50" w:rsidP="00783462">
      <w:pPr>
        <w:pStyle w:val="Default"/>
        <w:spacing w:after="167"/>
        <w:jc w:val="both"/>
        <w:rPr>
          <w:rFonts w:ascii="Arial" w:hAnsi="Arial" w:cs="Arial"/>
          <w:color w:val="auto"/>
        </w:rPr>
      </w:pPr>
      <w:r w:rsidRPr="00783462">
        <w:rPr>
          <w:rFonts w:ascii="Arial" w:hAnsi="Arial" w:cs="Arial"/>
          <w:color w:val="auto"/>
        </w:rPr>
        <w:t>f) upřesnit</w:t>
      </w:r>
      <w:r w:rsidR="00783462" w:rsidRPr="00783462">
        <w:rPr>
          <w:rFonts w:ascii="Arial" w:hAnsi="Arial" w:cs="Arial"/>
          <w:color w:val="auto"/>
        </w:rPr>
        <w:t>,</w:t>
      </w:r>
      <w:r w:rsidRPr="00783462">
        <w:rPr>
          <w:rFonts w:ascii="Arial" w:hAnsi="Arial" w:cs="Arial"/>
          <w:color w:val="auto"/>
        </w:rPr>
        <w:t xml:space="preserve"> jakým způsobem a podle kterých kritérií bude posuzován význam zaměstnavatel</w:t>
      </w:r>
      <w:r w:rsidR="00783462" w:rsidRPr="00783462">
        <w:rPr>
          <w:rFonts w:ascii="Arial" w:hAnsi="Arial" w:cs="Arial"/>
          <w:color w:val="auto"/>
        </w:rPr>
        <w:t>ů</w:t>
      </w:r>
      <w:r w:rsidRPr="00783462">
        <w:rPr>
          <w:rFonts w:ascii="Arial" w:hAnsi="Arial" w:cs="Arial"/>
          <w:color w:val="auto"/>
        </w:rPr>
        <w:t xml:space="preserve"> </w:t>
      </w:r>
    </w:p>
    <w:p w14:paraId="222AC7EE" w14:textId="42A1AAA9" w:rsidR="00521E50" w:rsidRPr="00783462" w:rsidRDefault="00521E50" w:rsidP="00783462">
      <w:pPr>
        <w:pStyle w:val="Default"/>
        <w:spacing w:after="167"/>
        <w:jc w:val="both"/>
        <w:rPr>
          <w:rFonts w:ascii="Arial" w:hAnsi="Arial" w:cs="Arial"/>
          <w:color w:val="auto"/>
        </w:rPr>
      </w:pPr>
      <w:r w:rsidRPr="00783462">
        <w:rPr>
          <w:rFonts w:ascii="Arial" w:hAnsi="Arial" w:cs="Arial"/>
          <w:color w:val="auto"/>
        </w:rPr>
        <w:t xml:space="preserve">g) upřesnit území Jesenicka  </w:t>
      </w:r>
    </w:p>
    <w:p w14:paraId="4BB85216" w14:textId="7931F419" w:rsidR="00783462" w:rsidRPr="00783462" w:rsidRDefault="00783462" w:rsidP="00783462">
      <w:pPr>
        <w:pStyle w:val="Default"/>
        <w:jc w:val="both"/>
        <w:rPr>
          <w:rFonts w:ascii="Arial" w:hAnsi="Arial" w:cs="Arial"/>
          <w:color w:val="auto"/>
        </w:rPr>
      </w:pPr>
      <w:r w:rsidRPr="00783462">
        <w:rPr>
          <w:rFonts w:ascii="Arial" w:hAnsi="Arial" w:cs="Arial"/>
          <w:color w:val="auto"/>
        </w:rPr>
        <w:t>h</w:t>
      </w:r>
      <w:r w:rsidR="00521E50" w:rsidRPr="00783462">
        <w:rPr>
          <w:rFonts w:ascii="Arial" w:hAnsi="Arial" w:cs="Arial"/>
          <w:color w:val="auto"/>
        </w:rPr>
        <w:t xml:space="preserve">) </w:t>
      </w:r>
      <w:r w:rsidRPr="00783462">
        <w:rPr>
          <w:rFonts w:ascii="Arial" w:hAnsi="Arial" w:cs="Arial"/>
          <w:color w:val="auto"/>
        </w:rPr>
        <w:t xml:space="preserve">doplnit oblast </w:t>
      </w:r>
      <w:r w:rsidR="00521E50" w:rsidRPr="00783462">
        <w:rPr>
          <w:rFonts w:ascii="Arial" w:hAnsi="Arial" w:cs="Arial"/>
          <w:color w:val="auto"/>
        </w:rPr>
        <w:t>vzdělávání žáků cizinců</w:t>
      </w:r>
      <w:r w:rsidRPr="00783462">
        <w:rPr>
          <w:rFonts w:ascii="Arial" w:hAnsi="Arial" w:cs="Arial"/>
          <w:color w:val="auto"/>
        </w:rPr>
        <w:t xml:space="preserve"> a </w:t>
      </w:r>
      <w:r w:rsidR="00521E50" w:rsidRPr="00783462">
        <w:rPr>
          <w:rFonts w:ascii="Arial" w:hAnsi="Arial" w:cs="Arial"/>
          <w:color w:val="auto"/>
        </w:rPr>
        <w:t xml:space="preserve">doplnit opatření podporující vzdělávání žáků cizinců a žáků s odlišným mateřským jazykem </w:t>
      </w:r>
    </w:p>
    <w:p w14:paraId="31C6CA08" w14:textId="0479B242" w:rsidR="00521E50" w:rsidRPr="00783462" w:rsidRDefault="00521E50" w:rsidP="00783462">
      <w:pPr>
        <w:pStyle w:val="Default"/>
        <w:jc w:val="both"/>
        <w:rPr>
          <w:rFonts w:ascii="Arial" w:hAnsi="Arial" w:cs="Arial"/>
          <w:color w:val="auto"/>
        </w:rPr>
      </w:pPr>
      <w:r w:rsidRPr="00783462">
        <w:rPr>
          <w:rFonts w:ascii="Arial" w:hAnsi="Arial" w:cs="Arial"/>
          <w:color w:val="auto"/>
        </w:rPr>
        <w:t xml:space="preserve"> </w:t>
      </w:r>
    </w:p>
    <w:p w14:paraId="32416E5F" w14:textId="3F90EF33" w:rsidR="00521E50" w:rsidRPr="00783462" w:rsidRDefault="00783462" w:rsidP="00783462">
      <w:pPr>
        <w:pStyle w:val="Default"/>
        <w:spacing w:after="165"/>
        <w:jc w:val="both"/>
        <w:rPr>
          <w:rFonts w:ascii="Arial" w:hAnsi="Arial" w:cs="Arial"/>
          <w:color w:val="auto"/>
        </w:rPr>
      </w:pPr>
      <w:r w:rsidRPr="00783462">
        <w:rPr>
          <w:rFonts w:ascii="Arial" w:hAnsi="Arial" w:cs="Arial"/>
          <w:color w:val="auto"/>
        </w:rPr>
        <w:t>i</w:t>
      </w:r>
      <w:r w:rsidR="00521E50" w:rsidRPr="00783462">
        <w:rPr>
          <w:rFonts w:ascii="Arial" w:hAnsi="Arial" w:cs="Arial"/>
          <w:color w:val="auto"/>
        </w:rPr>
        <w:t xml:space="preserve">) doplnit téma globálního a rozvojového vzdělávání </w:t>
      </w:r>
    </w:p>
    <w:p w14:paraId="133407B5" w14:textId="37FDA39F" w:rsidR="00783462" w:rsidRPr="00783462" w:rsidRDefault="00783462" w:rsidP="00783462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783462">
        <w:rPr>
          <w:rFonts w:ascii="Arial" w:hAnsi="Arial" w:cs="Arial"/>
          <w:color w:val="auto"/>
        </w:rPr>
        <w:t>j</w:t>
      </w:r>
      <w:r w:rsidR="00521E50" w:rsidRPr="00783462">
        <w:rPr>
          <w:rFonts w:ascii="Arial" w:hAnsi="Arial" w:cs="Arial"/>
          <w:color w:val="auto"/>
        </w:rPr>
        <w:t xml:space="preserve">) </w:t>
      </w:r>
      <w:r w:rsidRPr="00783462">
        <w:rPr>
          <w:rFonts w:ascii="Arial" w:hAnsi="Arial" w:cs="Arial"/>
          <w:color w:val="auto"/>
        </w:rPr>
        <w:t>doplnit podporu vícejazyčnosti v oblasti základního vzdělávání.</w:t>
      </w:r>
    </w:p>
    <w:p w14:paraId="4E187263" w14:textId="269BA5C1" w:rsidR="00521E50" w:rsidRPr="00783462" w:rsidRDefault="00521E50" w:rsidP="00783462">
      <w:pPr>
        <w:pStyle w:val="Default"/>
        <w:jc w:val="both"/>
        <w:rPr>
          <w:rFonts w:ascii="Arial" w:hAnsi="Arial" w:cs="Arial"/>
          <w:color w:val="auto"/>
        </w:rPr>
      </w:pPr>
      <w:r w:rsidRPr="00783462">
        <w:rPr>
          <w:rFonts w:ascii="Arial" w:hAnsi="Arial" w:cs="Arial"/>
          <w:b/>
          <w:bCs/>
          <w:color w:val="auto"/>
        </w:rPr>
        <w:t xml:space="preserve"> </w:t>
      </w:r>
    </w:p>
    <w:p w14:paraId="76A6155A" w14:textId="77777777" w:rsidR="009F7F7C" w:rsidRPr="00783462" w:rsidRDefault="009F7F7C" w:rsidP="009F7F7C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Připomínky budou do DZ zapracovány.</w:t>
      </w:r>
    </w:p>
    <w:p w14:paraId="5EAB8F52" w14:textId="03F1C26A" w:rsidR="009F7F7C" w:rsidRDefault="009F7F7C" w:rsidP="00521E50">
      <w:pPr>
        <w:pStyle w:val="Default"/>
        <w:rPr>
          <w:color w:val="auto"/>
          <w:sz w:val="22"/>
          <w:szCs w:val="22"/>
        </w:rPr>
      </w:pPr>
    </w:p>
    <w:p w14:paraId="6CBC1800" w14:textId="18AEA60F" w:rsidR="009F7F7C" w:rsidRPr="009F7F7C" w:rsidRDefault="009F7F7C" w:rsidP="00521E50">
      <w:pPr>
        <w:pStyle w:val="Default"/>
        <w:rPr>
          <w:rFonts w:ascii="Arial" w:hAnsi="Arial" w:cs="Arial"/>
          <w:color w:val="auto"/>
        </w:rPr>
      </w:pPr>
      <w:r w:rsidRPr="009F7F7C">
        <w:rPr>
          <w:rFonts w:ascii="Arial" w:hAnsi="Arial" w:cs="Arial"/>
          <w:color w:val="auto"/>
        </w:rPr>
        <w:t>Po diskuzi výbor doporučil</w:t>
      </w:r>
      <w:r>
        <w:rPr>
          <w:rFonts w:ascii="Arial" w:hAnsi="Arial" w:cs="Arial"/>
          <w:color w:val="auto"/>
        </w:rPr>
        <w:t xml:space="preserve"> DZ ke schválení dle Přílohy č 2 zápisu.</w:t>
      </w:r>
    </w:p>
    <w:p w14:paraId="0C193D46" w14:textId="77777777" w:rsidR="00811D4B" w:rsidRDefault="00811D4B" w:rsidP="00811D4B">
      <w:pPr>
        <w:spacing w:after="120"/>
        <w:ind w:left="142"/>
        <w:jc w:val="both"/>
        <w:rPr>
          <w:rFonts w:ascii="Arial" w:hAnsi="Arial" w:cs="Arial"/>
          <w:b/>
        </w:rPr>
      </w:pPr>
    </w:p>
    <w:p w14:paraId="55FDD291" w14:textId="77777777" w:rsidR="00230572" w:rsidRDefault="00230572" w:rsidP="00230572">
      <w:pPr>
        <w:pStyle w:val="Odstavecseseznamem"/>
        <w:rPr>
          <w:rFonts w:ascii="Arial" w:hAnsi="Arial" w:cs="Arial"/>
          <w:b/>
        </w:rPr>
      </w:pPr>
    </w:p>
    <w:p w14:paraId="0583E7CF" w14:textId="47F457DA" w:rsidR="00230572" w:rsidRDefault="00733EBF" w:rsidP="00E20C49">
      <w:pPr>
        <w:numPr>
          <w:ilvl w:val="0"/>
          <w:numId w:val="26"/>
        </w:numPr>
        <w:spacing w:after="120"/>
        <w:ind w:left="499" w:hanging="357"/>
        <w:jc w:val="both"/>
        <w:rPr>
          <w:rFonts w:ascii="Arial" w:hAnsi="Arial" w:cs="Arial"/>
          <w:b/>
          <w:bCs/>
        </w:rPr>
      </w:pPr>
      <w:r w:rsidRPr="00733EBF">
        <w:rPr>
          <w:rFonts w:ascii="Arial" w:hAnsi="Arial" w:cs="Arial"/>
          <w:b/>
          <w:bCs/>
        </w:rPr>
        <w:t xml:space="preserve">Podpora mezinárodních výměnných pobytů mládeže a mezinárodních vzdělávacích programů v roce 2024 – vyhodnocení </w:t>
      </w:r>
    </w:p>
    <w:p w14:paraId="09FB38D7" w14:textId="77777777" w:rsidR="00811D4B" w:rsidRPr="00811D4B" w:rsidRDefault="00811D4B" w:rsidP="00811D4B">
      <w:pPr>
        <w:spacing w:before="120" w:after="120"/>
        <w:ind w:left="499"/>
        <w:jc w:val="both"/>
        <w:rPr>
          <w:rFonts w:ascii="Arial" w:hAnsi="Arial" w:cs="Arial"/>
        </w:rPr>
      </w:pPr>
      <w:r w:rsidRPr="00811D4B">
        <w:rPr>
          <w:rFonts w:ascii="Arial" w:hAnsi="Arial" w:cs="Arial"/>
        </w:rPr>
        <w:t>Rada Olomouckého kraje dne 19. 2. 2024 schválila pod UR/102/39/2024 pravidla Podpory mezinárodních výměnných pobytů mládeže a mezinárodních vzdělávacích programů v roce 2024 se čtyřmi oblastmi podpory:</w:t>
      </w:r>
    </w:p>
    <w:p w14:paraId="05C041A3" w14:textId="77777777" w:rsidR="00811D4B" w:rsidRPr="00811D4B" w:rsidRDefault="00811D4B" w:rsidP="008D35E4">
      <w:pPr>
        <w:pStyle w:val="Odstavecseseznamem"/>
        <w:numPr>
          <w:ilvl w:val="0"/>
          <w:numId w:val="28"/>
        </w:numPr>
        <w:spacing w:before="120" w:after="120"/>
        <w:ind w:left="1219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11D4B">
        <w:rPr>
          <w:rFonts w:ascii="Arial" w:eastAsia="Times New Roman" w:hAnsi="Arial" w:cs="Arial"/>
          <w:sz w:val="24"/>
          <w:szCs w:val="24"/>
          <w:lang w:eastAsia="cs-CZ"/>
        </w:rPr>
        <w:t>Oblast podpory 1 – Výjezd dětí a mládeže do zahraničí</w:t>
      </w:r>
    </w:p>
    <w:p w14:paraId="3BA2C02A" w14:textId="77777777" w:rsidR="00811D4B" w:rsidRPr="00811D4B" w:rsidRDefault="00811D4B" w:rsidP="008D35E4">
      <w:pPr>
        <w:pStyle w:val="Odstavecseseznamem"/>
        <w:numPr>
          <w:ilvl w:val="0"/>
          <w:numId w:val="28"/>
        </w:numPr>
        <w:spacing w:before="120" w:after="120"/>
        <w:ind w:left="1219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11D4B">
        <w:rPr>
          <w:rFonts w:ascii="Arial" w:eastAsia="Times New Roman" w:hAnsi="Arial" w:cs="Arial"/>
          <w:sz w:val="24"/>
          <w:szCs w:val="24"/>
          <w:lang w:eastAsia="cs-CZ"/>
        </w:rPr>
        <w:t>Oblast podpory 2 – Organizace výměnného pobytu pro děti, žáky a studenty ze zahraničních partnerských škol a školských zařízení</w:t>
      </w:r>
    </w:p>
    <w:p w14:paraId="6DB2DCB4" w14:textId="77777777" w:rsidR="00811D4B" w:rsidRPr="00811D4B" w:rsidRDefault="00811D4B" w:rsidP="008D35E4">
      <w:pPr>
        <w:pStyle w:val="Odstavecseseznamem"/>
        <w:numPr>
          <w:ilvl w:val="0"/>
          <w:numId w:val="28"/>
        </w:numPr>
        <w:spacing w:before="120" w:after="120"/>
        <w:ind w:left="1219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11D4B">
        <w:rPr>
          <w:rFonts w:ascii="Arial" w:eastAsia="Times New Roman" w:hAnsi="Arial" w:cs="Arial"/>
          <w:sz w:val="24"/>
          <w:szCs w:val="24"/>
          <w:lang w:eastAsia="cs-CZ"/>
        </w:rPr>
        <w:t>Oblast podpory 3 – Kofinancování mezinárodních vzdělávacích programů</w:t>
      </w:r>
    </w:p>
    <w:p w14:paraId="01C9D03E" w14:textId="77777777" w:rsidR="00811D4B" w:rsidRPr="00811D4B" w:rsidRDefault="00811D4B" w:rsidP="008D35E4">
      <w:pPr>
        <w:pStyle w:val="Odstavecseseznamem"/>
        <w:numPr>
          <w:ilvl w:val="0"/>
          <w:numId w:val="28"/>
        </w:numPr>
        <w:spacing w:before="120" w:after="120"/>
        <w:ind w:left="1219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11D4B">
        <w:rPr>
          <w:rFonts w:ascii="Arial" w:eastAsia="Times New Roman" w:hAnsi="Arial" w:cs="Arial"/>
          <w:sz w:val="24"/>
          <w:szCs w:val="24"/>
          <w:lang w:eastAsia="cs-CZ"/>
        </w:rPr>
        <w:t>Oblast podpory 4 – Realizace programu Mezinárodní cena vévody z Edinburghu</w:t>
      </w:r>
    </w:p>
    <w:p w14:paraId="36468EE6" w14:textId="77777777" w:rsidR="00811D4B" w:rsidRPr="00811D4B" w:rsidRDefault="00811D4B" w:rsidP="00811D4B">
      <w:pPr>
        <w:spacing w:before="120" w:after="120"/>
        <w:ind w:left="499"/>
        <w:jc w:val="both"/>
        <w:rPr>
          <w:rFonts w:ascii="Arial" w:hAnsi="Arial" w:cs="Arial"/>
        </w:rPr>
      </w:pPr>
      <w:r w:rsidRPr="00811D4B">
        <w:rPr>
          <w:rFonts w:ascii="Arial" w:hAnsi="Arial" w:cs="Arial"/>
        </w:rPr>
        <w:t xml:space="preserve">V rozpočtu Olomouckého kraje je na Podporu mezinárodních výměnných pobytů mládeže a mezinárodních vzdělávacích programů </w:t>
      </w:r>
      <w:bookmarkStart w:id="2" w:name="_Hlk166582802"/>
      <w:r w:rsidRPr="00811D4B">
        <w:rPr>
          <w:rFonts w:ascii="Arial" w:hAnsi="Arial" w:cs="Arial"/>
        </w:rPr>
        <w:t>v roce 2024 alokována částka 500 000 Kč.</w:t>
      </w:r>
    </w:p>
    <w:p w14:paraId="4BE4E61F" w14:textId="77777777" w:rsidR="00811D4B" w:rsidRPr="00811D4B" w:rsidRDefault="00811D4B" w:rsidP="00811D4B">
      <w:pPr>
        <w:spacing w:before="120" w:after="120"/>
        <w:ind w:left="499"/>
        <w:jc w:val="both"/>
        <w:rPr>
          <w:rFonts w:ascii="Arial" w:hAnsi="Arial" w:cs="Arial"/>
        </w:rPr>
      </w:pPr>
      <w:r w:rsidRPr="00811D4B">
        <w:rPr>
          <w:rFonts w:ascii="Arial" w:hAnsi="Arial" w:cs="Arial"/>
        </w:rPr>
        <w:lastRenderedPageBreak/>
        <w:t>Cílem Podpory mezinárodních výměnných pobytů mládeže a mezinárodních vzdělávacích programů v roce 2024 je podpora realizace mezinárodních výměn mládeže ze škol a školských zařízení zřizovaných Olomouckým krajem s mládeží ze zahraničních partnerských škol a školských zařízení, a to včetně akcí a projektových aktivit realizovaných v rámci programu Erasmus+ či v rámci vzdělávacích projektů realizovaných s podporou významných mezinárodních nadačních fondů (Visegrádský fond, Česko-německý fond budoucnosti apod.). Podpora je dále poskytována na kofinancování výjezdu jednotlivce, skupiny dětí a mládeže ze škol a školských zařízení zřizovaných Olomouckým krajem do zahraničí za účelem realizace mezinárodní výměny, reprezentace školy na mezinárodní soutěži, mezinárodní přehlídce a na realizaci programu Mezinárodní ceny vévody z Edinburghu.</w:t>
      </w:r>
      <w:bookmarkEnd w:id="2"/>
    </w:p>
    <w:p w14:paraId="275D1891" w14:textId="77777777" w:rsidR="00811D4B" w:rsidRPr="00811D4B" w:rsidRDefault="00811D4B" w:rsidP="00811D4B">
      <w:pPr>
        <w:spacing w:before="120" w:after="120"/>
        <w:ind w:left="499"/>
        <w:jc w:val="both"/>
        <w:rPr>
          <w:rFonts w:ascii="Arial" w:hAnsi="Arial" w:cs="Arial"/>
        </w:rPr>
      </w:pPr>
      <w:r w:rsidRPr="00811D4B">
        <w:rPr>
          <w:rFonts w:ascii="Arial" w:hAnsi="Arial" w:cs="Arial"/>
        </w:rPr>
        <w:t xml:space="preserve">Žadatelé měli v rámci 2. kola přijímání žádostí možnost podávat žádosti v termínu od 29. 4. 2024 do 10. 5. 2024. V tomto termínu bylo přijato </w:t>
      </w:r>
      <w:r w:rsidRPr="00811D4B">
        <w:rPr>
          <w:rFonts w:ascii="Arial" w:hAnsi="Arial" w:cs="Arial"/>
          <w:color w:val="000000" w:themeColor="text1"/>
        </w:rPr>
        <w:t xml:space="preserve">10 žádostí o podporu a 10 z nich splnilo pravidla pro poskytnutí podpory. </w:t>
      </w:r>
      <w:r w:rsidRPr="00811D4B">
        <w:rPr>
          <w:rFonts w:ascii="Arial" w:hAnsi="Arial" w:cs="Arial"/>
        </w:rPr>
        <w:t>V souladu s pravidly maximální výše podpory na jednu akci/projekt činí 20 000 Kč. V případě realizace akce/projektu v rámci oblasti podpory 1 a oblasti podpory 2 se školou či školským zařízením z partnerského regionu Olomouckého kraje lze žádat maximální výši podpory 40 000 Kč. V oblasti podpory č. 4 je stanovena maximální výše podpory 9 500 Kč.</w:t>
      </w:r>
    </w:p>
    <w:p w14:paraId="4A44BC22" w14:textId="0F2C837C" w:rsidR="00811D4B" w:rsidRPr="00811D4B" w:rsidRDefault="00811D4B" w:rsidP="00811D4B">
      <w:pPr>
        <w:spacing w:before="120" w:after="120"/>
        <w:ind w:left="499"/>
        <w:jc w:val="both"/>
        <w:rPr>
          <w:rFonts w:ascii="Arial" w:hAnsi="Arial" w:cs="Arial"/>
        </w:rPr>
      </w:pPr>
      <w:bookmarkStart w:id="3" w:name="_Hlk166583006"/>
      <w:r w:rsidRPr="00811D4B">
        <w:rPr>
          <w:rFonts w:ascii="Arial" w:hAnsi="Arial" w:cs="Arial"/>
        </w:rPr>
        <w:t xml:space="preserve">Celková požadovaná výše příspěvků činí </w:t>
      </w:r>
      <w:r w:rsidRPr="00811D4B">
        <w:rPr>
          <w:rFonts w:ascii="Arial" w:hAnsi="Arial" w:cs="Arial"/>
          <w:color w:val="000000" w:themeColor="text1"/>
        </w:rPr>
        <w:t>167 450 Kč</w:t>
      </w:r>
      <w:bookmarkEnd w:id="3"/>
      <w:r w:rsidRPr="00811D4B">
        <w:rPr>
          <w:rFonts w:ascii="Arial" w:hAnsi="Arial" w:cs="Arial"/>
          <w:color w:val="000000" w:themeColor="text1"/>
        </w:rPr>
        <w:t xml:space="preserve">, což převyšuje zůstatek alokace o 139 950 Kč. </w:t>
      </w:r>
    </w:p>
    <w:p w14:paraId="49F22E61" w14:textId="77777777" w:rsidR="00811D4B" w:rsidRPr="00DE2058" w:rsidRDefault="00811D4B" w:rsidP="00811D4B">
      <w:pPr>
        <w:ind w:left="49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Pr="00DE2058">
        <w:rPr>
          <w:rFonts w:ascii="Arial" w:hAnsi="Arial" w:cs="Arial"/>
          <w:b/>
        </w:rPr>
        <w:t xml:space="preserve">alkulace finančních nákladů na poskytnutí </w:t>
      </w:r>
      <w:r>
        <w:rPr>
          <w:rFonts w:ascii="Arial" w:hAnsi="Arial" w:cs="Arial"/>
          <w:b/>
        </w:rPr>
        <w:t>podpory úspěšným žadatelům v rámci 2</w:t>
      </w:r>
      <w:r w:rsidRPr="00DE2058">
        <w:rPr>
          <w:rFonts w:ascii="Arial" w:hAnsi="Arial" w:cs="Arial"/>
          <w:b/>
        </w:rPr>
        <w:t>. kola přijímání žádostí:</w:t>
      </w:r>
    </w:p>
    <w:p w14:paraId="6AEA2AC2" w14:textId="77777777" w:rsidR="00811D4B" w:rsidRPr="00DE2058" w:rsidRDefault="00811D4B" w:rsidP="00811D4B">
      <w:pPr>
        <w:tabs>
          <w:tab w:val="left" w:pos="7655"/>
        </w:tabs>
        <w:ind w:left="488"/>
        <w:jc w:val="both"/>
        <w:rPr>
          <w:rFonts w:ascii="Arial" w:hAnsi="Arial" w:cs="Arial"/>
        </w:rPr>
      </w:pPr>
      <w:r w:rsidRPr="00DE2058">
        <w:rPr>
          <w:rFonts w:ascii="Arial" w:hAnsi="Arial" w:cs="Arial"/>
        </w:rPr>
        <w:t>Celková výše rozpočtové kapitoly:</w:t>
      </w:r>
      <w:r w:rsidRPr="00DE205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500 000 </w:t>
      </w:r>
      <w:r w:rsidRPr="00C64206">
        <w:rPr>
          <w:rFonts w:ascii="Arial" w:hAnsi="Arial" w:cs="Arial"/>
        </w:rPr>
        <w:t>Kč</w:t>
      </w:r>
    </w:p>
    <w:p w14:paraId="3477476B" w14:textId="77777777" w:rsidR="00811D4B" w:rsidRPr="00F5376D" w:rsidRDefault="00811D4B" w:rsidP="00811D4B">
      <w:pPr>
        <w:tabs>
          <w:tab w:val="left" w:pos="7655"/>
        </w:tabs>
        <w:ind w:left="488"/>
        <w:jc w:val="both"/>
        <w:rPr>
          <w:rFonts w:ascii="Arial" w:hAnsi="Arial" w:cs="Arial"/>
        </w:rPr>
      </w:pPr>
      <w:r w:rsidRPr="00DE2058">
        <w:rPr>
          <w:rFonts w:ascii="Arial" w:hAnsi="Arial" w:cs="Arial"/>
        </w:rPr>
        <w:t>Celkové náklady za 1. kolo:</w:t>
      </w:r>
      <w:r w:rsidRPr="00DE205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472 500</w:t>
      </w:r>
      <w:r w:rsidRPr="0063139B">
        <w:rPr>
          <w:rFonts w:ascii="Arial" w:hAnsi="Arial" w:cs="Arial"/>
        </w:rPr>
        <w:t xml:space="preserve"> Kč</w:t>
      </w:r>
    </w:p>
    <w:p w14:paraId="5EFB9FEC" w14:textId="77777777" w:rsidR="00811D4B" w:rsidRPr="00227D2D" w:rsidRDefault="00811D4B" w:rsidP="00811D4B">
      <w:pPr>
        <w:tabs>
          <w:tab w:val="left" w:pos="7655"/>
        </w:tabs>
        <w:ind w:left="48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Celkové náklady za 2. kolo</w:t>
      </w:r>
      <w:r w:rsidRPr="00F5376D">
        <w:rPr>
          <w:rFonts w:ascii="Arial" w:hAnsi="Arial" w:cs="Arial"/>
        </w:rPr>
        <w:t>:</w:t>
      </w:r>
      <w:r w:rsidRPr="00F5376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227D2D">
        <w:rPr>
          <w:rFonts w:ascii="Arial" w:hAnsi="Arial" w:cs="Arial"/>
          <w:color w:val="000000" w:themeColor="text1"/>
        </w:rPr>
        <w:t>16</w:t>
      </w:r>
      <w:r>
        <w:rPr>
          <w:rFonts w:ascii="Arial" w:hAnsi="Arial" w:cs="Arial"/>
          <w:color w:val="000000" w:themeColor="text1"/>
        </w:rPr>
        <w:t>7</w:t>
      </w:r>
      <w:r w:rsidRPr="00227D2D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4</w:t>
      </w:r>
      <w:r w:rsidRPr="00227D2D">
        <w:rPr>
          <w:rFonts w:ascii="Arial" w:hAnsi="Arial" w:cs="Arial"/>
          <w:color w:val="000000" w:themeColor="text1"/>
        </w:rPr>
        <w:t>50</w:t>
      </w:r>
      <w:r w:rsidRPr="00227D2D">
        <w:rPr>
          <w:rFonts w:ascii="Arial" w:hAnsi="Arial" w:cs="Arial"/>
          <w:b/>
          <w:color w:val="000000" w:themeColor="text1"/>
        </w:rPr>
        <w:t xml:space="preserve"> </w:t>
      </w:r>
      <w:r w:rsidRPr="00227D2D">
        <w:rPr>
          <w:rFonts w:ascii="Arial" w:hAnsi="Arial" w:cs="Arial"/>
          <w:color w:val="000000" w:themeColor="text1"/>
        </w:rPr>
        <w:t>Kč</w:t>
      </w:r>
    </w:p>
    <w:p w14:paraId="76330895" w14:textId="77777777" w:rsidR="00811D4B" w:rsidRDefault="00811D4B" w:rsidP="00811D4B">
      <w:pPr>
        <w:tabs>
          <w:tab w:val="left" w:pos="7655"/>
        </w:tabs>
        <w:ind w:left="488"/>
        <w:jc w:val="both"/>
        <w:rPr>
          <w:rFonts w:ascii="Arial" w:hAnsi="Arial" w:cs="Arial"/>
          <w:color w:val="000000" w:themeColor="text1"/>
        </w:rPr>
      </w:pPr>
      <w:r w:rsidRPr="00227D2D">
        <w:rPr>
          <w:rFonts w:ascii="Arial" w:hAnsi="Arial" w:cs="Arial"/>
          <w:color w:val="000000" w:themeColor="text1"/>
        </w:rPr>
        <w:t>Zůstatek:</w:t>
      </w:r>
      <w:r w:rsidRPr="00227D2D">
        <w:rPr>
          <w:rFonts w:ascii="Arial" w:hAnsi="Arial" w:cs="Arial"/>
          <w:color w:val="000000" w:themeColor="text1"/>
        </w:rPr>
        <w:tab/>
        <w:t>-</w:t>
      </w:r>
      <w:r>
        <w:rPr>
          <w:rFonts w:ascii="Arial" w:hAnsi="Arial" w:cs="Arial"/>
          <w:color w:val="000000" w:themeColor="text1"/>
        </w:rPr>
        <w:t xml:space="preserve"> </w:t>
      </w:r>
      <w:r w:rsidRPr="00227D2D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>3</w:t>
      </w:r>
      <w:r w:rsidRPr="00227D2D">
        <w:rPr>
          <w:rFonts w:ascii="Arial" w:hAnsi="Arial" w:cs="Arial"/>
          <w:color w:val="000000" w:themeColor="text1"/>
        </w:rPr>
        <w:t>9 </w:t>
      </w:r>
      <w:r>
        <w:rPr>
          <w:rFonts w:ascii="Arial" w:hAnsi="Arial" w:cs="Arial"/>
          <w:color w:val="000000" w:themeColor="text1"/>
        </w:rPr>
        <w:t>9</w:t>
      </w:r>
      <w:r w:rsidRPr="00227D2D">
        <w:rPr>
          <w:rFonts w:ascii="Arial" w:hAnsi="Arial" w:cs="Arial"/>
          <w:color w:val="000000" w:themeColor="text1"/>
        </w:rPr>
        <w:t>50 Kč</w:t>
      </w:r>
    </w:p>
    <w:p w14:paraId="03DB2A87" w14:textId="291DD2A3" w:rsidR="00811D4B" w:rsidRDefault="00811D4B" w:rsidP="00811D4B">
      <w:pPr>
        <w:spacing w:after="120"/>
        <w:ind w:left="142"/>
        <w:jc w:val="both"/>
        <w:rPr>
          <w:rFonts w:ascii="Arial" w:hAnsi="Arial" w:cs="Arial"/>
          <w:b/>
          <w:bCs/>
        </w:rPr>
      </w:pPr>
    </w:p>
    <w:p w14:paraId="026C5978" w14:textId="4E81562F" w:rsidR="009F7F7C" w:rsidRPr="00870AA9" w:rsidRDefault="009F7F7C" w:rsidP="00870AA9">
      <w:pPr>
        <w:pStyle w:val="Vbornzevusnesen"/>
        <w:ind w:left="488" w:firstLine="0"/>
        <w:rPr>
          <w:rFonts w:cs="Arial"/>
          <w:b w:val="0"/>
          <w:bCs/>
          <w:szCs w:val="24"/>
        </w:rPr>
      </w:pPr>
      <w:r w:rsidRPr="00870AA9">
        <w:rPr>
          <w:rFonts w:cs="Arial"/>
          <w:b w:val="0"/>
          <w:bCs/>
          <w:szCs w:val="24"/>
        </w:rPr>
        <w:t xml:space="preserve">Po diskuzi členové výboru doporučili samosprávným orgánům  ke schválení </w:t>
      </w:r>
      <w:r w:rsidRPr="00870AA9">
        <w:rPr>
          <w:rFonts w:cs="Arial"/>
          <w:b w:val="0"/>
          <w:bCs/>
          <w:szCs w:val="24"/>
        </w:rPr>
        <w:t>vyhodnocení programu Podpory mezinárodních výměnných pobytů mládeže a mezinárodních vzdělávacích programů v roce 2024 dle Přílohy č. 3 zápisu</w:t>
      </w:r>
      <w:r w:rsidRPr="00870AA9">
        <w:rPr>
          <w:rFonts w:cs="Arial"/>
          <w:b w:val="0"/>
          <w:bCs/>
          <w:szCs w:val="24"/>
        </w:rPr>
        <w:t xml:space="preserve">. Současně doporučili </w:t>
      </w:r>
      <w:r w:rsidRPr="00870AA9">
        <w:rPr>
          <w:rFonts w:cs="Arial"/>
          <w:b w:val="0"/>
          <w:bCs/>
          <w:szCs w:val="24"/>
        </w:rPr>
        <w:t xml:space="preserve">schválit navýšení finanční alokace na realizaci programu Podpory mezinárodních výměnných pobytů mládeže a mezinárodních vzdělávacích programů v roce 2024 o </w:t>
      </w:r>
      <w:r w:rsidRPr="00870AA9">
        <w:rPr>
          <w:rFonts w:cs="Arial"/>
          <w:b w:val="0"/>
          <w:bCs/>
          <w:color w:val="000000" w:themeColor="text1"/>
          <w:szCs w:val="24"/>
        </w:rPr>
        <w:t>139 950 Kč</w:t>
      </w:r>
      <w:r w:rsidR="00870AA9" w:rsidRPr="00870AA9">
        <w:rPr>
          <w:rFonts w:cs="Arial"/>
          <w:b w:val="0"/>
          <w:bCs/>
          <w:color w:val="000000" w:themeColor="text1"/>
          <w:szCs w:val="24"/>
        </w:rPr>
        <w:t>.</w:t>
      </w:r>
    </w:p>
    <w:p w14:paraId="78267C98" w14:textId="77777777" w:rsidR="009F7F7C" w:rsidRPr="00733EBF" w:rsidRDefault="009F7F7C" w:rsidP="00811D4B">
      <w:pPr>
        <w:spacing w:after="120"/>
        <w:ind w:left="142"/>
        <w:jc w:val="both"/>
        <w:rPr>
          <w:rFonts w:ascii="Arial" w:hAnsi="Arial" w:cs="Arial"/>
          <w:b/>
          <w:bCs/>
        </w:rPr>
      </w:pPr>
    </w:p>
    <w:p w14:paraId="5EC92830" w14:textId="46F98123" w:rsidR="000904CA" w:rsidRDefault="00733EBF" w:rsidP="000368AB">
      <w:pPr>
        <w:ind w:firstLine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0904CA" w:rsidRPr="00F23521">
        <w:rPr>
          <w:rFonts w:ascii="Arial" w:hAnsi="Arial" w:cs="Arial"/>
          <w:b/>
        </w:rPr>
        <w:t xml:space="preserve">.   </w:t>
      </w:r>
      <w:r w:rsidR="005F229F">
        <w:rPr>
          <w:rFonts w:ascii="Arial" w:hAnsi="Arial" w:cs="Arial"/>
          <w:b/>
        </w:rPr>
        <w:t>Různé</w:t>
      </w:r>
    </w:p>
    <w:p w14:paraId="3C8C866F" w14:textId="6BCF979E" w:rsidR="00F437DF" w:rsidRDefault="00F437DF" w:rsidP="000368AB">
      <w:pPr>
        <w:ind w:firstLine="142"/>
        <w:rPr>
          <w:rFonts w:ascii="Arial" w:hAnsi="Arial" w:cs="Arial"/>
          <w:b/>
        </w:rPr>
      </w:pPr>
    </w:p>
    <w:p w14:paraId="15F87FB0" w14:textId="0BF190F9" w:rsidR="00870AA9" w:rsidRDefault="00870AA9" w:rsidP="008D35E4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bCs/>
          <w:sz w:val="24"/>
          <w:szCs w:val="24"/>
        </w:rPr>
      </w:pPr>
      <w:r w:rsidRPr="00870AA9">
        <w:rPr>
          <w:rFonts w:ascii="Arial" w:hAnsi="Arial" w:cs="Arial"/>
          <w:bCs/>
          <w:sz w:val="24"/>
          <w:szCs w:val="24"/>
        </w:rPr>
        <w:t>Odpovědný radní RNDr. Jakubec, Ph.D. informoval přítomné o záměru MŠMT ČR převzít zřizovatelské kompetence k zařízením poskytujících poradenské služby (</w:t>
      </w:r>
      <w:proofErr w:type="spellStart"/>
      <w:r w:rsidRPr="00870AA9">
        <w:rPr>
          <w:rFonts w:ascii="Arial" w:hAnsi="Arial" w:cs="Arial"/>
          <w:bCs/>
          <w:sz w:val="24"/>
          <w:szCs w:val="24"/>
        </w:rPr>
        <w:t>pedagogicko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-</w:t>
      </w:r>
      <w:r w:rsidRPr="00870AA9">
        <w:rPr>
          <w:rFonts w:ascii="Arial" w:hAnsi="Arial" w:cs="Arial"/>
          <w:bCs/>
          <w:sz w:val="24"/>
          <w:szCs w:val="24"/>
        </w:rPr>
        <w:t xml:space="preserve"> psychologické poradny)</w:t>
      </w:r>
      <w:r>
        <w:rPr>
          <w:rFonts w:ascii="Arial" w:hAnsi="Arial" w:cs="Arial"/>
          <w:bCs/>
          <w:sz w:val="24"/>
          <w:szCs w:val="24"/>
        </w:rPr>
        <w:t xml:space="preserve"> a o nutnosti snížení počtu odkladů počátku plnění povinné školní docházky. V té souvislosti uvedl, že Olomoucký kraj patří mezi kraje s nejvyšším počtem těchto odkladů.</w:t>
      </w:r>
    </w:p>
    <w:p w14:paraId="4D534FA9" w14:textId="77777777" w:rsidR="008D35E4" w:rsidRPr="008D35E4" w:rsidRDefault="008D35E4" w:rsidP="008D35E4">
      <w:pPr>
        <w:ind w:left="142"/>
        <w:jc w:val="both"/>
        <w:rPr>
          <w:rFonts w:ascii="Arial" w:hAnsi="Arial" w:cs="Arial"/>
          <w:bCs/>
        </w:rPr>
      </w:pPr>
    </w:p>
    <w:p w14:paraId="176752F1" w14:textId="0BA2783B" w:rsidR="008D35E4" w:rsidRPr="008D35E4" w:rsidRDefault="008D35E4" w:rsidP="008D35E4">
      <w:pPr>
        <w:pStyle w:val="Normlnweb"/>
        <w:numPr>
          <w:ilvl w:val="0"/>
          <w:numId w:val="31"/>
        </w:numPr>
        <w:spacing w:before="0" w:beforeAutospacing="0" w:after="150" w:afterAutospacing="0"/>
        <w:jc w:val="both"/>
        <w:rPr>
          <w:rFonts w:ascii="Arial" w:hAnsi="Arial" w:cs="Arial"/>
          <w:color w:val="1C1C1C"/>
        </w:rPr>
      </w:pPr>
      <w:r w:rsidRPr="008D35E4">
        <w:rPr>
          <w:rFonts w:ascii="Arial" w:hAnsi="Arial" w:cs="Arial"/>
          <w:bCs/>
        </w:rPr>
        <w:t>Odpovědný radní RNDr. Jakubec, Ph.D.</w:t>
      </w:r>
      <w:r w:rsidRPr="008D35E4">
        <w:rPr>
          <w:rFonts w:ascii="Arial" w:hAnsi="Arial" w:cs="Arial"/>
          <w:bCs/>
        </w:rPr>
        <w:t xml:space="preserve"> seznámil členy výboru s výsledky přijímacího řízení ke studiu ve středních školách od 1. 9. 2024. Uvedl, že </w:t>
      </w:r>
      <w:r>
        <w:rPr>
          <w:rFonts w:ascii="Arial" w:hAnsi="Arial" w:cs="Arial"/>
          <w:bCs/>
        </w:rPr>
        <w:t xml:space="preserve">z </w:t>
      </w:r>
      <w:r w:rsidRPr="008D35E4">
        <w:rPr>
          <w:rFonts w:ascii="Arial" w:hAnsi="Arial" w:cs="Arial"/>
          <w:color w:val="1C1C1C"/>
        </w:rPr>
        <w:t xml:space="preserve">devátých ročníků </w:t>
      </w:r>
      <w:r>
        <w:rPr>
          <w:rFonts w:ascii="Arial" w:hAnsi="Arial" w:cs="Arial"/>
          <w:color w:val="1C1C1C"/>
        </w:rPr>
        <w:t xml:space="preserve">se </w:t>
      </w:r>
      <w:r w:rsidRPr="008D35E4">
        <w:rPr>
          <w:rFonts w:ascii="Arial" w:hAnsi="Arial" w:cs="Arial"/>
          <w:color w:val="1C1C1C"/>
        </w:rPr>
        <w:t xml:space="preserve">hlásilo téměř šest tisíc uchazečů, uspělo téměř 96 procent, tedy celkem 5 896. Většina z nich byla přijata na obor, který uvedla jako svou první prioritu. V prvním kole se nedostalo pouze 251 žáků, kteří </w:t>
      </w:r>
      <w:r>
        <w:rPr>
          <w:rFonts w:ascii="Arial" w:hAnsi="Arial" w:cs="Arial"/>
          <w:color w:val="1C1C1C"/>
        </w:rPr>
        <w:t xml:space="preserve">mohou podat přihlášku </w:t>
      </w:r>
      <w:r w:rsidRPr="008D35E4">
        <w:rPr>
          <w:rFonts w:ascii="Arial" w:hAnsi="Arial" w:cs="Arial"/>
          <w:color w:val="1C1C1C"/>
        </w:rPr>
        <w:t>do druhého kola</w:t>
      </w:r>
      <w:r>
        <w:rPr>
          <w:rFonts w:ascii="Arial" w:hAnsi="Arial" w:cs="Arial"/>
          <w:color w:val="1C1C1C"/>
        </w:rPr>
        <w:t xml:space="preserve"> přijímacího řízení</w:t>
      </w:r>
      <w:r w:rsidRPr="008D35E4">
        <w:rPr>
          <w:rFonts w:ascii="Arial" w:hAnsi="Arial" w:cs="Arial"/>
          <w:color w:val="1C1C1C"/>
        </w:rPr>
        <w:t xml:space="preserve">. Olomoucký kraj zveřejnil </w:t>
      </w:r>
      <w:r>
        <w:rPr>
          <w:rFonts w:ascii="Arial" w:hAnsi="Arial" w:cs="Arial"/>
          <w:color w:val="1C1C1C"/>
        </w:rPr>
        <w:t xml:space="preserve">na svém webu </w:t>
      </w:r>
      <w:r w:rsidRPr="008D35E4">
        <w:rPr>
          <w:rFonts w:ascii="Arial" w:hAnsi="Arial" w:cs="Arial"/>
          <w:color w:val="1C1C1C"/>
        </w:rPr>
        <w:t>seznam volných míst, po prvním kole je jich volných přibližně 1 800.</w:t>
      </w:r>
      <w:r>
        <w:rPr>
          <w:rFonts w:ascii="Arial" w:hAnsi="Arial" w:cs="Arial"/>
          <w:color w:val="1C1C1C"/>
        </w:rPr>
        <w:t xml:space="preserve"> </w:t>
      </w:r>
      <w:r w:rsidRPr="008D35E4">
        <w:rPr>
          <w:rFonts w:ascii="Arial" w:hAnsi="Arial" w:cs="Arial"/>
          <w:color w:val="1C1C1C"/>
          <w:shd w:val="clear" w:color="auto" w:fill="FFFFFF"/>
        </w:rPr>
        <w:t xml:space="preserve">Největší zájem byl o gymnázia, ale také o studium </w:t>
      </w:r>
      <w:r w:rsidRPr="008D35E4">
        <w:rPr>
          <w:rFonts w:ascii="Arial" w:hAnsi="Arial" w:cs="Arial"/>
          <w:color w:val="1C1C1C"/>
          <w:shd w:val="clear" w:color="auto" w:fill="FFFFFF"/>
        </w:rPr>
        <w:lastRenderedPageBreak/>
        <w:t>informačních technologií, pozemního stavitelství, strojních oborů, obchodní akademie a zdravotnických škol. Velmi nízký zájem je o obory spojené s uměleckořemeslným zpracováním dřeva, učební obory zaměřené na konkrétní dovednosti jako podkovář, zahradník, rybář, kominík, obráběč kovů a nástrojař.</w:t>
      </w:r>
      <w:r>
        <w:rPr>
          <w:rFonts w:ascii="Arial" w:hAnsi="Arial" w:cs="Arial"/>
          <w:color w:val="1C1C1C"/>
          <w:shd w:val="clear" w:color="auto" w:fill="FFFFFF"/>
        </w:rPr>
        <w:t xml:space="preserve"> Členové výboru vzali informaci na vědomí.</w:t>
      </w:r>
    </w:p>
    <w:p w14:paraId="07DBDF8B" w14:textId="77777777" w:rsidR="002C34F1" w:rsidRPr="002C34F1" w:rsidRDefault="002C34F1" w:rsidP="008D35E4">
      <w:pPr>
        <w:rPr>
          <w:rFonts w:ascii="Arial" w:hAnsi="Arial" w:cs="Arial"/>
          <w:bCs/>
        </w:rPr>
      </w:pPr>
    </w:p>
    <w:p w14:paraId="02924393" w14:textId="0D9E018D" w:rsidR="002D2013" w:rsidRPr="00A932C2" w:rsidRDefault="002D2013" w:rsidP="00A932C2">
      <w:pPr>
        <w:pStyle w:val="slo1text"/>
        <w:tabs>
          <w:tab w:val="clear" w:pos="567"/>
        </w:tabs>
        <w:spacing w:after="240"/>
        <w:ind w:left="510" w:firstLine="0"/>
        <w:rPr>
          <w:rFonts w:cs="Arial"/>
          <w:szCs w:val="24"/>
        </w:rPr>
      </w:pPr>
      <w:r w:rsidRPr="00191B68">
        <w:rPr>
          <w:rFonts w:cs="Arial"/>
          <w:b/>
          <w:szCs w:val="24"/>
        </w:rPr>
        <w:t xml:space="preserve">Další zasedání výboru: </w:t>
      </w:r>
      <w:r w:rsidR="00EC36CB">
        <w:rPr>
          <w:rFonts w:cs="Arial"/>
          <w:b/>
          <w:szCs w:val="24"/>
        </w:rPr>
        <w:t>2</w:t>
      </w:r>
      <w:r w:rsidR="00311488">
        <w:rPr>
          <w:rFonts w:cs="Arial"/>
          <w:b/>
          <w:szCs w:val="24"/>
        </w:rPr>
        <w:t>8</w:t>
      </w:r>
      <w:r w:rsidR="00AC3AA1">
        <w:rPr>
          <w:rFonts w:cs="Arial"/>
          <w:b/>
          <w:szCs w:val="24"/>
        </w:rPr>
        <w:t xml:space="preserve">. </w:t>
      </w:r>
      <w:r w:rsidR="00311488">
        <w:rPr>
          <w:rFonts w:cs="Arial"/>
          <w:b/>
          <w:szCs w:val="24"/>
        </w:rPr>
        <w:t>8</w:t>
      </w:r>
      <w:r w:rsidR="00AC3AA1">
        <w:rPr>
          <w:rFonts w:cs="Arial"/>
          <w:b/>
          <w:szCs w:val="24"/>
        </w:rPr>
        <w:t>. 2024</w:t>
      </w:r>
    </w:p>
    <w:p w14:paraId="403722BD" w14:textId="77777777" w:rsidR="00E20C49" w:rsidRDefault="002D2013" w:rsidP="00E20C49">
      <w:pPr>
        <w:pStyle w:val="Znak2odsazen1text"/>
        <w:numPr>
          <w:ilvl w:val="0"/>
          <w:numId w:val="0"/>
        </w:numPr>
        <w:spacing w:line="276" w:lineRule="auto"/>
        <w:ind w:firstLine="510"/>
        <w:rPr>
          <w:rFonts w:cs="Arial"/>
          <w:szCs w:val="24"/>
        </w:rPr>
      </w:pPr>
      <w:r w:rsidRPr="00191B68">
        <w:rPr>
          <w:rFonts w:cs="Arial"/>
          <w:szCs w:val="24"/>
        </w:rPr>
        <w:t>Předsedkyně výboru poděkovala všem za účast a zasedání ukončila.</w:t>
      </w:r>
    </w:p>
    <w:p w14:paraId="1E3C7951" w14:textId="77777777" w:rsidR="00A932C2" w:rsidRDefault="00A932C2" w:rsidP="00E20C49">
      <w:pPr>
        <w:pStyle w:val="Znak2odsazen1text"/>
        <w:numPr>
          <w:ilvl w:val="0"/>
          <w:numId w:val="0"/>
        </w:numPr>
        <w:spacing w:line="276" w:lineRule="auto"/>
        <w:ind w:firstLine="510"/>
        <w:rPr>
          <w:rFonts w:cs="Arial"/>
          <w:szCs w:val="24"/>
        </w:rPr>
      </w:pPr>
    </w:p>
    <w:p w14:paraId="1106DBF0" w14:textId="77777777" w:rsidR="00A932C2" w:rsidRDefault="00A932C2" w:rsidP="00E20C49">
      <w:pPr>
        <w:pStyle w:val="Znak2odsazen1text"/>
        <w:numPr>
          <w:ilvl w:val="0"/>
          <w:numId w:val="0"/>
        </w:numPr>
        <w:spacing w:line="276" w:lineRule="auto"/>
        <w:ind w:firstLine="510"/>
        <w:rPr>
          <w:rFonts w:cs="Arial"/>
          <w:szCs w:val="24"/>
        </w:rPr>
      </w:pPr>
    </w:p>
    <w:p w14:paraId="4F3052EA" w14:textId="179C3FF8" w:rsidR="00453BD2" w:rsidRDefault="00975D37" w:rsidP="00E20C49">
      <w:pPr>
        <w:pStyle w:val="Znak2odsazen1text"/>
        <w:numPr>
          <w:ilvl w:val="0"/>
          <w:numId w:val="0"/>
        </w:numPr>
        <w:spacing w:line="276" w:lineRule="auto"/>
        <w:ind w:firstLine="510"/>
        <w:rPr>
          <w:rFonts w:cs="Arial"/>
          <w:szCs w:val="24"/>
        </w:rPr>
      </w:pPr>
      <w:r w:rsidRPr="00E20C49">
        <w:rPr>
          <w:rFonts w:cs="Arial"/>
          <w:szCs w:val="24"/>
        </w:rPr>
        <w:t xml:space="preserve">V Olomouci dne </w:t>
      </w:r>
      <w:r w:rsidR="00311488">
        <w:rPr>
          <w:rFonts w:cs="Arial"/>
          <w:szCs w:val="24"/>
        </w:rPr>
        <w:t>23</w:t>
      </w:r>
      <w:r w:rsidR="002D2013" w:rsidRPr="00E20C49">
        <w:rPr>
          <w:rFonts w:cs="Arial"/>
          <w:szCs w:val="24"/>
        </w:rPr>
        <w:t xml:space="preserve">. </w:t>
      </w:r>
      <w:r w:rsidR="00311488">
        <w:rPr>
          <w:rFonts w:cs="Arial"/>
          <w:szCs w:val="24"/>
        </w:rPr>
        <w:t>5</w:t>
      </w:r>
      <w:r w:rsidR="002D2013" w:rsidRPr="00E20C49">
        <w:rPr>
          <w:rFonts w:cs="Arial"/>
          <w:szCs w:val="24"/>
        </w:rPr>
        <w:t>. 202</w:t>
      </w:r>
      <w:r w:rsidR="00AC3AA1">
        <w:rPr>
          <w:rFonts w:cs="Arial"/>
          <w:szCs w:val="24"/>
        </w:rPr>
        <w:t>4</w:t>
      </w:r>
    </w:p>
    <w:p w14:paraId="0BE9B4DA" w14:textId="77777777" w:rsidR="00A932C2" w:rsidRDefault="00A932C2" w:rsidP="00E20C49">
      <w:pPr>
        <w:pStyle w:val="Znak2odsazen1text"/>
        <w:numPr>
          <w:ilvl w:val="0"/>
          <w:numId w:val="0"/>
        </w:numPr>
        <w:spacing w:line="276" w:lineRule="auto"/>
        <w:ind w:firstLine="510"/>
        <w:rPr>
          <w:rFonts w:cs="Arial"/>
          <w:szCs w:val="24"/>
        </w:rPr>
      </w:pPr>
    </w:p>
    <w:p w14:paraId="1FCBBA82" w14:textId="77777777" w:rsidR="00A932C2" w:rsidRDefault="00A932C2" w:rsidP="00E20C49">
      <w:pPr>
        <w:pStyle w:val="Znak2odsazen1text"/>
        <w:numPr>
          <w:ilvl w:val="0"/>
          <w:numId w:val="0"/>
        </w:numPr>
        <w:spacing w:line="276" w:lineRule="auto"/>
        <w:ind w:firstLine="510"/>
        <w:rPr>
          <w:rFonts w:cs="Arial"/>
          <w:szCs w:val="24"/>
        </w:rPr>
      </w:pPr>
    </w:p>
    <w:p w14:paraId="65BEC040" w14:textId="44BCE3F4" w:rsidR="00A932C2" w:rsidRDefault="00A932C2" w:rsidP="00E20C49">
      <w:pPr>
        <w:pStyle w:val="Znak2odsazen1text"/>
        <w:numPr>
          <w:ilvl w:val="0"/>
          <w:numId w:val="0"/>
        </w:numPr>
        <w:spacing w:line="276" w:lineRule="auto"/>
        <w:ind w:firstLine="510"/>
        <w:rPr>
          <w:rFonts w:cs="Arial"/>
          <w:szCs w:val="24"/>
        </w:rPr>
      </w:pPr>
    </w:p>
    <w:p w14:paraId="1D81E3E1" w14:textId="1B0FF938" w:rsidR="008D35E4" w:rsidRDefault="008D35E4" w:rsidP="00E20C49">
      <w:pPr>
        <w:pStyle w:val="Znak2odsazen1text"/>
        <w:numPr>
          <w:ilvl w:val="0"/>
          <w:numId w:val="0"/>
        </w:numPr>
        <w:spacing w:line="276" w:lineRule="auto"/>
        <w:ind w:firstLine="510"/>
        <w:rPr>
          <w:rFonts w:cs="Arial"/>
          <w:szCs w:val="24"/>
        </w:rPr>
      </w:pPr>
    </w:p>
    <w:p w14:paraId="4ED8A1F3" w14:textId="77777777" w:rsidR="008D35E4" w:rsidRPr="00E20C49" w:rsidRDefault="008D35E4" w:rsidP="00E20C49">
      <w:pPr>
        <w:pStyle w:val="Znak2odsazen1text"/>
        <w:numPr>
          <w:ilvl w:val="0"/>
          <w:numId w:val="0"/>
        </w:numPr>
        <w:spacing w:line="276" w:lineRule="auto"/>
        <w:ind w:firstLine="510"/>
        <w:rPr>
          <w:rFonts w:cs="Arial"/>
          <w:szCs w:val="24"/>
        </w:rPr>
      </w:pPr>
    </w:p>
    <w:p w14:paraId="61E24BD6" w14:textId="77777777" w:rsidR="00975D37" w:rsidRPr="00570AA0" w:rsidRDefault="00975D37">
      <w:pPr>
        <w:pStyle w:val="Podpis"/>
        <w:rPr>
          <w:rFonts w:cs="Arial"/>
          <w:sz w:val="22"/>
          <w:szCs w:val="22"/>
        </w:rPr>
      </w:pPr>
      <w:r w:rsidRPr="00570AA0">
        <w:rPr>
          <w:rFonts w:cs="Arial"/>
          <w:sz w:val="22"/>
          <w:szCs w:val="22"/>
        </w:rPr>
        <w:t>……………………………….</w:t>
      </w:r>
    </w:p>
    <w:p w14:paraId="418442DC" w14:textId="77777777" w:rsidR="00975D37" w:rsidRPr="00570AA0" w:rsidRDefault="002D2013" w:rsidP="00827229">
      <w:pPr>
        <w:pStyle w:val="Podpis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Mgr. Marta Husičková</w:t>
      </w:r>
      <w:r w:rsidR="00827229">
        <w:rPr>
          <w:rFonts w:cs="Arial"/>
          <w:sz w:val="22"/>
          <w:szCs w:val="22"/>
        </w:rPr>
        <w:t xml:space="preserve">, </w:t>
      </w:r>
      <w:r w:rsidR="00975D37" w:rsidRPr="00570AA0">
        <w:rPr>
          <w:rFonts w:cs="Arial"/>
          <w:sz w:val="22"/>
          <w:szCs w:val="22"/>
        </w:rPr>
        <w:t>předseda výboru</w:t>
      </w:r>
    </w:p>
    <w:sectPr w:rsidR="00975D37" w:rsidRPr="00570AA0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281CA" w14:textId="77777777" w:rsidR="00A13A99" w:rsidRDefault="00A13A99">
      <w:r>
        <w:separator/>
      </w:r>
    </w:p>
  </w:endnote>
  <w:endnote w:type="continuationSeparator" w:id="0">
    <w:p w14:paraId="668BCB5A" w14:textId="77777777" w:rsidR="00A13A99" w:rsidRDefault="00A1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002845"/>
      <w:docPartObj>
        <w:docPartGallery w:val="Page Numbers (Bottom of Page)"/>
        <w:docPartUnique/>
      </w:docPartObj>
    </w:sdtPr>
    <w:sdtEndPr/>
    <w:sdtContent>
      <w:p w14:paraId="0CBB7C0E" w14:textId="77777777" w:rsidR="00910E7D" w:rsidRDefault="00910E7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62F">
          <w:rPr>
            <w:noProof/>
          </w:rPr>
          <w:t>3</w:t>
        </w:r>
        <w:r>
          <w:fldChar w:fldCharType="end"/>
        </w:r>
      </w:p>
    </w:sdtContent>
  </w:sdt>
  <w:p w14:paraId="0F92CEC0" w14:textId="77777777" w:rsidR="00910E7D" w:rsidRPr="00910E7D" w:rsidRDefault="00910E7D" w:rsidP="00910E7D">
    <w:pPr>
      <w:pStyle w:val="Zpat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AFA35" w14:textId="77777777" w:rsidR="00A13A99" w:rsidRDefault="00A13A99">
      <w:r>
        <w:separator/>
      </w:r>
    </w:p>
  </w:footnote>
  <w:footnote w:type="continuationSeparator" w:id="0">
    <w:p w14:paraId="7BAF7AA1" w14:textId="77777777" w:rsidR="00A13A99" w:rsidRDefault="00A13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D20FB"/>
    <w:multiLevelType w:val="hybridMultilevel"/>
    <w:tmpl w:val="E48E98B8"/>
    <w:lvl w:ilvl="0" w:tplc="616252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73892"/>
    <w:multiLevelType w:val="hybridMultilevel"/>
    <w:tmpl w:val="77DA6B20"/>
    <w:lvl w:ilvl="0" w:tplc="B87864B0">
      <w:start w:val="1"/>
      <w:numFmt w:val="decimal"/>
      <w:lvlText w:val="%1."/>
      <w:lvlJc w:val="left"/>
      <w:pPr>
        <w:tabs>
          <w:tab w:val="num" w:pos="2486"/>
        </w:tabs>
        <w:ind w:left="2486" w:hanging="360"/>
      </w:pPr>
      <w:rPr>
        <w:rFonts w:ascii="Arial" w:hAnsi="Arial" w:cs="Arial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F1235"/>
    <w:multiLevelType w:val="hybridMultilevel"/>
    <w:tmpl w:val="89D099A2"/>
    <w:lvl w:ilvl="0" w:tplc="4850A940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8" w15:restartNumberingAfterBreak="0">
    <w:nsid w:val="563B5088"/>
    <w:multiLevelType w:val="hybridMultilevel"/>
    <w:tmpl w:val="5628B92C"/>
    <w:lvl w:ilvl="0" w:tplc="04050019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14322"/>
    <w:multiLevelType w:val="hybridMultilevel"/>
    <w:tmpl w:val="53F2F6D6"/>
    <w:lvl w:ilvl="0" w:tplc="1602B32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75AB3"/>
    <w:multiLevelType w:val="hybridMultilevel"/>
    <w:tmpl w:val="A69C3A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1605523">
    <w:abstractNumId w:val="10"/>
  </w:num>
  <w:num w:numId="2" w16cid:durableId="1364206566">
    <w:abstractNumId w:val="20"/>
  </w:num>
  <w:num w:numId="3" w16cid:durableId="52507409">
    <w:abstractNumId w:val="30"/>
  </w:num>
  <w:num w:numId="4" w16cid:durableId="1745293334">
    <w:abstractNumId w:val="13"/>
  </w:num>
  <w:num w:numId="5" w16cid:durableId="1310212220">
    <w:abstractNumId w:val="8"/>
  </w:num>
  <w:num w:numId="6" w16cid:durableId="975257611">
    <w:abstractNumId w:val="26"/>
  </w:num>
  <w:num w:numId="7" w16cid:durableId="941645888">
    <w:abstractNumId w:val="5"/>
  </w:num>
  <w:num w:numId="8" w16cid:durableId="1424376569">
    <w:abstractNumId w:val="12"/>
  </w:num>
  <w:num w:numId="9" w16cid:durableId="1588613799">
    <w:abstractNumId w:val="23"/>
  </w:num>
  <w:num w:numId="10" w16cid:durableId="990140284">
    <w:abstractNumId w:val="3"/>
  </w:num>
  <w:num w:numId="11" w16cid:durableId="1716807871">
    <w:abstractNumId w:val="25"/>
  </w:num>
  <w:num w:numId="12" w16cid:durableId="1243679544">
    <w:abstractNumId w:val="28"/>
  </w:num>
  <w:num w:numId="13" w16cid:durableId="1164708801">
    <w:abstractNumId w:val="24"/>
  </w:num>
  <w:num w:numId="14" w16cid:durableId="1482847487">
    <w:abstractNumId w:val="27"/>
  </w:num>
  <w:num w:numId="15" w16cid:durableId="334037131">
    <w:abstractNumId w:val="7"/>
  </w:num>
  <w:num w:numId="16" w16cid:durableId="95948834">
    <w:abstractNumId w:val="14"/>
  </w:num>
  <w:num w:numId="17" w16cid:durableId="1654673371">
    <w:abstractNumId w:val="19"/>
  </w:num>
  <w:num w:numId="18" w16cid:durableId="1837914587">
    <w:abstractNumId w:val="17"/>
  </w:num>
  <w:num w:numId="19" w16cid:durableId="280114074">
    <w:abstractNumId w:val="11"/>
  </w:num>
  <w:num w:numId="20" w16cid:durableId="300817926">
    <w:abstractNumId w:val="4"/>
  </w:num>
  <w:num w:numId="21" w16cid:durableId="1741636064">
    <w:abstractNumId w:val="22"/>
  </w:num>
  <w:num w:numId="22" w16cid:durableId="819619642">
    <w:abstractNumId w:val="0"/>
  </w:num>
  <w:num w:numId="23" w16cid:durableId="685865014">
    <w:abstractNumId w:val="6"/>
  </w:num>
  <w:num w:numId="24" w16cid:durableId="848984365">
    <w:abstractNumId w:val="15"/>
  </w:num>
  <w:num w:numId="25" w16cid:durableId="1209562583">
    <w:abstractNumId w:val="9"/>
  </w:num>
  <w:num w:numId="26" w16cid:durableId="258953416">
    <w:abstractNumId w:val="2"/>
  </w:num>
  <w:num w:numId="27" w16cid:durableId="2315441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95264839">
    <w:abstractNumId w:val="18"/>
  </w:num>
  <w:num w:numId="29" w16cid:durableId="582102104">
    <w:abstractNumId w:val="29"/>
  </w:num>
  <w:num w:numId="30" w16cid:durableId="1763254575">
    <w:abstractNumId w:val="1"/>
  </w:num>
  <w:num w:numId="31" w16cid:durableId="516386640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37"/>
    <w:rsid w:val="000049C2"/>
    <w:rsid w:val="00007532"/>
    <w:rsid w:val="00031630"/>
    <w:rsid w:val="00036875"/>
    <w:rsid w:val="000368AB"/>
    <w:rsid w:val="000904CA"/>
    <w:rsid w:val="00094524"/>
    <w:rsid w:val="00107077"/>
    <w:rsid w:val="00123614"/>
    <w:rsid w:val="00161D08"/>
    <w:rsid w:val="00166D93"/>
    <w:rsid w:val="00183778"/>
    <w:rsid w:val="00192D0C"/>
    <w:rsid w:val="001A40E9"/>
    <w:rsid w:val="001C334D"/>
    <w:rsid w:val="001F6C25"/>
    <w:rsid w:val="00230572"/>
    <w:rsid w:val="00236ABC"/>
    <w:rsid w:val="00271F0B"/>
    <w:rsid w:val="002C34F1"/>
    <w:rsid w:val="002D2013"/>
    <w:rsid w:val="002F1656"/>
    <w:rsid w:val="003012C5"/>
    <w:rsid w:val="00311488"/>
    <w:rsid w:val="00383E57"/>
    <w:rsid w:val="00390DC3"/>
    <w:rsid w:val="003A2558"/>
    <w:rsid w:val="003B51C1"/>
    <w:rsid w:val="003D34A9"/>
    <w:rsid w:val="00400B9E"/>
    <w:rsid w:val="00437DB6"/>
    <w:rsid w:val="00453BD2"/>
    <w:rsid w:val="00455F32"/>
    <w:rsid w:val="00457712"/>
    <w:rsid w:val="0046579E"/>
    <w:rsid w:val="004A66D7"/>
    <w:rsid w:val="004C7329"/>
    <w:rsid w:val="004E1377"/>
    <w:rsid w:val="004F7CB3"/>
    <w:rsid w:val="00521E50"/>
    <w:rsid w:val="00523CFF"/>
    <w:rsid w:val="00526B0B"/>
    <w:rsid w:val="00545BE0"/>
    <w:rsid w:val="00567F77"/>
    <w:rsid w:val="00570AA0"/>
    <w:rsid w:val="005D522D"/>
    <w:rsid w:val="005D706C"/>
    <w:rsid w:val="005E2644"/>
    <w:rsid w:val="005F229F"/>
    <w:rsid w:val="00602FBA"/>
    <w:rsid w:val="00603405"/>
    <w:rsid w:val="00623A73"/>
    <w:rsid w:val="00632BD8"/>
    <w:rsid w:val="006349EE"/>
    <w:rsid w:val="00652F1D"/>
    <w:rsid w:val="006D145A"/>
    <w:rsid w:val="006F5962"/>
    <w:rsid w:val="00704D72"/>
    <w:rsid w:val="007123B2"/>
    <w:rsid w:val="0071262F"/>
    <w:rsid w:val="007323D1"/>
    <w:rsid w:val="00733EBF"/>
    <w:rsid w:val="00754A96"/>
    <w:rsid w:val="00783462"/>
    <w:rsid w:val="00797CF1"/>
    <w:rsid w:val="007B2D8B"/>
    <w:rsid w:val="007C2A10"/>
    <w:rsid w:val="007E0900"/>
    <w:rsid w:val="007F4302"/>
    <w:rsid w:val="00811D4B"/>
    <w:rsid w:val="00827229"/>
    <w:rsid w:val="00844280"/>
    <w:rsid w:val="008651F0"/>
    <w:rsid w:val="00870AA9"/>
    <w:rsid w:val="00871240"/>
    <w:rsid w:val="00874E15"/>
    <w:rsid w:val="008816B4"/>
    <w:rsid w:val="008826D6"/>
    <w:rsid w:val="00882ED9"/>
    <w:rsid w:val="00896F63"/>
    <w:rsid w:val="008A0862"/>
    <w:rsid w:val="008D35E4"/>
    <w:rsid w:val="008E3468"/>
    <w:rsid w:val="008E462A"/>
    <w:rsid w:val="008E5F2C"/>
    <w:rsid w:val="00910E7D"/>
    <w:rsid w:val="009376CD"/>
    <w:rsid w:val="00945F77"/>
    <w:rsid w:val="009735BE"/>
    <w:rsid w:val="00975D37"/>
    <w:rsid w:val="009C279C"/>
    <w:rsid w:val="009F4B0F"/>
    <w:rsid w:val="009F7F7C"/>
    <w:rsid w:val="00A13A99"/>
    <w:rsid w:val="00A377B9"/>
    <w:rsid w:val="00A71492"/>
    <w:rsid w:val="00A86C26"/>
    <w:rsid w:val="00A932C2"/>
    <w:rsid w:val="00AA5199"/>
    <w:rsid w:val="00AC3AA1"/>
    <w:rsid w:val="00AC58AB"/>
    <w:rsid w:val="00B0342A"/>
    <w:rsid w:val="00B24373"/>
    <w:rsid w:val="00B37F0F"/>
    <w:rsid w:val="00B43928"/>
    <w:rsid w:val="00BC337B"/>
    <w:rsid w:val="00BD3C8D"/>
    <w:rsid w:val="00C06141"/>
    <w:rsid w:val="00C22402"/>
    <w:rsid w:val="00C52DF4"/>
    <w:rsid w:val="00C84407"/>
    <w:rsid w:val="00C931E8"/>
    <w:rsid w:val="00CB0157"/>
    <w:rsid w:val="00CD7166"/>
    <w:rsid w:val="00D11445"/>
    <w:rsid w:val="00D20AA7"/>
    <w:rsid w:val="00D419D5"/>
    <w:rsid w:val="00D454B0"/>
    <w:rsid w:val="00D53AF5"/>
    <w:rsid w:val="00D54AF2"/>
    <w:rsid w:val="00D560C4"/>
    <w:rsid w:val="00D570AD"/>
    <w:rsid w:val="00E13EB4"/>
    <w:rsid w:val="00E20C49"/>
    <w:rsid w:val="00E32D79"/>
    <w:rsid w:val="00E857F0"/>
    <w:rsid w:val="00EB34A5"/>
    <w:rsid w:val="00EC2C8E"/>
    <w:rsid w:val="00EC36CB"/>
    <w:rsid w:val="00EC7EBF"/>
    <w:rsid w:val="00ED3556"/>
    <w:rsid w:val="00EF04F0"/>
    <w:rsid w:val="00F137D0"/>
    <w:rsid w:val="00F14594"/>
    <w:rsid w:val="00F20640"/>
    <w:rsid w:val="00F21D19"/>
    <w:rsid w:val="00F23521"/>
    <w:rsid w:val="00F32C4D"/>
    <w:rsid w:val="00F40DB2"/>
    <w:rsid w:val="00F437DF"/>
    <w:rsid w:val="00FD67F2"/>
    <w:rsid w:val="00FE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620AD6FF"/>
  <w15:chartTrackingRefBased/>
  <w15:docId w15:val="{A1F67B88-C577-4FEA-9345-C01608AA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tabs>
        <w:tab w:val="num" w:pos="567"/>
      </w:tabs>
      <w:spacing w:after="120"/>
      <w:ind w:left="567" w:hanging="567"/>
      <w:outlineLvl w:val="0"/>
    </w:pPr>
  </w:style>
  <w:style w:type="paragraph" w:customStyle="1" w:styleId="slo11text">
    <w:name w:val="Číslo1.1 text"/>
    <w:basedOn w:val="Text"/>
    <w:pPr>
      <w:tabs>
        <w:tab w:val="num" w:pos="1134"/>
      </w:tabs>
      <w:spacing w:after="120"/>
      <w:ind w:left="1134" w:hanging="567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link w:val="ZkladntextChar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link w:val="Znak2odsazen1textChar"/>
    <w:pPr>
      <w:numPr>
        <w:numId w:val="17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D67F2"/>
    <w:pPr>
      <w:tabs>
        <w:tab w:val="center" w:pos="4536"/>
        <w:tab w:val="right" w:pos="9072"/>
      </w:tabs>
    </w:p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Odstavecseseznamem">
    <w:name w:val="List Paragraph"/>
    <w:basedOn w:val="Normln"/>
    <w:link w:val="OdstavecseseznamemChar"/>
    <w:uiPriority w:val="34"/>
    <w:qFormat/>
    <w:rsid w:val="002D2013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Znak2odsazen1textChar">
    <w:name w:val="Znak2 odsazený1 text Char"/>
    <w:link w:val="Znak2odsazen1text"/>
    <w:rsid w:val="002D2013"/>
    <w:rPr>
      <w:rFonts w:ascii="Arial" w:hAnsi="Arial"/>
      <w:noProof/>
      <w:sz w:val="24"/>
    </w:rPr>
  </w:style>
  <w:style w:type="character" w:customStyle="1" w:styleId="OdstavecseseznamemChar">
    <w:name w:val="Odstavec se seznamem Char"/>
    <w:link w:val="Odstavecseseznamem"/>
    <w:uiPriority w:val="34"/>
    <w:rsid w:val="002D2013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ln"/>
    <w:rsid w:val="000904CA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0904CA"/>
  </w:style>
  <w:style w:type="character" w:customStyle="1" w:styleId="eop">
    <w:name w:val="eop"/>
    <w:basedOn w:val="Standardnpsmoodstavce"/>
    <w:rsid w:val="000904CA"/>
  </w:style>
  <w:style w:type="character" w:customStyle="1" w:styleId="ZpatChar">
    <w:name w:val="Zápatí Char"/>
    <w:basedOn w:val="Standardnpsmoodstavce"/>
    <w:link w:val="Zpat"/>
    <w:uiPriority w:val="99"/>
    <w:rsid w:val="00910E7D"/>
    <w:rPr>
      <w:sz w:val="24"/>
      <w:szCs w:val="24"/>
    </w:rPr>
  </w:style>
  <w:style w:type="paragraph" w:styleId="Textbubliny">
    <w:name w:val="Balloon Text"/>
    <w:basedOn w:val="Normln"/>
    <w:link w:val="TextbublinyChar"/>
    <w:rsid w:val="00910E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910E7D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03687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0368AB"/>
    <w:rPr>
      <w:rFonts w:ascii="Arial" w:hAnsi="Arial"/>
      <w:bCs/>
      <w:noProof/>
      <w:sz w:val="24"/>
      <w:lang w:eastAsia="en-US"/>
    </w:rPr>
  </w:style>
  <w:style w:type="paragraph" w:customStyle="1" w:styleId="Default">
    <w:name w:val="Default"/>
    <w:rsid w:val="00521E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8D35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C52E8-EACF-4405-9A99-C62C6600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1656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Skopalová Danuše</cp:lastModifiedBy>
  <cp:revision>9</cp:revision>
  <cp:lastPrinted>2024-05-06T05:41:00Z</cp:lastPrinted>
  <dcterms:created xsi:type="dcterms:W3CDTF">2024-05-06T05:25:00Z</dcterms:created>
  <dcterms:modified xsi:type="dcterms:W3CDTF">2024-05-27T06:00:00Z</dcterms:modified>
</cp:coreProperties>
</file>