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4B33" w:rsidRDefault="005C4B33" w:rsidP="005C4B33">
      <w:pPr>
        <w:jc w:val="both"/>
        <w:rPr>
          <w:b/>
        </w:rPr>
      </w:pPr>
      <w:r w:rsidRPr="005C4B33">
        <w:rPr>
          <w:b/>
        </w:rPr>
        <w:t>Důvodová zpráva:</w:t>
      </w:r>
    </w:p>
    <w:p w:rsidR="00E61116" w:rsidRDefault="00E61116" w:rsidP="005C4B33">
      <w:pPr>
        <w:jc w:val="both"/>
        <w:rPr>
          <w:b/>
        </w:rPr>
      </w:pPr>
    </w:p>
    <w:p w:rsidR="00E61116" w:rsidRPr="00E61116" w:rsidRDefault="00E61116" w:rsidP="005C4B33">
      <w:pPr>
        <w:jc w:val="both"/>
      </w:pPr>
      <w:r>
        <w:t>Rada Olomouckého kraje svým usnesením č. UR/82/14/2020 ze dne 10. 2. 2020 souhlasila s vyhodnocením činností BESIP a s poskytnutím dotace na zabezpečení těchto činností na rok 2020 a nyní předkládá materiál ke schválení Zastupitelstvu Olomouckého kraje.</w:t>
      </w:r>
    </w:p>
    <w:p w:rsidR="005C4B33" w:rsidRPr="005C4B33" w:rsidRDefault="005C4B33" w:rsidP="005C4B33">
      <w:pPr>
        <w:jc w:val="both"/>
      </w:pPr>
    </w:p>
    <w:p w:rsidR="002A16AD" w:rsidRPr="002A16AD" w:rsidRDefault="00317850" w:rsidP="004457E2">
      <w:pPr>
        <w:jc w:val="both"/>
        <w:rPr>
          <w:b/>
        </w:rPr>
      </w:pPr>
      <w:r>
        <w:rPr>
          <w:b/>
        </w:rPr>
        <w:t>Zabezpečení</w:t>
      </w:r>
      <w:r w:rsidR="005C4B33" w:rsidRPr="005C4B33">
        <w:rPr>
          <w:b/>
        </w:rPr>
        <w:t xml:space="preserve"> činnosti Krajského úřadu Olomouckého kraje při provádění prevence v oblasti bezpečnosti provozu n</w:t>
      </w:r>
      <w:r w:rsidR="00644CE6">
        <w:rPr>
          <w:b/>
        </w:rPr>
        <w:t>a pozemních komunikacích v roce </w:t>
      </w:r>
      <w:r w:rsidR="005C4B33" w:rsidRPr="005C4B33">
        <w:rPr>
          <w:b/>
        </w:rPr>
        <w:t>20</w:t>
      </w:r>
      <w:r w:rsidR="00D7294D">
        <w:rPr>
          <w:b/>
        </w:rPr>
        <w:t>20</w:t>
      </w:r>
      <w:r w:rsidR="005C4B33" w:rsidRPr="005C4B33">
        <w:rPr>
          <w:b/>
        </w:rPr>
        <w:t xml:space="preserve"> </w:t>
      </w:r>
      <w:r>
        <w:rPr>
          <w:b/>
        </w:rPr>
        <w:t xml:space="preserve">včetně vyhodnocení činnosti </w:t>
      </w:r>
      <w:r w:rsidR="00876F90">
        <w:rPr>
          <w:b/>
        </w:rPr>
        <w:t>za rok</w:t>
      </w:r>
      <w:r w:rsidR="00644CE6">
        <w:rPr>
          <w:b/>
        </w:rPr>
        <w:t xml:space="preserve"> 20</w:t>
      </w:r>
      <w:r w:rsidR="00D7294D">
        <w:rPr>
          <w:b/>
        </w:rPr>
        <w:t>19</w:t>
      </w:r>
    </w:p>
    <w:p w:rsidR="002A16AD" w:rsidRDefault="002A16AD" w:rsidP="005C4B33">
      <w:pPr>
        <w:pBdr>
          <w:top w:val="single" w:sz="4" w:space="1" w:color="000000"/>
        </w:pBdr>
        <w:jc w:val="both"/>
        <w:rPr>
          <w:b/>
          <w:sz w:val="28"/>
          <w:szCs w:val="28"/>
        </w:rPr>
      </w:pPr>
    </w:p>
    <w:p w:rsidR="005C4B33" w:rsidRPr="00F76744" w:rsidRDefault="00F76744" w:rsidP="005C4B33">
      <w:pPr>
        <w:pBdr>
          <w:top w:val="single" w:sz="4" w:space="1" w:color="000000"/>
        </w:pBdr>
        <w:jc w:val="both"/>
        <w:rPr>
          <w:b/>
          <w:sz w:val="28"/>
          <w:szCs w:val="28"/>
          <w:u w:val="single"/>
        </w:rPr>
      </w:pPr>
      <w:r w:rsidRPr="00F76744">
        <w:rPr>
          <w:b/>
          <w:sz w:val="28"/>
          <w:szCs w:val="28"/>
          <w:u w:val="single"/>
        </w:rPr>
        <w:t>A</w:t>
      </w:r>
      <w:r w:rsidR="00317850" w:rsidRPr="00F76744">
        <w:rPr>
          <w:b/>
          <w:sz w:val="28"/>
          <w:szCs w:val="28"/>
          <w:u w:val="single"/>
        </w:rPr>
        <w:t>.</w:t>
      </w:r>
      <w:r w:rsidR="005C4B33" w:rsidRPr="00F76744">
        <w:rPr>
          <w:b/>
          <w:sz w:val="28"/>
          <w:szCs w:val="28"/>
          <w:u w:val="single"/>
        </w:rPr>
        <w:t xml:space="preserve"> Vyhodnocení činnosti </w:t>
      </w:r>
      <w:r w:rsidR="00876F90" w:rsidRPr="00F76744">
        <w:rPr>
          <w:b/>
          <w:sz w:val="28"/>
          <w:szCs w:val="28"/>
          <w:u w:val="single"/>
        </w:rPr>
        <w:t>za rok</w:t>
      </w:r>
      <w:r w:rsidR="005C4B33" w:rsidRPr="00F76744">
        <w:rPr>
          <w:b/>
          <w:sz w:val="28"/>
          <w:szCs w:val="28"/>
          <w:u w:val="single"/>
        </w:rPr>
        <w:t xml:space="preserve"> 201</w:t>
      </w:r>
      <w:r w:rsidR="00C22337">
        <w:rPr>
          <w:b/>
          <w:sz w:val="28"/>
          <w:szCs w:val="28"/>
          <w:u w:val="single"/>
        </w:rPr>
        <w:t>9</w:t>
      </w:r>
    </w:p>
    <w:p w:rsidR="005C4B33" w:rsidRPr="005C4B33" w:rsidRDefault="005C4B33" w:rsidP="005C4B33">
      <w:pPr>
        <w:pBdr>
          <w:top w:val="single" w:sz="4" w:space="1" w:color="000000"/>
        </w:pBdr>
        <w:jc w:val="both"/>
      </w:pPr>
    </w:p>
    <w:p w:rsidR="005C4B33" w:rsidRPr="005C4B33" w:rsidRDefault="005C4B33" w:rsidP="005C4B33">
      <w:pPr>
        <w:jc w:val="both"/>
      </w:pPr>
      <w:r w:rsidRPr="005C4B33">
        <w:t xml:space="preserve">Krajský úřad provádí prevenci v oblasti bezpečnosti provozu na pozemních komunikacích (dále </w:t>
      </w:r>
      <w:r w:rsidR="00187B66" w:rsidRPr="008640C0">
        <w:t>také</w:t>
      </w:r>
      <w:r w:rsidRPr="005C4B33">
        <w:t xml:space="preserve"> BESIP) na základě ustanovení § 124 odst. 4 písm. c) zákona č. 361/2000 Sb., o provozu na pozemních komunikacích a o změnách některých zákonů (zákon o silničním provozu), ve znění pozdějších předpisů.</w:t>
      </w:r>
    </w:p>
    <w:p w:rsidR="005C4B33" w:rsidRDefault="005C4B33" w:rsidP="005C4B33">
      <w:pPr>
        <w:jc w:val="both"/>
      </w:pPr>
    </w:p>
    <w:p w:rsidR="005C4B33" w:rsidRPr="005C4B33" w:rsidRDefault="004457E2" w:rsidP="005C4B33">
      <w:pPr>
        <w:jc w:val="both"/>
      </w:pPr>
      <w:r>
        <w:t>Stejně jako v předchozích letech bylo hlavním úkolem Krajského pracoviště BESIP ve</w:t>
      </w:r>
      <w:r w:rsidR="001236C0">
        <w:t> </w:t>
      </w:r>
      <w:r>
        <w:t xml:space="preserve">spolupráci s Odborem dopravy a silničního hospodářství Krajského úřadu Olomouckého kraje plánovat a zajišťovat činnosti, směřující k provádění prevence v oblasti bezpečnosti provozu na pozemních komunikacích a koordinovat činnosti komisí BESIP u jednotlivých obecních úřadů obcí s rozšířenou působností a dalších subjektů, které v této oblasti vyvíjejí aktivity. </w:t>
      </w:r>
      <w:r w:rsidR="005C4B33" w:rsidRPr="005C4B33">
        <w:t>Z rozpočtu Olomouckého kraje jsou každoročně uvolněny finanční prostředky jako příspěvek pro zabezpečení těchto činností, v roce 201</w:t>
      </w:r>
      <w:r w:rsidR="00D7294D">
        <w:t>9</w:t>
      </w:r>
      <w:r w:rsidR="005C4B33" w:rsidRPr="005C4B33">
        <w:t xml:space="preserve"> šlo o částku </w:t>
      </w:r>
      <w:r w:rsidR="00657E4A">
        <w:t>1 0</w:t>
      </w:r>
      <w:r w:rsidR="00317850">
        <w:t>00</w:t>
      </w:r>
      <w:r w:rsidR="0046166B">
        <w:t xml:space="preserve"> </w:t>
      </w:r>
      <w:r w:rsidR="005C4B33" w:rsidRPr="005C4B33">
        <w:t xml:space="preserve">000 Kč. </w:t>
      </w:r>
    </w:p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jc w:val="both"/>
      </w:pPr>
      <w:r w:rsidRPr="005C4B33">
        <w:t xml:space="preserve">Kontakt Krajského úřadu Olomouckého kraje a jednotlivých obcí v Olomouckém kraji v oblasti zajišťování prevence </w:t>
      </w:r>
      <w:r w:rsidR="00FB7C7E">
        <w:t xml:space="preserve">v oblasti </w:t>
      </w:r>
      <w:r w:rsidR="003043B9">
        <w:t>BESIP</w:t>
      </w:r>
      <w:r w:rsidRPr="005C4B33">
        <w:t xml:space="preserve"> byl zabezpečován prostřednictvím </w:t>
      </w:r>
      <w:r w:rsidR="004457E2">
        <w:t xml:space="preserve">koordinátora BESIP pro Olomoucký kraj </w:t>
      </w:r>
      <w:r w:rsidR="004B6B65" w:rsidRPr="005C4B33">
        <w:t>Ing.</w:t>
      </w:r>
      <w:r w:rsidR="00876F90">
        <w:t> </w:t>
      </w:r>
      <w:r w:rsidR="004B6B65" w:rsidRPr="005C4B33">
        <w:t xml:space="preserve">Miroslava </w:t>
      </w:r>
      <w:proofErr w:type="spellStart"/>
      <w:r w:rsidR="004B6B65" w:rsidRPr="005C4B33">
        <w:t>Charouze</w:t>
      </w:r>
      <w:proofErr w:type="spellEnd"/>
      <w:r w:rsidR="004B6B65">
        <w:t>,</w:t>
      </w:r>
      <w:r w:rsidRPr="005C4B33">
        <w:t xml:space="preserve"> který sp</w:t>
      </w:r>
      <w:r w:rsidR="002F4F29">
        <w:t>olupracuje s Centrem služeb pro </w:t>
      </w:r>
      <w:r w:rsidRPr="005C4B33">
        <w:t>silniční dopravu</w:t>
      </w:r>
      <w:r w:rsidR="003043B9">
        <w:t>,</w:t>
      </w:r>
      <w:r w:rsidRPr="005C4B33">
        <w:t xml:space="preserve"> s.</w:t>
      </w:r>
      <w:r w:rsidR="004958C1">
        <w:t> </w:t>
      </w:r>
      <w:r w:rsidRPr="005C4B33">
        <w:t>p.</w:t>
      </w:r>
      <w:r w:rsidR="004958C1">
        <w:t> </w:t>
      </w:r>
      <w:r w:rsidRPr="005C4B33">
        <w:t>o.</w:t>
      </w:r>
      <w:r w:rsidR="003043B9">
        <w:t>, se</w:t>
      </w:r>
      <w:r w:rsidR="006C3C55">
        <w:t> </w:t>
      </w:r>
      <w:r w:rsidR="003043B9">
        <w:t>sídlem</w:t>
      </w:r>
      <w:r w:rsidR="00CE7A31">
        <w:t xml:space="preserve"> </w:t>
      </w:r>
      <w:r w:rsidR="003043B9">
        <w:t>nábře</w:t>
      </w:r>
      <w:r w:rsidR="002F4F29">
        <w:t>ží Ludvíka Svobody 1222/12, 110 </w:t>
      </w:r>
      <w:r w:rsidR="003043B9">
        <w:t>15</w:t>
      </w:r>
      <w:r w:rsidR="002F4F29">
        <w:t> </w:t>
      </w:r>
      <w:r w:rsidRPr="005C4B33">
        <w:t>Praha</w:t>
      </w:r>
      <w:r w:rsidR="004B6B65">
        <w:t> </w:t>
      </w:r>
      <w:r w:rsidR="00CE7A31">
        <w:t>9, IČ 70898219</w:t>
      </w:r>
      <w:r w:rsidRPr="005C4B33">
        <w:t xml:space="preserve"> (</w:t>
      </w:r>
      <w:r w:rsidRPr="008640C0">
        <w:t xml:space="preserve">dále </w:t>
      </w:r>
      <w:r w:rsidR="00187B66" w:rsidRPr="008640C0">
        <w:t>také</w:t>
      </w:r>
      <w:r w:rsidRPr="005C4B33">
        <w:t xml:space="preserve"> CSPSD). Pro rok 201</w:t>
      </w:r>
      <w:r w:rsidR="00D7294D">
        <w:t>9</w:t>
      </w:r>
      <w:r w:rsidRPr="005C4B33">
        <w:t xml:space="preserve"> byla s</w:t>
      </w:r>
      <w:r w:rsidR="001236C0">
        <w:t> </w:t>
      </w:r>
      <w:r w:rsidRPr="005C4B33">
        <w:t xml:space="preserve">CSPSD uzavřena smlouva o poskytnutí </w:t>
      </w:r>
      <w:r w:rsidR="00987879">
        <w:t>dotace</w:t>
      </w:r>
      <w:r w:rsidRPr="005C4B33">
        <w:t xml:space="preserve"> na</w:t>
      </w:r>
      <w:r w:rsidR="006C3C55">
        <w:t> </w:t>
      </w:r>
      <w:r w:rsidR="00CE7A31" w:rsidRPr="00CE7A31">
        <w:t>provádění prevence v</w:t>
      </w:r>
      <w:r w:rsidR="00CE7A31">
        <w:t> </w:t>
      </w:r>
      <w:r w:rsidR="00CE7A31" w:rsidRPr="00CE7A31">
        <w:t>oblasti</w:t>
      </w:r>
      <w:r w:rsidR="00CE7A31">
        <w:t xml:space="preserve"> BESIP</w:t>
      </w:r>
      <w:r w:rsidRPr="005C4B33">
        <w:t xml:space="preserve"> </w:t>
      </w:r>
      <w:r w:rsidR="002F4F29">
        <w:t>na </w:t>
      </w:r>
      <w:r w:rsidR="00CE7A31">
        <w:t>území</w:t>
      </w:r>
      <w:r w:rsidRPr="005C4B33">
        <w:t xml:space="preserve"> Olomouckého kraje s cílem </w:t>
      </w:r>
      <w:r w:rsidR="00CE7A31">
        <w:t>zvyšovat bezpečnost</w:t>
      </w:r>
      <w:r w:rsidRPr="005C4B33">
        <w:t xml:space="preserve"> </w:t>
      </w:r>
      <w:r w:rsidR="00CE7A31">
        <w:t xml:space="preserve">všech účastníků </w:t>
      </w:r>
      <w:r w:rsidRPr="005C4B33">
        <w:t>v</w:t>
      </w:r>
      <w:r w:rsidR="00CE7A31">
        <w:t> silničním provozu</w:t>
      </w:r>
      <w:r w:rsidRPr="005C4B33">
        <w:t xml:space="preserve">. </w:t>
      </w:r>
      <w:r w:rsidR="004457E2">
        <w:t>Koordinátor</w:t>
      </w:r>
      <w:r w:rsidR="00B04885">
        <w:t xml:space="preserve"> BESIP</w:t>
      </w:r>
      <w:r w:rsidR="002F4F29">
        <w:t xml:space="preserve"> pro </w:t>
      </w:r>
      <w:r w:rsidR="004B6B65">
        <w:t>Olomoucký kraj</w:t>
      </w:r>
      <w:r w:rsidR="006B025C">
        <w:t xml:space="preserve"> </w:t>
      </w:r>
      <w:r w:rsidRPr="005C4B33">
        <w:t xml:space="preserve">zajišťoval koordinaci činností </w:t>
      </w:r>
      <w:r w:rsidR="00CE7A31">
        <w:t>při</w:t>
      </w:r>
      <w:r w:rsidR="00BE57C1">
        <w:t> </w:t>
      </w:r>
      <w:r w:rsidR="00CE7A31">
        <w:t xml:space="preserve">provádění prevence </w:t>
      </w:r>
      <w:r w:rsidRPr="005C4B33">
        <w:t>v oblasti BESIP na území Olomouckého kraje a pomáhal při</w:t>
      </w:r>
      <w:r w:rsidR="00BE57C1">
        <w:t> </w:t>
      </w:r>
      <w:r w:rsidRPr="005C4B33">
        <w:t xml:space="preserve">organizování akcí pořádaných jednotlivými složkami </w:t>
      </w:r>
      <w:r w:rsidR="00B04885">
        <w:t>integrovaného záchranného systému (</w:t>
      </w:r>
      <w:r w:rsidR="00C5553E">
        <w:t xml:space="preserve">dále jen </w:t>
      </w:r>
      <w:r w:rsidRPr="005C4B33">
        <w:t>IZS</w:t>
      </w:r>
      <w:r w:rsidR="00B04885">
        <w:t>)</w:t>
      </w:r>
      <w:r w:rsidRPr="005C4B33">
        <w:t>, komisemi BESIP</w:t>
      </w:r>
      <w:r w:rsidR="00B04885">
        <w:t xml:space="preserve"> na úrovni obcí</w:t>
      </w:r>
      <w:r w:rsidRPr="005C4B33">
        <w:t xml:space="preserve"> a ostatními spolupracujícími subjekty. </w:t>
      </w:r>
      <w:r w:rsidR="004457E2">
        <w:t xml:space="preserve">O této činnosti byl pravidelně </w:t>
      </w:r>
      <w:r w:rsidR="004457E2" w:rsidRPr="00582C9B">
        <w:t>informován v</w:t>
      </w:r>
      <w:r w:rsidR="004457E2">
        <w:t>edoucí oddělení silniční dopravy odboru dopravy a silničního hospodářství,</w:t>
      </w:r>
    </w:p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numPr>
          <w:ilvl w:val="0"/>
          <w:numId w:val="6"/>
        </w:numPr>
        <w:tabs>
          <w:tab w:val="left" w:pos="567"/>
          <w:tab w:val="left" w:pos="1080"/>
        </w:tabs>
        <w:jc w:val="both"/>
        <w:rPr>
          <w:b/>
        </w:rPr>
      </w:pPr>
      <w:r w:rsidRPr="005C4B33">
        <w:rPr>
          <w:b/>
        </w:rPr>
        <w:t>Přehled akcí pořádaných v rámci prevence v oblasti BESIP na území Olomouckého kraje v roce 201</w:t>
      </w:r>
      <w:r w:rsidR="00D7294D">
        <w:rPr>
          <w:b/>
        </w:rPr>
        <w:t>9</w:t>
      </w:r>
    </w:p>
    <w:p w:rsidR="005C4B33" w:rsidRPr="005C4B33" w:rsidRDefault="005C4B33" w:rsidP="005C4B33">
      <w:pPr>
        <w:ind w:left="900" w:hanging="900"/>
        <w:jc w:val="both"/>
        <w:rPr>
          <w:color w:val="0000FF"/>
        </w:rPr>
      </w:pPr>
    </w:p>
    <w:p w:rsidR="005C4B33" w:rsidRPr="005C4B33" w:rsidRDefault="005C4B33" w:rsidP="005C4B33">
      <w:pPr>
        <w:jc w:val="both"/>
      </w:pPr>
      <w:r w:rsidRPr="005C4B33">
        <w:t>Na úrovni obecních úřadů obcí s rozšířenou působností byly realizovány konkrétní akce, které byly zaměřeny především na výchovu dětí a mládeže k dopravní kázni.  Do</w:t>
      </w:r>
      <w:r w:rsidR="001236C0">
        <w:t> </w:t>
      </w:r>
      <w:r w:rsidRPr="005C4B33">
        <w:t xml:space="preserve">této činnosti se zapojily i základní školy </w:t>
      </w:r>
      <w:r w:rsidR="00C5553E">
        <w:t xml:space="preserve">z </w:t>
      </w:r>
      <w:r w:rsidR="000518BF">
        <w:t xml:space="preserve">Olomouckého kraje, případně </w:t>
      </w:r>
      <w:r w:rsidR="00657E4A">
        <w:t>D</w:t>
      </w:r>
      <w:r w:rsidRPr="005C4B33">
        <w:t xml:space="preserve">omy dětí </w:t>
      </w:r>
      <w:r w:rsidR="000518BF">
        <w:t xml:space="preserve">a mládeže a </w:t>
      </w:r>
      <w:r w:rsidR="00657E4A">
        <w:t>S</w:t>
      </w:r>
      <w:r w:rsidRPr="005C4B33">
        <w:t>třediska volného času</w:t>
      </w:r>
      <w:r w:rsidR="00657E4A">
        <w:t xml:space="preserve"> a některé oslovené autoškoly</w:t>
      </w:r>
      <w:r w:rsidRPr="005C4B33">
        <w:t>. Učitelé a</w:t>
      </w:r>
      <w:r w:rsidR="00657E4A">
        <w:t> </w:t>
      </w:r>
      <w:r w:rsidRPr="005C4B33">
        <w:t xml:space="preserve">další zaměstnanci těchto zařízení sehrávali v této činnosti nejvýznamnější roli. Uvedení </w:t>
      </w:r>
      <w:r w:rsidRPr="005C4B33">
        <w:lastRenderedPageBreak/>
        <w:t>pracovníci zabezpečovali jak přípravu jednotlivých akcí, tak jejich průběh a</w:t>
      </w:r>
      <w:r w:rsidR="00657E4A">
        <w:t> </w:t>
      </w:r>
      <w:r w:rsidRPr="005C4B33">
        <w:t>vyhodnocení. Příslušné dopravní soutěže se realizovaly na úrovni základních kol na</w:t>
      </w:r>
      <w:r w:rsidR="001236C0">
        <w:t> </w:t>
      </w:r>
      <w:r w:rsidRPr="005C4B33">
        <w:t>školách, na úrovni obcí s rozšířenou působností, dále bývalých okresů a finále na</w:t>
      </w:r>
      <w:r w:rsidR="00BE57C1">
        <w:t> </w:t>
      </w:r>
      <w:r w:rsidRPr="005C4B33">
        <w:t xml:space="preserve">úrovni Olomouckého kraje. Nezastupitelnou pomocnou roli při většině akcí měli zástupci Policie ČR a </w:t>
      </w:r>
      <w:r w:rsidR="00C5553E">
        <w:t>m</w:t>
      </w:r>
      <w:r w:rsidRPr="005C4B33">
        <w:t xml:space="preserve">ěstské policie. Kromě akcí zaměřených na děti byly realizovány i akce pro řidiče, a to nejen amatéry, ale i řidiče profesionály. Kromě dalších činností prováděných v oblasti BESIP na úrovni základních a mateřských škol, jako např. besedy s příslušníky Policie ČR, resp. </w:t>
      </w:r>
      <w:r w:rsidR="00C5553E">
        <w:t>m</w:t>
      </w:r>
      <w:r w:rsidRPr="005C4B33">
        <w:t>ěstské policie</w:t>
      </w:r>
      <w:r w:rsidR="006B025C">
        <w:t>,</w:t>
      </w:r>
      <w:r w:rsidRPr="005C4B33">
        <w:t xml:space="preserve"> proběhly v roce 201</w:t>
      </w:r>
      <w:r w:rsidR="00D7294D">
        <w:t>9</w:t>
      </w:r>
      <w:r w:rsidRPr="005C4B33">
        <w:t xml:space="preserve"> v Olomouckém kraji následující významnější akce: </w:t>
      </w:r>
    </w:p>
    <w:p w:rsidR="005C4B33" w:rsidRPr="005C4B33" w:rsidRDefault="005C4B33" w:rsidP="005C4B33">
      <w:pPr>
        <w:ind w:firstLine="360"/>
        <w:jc w:val="both"/>
      </w:pP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Besedy a přednášky pro řidiče "amatéry" i profesionály zaměřené na novinky v pravidlech silničního provozu, výklad ustanovení zákona a zásady bezpečné jízd</w:t>
      </w:r>
      <w:r w:rsidR="00BF398C">
        <w:t>y. Těchto besed se zúčastnilo</w:t>
      </w:r>
      <w:r w:rsidRPr="005C4B33">
        <w:t xml:space="preserve"> </w:t>
      </w:r>
      <w:r w:rsidR="00D7294D">
        <w:t>480</w:t>
      </w:r>
      <w:r w:rsidRPr="005C4B33">
        <w:t xml:space="preserve"> řidičů.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Besedy se seniory v rámci kampaně „</w:t>
      </w:r>
      <w:r w:rsidR="00657E4A">
        <w:t>S</w:t>
      </w:r>
      <w:r w:rsidR="008727A3">
        <w:t xml:space="preserve">enioři v dopravě“ </w:t>
      </w:r>
      <w:r w:rsidR="00582C9B" w:rsidRPr="00582C9B">
        <w:t>s účastí</w:t>
      </w:r>
      <w:r w:rsidR="00582C9B">
        <w:t xml:space="preserve"> </w:t>
      </w:r>
      <w:r w:rsidR="00D7294D">
        <w:t>180</w:t>
      </w:r>
      <w:r w:rsidRPr="005C4B33">
        <w:t xml:space="preserve"> účastníků.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Výuka na dětských dopravních hřištích, kte</w:t>
      </w:r>
      <w:r w:rsidR="007C5144">
        <w:t>ré se zúčastnilo během roku </w:t>
      </w:r>
      <w:r w:rsidR="00D7294D">
        <w:t>6 222</w:t>
      </w:r>
      <w:r w:rsidRPr="005C4B33">
        <w:t xml:space="preserve"> dětí </w:t>
      </w:r>
      <w:r w:rsidR="006B025C">
        <w:t>čtvrtých</w:t>
      </w:r>
      <w:r w:rsidRPr="005C4B33">
        <w:t xml:space="preserve"> tříd a </w:t>
      </w:r>
      <w:r w:rsidR="00D7294D">
        <w:t>32 500</w:t>
      </w:r>
      <w:r w:rsidRPr="005C4B33">
        <w:t xml:space="preserve"> z jiných ročníků, dále v jednotlivých kolech soutěží mladých cyklistů se zúčastnilo </w:t>
      </w:r>
      <w:r w:rsidR="00D7294D">
        <w:t>648</w:t>
      </w:r>
      <w:r w:rsidRPr="005C4B33">
        <w:t xml:space="preserve"> dětí</w:t>
      </w:r>
      <w:r w:rsidR="006B025C">
        <w:t>,</w:t>
      </w:r>
      <w:r w:rsidRPr="005C4B33">
        <w:t xml:space="preserve"> z</w:t>
      </w:r>
      <w:r w:rsidR="00876F90">
        <w:t> </w:t>
      </w:r>
      <w:r w:rsidRPr="005C4B33">
        <w:t>toho</w:t>
      </w:r>
      <w:r w:rsidR="00876F90">
        <w:t xml:space="preserve"> </w:t>
      </w:r>
      <w:r w:rsidR="004457E2">
        <w:t>3</w:t>
      </w:r>
      <w:r w:rsidR="00D7294D">
        <w:t>1</w:t>
      </w:r>
      <w:r w:rsidR="004457E2">
        <w:t>6</w:t>
      </w:r>
      <w:r w:rsidR="007C5144">
        <w:t> </w:t>
      </w:r>
      <w:r w:rsidR="00BE57C1">
        <w:t>v oblastních a </w:t>
      </w:r>
      <w:r w:rsidR="004457E2">
        <w:t>3</w:t>
      </w:r>
      <w:r w:rsidR="00D7294D">
        <w:t>32</w:t>
      </w:r>
      <w:r w:rsidRPr="005C4B33">
        <w:t xml:space="preserve"> v okresních kolech. Do těchto akcí bylo zapojeno </w:t>
      </w:r>
      <w:r w:rsidR="00D7294D">
        <w:t>173</w:t>
      </w:r>
      <w:r w:rsidR="007C5144">
        <w:t> </w:t>
      </w:r>
      <w:r w:rsidRPr="005C4B33">
        <w:t>škol.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Krajské finále soutěže mladých cyklistů v</w:t>
      </w:r>
      <w:r w:rsidR="004457E2">
        <w:t xml:space="preserve"> </w:t>
      </w:r>
      <w:r w:rsidR="00D7294D">
        <w:t>Prostějově</w:t>
      </w:r>
      <w:r w:rsidRPr="005C4B33">
        <w:t>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„Děti</w:t>
      </w:r>
      <w:r w:rsidR="002F4F29">
        <w:t>,</w:t>
      </w:r>
      <w:r w:rsidRPr="005C4B33">
        <w:t xml:space="preserve"> pozor</w:t>
      </w:r>
      <w:r w:rsidR="002F4F29">
        <w:t>,</w:t>
      </w:r>
      <w:r w:rsidRPr="005C4B33">
        <w:t xml:space="preserve"> červená“ - výtvarná soutěž v Šumperku a Prostějově </w:t>
      </w:r>
      <w:r w:rsidR="00C5553E">
        <w:t xml:space="preserve">s </w:t>
      </w:r>
      <w:r w:rsidRPr="005C4B33">
        <w:t>účast</w:t>
      </w:r>
      <w:r w:rsidR="00C5553E">
        <w:t>í</w:t>
      </w:r>
      <w:r w:rsidR="002F4F29">
        <w:t xml:space="preserve"> </w:t>
      </w:r>
      <w:r w:rsidR="00D7294D">
        <w:t>375</w:t>
      </w:r>
      <w:r w:rsidR="007C5144">
        <w:t> </w:t>
      </w:r>
      <w:r w:rsidRPr="005C4B33">
        <w:t>dětí.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Dopravní výchova a akce pro děti na dětských táborech</w:t>
      </w:r>
      <w:r w:rsidR="00454C87">
        <w:t xml:space="preserve"> </w:t>
      </w:r>
      <w:r w:rsidR="00876F90">
        <w:t>s</w:t>
      </w:r>
      <w:r w:rsidR="00454C87">
        <w:t xml:space="preserve"> agenturou </w:t>
      </w:r>
      <w:proofErr w:type="spellStart"/>
      <w:r w:rsidR="00454C87">
        <w:t>Lafayette</w:t>
      </w:r>
      <w:proofErr w:type="spellEnd"/>
      <w:r w:rsidRPr="005C4B33">
        <w:t>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</w:tabs>
        <w:jc w:val="both"/>
      </w:pPr>
      <w:r w:rsidRPr="005C4B33">
        <w:t xml:space="preserve">„Cyklista roku“, Mohelnice </w:t>
      </w:r>
      <w:r w:rsidR="00BF398C">
        <w:t>–</w:t>
      </w:r>
      <w:r w:rsidRPr="005C4B33">
        <w:t xml:space="preserve"> </w:t>
      </w:r>
      <w:r w:rsidR="00BF398C">
        <w:t xml:space="preserve">s účastí </w:t>
      </w:r>
      <w:r w:rsidR="004457E2">
        <w:t>42</w:t>
      </w:r>
      <w:r w:rsidRPr="005C4B33">
        <w:t xml:space="preserve"> dětí.</w:t>
      </w:r>
    </w:p>
    <w:p w:rsidR="005C4B33" w:rsidRDefault="005C4B33" w:rsidP="005C4B33">
      <w:pPr>
        <w:numPr>
          <w:ilvl w:val="0"/>
          <w:numId w:val="4"/>
        </w:numPr>
        <w:tabs>
          <w:tab w:val="left" w:pos="1215"/>
        </w:tabs>
        <w:jc w:val="both"/>
      </w:pPr>
      <w:r w:rsidRPr="005C4B33">
        <w:t xml:space="preserve">Soutěže dětí mateřských školek s účastí </w:t>
      </w:r>
      <w:r w:rsidR="00454C87">
        <w:t>2</w:t>
      </w:r>
      <w:r w:rsidR="004457E2">
        <w:t>8</w:t>
      </w:r>
      <w:r w:rsidR="00454C87">
        <w:t>0</w:t>
      </w:r>
      <w:r w:rsidRPr="005C4B33">
        <w:t xml:space="preserve"> dětí.</w:t>
      </w:r>
    </w:p>
    <w:p w:rsidR="00454C87" w:rsidRDefault="00454C87" w:rsidP="005C4B33">
      <w:pPr>
        <w:numPr>
          <w:ilvl w:val="0"/>
          <w:numId w:val="4"/>
        </w:numPr>
        <w:tabs>
          <w:tab w:val="left" w:pos="1215"/>
        </w:tabs>
        <w:jc w:val="both"/>
      </w:pPr>
      <w:r>
        <w:t>Ve spolupráci s</w:t>
      </w:r>
      <w:r w:rsidR="00657E4A">
        <w:t> Centrem Semafor Olomo</w:t>
      </w:r>
      <w:r w:rsidR="00BE57C1">
        <w:t>uc velká akce na DDH „Rodina na </w:t>
      </w:r>
      <w:r w:rsidR="00657E4A">
        <w:t>cestách“</w:t>
      </w:r>
      <w:r>
        <w:t>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</w:tabs>
        <w:jc w:val="both"/>
      </w:pPr>
      <w:r w:rsidRPr="005C4B33">
        <w:t>Seminář pro pedagogy</w:t>
      </w:r>
      <w:r w:rsidR="00657E4A">
        <w:t xml:space="preserve"> a provozovatele DDH</w:t>
      </w:r>
      <w:r w:rsidR="009977E5">
        <w:t xml:space="preserve"> </w:t>
      </w:r>
      <w:r w:rsidRPr="005C4B33">
        <w:t xml:space="preserve"> zabývající se dopravní výchovou</w:t>
      </w:r>
      <w:r w:rsidR="004457E2">
        <w:t xml:space="preserve"> a organizací výuky</w:t>
      </w:r>
      <w:r w:rsidRPr="005C4B33">
        <w:t>.</w:t>
      </w:r>
    </w:p>
    <w:p w:rsidR="005C4B33" w:rsidRDefault="005C4B33" w:rsidP="005C4B33">
      <w:pPr>
        <w:numPr>
          <w:ilvl w:val="0"/>
          <w:numId w:val="4"/>
        </w:numPr>
        <w:tabs>
          <w:tab w:val="left" w:pos="1215"/>
        </w:tabs>
        <w:jc w:val="both"/>
      </w:pPr>
      <w:r w:rsidRPr="005C4B33">
        <w:t xml:space="preserve">Seminář pro zaměstnance odborů dopravy </w:t>
      </w:r>
      <w:r w:rsidR="002F4F29">
        <w:t>obcí s rozšířenou působností se </w:t>
      </w:r>
      <w:r w:rsidRPr="005C4B33">
        <w:t>zaměřením na BESIP, stav komunikací a řešení právních problémů s tím spojených.</w:t>
      </w:r>
    </w:p>
    <w:p w:rsidR="004457E2" w:rsidRPr="005C4B33" w:rsidRDefault="004457E2" w:rsidP="005C4B33">
      <w:pPr>
        <w:numPr>
          <w:ilvl w:val="0"/>
          <w:numId w:val="4"/>
        </w:numPr>
        <w:tabs>
          <w:tab w:val="left" w:pos="1215"/>
        </w:tabs>
        <w:jc w:val="both"/>
      </w:pPr>
      <w:r>
        <w:t xml:space="preserve">S agenturou </w:t>
      </w:r>
      <w:proofErr w:type="spellStart"/>
      <w:r>
        <w:t>Lafayette</w:t>
      </w:r>
      <w:proofErr w:type="spellEnd"/>
      <w:r>
        <w:t xml:space="preserve"> provedl krajský koordinátor 1</w:t>
      </w:r>
      <w:r w:rsidR="00D7294D">
        <w:t>2</w:t>
      </w:r>
      <w:r>
        <w:t xml:space="preserve"> představení spojených s besedou na MŠ a ZŠ na téma Bezpečně na silnici.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</w:tabs>
        <w:jc w:val="both"/>
      </w:pPr>
      <w:r w:rsidRPr="005C4B33">
        <w:t>Narůstající zájem je o akce typu „</w:t>
      </w:r>
      <w:r w:rsidR="0083610F">
        <w:t>D</w:t>
      </w:r>
      <w:r w:rsidRPr="005C4B33">
        <w:t>en bez aut“, “</w:t>
      </w:r>
      <w:r w:rsidR="0083610F">
        <w:t>O</w:t>
      </w:r>
      <w:r w:rsidR="00454C87">
        <w:t>bčan a bezpečnost“</w:t>
      </w:r>
      <w:r w:rsidRPr="005C4B33">
        <w:t>, akce s</w:t>
      </w:r>
      <w:r w:rsidR="0083610F">
        <w:t> Policií ČR, D</w:t>
      </w:r>
      <w:r w:rsidR="009977E5">
        <w:t>P</w:t>
      </w:r>
      <w:r w:rsidR="0083610F">
        <w:t xml:space="preserve"> Prostějov "Zachraň život" a další</w:t>
      </w:r>
      <w:r w:rsidRPr="005C4B33">
        <w:t xml:space="preserve"> dopravně bezpečnostní akce ve spolupráci s </w:t>
      </w:r>
      <w:r w:rsidR="0083610F" w:rsidRPr="005C4B33">
        <w:t>Policií ČR</w:t>
      </w:r>
      <w:r w:rsidR="0083610F">
        <w:t>,</w:t>
      </w:r>
      <w:r w:rsidR="0083610F" w:rsidRPr="005C4B33">
        <w:t xml:space="preserve"> </w:t>
      </w:r>
      <w:r w:rsidR="0083610F">
        <w:t>celní správou a hasiči</w:t>
      </w:r>
      <w:r w:rsidRPr="005C4B33">
        <w:t>.</w:t>
      </w:r>
    </w:p>
    <w:p w:rsidR="005C4B33" w:rsidRPr="005C4B33" w:rsidRDefault="005C4B33" w:rsidP="005C4B33">
      <w:pPr>
        <w:tabs>
          <w:tab w:val="left" w:pos="1215"/>
        </w:tabs>
        <w:ind w:left="567"/>
        <w:jc w:val="both"/>
      </w:pPr>
    </w:p>
    <w:p w:rsidR="005C4B33" w:rsidRPr="005C4B33" w:rsidRDefault="005C4B33" w:rsidP="005C4B33">
      <w:pPr>
        <w:jc w:val="both"/>
      </w:pPr>
      <w:r w:rsidRPr="005C4B33">
        <w:t>Příprava jednotlivých akcí a zejména pak jejich realizace je organizačně i časově velmi náročná a vyžaduje řadu organizačních opatření se zapojením odborných pracovníků a v případě akcí pořádaných za úča</w:t>
      </w:r>
      <w:r w:rsidR="0068390F">
        <w:t>sti dětí i zapojení pedagogů z d</w:t>
      </w:r>
      <w:r w:rsidRPr="005C4B33">
        <w:t>omů dětí</w:t>
      </w:r>
      <w:r w:rsidR="00F43730">
        <w:t xml:space="preserve"> a</w:t>
      </w:r>
      <w:r w:rsidRPr="005C4B33">
        <w:t xml:space="preserve"> škol. Velká část prostředků je každoročně věnována na údržbu stávajících dětských hřišť a</w:t>
      </w:r>
      <w:r w:rsidR="001236C0">
        <w:t> </w:t>
      </w:r>
      <w:r w:rsidRPr="005C4B33">
        <w:t>zejména pak jejich vybavení dopr</w:t>
      </w:r>
      <w:r w:rsidR="002F4F29">
        <w:t>avními značkami, překážkami pro </w:t>
      </w:r>
      <w:r w:rsidRPr="005C4B33">
        <w:t>jízdu zručnosti, jízdními koly a koloběžkami. Pro</w:t>
      </w:r>
      <w:r w:rsidR="002F4F29">
        <w:t>středky jsou rovněž věnovány na </w:t>
      </w:r>
      <w:r w:rsidRPr="005C4B33">
        <w:t>údržbu těchto kol a</w:t>
      </w:r>
      <w:r w:rsidR="001236C0">
        <w:t> </w:t>
      </w:r>
      <w:r w:rsidRPr="005C4B33">
        <w:t>zařízení. S provozem děts</w:t>
      </w:r>
      <w:r w:rsidR="00BF398C">
        <w:t xml:space="preserve">kých dopravních hřišť souvisí </w:t>
      </w:r>
      <w:r w:rsidRPr="005C4B33">
        <w:t>nákup cen na soutěže, výroba propagačních materiálů</w:t>
      </w:r>
      <w:r w:rsidR="00F43730">
        <w:t xml:space="preserve"> a</w:t>
      </w:r>
      <w:r w:rsidRPr="005C4B33">
        <w:t xml:space="preserve"> zajištění příslušných lektorů.    </w:t>
      </w:r>
    </w:p>
    <w:p w:rsidR="005C4B33" w:rsidRPr="005C4B33" w:rsidRDefault="005C4B33" w:rsidP="005C4B33">
      <w:pPr>
        <w:jc w:val="both"/>
      </w:pPr>
    </w:p>
    <w:p w:rsidR="00F43730" w:rsidRDefault="00BF398C" w:rsidP="005C4B33">
      <w:pPr>
        <w:jc w:val="both"/>
      </w:pPr>
      <w:r>
        <w:t>V</w:t>
      </w:r>
      <w:r w:rsidR="004F3887">
        <w:t xml:space="preserve"> </w:t>
      </w:r>
      <w:r w:rsidR="005C4B33" w:rsidRPr="005C4B33">
        <w:t>roce 201</w:t>
      </w:r>
      <w:r w:rsidR="00D7294D">
        <w:t>9</w:t>
      </w:r>
      <w:r w:rsidR="005C4B33" w:rsidRPr="005C4B33">
        <w:t xml:space="preserve"> bylo financování uvedených činností zajištěno ze tří základních zdrojů. Prvním zdrojem byl příspěvek z Ministerstva dopravy - BESIP, dalším byl finanční </w:t>
      </w:r>
      <w:r w:rsidR="005C4B33" w:rsidRPr="005C4B33">
        <w:lastRenderedPageBreak/>
        <w:t>příspěvek z rozpočtu Olomouckého kraje a dále pak z rozpočtů obcí</w:t>
      </w:r>
      <w:r w:rsidR="009977E5">
        <w:t xml:space="preserve"> s rozšířenou působností</w:t>
      </w:r>
      <w:r w:rsidR="005C4B33" w:rsidRPr="005C4B33">
        <w:t xml:space="preserve">. </w:t>
      </w:r>
      <w:r w:rsidR="009977E5">
        <w:t xml:space="preserve">Tyto tři subjekty mimo jiné ze zákona odpovídají za prevenci v oblasti silničního provozu. </w:t>
      </w:r>
      <w:r w:rsidR="005C4B33" w:rsidRPr="005C4B33">
        <w:t>Bohužel prostředky z rozpočtů obcí vykazují značnou rozkolísanost</w:t>
      </w:r>
      <w:r w:rsidR="00E6564A">
        <w:t xml:space="preserve"> </w:t>
      </w:r>
      <w:r w:rsidR="005C4B33" w:rsidRPr="005C4B33">
        <w:t xml:space="preserve">a svědčí v mnoha případech o nesystematickém přístupu k plnění zákona </w:t>
      </w:r>
      <w:r w:rsidR="0083610F">
        <w:t>při</w:t>
      </w:r>
      <w:r w:rsidR="001236C0">
        <w:t> </w:t>
      </w:r>
      <w:r w:rsidR="0083610F">
        <w:t xml:space="preserve">provádění </w:t>
      </w:r>
      <w:r w:rsidR="0083610F" w:rsidRPr="005C4B33">
        <w:t xml:space="preserve">prevence </w:t>
      </w:r>
      <w:r w:rsidR="005C4B33" w:rsidRPr="005C4B33">
        <w:t>v</w:t>
      </w:r>
      <w:r w:rsidR="0083610F">
        <w:t> </w:t>
      </w:r>
      <w:r w:rsidR="005C4B33" w:rsidRPr="005C4B33">
        <w:t>oblasti</w:t>
      </w:r>
      <w:r w:rsidR="0083610F">
        <w:t xml:space="preserve"> BESIP</w:t>
      </w:r>
      <w:r w:rsidR="005C4B33" w:rsidRPr="005C4B33">
        <w:t xml:space="preserve">. Chvályhodným příkladem v této oblasti jsou Olomouc, Prostějov, Jeseník, Litovel, Hranice a </w:t>
      </w:r>
      <w:r w:rsidR="005C4B33" w:rsidRPr="00582C9B">
        <w:t>Lipník na</w:t>
      </w:r>
      <w:r w:rsidR="009439CC" w:rsidRPr="00582C9B">
        <w:t>d Bečvou</w:t>
      </w:r>
      <w:r w:rsidR="009439CC">
        <w:t>.</w:t>
      </w:r>
      <w:r w:rsidR="00CE4982">
        <w:t xml:space="preserve"> </w:t>
      </w:r>
    </w:p>
    <w:p w:rsidR="007D572C" w:rsidRDefault="007D572C" w:rsidP="005C4B33">
      <w:pPr>
        <w:jc w:val="both"/>
      </w:pPr>
    </w:p>
    <w:p w:rsidR="005C4B33" w:rsidRPr="00BA0FFD" w:rsidRDefault="00CE4982" w:rsidP="005C4B33">
      <w:pPr>
        <w:jc w:val="both"/>
      </w:pPr>
      <w:r w:rsidRPr="00BA0FFD">
        <w:t>Zcela výjimečnou je v této oblasti aktivita obecního úřadu v Rudě nad Moravou, kde došlo k modernizaci tamního DDH a toto je možné považovat za vhodný doplněk stávajících dopravních hřišť pro ZŠ tohoto regionu. Dále bylo otevřeno zcela nové DDH v</w:t>
      </w:r>
      <w:r w:rsidR="00624E57">
        <w:t> Moravském Be</w:t>
      </w:r>
      <w:r w:rsidRPr="00BA0FFD">
        <w:t>rouně</w:t>
      </w:r>
      <w:r w:rsidR="00D80B34">
        <w:t xml:space="preserve"> již</w:t>
      </w:r>
      <w:r w:rsidR="00624E57">
        <w:t xml:space="preserve"> v roce 2018 a v Zábřehu v roce 2019 s uvedením do provozu v roce 2020</w:t>
      </w:r>
      <w:r w:rsidRPr="00BA0FFD">
        <w:t>, toto významně přispěje ke kvalitě dopravní výuky a</w:t>
      </w:r>
      <w:r w:rsidR="001236C0">
        <w:t> </w:t>
      </w:r>
      <w:r w:rsidRPr="00BA0FFD">
        <w:t xml:space="preserve">navíc je vhodnou alternativou pro volnočasové aktivity zdejší mládeže. </w:t>
      </w:r>
      <w:r w:rsidR="00624E57">
        <w:t>V</w:t>
      </w:r>
      <w:r w:rsidR="00BA0FFD" w:rsidRPr="00BA0FFD">
        <w:t>ýznamně rekonstruováno bylo DDH v</w:t>
      </w:r>
      <w:r w:rsidR="00624E57">
        <w:t> </w:t>
      </w:r>
      <w:r w:rsidR="00BA0FFD" w:rsidRPr="00BA0FFD">
        <w:t>P</w:t>
      </w:r>
      <w:r w:rsidR="007D572C">
        <w:t>rostějově, Hranicích a Mohelnici</w:t>
      </w:r>
      <w:r w:rsidR="00624E57">
        <w:t xml:space="preserve"> z prostředků Olomouckého kraje</w:t>
      </w:r>
      <w:r w:rsidR="00BA0FFD" w:rsidRPr="00BA0FFD">
        <w:t>.</w:t>
      </w:r>
      <w:r w:rsidRPr="00BA0FFD">
        <w:t xml:space="preserve"> </w:t>
      </w:r>
    </w:p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numPr>
          <w:ilvl w:val="0"/>
          <w:numId w:val="6"/>
        </w:numPr>
        <w:tabs>
          <w:tab w:val="left" w:pos="567"/>
        </w:tabs>
        <w:jc w:val="both"/>
        <w:rPr>
          <w:b/>
        </w:rPr>
      </w:pPr>
      <w:r w:rsidRPr="005C4B33">
        <w:rPr>
          <w:b/>
        </w:rPr>
        <w:t>Přehled čerpání prostředků přidělených z rozpočtu Olomouckého kraje v roce 201</w:t>
      </w:r>
      <w:r w:rsidR="00624E57">
        <w:rPr>
          <w:b/>
        </w:rPr>
        <w:t>9</w:t>
      </w:r>
      <w:r w:rsidRPr="005C4B33">
        <w:rPr>
          <w:b/>
        </w:rPr>
        <w:t xml:space="preserve"> </w:t>
      </w:r>
    </w:p>
    <w:p w:rsidR="005C4B33" w:rsidRPr="005C4B33" w:rsidRDefault="005C4B33" w:rsidP="005C4B33">
      <w:pPr>
        <w:ind w:left="360"/>
        <w:jc w:val="both"/>
      </w:pPr>
    </w:p>
    <w:p w:rsidR="005C4B33" w:rsidRPr="005C4B33" w:rsidRDefault="005C4B33" w:rsidP="005C4B33">
      <w:pPr>
        <w:jc w:val="both"/>
      </w:pPr>
      <w:r w:rsidRPr="005C4B33">
        <w:t>Pro rok 201</w:t>
      </w:r>
      <w:r w:rsidR="00624E57">
        <w:t>9</w:t>
      </w:r>
      <w:r w:rsidRPr="005C4B33">
        <w:t xml:space="preserve"> bylo poskytnutí </w:t>
      </w:r>
      <w:r w:rsidR="00987879">
        <w:t>dotace</w:t>
      </w:r>
      <w:r w:rsidRPr="005C4B33">
        <w:t xml:space="preserve"> ve výši </w:t>
      </w:r>
      <w:r w:rsidR="006069CE">
        <w:t>1 0</w:t>
      </w:r>
      <w:r w:rsidR="00454C87">
        <w:t>00</w:t>
      </w:r>
      <w:r w:rsidR="0046166B">
        <w:t xml:space="preserve"> </w:t>
      </w:r>
      <w:r w:rsidRPr="005C4B33">
        <w:t xml:space="preserve">000 Kč Centru služeb pro silniční dopravu </w:t>
      </w:r>
      <w:r w:rsidR="00E310CB" w:rsidRPr="005C4B33">
        <w:t xml:space="preserve">schváleno </w:t>
      </w:r>
      <w:r w:rsidRPr="005C4B33">
        <w:t>Zastupitelstvem Olomouckého kraje usnesením č.</w:t>
      </w:r>
      <w:r w:rsidR="00E6564A">
        <w:t> </w:t>
      </w:r>
      <w:r w:rsidR="00E6564A" w:rsidRPr="00E6564A">
        <w:t>UZ/</w:t>
      </w:r>
      <w:r w:rsidR="00624E57">
        <w:t>13</w:t>
      </w:r>
      <w:r w:rsidR="00E6564A" w:rsidRPr="00E6564A">
        <w:t>/1</w:t>
      </w:r>
      <w:r w:rsidR="00624E57">
        <w:t>7</w:t>
      </w:r>
      <w:r w:rsidR="00E6564A" w:rsidRPr="00E6564A">
        <w:t>/201</w:t>
      </w:r>
      <w:r w:rsidR="00624E57">
        <w:t>8</w:t>
      </w:r>
      <w:r w:rsidRPr="005C4B33">
        <w:t xml:space="preserve"> ze dne </w:t>
      </w:r>
      <w:r w:rsidR="00E6564A" w:rsidRPr="00E6564A">
        <w:t>1</w:t>
      </w:r>
      <w:r w:rsidR="00624E57">
        <w:t>7</w:t>
      </w:r>
      <w:r w:rsidR="00E6564A" w:rsidRPr="00E6564A">
        <w:t>. 12. 201</w:t>
      </w:r>
      <w:r w:rsidR="00624E57">
        <w:t>8</w:t>
      </w:r>
      <w:r w:rsidRPr="005C4B33">
        <w:t xml:space="preserve">. Smlouva o poskytnutí </w:t>
      </w:r>
      <w:r w:rsidR="00987879">
        <w:t>dotace</w:t>
      </w:r>
      <w:r w:rsidRPr="005C4B33">
        <w:t xml:space="preserve"> byla uzavřena mezi Olomouckým krajem a CSPSD s cílem finančně přispět k organizaci akcí a</w:t>
      </w:r>
      <w:r w:rsidR="00E310CB">
        <w:t> </w:t>
      </w:r>
      <w:r w:rsidRPr="005C4B33">
        <w:t xml:space="preserve">činností v oblasti </w:t>
      </w:r>
      <w:r w:rsidR="009B25B0">
        <w:t xml:space="preserve">prevence </w:t>
      </w:r>
      <w:r w:rsidRPr="005C4B33">
        <w:t xml:space="preserve">BESIP na území Olomouckého kraje. Součástí smlouvy byl rámcový seznam aktivit, na které je plánována finanční podpora ze strany Olomouckého kraje. </w:t>
      </w:r>
    </w:p>
    <w:p w:rsidR="005C4B33" w:rsidRPr="005C4B33" w:rsidRDefault="005C4B33" w:rsidP="005C4B33">
      <w:pPr>
        <w:ind w:left="540"/>
        <w:jc w:val="both"/>
        <w:rPr>
          <w:color w:val="0000FF"/>
          <w:u w:val="single"/>
        </w:rPr>
      </w:pPr>
    </w:p>
    <w:p w:rsidR="005C4B33" w:rsidRDefault="005C4B33" w:rsidP="005F55BC">
      <w:pPr>
        <w:jc w:val="both"/>
        <w:rPr>
          <w:u w:val="single"/>
        </w:rPr>
      </w:pPr>
      <w:r w:rsidRPr="005C4B33">
        <w:rPr>
          <w:u w:val="single"/>
        </w:rPr>
        <w:t xml:space="preserve">Finanční prostředky </w:t>
      </w:r>
      <w:r w:rsidR="005F55BC">
        <w:rPr>
          <w:u w:val="single"/>
        </w:rPr>
        <w:t xml:space="preserve">poskytnuté Olomouckým krajem </w:t>
      </w:r>
      <w:r w:rsidRPr="005C4B33">
        <w:rPr>
          <w:u w:val="single"/>
        </w:rPr>
        <w:t>byly v roce 201</w:t>
      </w:r>
      <w:r w:rsidR="00624E57">
        <w:rPr>
          <w:u w:val="single"/>
        </w:rPr>
        <w:t>9</w:t>
      </w:r>
      <w:r w:rsidRPr="005C4B33">
        <w:rPr>
          <w:u w:val="single"/>
        </w:rPr>
        <w:t xml:space="preserve"> čerpány</w:t>
      </w:r>
      <w:r w:rsidR="005F55BC">
        <w:rPr>
          <w:u w:val="single"/>
        </w:rPr>
        <w:t xml:space="preserve"> </w:t>
      </w:r>
      <w:r w:rsidRPr="005C4B33">
        <w:rPr>
          <w:u w:val="single"/>
        </w:rPr>
        <w:t>následovně:</w:t>
      </w:r>
    </w:p>
    <w:p w:rsidR="00B33029" w:rsidRPr="005C4B33" w:rsidRDefault="00B33029" w:rsidP="005F55BC">
      <w:pPr>
        <w:jc w:val="both"/>
        <w:rPr>
          <w:u w:val="single"/>
        </w:rPr>
      </w:pPr>
    </w:p>
    <w:p w:rsidR="00D5529E" w:rsidRDefault="005F55BC" w:rsidP="00D5529E">
      <w:pPr>
        <w:numPr>
          <w:ilvl w:val="0"/>
          <w:numId w:val="1"/>
        </w:numPr>
        <w:jc w:val="both"/>
      </w:pPr>
      <w:r w:rsidRPr="005C4B33">
        <w:t>na údržb</w:t>
      </w:r>
      <w:r>
        <w:t xml:space="preserve">u </w:t>
      </w:r>
      <w:r w:rsidRPr="005C4B33">
        <w:t xml:space="preserve">a </w:t>
      </w:r>
      <w:r>
        <w:t xml:space="preserve">provoz </w:t>
      </w:r>
      <w:r w:rsidRPr="005C4B33">
        <w:t>dětských dopravních hřišť, včetně údržby svislého a</w:t>
      </w:r>
      <w:r>
        <w:t> </w:t>
      </w:r>
      <w:r w:rsidRPr="005C4B33">
        <w:t>vodorovného dopravního značení</w:t>
      </w:r>
      <w:r>
        <w:t>, na</w:t>
      </w:r>
      <w:r w:rsidRPr="005C4B33">
        <w:t xml:space="preserve"> nákup a údržb</w:t>
      </w:r>
      <w:r>
        <w:t>u</w:t>
      </w:r>
      <w:r w:rsidRPr="005C4B33">
        <w:t xml:space="preserve"> výcvikových kol a</w:t>
      </w:r>
      <w:r>
        <w:t> </w:t>
      </w:r>
      <w:r w:rsidRPr="005C4B33">
        <w:t xml:space="preserve">koloběžek, na </w:t>
      </w:r>
      <w:r>
        <w:t xml:space="preserve">zabezpečení dopravní výchovy dětí včetně </w:t>
      </w:r>
      <w:r w:rsidRPr="005C4B33">
        <w:t>příspěvk</w:t>
      </w:r>
      <w:r>
        <w:t>u</w:t>
      </w:r>
      <w:r w:rsidR="003641FC">
        <w:t xml:space="preserve"> na </w:t>
      </w:r>
      <w:r w:rsidRPr="005C4B33">
        <w:t>dopravu</w:t>
      </w:r>
      <w:r>
        <w:t xml:space="preserve"> dětí na dětská dopravní hřiště:</w:t>
      </w:r>
    </w:p>
    <w:p w:rsidR="00B33029" w:rsidRPr="005C4B33" w:rsidRDefault="00B33029" w:rsidP="00B33029">
      <w:pPr>
        <w:ind w:left="567"/>
        <w:jc w:val="both"/>
      </w:pPr>
    </w:p>
    <w:tbl>
      <w:tblPr>
        <w:tblW w:w="8699" w:type="dxa"/>
        <w:tblInd w:w="481" w:type="dxa"/>
        <w:tblLayout w:type="fixed"/>
        <w:tblLook w:val="0000" w:firstRow="0" w:lastRow="0" w:firstColumn="0" w:lastColumn="0" w:noHBand="0" w:noVBand="0"/>
      </w:tblPr>
      <w:tblGrid>
        <w:gridCol w:w="5439"/>
        <w:gridCol w:w="1470"/>
        <w:gridCol w:w="1790"/>
      </w:tblGrid>
      <w:tr w:rsidR="005C4B33" w:rsidRPr="005C4B33" w:rsidTr="007B5CEA">
        <w:trPr>
          <w:trHeight w:val="397"/>
        </w:trPr>
        <w:tc>
          <w:tcPr>
            <w:tcW w:w="543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>Místo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 xml:space="preserve">Plánované </w:t>
            </w:r>
            <w:proofErr w:type="spellStart"/>
            <w:r w:rsidRPr="005C4B33">
              <w:rPr>
                <w:b/>
              </w:rPr>
              <w:t>fin</w:t>
            </w:r>
            <w:proofErr w:type="spellEnd"/>
            <w:r w:rsidRPr="005C4B33">
              <w:rPr>
                <w:b/>
              </w:rPr>
              <w:t xml:space="preserve">. </w:t>
            </w:r>
            <w:proofErr w:type="spellStart"/>
            <w:r w:rsidRPr="005C4B33">
              <w:rPr>
                <w:b/>
              </w:rPr>
              <w:t>prostř</w:t>
            </w:r>
            <w:proofErr w:type="spellEnd"/>
            <w:r w:rsidRPr="005C4B33">
              <w:rPr>
                <w:b/>
              </w:rPr>
              <w:t>.      ( v </w:t>
            </w:r>
            <w:proofErr w:type="gramStart"/>
            <w:r w:rsidRPr="005C4B33">
              <w:rPr>
                <w:b/>
              </w:rPr>
              <w:t>Kč )</w:t>
            </w:r>
            <w:proofErr w:type="gramEnd"/>
          </w:p>
        </w:tc>
        <w:tc>
          <w:tcPr>
            <w:tcW w:w="179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>Skutečné čerpání           (v </w:t>
            </w:r>
            <w:proofErr w:type="gramStart"/>
            <w:r w:rsidRPr="005C4B33">
              <w:rPr>
                <w:b/>
              </w:rPr>
              <w:t>Kč )</w:t>
            </w:r>
            <w:proofErr w:type="gramEnd"/>
            <w:r w:rsidRPr="005C4B33">
              <w:rPr>
                <w:b/>
              </w:rPr>
              <w:t xml:space="preserve">   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454C87">
            <w:r w:rsidRPr="005C4B33">
              <w:t xml:space="preserve">Jeseník - Česká Ves, </w:t>
            </w:r>
            <w:r w:rsidR="00454C87">
              <w:t>DDH + výuka 6. tříd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454C87" w:rsidP="00624E57">
            <w:pPr>
              <w:jc w:val="right"/>
            </w:pPr>
            <w:r>
              <w:t>4</w:t>
            </w:r>
            <w:r w:rsidR="00624E57">
              <w:t>5</w:t>
            </w:r>
            <w:r w:rsidR="00AB7B47">
              <w:t xml:space="preserve">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624E57">
            <w:pPr>
              <w:jc w:val="right"/>
            </w:pPr>
            <w:r>
              <w:t>55 000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 xml:space="preserve">Zábřeh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13 000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8 000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Mohelnice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38 000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58 120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Uničov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32 000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47 000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 xml:space="preserve">Litovel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34 000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A0FFD">
            <w:pPr>
              <w:jc w:val="right"/>
            </w:pPr>
            <w:r>
              <w:t>45 851</w:t>
            </w:r>
          </w:p>
        </w:tc>
      </w:tr>
      <w:tr w:rsidR="005C4B33" w:rsidRPr="005C4B33" w:rsidTr="00BF398C">
        <w:trPr>
          <w:cantSplit/>
          <w:trHeight w:val="345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Šternberk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28 000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28 000</w:t>
            </w:r>
          </w:p>
        </w:tc>
      </w:tr>
      <w:tr w:rsidR="00BA0FFD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BA0FFD" w:rsidRPr="005C4B33" w:rsidRDefault="00BA0FFD" w:rsidP="00C91567">
            <w:r>
              <w:t>Moravský Beroun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FFD" w:rsidRDefault="00624E57" w:rsidP="00BF398C">
            <w:pPr>
              <w:jc w:val="right"/>
            </w:pPr>
            <w:r>
              <w:t>11 000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A0FFD" w:rsidRDefault="00624E57" w:rsidP="00BF398C">
            <w:pPr>
              <w:jc w:val="right"/>
            </w:pPr>
            <w:r>
              <w:t>0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D</w:t>
            </w:r>
            <w:r w:rsidR="005F55BC">
              <w:t>ětská dopravní hřiště</w:t>
            </w:r>
            <w:r w:rsidRPr="005C4B33">
              <w:t xml:space="preserve"> při </w:t>
            </w:r>
            <w:r w:rsidR="005F55BC">
              <w:t>mateřských školách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30 000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27 749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Olomouc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A0FFD">
            <w:pPr>
              <w:jc w:val="right"/>
            </w:pPr>
            <w:r>
              <w:t>84 000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56 425</w:t>
            </w:r>
          </w:p>
        </w:tc>
      </w:tr>
      <w:tr w:rsidR="005C4B33" w:rsidRPr="005C4B33" w:rsidTr="00BF398C">
        <w:trPr>
          <w:cantSplit/>
          <w:trHeight w:val="397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lastRenderedPageBreak/>
              <w:t>Prostějov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A0FFD">
            <w:pPr>
              <w:jc w:val="right"/>
            </w:pPr>
            <w:r>
              <w:t>84 000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A0FFD">
            <w:pPr>
              <w:jc w:val="right"/>
            </w:pPr>
            <w:r>
              <w:t>89 825</w:t>
            </w:r>
          </w:p>
        </w:tc>
      </w:tr>
      <w:tr w:rsidR="005C4B33" w:rsidRPr="005C4B33" w:rsidTr="00BF398C">
        <w:trPr>
          <w:cantSplit/>
          <w:trHeight w:val="397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C91567">
            <w:r>
              <w:t>Přerov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37 000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37 000</w:t>
            </w:r>
          </w:p>
        </w:tc>
      </w:tr>
      <w:tr w:rsidR="005C4B33" w:rsidRPr="005C4B33" w:rsidTr="00BF398C">
        <w:trPr>
          <w:cantSplit/>
          <w:trHeight w:val="397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AB7B47">
            <w:r w:rsidRPr="005C4B33">
              <w:t xml:space="preserve">Kojetín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8 000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11 750</w:t>
            </w:r>
          </w:p>
        </w:tc>
      </w:tr>
      <w:tr w:rsidR="005C4B33" w:rsidRPr="005C4B33" w:rsidTr="00BF398C">
        <w:trPr>
          <w:cantSplit/>
          <w:trHeight w:val="397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Lipník n</w:t>
            </w:r>
            <w:r w:rsidR="00CB5E6E">
              <w:t>ad</w:t>
            </w:r>
            <w:r w:rsidRPr="005C4B33">
              <w:t xml:space="preserve"> B</w:t>
            </w:r>
            <w:r w:rsidR="00CB5E6E">
              <w:t>ečvou</w:t>
            </w:r>
            <w:r w:rsidRPr="005C4B33">
              <w:t xml:space="preserve">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A0FFD">
            <w:pPr>
              <w:jc w:val="right"/>
            </w:pPr>
            <w:r>
              <w:t>28 000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A0FFD">
            <w:pPr>
              <w:jc w:val="right"/>
            </w:pPr>
            <w:r>
              <w:t xml:space="preserve"> 31 460</w:t>
            </w:r>
          </w:p>
        </w:tc>
      </w:tr>
      <w:tr w:rsidR="005C4B33" w:rsidRPr="005C4B33" w:rsidTr="00BF398C">
        <w:trPr>
          <w:cantSplit/>
          <w:trHeight w:val="397"/>
        </w:trPr>
        <w:tc>
          <w:tcPr>
            <w:tcW w:w="54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 xml:space="preserve">Hranice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30 000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624E57" w:rsidP="00BF398C">
            <w:pPr>
              <w:jc w:val="right"/>
            </w:pPr>
            <w:r>
              <w:t>29 873</w:t>
            </w:r>
          </w:p>
        </w:tc>
      </w:tr>
      <w:tr w:rsidR="00AB7B47" w:rsidRPr="005C4B33" w:rsidTr="00BF398C">
        <w:trPr>
          <w:cantSplit/>
          <w:trHeight w:val="397"/>
        </w:trPr>
        <w:tc>
          <w:tcPr>
            <w:tcW w:w="54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B7B47" w:rsidRPr="005C4B33" w:rsidRDefault="00AB7B47" w:rsidP="00C91567">
            <w:r>
              <w:t>Jiné – vybavení a údržba nových DDH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B47" w:rsidRDefault="00624E57" w:rsidP="00BF398C">
            <w:pPr>
              <w:jc w:val="right"/>
            </w:pPr>
            <w:r>
              <w:t>48 000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B7B47" w:rsidRDefault="00624E57" w:rsidP="00BA0FFD">
            <w:pPr>
              <w:jc w:val="right"/>
            </w:pPr>
            <w:r>
              <w:t>103 077</w:t>
            </w:r>
          </w:p>
        </w:tc>
      </w:tr>
      <w:tr w:rsidR="005C4B33" w:rsidRPr="005C4B33" w:rsidTr="007B5CEA">
        <w:trPr>
          <w:cantSplit/>
          <w:trHeight w:val="397"/>
        </w:trPr>
        <w:tc>
          <w:tcPr>
            <w:tcW w:w="54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5C4B33" w:rsidP="00C91567">
            <w:pPr>
              <w:snapToGrid w:val="0"/>
              <w:rPr>
                <w:b/>
              </w:rPr>
            </w:pPr>
            <w:r w:rsidRPr="005C4B33">
              <w:rPr>
                <w:b/>
              </w:rPr>
              <w:t xml:space="preserve">Celkem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AB7B47" w:rsidP="00BF398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550 000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624E57" w:rsidP="00BF398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629 130</w:t>
            </w:r>
          </w:p>
        </w:tc>
      </w:tr>
    </w:tbl>
    <w:p w:rsidR="00BF398C" w:rsidRDefault="00BF398C" w:rsidP="00BF398C">
      <w:pPr>
        <w:ind w:left="567"/>
        <w:jc w:val="both"/>
      </w:pPr>
    </w:p>
    <w:p w:rsidR="00D5529E" w:rsidRDefault="00D5529E" w:rsidP="00BF398C">
      <w:pPr>
        <w:numPr>
          <w:ilvl w:val="0"/>
          <w:numId w:val="1"/>
        </w:numPr>
        <w:jc w:val="both"/>
      </w:pPr>
      <w:r>
        <w:t>na o</w:t>
      </w:r>
      <w:r w:rsidRPr="005C4B33">
        <w:t>rganizační zabezpečení a průběh akcí organizovaných v oblasti BESIP a</w:t>
      </w:r>
      <w:r>
        <w:t> </w:t>
      </w:r>
      <w:r w:rsidR="007B0826">
        <w:t>na </w:t>
      </w:r>
      <w:r w:rsidRPr="005C4B33">
        <w:t>zajištění seminářů a dopravních soutěží</w:t>
      </w:r>
      <w:r>
        <w:t>:</w:t>
      </w:r>
    </w:p>
    <w:p w:rsidR="005C4B33" w:rsidRPr="005C4B33" w:rsidRDefault="005C4B33" w:rsidP="005C4B33">
      <w:pPr>
        <w:ind w:left="540" w:firstLine="360"/>
        <w:jc w:val="both"/>
        <w:rPr>
          <w:color w:val="0000FF"/>
        </w:rPr>
      </w:pPr>
    </w:p>
    <w:tbl>
      <w:tblPr>
        <w:tblW w:w="86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386"/>
        <w:gridCol w:w="1559"/>
        <w:gridCol w:w="1701"/>
      </w:tblGrid>
      <w:tr w:rsidR="005C4B33" w:rsidRPr="005C4B33" w:rsidTr="007B5CEA">
        <w:trPr>
          <w:trHeight w:val="397"/>
        </w:trPr>
        <w:tc>
          <w:tcPr>
            <w:tcW w:w="53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>Akce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 xml:space="preserve">Plánované       </w:t>
            </w:r>
            <w:proofErr w:type="spellStart"/>
            <w:r w:rsidRPr="005C4B33">
              <w:rPr>
                <w:b/>
              </w:rPr>
              <w:t>fin</w:t>
            </w:r>
            <w:proofErr w:type="spellEnd"/>
            <w:r w:rsidRPr="005C4B33">
              <w:rPr>
                <w:b/>
              </w:rPr>
              <w:t xml:space="preserve">. </w:t>
            </w:r>
            <w:proofErr w:type="spellStart"/>
            <w:r w:rsidRPr="005C4B33">
              <w:rPr>
                <w:b/>
              </w:rPr>
              <w:t>prostř</w:t>
            </w:r>
            <w:proofErr w:type="spellEnd"/>
            <w:r w:rsidRPr="005C4B33">
              <w:rPr>
                <w:b/>
              </w:rPr>
              <w:t>.                 ( v </w:t>
            </w:r>
            <w:proofErr w:type="gramStart"/>
            <w:r w:rsidRPr="005C4B33">
              <w:rPr>
                <w:b/>
              </w:rPr>
              <w:t>Kč )</w:t>
            </w:r>
            <w:proofErr w:type="gramEnd"/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>Skutečné čerpání           (v </w:t>
            </w:r>
            <w:proofErr w:type="gramStart"/>
            <w:r w:rsidRPr="005C4B33">
              <w:rPr>
                <w:b/>
              </w:rPr>
              <w:t>Kč )</w:t>
            </w:r>
            <w:proofErr w:type="gramEnd"/>
            <w:r w:rsidRPr="005C4B33">
              <w:rPr>
                <w:b/>
              </w:rPr>
              <w:t xml:space="preserve">   </w:t>
            </w:r>
          </w:p>
        </w:tc>
      </w:tr>
      <w:tr w:rsidR="00856461" w:rsidRPr="005C4B33" w:rsidTr="00BF398C">
        <w:trPr>
          <w:trHeight w:val="397"/>
        </w:trPr>
        <w:tc>
          <w:tcPr>
            <w:tcW w:w="5386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:rsidR="00856461" w:rsidRPr="005C4B33" w:rsidRDefault="00856461" w:rsidP="00856461">
            <w:r>
              <w:t>Soutěže dětí s tématikou BESIP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856461" w:rsidRPr="005C4B33" w:rsidRDefault="00856461" w:rsidP="00856461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35 000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56461" w:rsidRPr="005C4B33" w:rsidRDefault="00856461" w:rsidP="00856461">
            <w:pPr>
              <w:jc w:val="right"/>
            </w:pPr>
            <w:r>
              <w:t>38 923,55</w:t>
            </w:r>
          </w:p>
        </w:tc>
      </w:tr>
      <w:tr w:rsidR="00856461" w:rsidRPr="005C4B33" w:rsidTr="00BF398C">
        <w:trPr>
          <w:trHeight w:val="397"/>
        </w:trPr>
        <w:tc>
          <w:tcPr>
            <w:tcW w:w="5386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r w:rsidRPr="005C4B33">
              <w:t>Akce s Policií ČR</w:t>
            </w:r>
            <w:r>
              <w:t>,</w:t>
            </w:r>
            <w:r w:rsidRPr="005C4B33">
              <w:t xml:space="preserve"> </w:t>
            </w:r>
            <w:r>
              <w:t>s </w:t>
            </w:r>
            <w:r w:rsidRPr="005C4B33">
              <w:t>IZS</w:t>
            </w:r>
            <w:r>
              <w:rPr>
                <w:color w:val="0000FF"/>
              </w:rPr>
              <w:t xml:space="preserve"> </w:t>
            </w:r>
            <w:r w:rsidRPr="00DF01D5">
              <w:t>apod.</w:t>
            </w:r>
            <w:r w:rsidRPr="005C4B33"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172 000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461" w:rsidRPr="005C4B33" w:rsidRDefault="00856461" w:rsidP="00856461">
            <w:pPr>
              <w:jc w:val="right"/>
            </w:pPr>
            <w:r>
              <w:t>141 283,06</w:t>
            </w:r>
          </w:p>
        </w:tc>
      </w:tr>
      <w:tr w:rsidR="00856461" w:rsidRPr="005C4B33" w:rsidTr="00BF398C">
        <w:trPr>
          <w:trHeight w:val="397"/>
        </w:trPr>
        <w:tc>
          <w:tcPr>
            <w:tcW w:w="53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r>
              <w:t>Dopravní soutěž „Cyklista roku“ v Mohelnici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6 000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461" w:rsidRPr="005C4B33" w:rsidRDefault="00856461" w:rsidP="00856461">
            <w:pPr>
              <w:jc w:val="right"/>
            </w:pPr>
            <w:r>
              <w:t>5 918</w:t>
            </w:r>
          </w:p>
        </w:tc>
      </w:tr>
      <w:tr w:rsidR="00856461" w:rsidRPr="005C4B33" w:rsidTr="00BF398C">
        <w:trPr>
          <w:trHeight w:val="397"/>
        </w:trPr>
        <w:tc>
          <w:tcPr>
            <w:tcW w:w="53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r w:rsidRPr="005C4B33">
              <w:t>Dopravní výchova na letních táborech</w:t>
            </w:r>
            <w:r>
              <w:t xml:space="preserve"> dětí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461" w:rsidRPr="005C4B33" w:rsidRDefault="00856461" w:rsidP="00856461">
            <w:pPr>
              <w:jc w:val="right"/>
            </w:pPr>
            <w:r>
              <w:t>0</w:t>
            </w:r>
          </w:p>
        </w:tc>
      </w:tr>
      <w:tr w:rsidR="00856461" w:rsidRPr="005C4B33" w:rsidTr="00BF398C">
        <w:trPr>
          <w:trHeight w:val="397"/>
        </w:trPr>
        <w:tc>
          <w:tcPr>
            <w:tcW w:w="53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r w:rsidRPr="005C4B33">
              <w:t xml:space="preserve">Semináře, porady, instruktáže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35 000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461" w:rsidRPr="005C4B33" w:rsidRDefault="00856461" w:rsidP="00856461">
            <w:pPr>
              <w:jc w:val="right"/>
            </w:pPr>
            <w:r>
              <w:t>19 700</w:t>
            </w:r>
          </w:p>
        </w:tc>
      </w:tr>
      <w:tr w:rsidR="00856461" w:rsidRPr="005C4B33" w:rsidTr="00BF398C">
        <w:trPr>
          <w:trHeight w:val="397"/>
        </w:trPr>
        <w:tc>
          <w:tcPr>
            <w:tcW w:w="53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r>
              <w:t>D</w:t>
            </w:r>
            <w:r w:rsidRPr="005C4B33">
              <w:t>op</w:t>
            </w:r>
            <w:r>
              <w:t>ravní soutěže mladých cyklistů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157 000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461" w:rsidRPr="005C4B33" w:rsidRDefault="00856461" w:rsidP="00856461">
            <w:pPr>
              <w:jc w:val="right"/>
            </w:pPr>
            <w:r>
              <w:t>127 505,12</w:t>
            </w:r>
          </w:p>
        </w:tc>
      </w:tr>
      <w:tr w:rsidR="00856461" w:rsidRPr="005C4B33" w:rsidTr="00BF398C">
        <w:trPr>
          <w:trHeight w:val="397"/>
        </w:trPr>
        <w:tc>
          <w:tcPr>
            <w:tcW w:w="53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r w:rsidRPr="005C4B33">
              <w:t xml:space="preserve">Krajské kolo dopravní soutěže </w:t>
            </w:r>
            <w:r>
              <w:t xml:space="preserve">mladých </w:t>
            </w:r>
            <w:r w:rsidRPr="005C4B33">
              <w:t xml:space="preserve">cyklistů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461" w:rsidRPr="005C4B33" w:rsidRDefault="00856461" w:rsidP="00856461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40 000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461" w:rsidRPr="005C4B33" w:rsidRDefault="00856461" w:rsidP="00856461">
            <w:pPr>
              <w:jc w:val="right"/>
            </w:pPr>
            <w:r>
              <w:t>32 944,82</w:t>
            </w:r>
          </w:p>
        </w:tc>
      </w:tr>
      <w:tr w:rsidR="005C4B33" w:rsidRPr="005C4B33" w:rsidTr="007B5CEA">
        <w:trPr>
          <w:trHeight w:val="397"/>
        </w:trPr>
        <w:tc>
          <w:tcPr>
            <w:tcW w:w="53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5C4B33" w:rsidP="00C91567">
            <w:pPr>
              <w:snapToGrid w:val="0"/>
            </w:pPr>
            <w:r w:rsidRPr="005C4B33">
              <w:t xml:space="preserve">Celkem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AB7B47" w:rsidP="00BF398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450 000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856461" w:rsidP="00BF398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366 274,55</w:t>
            </w:r>
          </w:p>
        </w:tc>
      </w:tr>
    </w:tbl>
    <w:p w:rsidR="005C4B33" w:rsidRPr="005C4B33" w:rsidRDefault="005C4B33" w:rsidP="005C4B33">
      <w:pPr>
        <w:ind w:left="540" w:firstLine="360"/>
        <w:jc w:val="both"/>
      </w:pPr>
    </w:p>
    <w:p w:rsidR="00F76744" w:rsidRDefault="00F76744" w:rsidP="005C4B33">
      <w:pPr>
        <w:jc w:val="both"/>
        <w:rPr>
          <w:b/>
        </w:rPr>
      </w:pPr>
    </w:p>
    <w:p w:rsidR="005C4B33" w:rsidRPr="005C4B33" w:rsidRDefault="00AC1CF5" w:rsidP="005C4B33">
      <w:pPr>
        <w:jc w:val="both"/>
        <w:rPr>
          <w:b/>
        </w:rPr>
      </w:pPr>
      <w:r>
        <w:rPr>
          <w:b/>
        </w:rPr>
        <w:t xml:space="preserve">3. </w:t>
      </w:r>
      <w:r w:rsidR="005C4B33" w:rsidRPr="005C4B33">
        <w:rPr>
          <w:b/>
        </w:rPr>
        <w:t>Vyhodnocení</w:t>
      </w:r>
    </w:p>
    <w:p w:rsidR="005C4B33" w:rsidRPr="005C4B33" w:rsidRDefault="005C4B33" w:rsidP="005C4B33">
      <w:pPr>
        <w:jc w:val="both"/>
      </w:pPr>
    </w:p>
    <w:p w:rsidR="005C4B33" w:rsidRDefault="005C4B33" w:rsidP="005C4B33">
      <w:pPr>
        <w:jc w:val="both"/>
      </w:pPr>
      <w:r w:rsidRPr="005C4B33">
        <w:t>Jak vyplývá z uvedeného přehledu čerpání finančních prostřed</w:t>
      </w:r>
      <w:r w:rsidR="00916533">
        <w:t>ků, byly v roce 201</w:t>
      </w:r>
      <w:r w:rsidR="00856461">
        <w:t>9</w:t>
      </w:r>
      <w:r w:rsidR="00916533">
        <w:t xml:space="preserve"> u většiny d</w:t>
      </w:r>
      <w:r w:rsidRPr="005C4B33">
        <w:t>opravních hřiš</w:t>
      </w:r>
      <w:r w:rsidR="00856461">
        <w:t>ť čerpány finanční prostředky podle skutečné potřeby, proto došlo u některých DDH k výkyvům</w:t>
      </w:r>
      <w:r w:rsidRPr="005C4B33">
        <w:t>. Dílčí rozdíly oproti plánu jsou způsobeny nepředvídat</w:t>
      </w:r>
      <w:r w:rsidR="003641FC">
        <w:t>elnými výkyvy v návštěvnosti na </w:t>
      </w:r>
      <w:r w:rsidRPr="005C4B33">
        <w:t xml:space="preserve">dětských hřištích, kterou nelze dopředu zcela přesně odhadnout, </w:t>
      </w:r>
      <w:r w:rsidR="00D5529E">
        <w:t xml:space="preserve">přičemž </w:t>
      </w:r>
      <w:r w:rsidRPr="005C4B33">
        <w:t>zejména počasí zasahuje do plnění plánu výuky zcela zásadním způsobem.</w:t>
      </w:r>
    </w:p>
    <w:p w:rsidR="00582C9B" w:rsidRDefault="00582C9B" w:rsidP="005C4B33">
      <w:pPr>
        <w:jc w:val="both"/>
      </w:pPr>
    </w:p>
    <w:p w:rsidR="00EA54A0" w:rsidRPr="005C4B33" w:rsidRDefault="00EA54A0" w:rsidP="005C4B33">
      <w:pPr>
        <w:jc w:val="both"/>
      </w:pPr>
      <w:r>
        <w:t>Rozdíl u čerpání na DDH v </w:t>
      </w:r>
      <w:r w:rsidR="00AB7B47">
        <w:t>Zábřehu</w:t>
      </w:r>
      <w:r>
        <w:t xml:space="preserve"> byl způsoben </w:t>
      </w:r>
      <w:r w:rsidR="00AB7B47">
        <w:t>útlumem aktivit a v roce 201</w:t>
      </w:r>
      <w:r w:rsidR="00D3516D">
        <w:t>9</w:t>
      </w:r>
      <w:r w:rsidR="00AB7B47">
        <w:t xml:space="preserve"> je v plánu Svádovy autoškoly </w:t>
      </w:r>
      <w:r w:rsidR="00D3516D">
        <w:t>již pouze výuka žáků 4. tříd</w:t>
      </w:r>
      <w:r w:rsidR="00AB7B47">
        <w:t>.</w:t>
      </w:r>
      <w:r w:rsidR="00D3516D">
        <w:t xml:space="preserve"> U DDH Moravský Beroun zatím běží volnočasové aktivity v rámci města, na zajištění odborné výuky nebyl vznesen požadavek. </w:t>
      </w:r>
      <w:r w:rsidR="00980AC0">
        <w:t>Vzhledem k tomu, že trvale roste poptávka po aktivitách na</w:t>
      </w:r>
      <w:r w:rsidR="001236C0">
        <w:t> </w:t>
      </w:r>
      <w:r w:rsidR="00980AC0">
        <w:t>DDH i mimo dobu výuky, byl</w:t>
      </w:r>
      <w:r w:rsidR="00856461">
        <w:t>y</w:t>
      </w:r>
      <w:r w:rsidR="00980AC0">
        <w:t xml:space="preserve"> zakoupen</w:t>
      </w:r>
      <w:r w:rsidR="00856461">
        <w:t>y nové koloběžky</w:t>
      </w:r>
      <w:r w:rsidR="00980AC0">
        <w:t xml:space="preserve">, </w:t>
      </w:r>
      <w:r w:rsidR="00F43730">
        <w:t xml:space="preserve">byla podpořena </w:t>
      </w:r>
      <w:r w:rsidR="00980AC0">
        <w:t>údržb</w:t>
      </w:r>
      <w:r w:rsidR="00F43730">
        <w:t>a</w:t>
      </w:r>
      <w:r w:rsidR="00980AC0">
        <w:t xml:space="preserve"> několika překážek pro jízdu zručnosti, </w:t>
      </w:r>
      <w:r w:rsidR="00F43730">
        <w:t>což</w:t>
      </w:r>
      <w:r w:rsidR="00980AC0">
        <w:t xml:space="preserve"> by mělo významně přispět ke kvalitě výuky</w:t>
      </w:r>
      <w:r w:rsidR="00856461">
        <w:t xml:space="preserve"> a dovednostem dětí</w:t>
      </w:r>
      <w:r w:rsidR="00980AC0">
        <w:t>. Byly ušetřeny finanční prostředky vyčleněné na aktivity během letních táborů dětí, toto uhradilo Ministerstvo dopravy – BE</w:t>
      </w:r>
      <w:r w:rsidR="0070567A">
        <w:t xml:space="preserve">SIP z nově zavedené </w:t>
      </w:r>
      <w:r w:rsidR="0070567A">
        <w:lastRenderedPageBreak/>
        <w:t>kapitoly na </w:t>
      </w:r>
      <w:r w:rsidR="00980AC0">
        <w:t>podporu spolupracujících subjektů s Krajským pracovištěm BESIP.</w:t>
      </w:r>
      <w:r w:rsidR="00856461">
        <w:t xml:space="preserve"> Z ušetřených finančních prostředků se tak mohlo nakoupit více cen pro děti, které se rozdávají při vědomostních testech a podobných aktivitách.</w:t>
      </w:r>
    </w:p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jc w:val="both"/>
      </w:pPr>
      <w:r w:rsidRPr="005C4B33">
        <w:t xml:space="preserve">K zajištění soutěží byly dodány Ministerstvem dopravy kvalitní ceny, proto mohly být více zabezpečeny soutěže na okresní úrovni.  </w:t>
      </w:r>
    </w:p>
    <w:p w:rsidR="005C4B33" w:rsidRPr="005C4B33" w:rsidRDefault="005C4B33" w:rsidP="005C4B33">
      <w:pPr>
        <w:jc w:val="both"/>
      </w:pPr>
    </w:p>
    <w:p w:rsidR="005C4B33" w:rsidRDefault="005C4B33" w:rsidP="005C4B33">
      <w:pPr>
        <w:jc w:val="both"/>
      </w:pPr>
      <w:r w:rsidRPr="005C4B33">
        <w:t>V souladu s podmínk</w:t>
      </w:r>
      <w:r w:rsidR="00BF398C">
        <w:t>ami uzavřené smlouvy o dotaci</w:t>
      </w:r>
      <w:r w:rsidRPr="005C4B33">
        <w:t xml:space="preserve"> z rozpočtu Olomouckého kraje byly </w:t>
      </w:r>
      <w:r w:rsidR="00B670B0" w:rsidRPr="005C4B33">
        <w:t>v roce 201</w:t>
      </w:r>
      <w:r w:rsidR="00856461">
        <w:t>9</w:t>
      </w:r>
      <w:r w:rsidR="00B670B0" w:rsidRPr="005C4B33">
        <w:t xml:space="preserve"> </w:t>
      </w:r>
      <w:r w:rsidRPr="005C4B33">
        <w:t xml:space="preserve">veškeré prostředky na zajištění výše uvedených akcí a aktivit </w:t>
      </w:r>
      <w:r w:rsidR="00B670B0" w:rsidRPr="005C4B33">
        <w:t xml:space="preserve">CSPSD </w:t>
      </w:r>
      <w:r w:rsidR="00B670B0">
        <w:t>vy</w:t>
      </w:r>
      <w:r w:rsidR="00B670B0" w:rsidRPr="005C4B33">
        <w:t>čerp</w:t>
      </w:r>
      <w:r w:rsidR="00B670B0">
        <w:t>á</w:t>
      </w:r>
      <w:r w:rsidR="00B670B0" w:rsidRPr="005C4B33">
        <w:t>n</w:t>
      </w:r>
      <w:r w:rsidR="00B670B0">
        <w:t>y</w:t>
      </w:r>
      <w:r w:rsidR="00B670B0" w:rsidRPr="005C4B33">
        <w:t xml:space="preserve"> </w:t>
      </w:r>
      <w:r w:rsidR="00B670B0">
        <w:t>do</w:t>
      </w:r>
      <w:r w:rsidRPr="005C4B33">
        <w:t> 15. 12. 201</w:t>
      </w:r>
      <w:r w:rsidR="00D33A5C">
        <w:t>9</w:t>
      </w:r>
      <w:r w:rsidRPr="005C4B33">
        <w:t xml:space="preserve"> Olomouckému kraji </w:t>
      </w:r>
      <w:r w:rsidR="00B670B0">
        <w:t xml:space="preserve">následně </w:t>
      </w:r>
      <w:r w:rsidRPr="005C4B33">
        <w:t xml:space="preserve">vyúčtovány a doloženy potřebnými doklady prokazujícími správné využití těchto finančních prostředků. </w:t>
      </w:r>
      <w:r w:rsidR="00856461">
        <w:t xml:space="preserve">Dotace od Olomouckého kraje nebyla v plné výši vyčerpána, do rozpočtu Olomouckého kraje byla vrácena </w:t>
      </w:r>
      <w:r w:rsidR="00856461" w:rsidRPr="0069114C">
        <w:rPr>
          <w:b/>
        </w:rPr>
        <w:t>částka ve výši 4 596,11 Kč</w:t>
      </w:r>
      <w:r w:rsidR="00856461">
        <w:t>.</w:t>
      </w:r>
    </w:p>
    <w:p w:rsidR="00876F90" w:rsidRDefault="00876F90" w:rsidP="005C4B33">
      <w:pPr>
        <w:jc w:val="both"/>
      </w:pPr>
    </w:p>
    <w:p w:rsidR="004F3887" w:rsidRPr="005C4B33" w:rsidRDefault="004F3887" w:rsidP="00C36186">
      <w:pPr>
        <w:jc w:val="both"/>
      </w:pPr>
    </w:p>
    <w:p w:rsidR="005C4B33" w:rsidRPr="00F76744" w:rsidRDefault="00F76744" w:rsidP="005C4B33">
      <w:pPr>
        <w:jc w:val="both"/>
        <w:rPr>
          <w:b/>
          <w:sz w:val="28"/>
          <w:szCs w:val="28"/>
          <w:u w:val="single"/>
        </w:rPr>
      </w:pPr>
      <w:r w:rsidRPr="00F76744">
        <w:rPr>
          <w:b/>
          <w:sz w:val="28"/>
          <w:szCs w:val="28"/>
          <w:u w:val="single"/>
        </w:rPr>
        <w:t>B</w:t>
      </w:r>
      <w:r w:rsidR="005C4B33" w:rsidRPr="00F76744">
        <w:rPr>
          <w:b/>
          <w:sz w:val="28"/>
          <w:szCs w:val="28"/>
          <w:u w:val="single"/>
        </w:rPr>
        <w:t xml:space="preserve">. Návrh činností a čerpání finančních prostředků na jejich realizaci   </w:t>
      </w:r>
    </w:p>
    <w:p w:rsidR="005C4B33" w:rsidRPr="00F76744" w:rsidRDefault="005C4B33" w:rsidP="005C4B33">
      <w:pPr>
        <w:jc w:val="both"/>
        <w:rPr>
          <w:b/>
          <w:sz w:val="28"/>
          <w:szCs w:val="28"/>
          <w:u w:val="single"/>
        </w:rPr>
      </w:pPr>
      <w:r w:rsidRPr="00F76744">
        <w:rPr>
          <w:b/>
          <w:sz w:val="28"/>
          <w:szCs w:val="28"/>
          <w:u w:val="single"/>
        </w:rPr>
        <w:t>v roce 20</w:t>
      </w:r>
      <w:r w:rsidR="00856461">
        <w:rPr>
          <w:b/>
          <w:sz w:val="28"/>
          <w:szCs w:val="28"/>
          <w:u w:val="single"/>
        </w:rPr>
        <w:t>20</w:t>
      </w:r>
    </w:p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jc w:val="both"/>
      </w:pPr>
      <w:r w:rsidRPr="005C4B33">
        <w:t>Jedním z opatření směřujícím ke snižování dopravní nehodovosti a jejich následků</w:t>
      </w:r>
      <w:r w:rsidR="00AC1CF5">
        <w:t xml:space="preserve"> a</w:t>
      </w:r>
      <w:r w:rsidR="006C3C55">
        <w:t> </w:t>
      </w:r>
      <w:r w:rsidR="00AC1CF5">
        <w:t>zvýšení bezpečnosti v silničním provozu</w:t>
      </w:r>
      <w:r w:rsidRPr="005C4B33">
        <w:t xml:space="preserve"> je právě prevence v oblasti bezpečnosti silničního provozu. </w:t>
      </w:r>
      <w:r w:rsidR="00AC1CF5">
        <w:t>Z</w:t>
      </w:r>
      <w:r w:rsidRPr="005C4B33">
        <w:t xml:space="preserve">abezpečovat prevenci v oblasti bezpečnosti silničního provozu je jednou z povinností </w:t>
      </w:r>
      <w:r w:rsidR="00AC1CF5">
        <w:t>K</w:t>
      </w:r>
      <w:r w:rsidR="00B670B0">
        <w:t>rajského úřadu</w:t>
      </w:r>
      <w:r w:rsidR="00AC1CF5">
        <w:t xml:space="preserve"> Olomouckého kraje</w:t>
      </w:r>
      <w:r w:rsidRPr="005C4B33">
        <w:t>, která pro něj vyplývá z</w:t>
      </w:r>
      <w:r w:rsidR="006C3C55">
        <w:t> </w:t>
      </w:r>
      <w:r w:rsidR="00AC1CF5">
        <w:t>§</w:t>
      </w:r>
      <w:r w:rsidR="006C3C55">
        <w:t> </w:t>
      </w:r>
      <w:r w:rsidR="00AC1CF5">
        <w:t>124 odst. 4 písm. c)</w:t>
      </w:r>
      <w:r w:rsidRPr="005C4B33">
        <w:t xml:space="preserve"> zákona </w:t>
      </w:r>
      <w:r w:rsidR="00AC1CF5">
        <w:t xml:space="preserve">č. 361/2000 Sb., </w:t>
      </w:r>
      <w:r w:rsidRPr="005C4B33">
        <w:t>o</w:t>
      </w:r>
      <w:r w:rsidR="00B670B0">
        <w:t> </w:t>
      </w:r>
      <w:r w:rsidR="00AC1CF5">
        <w:t>provozu na pozemních komunikacích, ve znění pozdějších předpisů,</w:t>
      </w:r>
      <w:r w:rsidRPr="005C4B33">
        <w:t xml:space="preserve"> a je založena především na spolupráci </w:t>
      </w:r>
      <w:r w:rsidR="00AC1CF5">
        <w:t>Krajského úřadu</w:t>
      </w:r>
      <w:r w:rsidR="00B670B0">
        <w:t xml:space="preserve"> </w:t>
      </w:r>
      <w:r w:rsidRPr="005C4B33">
        <w:t>Olomouckého kraje, Policie ČR,</w:t>
      </w:r>
      <w:r w:rsidR="00AC1CF5">
        <w:t xml:space="preserve"> hasičů, Celní správy,</w:t>
      </w:r>
      <w:r w:rsidRPr="005C4B33">
        <w:t xml:space="preserve"> </w:t>
      </w:r>
      <w:r w:rsidR="00B670B0">
        <w:t>obcí s rozšířenou působností, městských policií</w:t>
      </w:r>
      <w:r w:rsidR="0015400C">
        <w:t>, domů dětí a mládeže, a</w:t>
      </w:r>
      <w:r w:rsidRPr="005C4B33">
        <w:t>utoškol a dalších oslovených subjektů.</w:t>
      </w:r>
    </w:p>
    <w:p w:rsidR="005C4B33" w:rsidRPr="005C4B33" w:rsidRDefault="005C4B33" w:rsidP="005C4B33">
      <w:pPr>
        <w:jc w:val="both"/>
      </w:pPr>
    </w:p>
    <w:p w:rsidR="000C39BE" w:rsidRDefault="005C4B33" w:rsidP="005C4B33">
      <w:pPr>
        <w:jc w:val="both"/>
      </w:pPr>
      <w:r w:rsidRPr="005C4B33">
        <w:t>Činnost</w:t>
      </w:r>
      <w:r w:rsidR="00F43730">
        <w:t xml:space="preserve"> v roce 20</w:t>
      </w:r>
      <w:r w:rsidR="00D33A5C">
        <w:t>20</w:t>
      </w:r>
      <w:r w:rsidR="00055507">
        <w:t xml:space="preserve"> bude</w:t>
      </w:r>
      <w:r w:rsidR="000C39BE">
        <w:t xml:space="preserve"> zabezpečována prostřednictvím</w:t>
      </w:r>
      <w:r w:rsidRPr="005C4B33">
        <w:t xml:space="preserve"> CSPSD na základě Smlouvy </w:t>
      </w:r>
      <w:r w:rsidR="000C39BE" w:rsidRPr="005C4B33">
        <w:t xml:space="preserve">o poskytnutí </w:t>
      </w:r>
      <w:r w:rsidR="00055507">
        <w:t>dotace</w:t>
      </w:r>
      <w:r w:rsidR="000C39BE" w:rsidRPr="005C4B33">
        <w:t xml:space="preserve"> na </w:t>
      </w:r>
      <w:r w:rsidR="000C39BE" w:rsidRPr="00CE7A31">
        <w:t>provádění prevence v</w:t>
      </w:r>
      <w:r w:rsidR="000C39BE">
        <w:t> </w:t>
      </w:r>
      <w:r w:rsidR="000C39BE" w:rsidRPr="00CE7A31">
        <w:t>oblasti</w:t>
      </w:r>
      <w:r w:rsidR="000C39BE">
        <w:t xml:space="preserve"> BESIP</w:t>
      </w:r>
      <w:r w:rsidR="000C39BE" w:rsidRPr="005C4B33">
        <w:t xml:space="preserve"> </w:t>
      </w:r>
      <w:r w:rsidR="000C39BE">
        <w:t>na území</w:t>
      </w:r>
      <w:r w:rsidR="000C39BE" w:rsidRPr="005C4B33">
        <w:t xml:space="preserve"> Olomouckého kraje</w:t>
      </w:r>
      <w:r w:rsidRPr="005C4B33">
        <w:t xml:space="preserve">. </w:t>
      </w:r>
    </w:p>
    <w:p w:rsidR="00D33A5C" w:rsidRDefault="00D33A5C" w:rsidP="005C4B33">
      <w:pPr>
        <w:jc w:val="both"/>
      </w:pPr>
    </w:p>
    <w:p w:rsidR="005C4B33" w:rsidRDefault="000C39BE" w:rsidP="005C4B33">
      <w:pPr>
        <w:jc w:val="both"/>
      </w:pPr>
      <w:r>
        <w:t>Jedním z ú</w:t>
      </w:r>
      <w:r w:rsidR="005C4B33" w:rsidRPr="005C4B33">
        <w:t>k</w:t>
      </w:r>
      <w:r>
        <w:t>olů</w:t>
      </w:r>
      <w:r w:rsidR="005C4B33" w:rsidRPr="005C4B33">
        <w:t xml:space="preserve"> je i koordinace činností realizovaných </w:t>
      </w:r>
      <w:r w:rsidR="004B6B65">
        <w:t xml:space="preserve">při provádění prevence </w:t>
      </w:r>
      <w:r w:rsidR="005C4B33" w:rsidRPr="005C4B33">
        <w:t>v oblasti BESIP, probíhajících na úrovni obecních úřadů obcí s rozšířenou působností. Tato činnost bude nadále zajišťována cestou spolupráce mezi krajským koordinačním pracovištěm BESIP</w:t>
      </w:r>
      <w:r w:rsidR="004B6B65">
        <w:t xml:space="preserve"> pro Olomoucký kraj</w:t>
      </w:r>
      <w:r w:rsidR="005C4B33" w:rsidRPr="005C4B33">
        <w:t xml:space="preserve"> a</w:t>
      </w:r>
      <w:r>
        <w:t> </w:t>
      </w:r>
      <w:r w:rsidR="006A518A">
        <w:t>O</w:t>
      </w:r>
      <w:r w:rsidR="005C4B33" w:rsidRPr="005C4B33">
        <w:t>dborem dopravy a</w:t>
      </w:r>
      <w:r w:rsidR="004B6B65">
        <w:t> </w:t>
      </w:r>
      <w:r w:rsidR="005C4B33" w:rsidRPr="005C4B33">
        <w:t xml:space="preserve">silničního hospodářství Krajského úřadu Olomouckého kraje. </w:t>
      </w:r>
    </w:p>
    <w:p w:rsidR="00F76744" w:rsidRDefault="00F76744" w:rsidP="005C4B33">
      <w:pPr>
        <w:jc w:val="both"/>
      </w:pPr>
    </w:p>
    <w:p w:rsidR="00582C9B" w:rsidRDefault="00582C9B" w:rsidP="005C4B33">
      <w:pPr>
        <w:jc w:val="both"/>
      </w:pPr>
    </w:p>
    <w:p w:rsidR="00F76744" w:rsidRDefault="005C4B33" w:rsidP="005C4B33">
      <w:pPr>
        <w:numPr>
          <w:ilvl w:val="0"/>
          <w:numId w:val="3"/>
        </w:numPr>
        <w:tabs>
          <w:tab w:val="left" w:pos="567"/>
        </w:tabs>
        <w:jc w:val="both"/>
        <w:rPr>
          <w:b/>
          <w:u w:val="single"/>
        </w:rPr>
      </w:pPr>
      <w:r w:rsidRPr="005C4B33">
        <w:rPr>
          <w:b/>
          <w:u w:val="single"/>
        </w:rPr>
        <w:t>Návrh financování BESIP v roce 20</w:t>
      </w:r>
      <w:r w:rsidR="00D33A5C">
        <w:rPr>
          <w:b/>
          <w:u w:val="single"/>
        </w:rPr>
        <w:t>20</w:t>
      </w:r>
    </w:p>
    <w:p w:rsidR="00582C9B" w:rsidRDefault="00582C9B" w:rsidP="00582C9B">
      <w:pPr>
        <w:ind w:left="567"/>
        <w:jc w:val="both"/>
        <w:rPr>
          <w:b/>
          <w:u w:val="single"/>
        </w:rPr>
      </w:pPr>
    </w:p>
    <w:p w:rsidR="00E331B9" w:rsidRDefault="00E331B9" w:rsidP="006D085B">
      <w:pPr>
        <w:jc w:val="both"/>
      </w:pPr>
      <w:r>
        <w:t xml:space="preserve">Zastupitelstvo </w:t>
      </w:r>
      <w:r w:rsidRPr="00B12B98">
        <w:t xml:space="preserve">Olomouckého kraje </w:t>
      </w:r>
      <w:r>
        <w:t xml:space="preserve">na svém zasedání dne </w:t>
      </w:r>
      <w:r w:rsidR="00D33A5C">
        <w:t>23</w:t>
      </w:r>
      <w:r>
        <w:t xml:space="preserve">. </w:t>
      </w:r>
      <w:r w:rsidR="00D33A5C">
        <w:t>9</w:t>
      </w:r>
      <w:r>
        <w:t>. 201</w:t>
      </w:r>
      <w:r w:rsidR="00D33A5C">
        <w:t>9</w:t>
      </w:r>
      <w:r>
        <w:t xml:space="preserve"> usnesením č.</w:t>
      </w:r>
      <w:r w:rsidR="006D085B">
        <w:t> </w:t>
      </w:r>
      <w:r w:rsidRPr="003A1E4A">
        <w:t>UZ/</w:t>
      </w:r>
      <w:r>
        <w:t>1</w:t>
      </w:r>
      <w:r w:rsidR="00D33A5C">
        <w:t>7</w:t>
      </w:r>
      <w:r w:rsidRPr="003A1E4A">
        <w:t>/</w:t>
      </w:r>
      <w:r>
        <w:t>1</w:t>
      </w:r>
      <w:r w:rsidR="00D33A5C">
        <w:t>6</w:t>
      </w:r>
      <w:r w:rsidRPr="003A1E4A">
        <w:t>/201</w:t>
      </w:r>
      <w:r w:rsidR="00D33A5C">
        <w:t>9</w:t>
      </w:r>
      <w:r>
        <w:t xml:space="preserve"> schválilo </w:t>
      </w:r>
      <w:r w:rsidRPr="003A1E4A">
        <w:t>Zásady pro poskytování individuálních dotací z rozpočtu Olomouckého kraje v roce 20</w:t>
      </w:r>
      <w:r w:rsidR="00D33A5C">
        <w:t>20</w:t>
      </w:r>
      <w:r>
        <w:t xml:space="preserve"> (Zásady). </w:t>
      </w:r>
    </w:p>
    <w:p w:rsidR="00E331B9" w:rsidRDefault="00E331B9" w:rsidP="006D085B">
      <w:pPr>
        <w:jc w:val="both"/>
      </w:pPr>
    </w:p>
    <w:p w:rsidR="00E331B9" w:rsidRDefault="00E331B9" w:rsidP="006D085B">
      <w:pPr>
        <w:jc w:val="both"/>
      </w:pPr>
      <w:r>
        <w:t>Radě Olomouckého kraje je předkládána žádost o poskytnutí individuální dotace Centra služeb pro silniční dopravu, s. p. o. Praha.</w:t>
      </w:r>
    </w:p>
    <w:p w:rsidR="00E331B9" w:rsidRDefault="00E331B9" w:rsidP="00F76744">
      <w:pPr>
        <w:tabs>
          <w:tab w:val="left" w:pos="567"/>
        </w:tabs>
        <w:jc w:val="both"/>
      </w:pPr>
    </w:p>
    <w:p w:rsidR="002377EC" w:rsidRPr="00F76744" w:rsidRDefault="005C4B33" w:rsidP="00F76744">
      <w:pPr>
        <w:tabs>
          <w:tab w:val="left" w:pos="567"/>
        </w:tabs>
        <w:jc w:val="both"/>
        <w:rPr>
          <w:b/>
          <w:u w:val="single"/>
        </w:rPr>
      </w:pPr>
      <w:r w:rsidRPr="005C4B33">
        <w:lastRenderedPageBreak/>
        <w:t>Na pokrytí nákladů spojených s prováděním prevence v oblasti BESIP z úrovně Olomouckého kraje byly vyčleněny finančn</w:t>
      </w:r>
      <w:r w:rsidR="006A518A">
        <w:t xml:space="preserve">í prostředky ve výši </w:t>
      </w:r>
      <w:r w:rsidR="0046166B" w:rsidRPr="00F76744">
        <w:rPr>
          <w:b/>
        </w:rPr>
        <w:t>1 </w:t>
      </w:r>
      <w:r w:rsidR="000A7A4C" w:rsidRPr="00F76744">
        <w:rPr>
          <w:b/>
        </w:rPr>
        <w:t>0</w:t>
      </w:r>
      <w:r w:rsidR="0046166B" w:rsidRPr="00F76744">
        <w:rPr>
          <w:b/>
        </w:rPr>
        <w:t>00 </w:t>
      </w:r>
      <w:r w:rsidR="006A518A" w:rsidRPr="00F76744">
        <w:rPr>
          <w:b/>
        </w:rPr>
        <w:t>000 Kč</w:t>
      </w:r>
      <w:r w:rsidRPr="005C4B33">
        <w:t xml:space="preserve"> schválené v Zastupitelstvu Olomouckého kraje dne 1</w:t>
      </w:r>
      <w:r w:rsidR="00D33A5C">
        <w:t>6</w:t>
      </w:r>
      <w:r w:rsidRPr="005C4B33">
        <w:t>. 12. 201</w:t>
      </w:r>
      <w:r w:rsidR="00D33A5C">
        <w:t>9</w:t>
      </w:r>
      <w:r w:rsidRPr="005C4B33">
        <w:t>.</w:t>
      </w:r>
    </w:p>
    <w:p w:rsidR="00D33A5C" w:rsidRDefault="00D33A5C" w:rsidP="005C4B33">
      <w:pPr>
        <w:jc w:val="both"/>
      </w:pPr>
    </w:p>
    <w:p w:rsidR="00D33A5C" w:rsidRDefault="00D33A5C" w:rsidP="005C4B33">
      <w:pPr>
        <w:jc w:val="both"/>
      </w:pPr>
      <w:r>
        <w:t xml:space="preserve">Centrum služeb pro silničních dopravu v rámci žádosti o dotaci požádalo o finanční prostředky </w:t>
      </w:r>
      <w:r w:rsidRPr="0069114C">
        <w:rPr>
          <w:b/>
        </w:rPr>
        <w:t>ve výši 685 000 Kč</w:t>
      </w:r>
      <w:r>
        <w:t xml:space="preserve"> na zabezpečení činností BESIP na území Olomouckého kraje.</w:t>
      </w:r>
    </w:p>
    <w:p w:rsidR="005C4B33" w:rsidRPr="005C4B33" w:rsidRDefault="005C4B33" w:rsidP="005C4B33">
      <w:pPr>
        <w:jc w:val="both"/>
      </w:pPr>
      <w:r w:rsidRPr="005C4B33">
        <w:t xml:space="preserve"> </w:t>
      </w:r>
    </w:p>
    <w:p w:rsidR="00DF35F7" w:rsidRPr="0069114C" w:rsidRDefault="005C4B33" w:rsidP="00D33A5C">
      <w:pPr>
        <w:jc w:val="both"/>
      </w:pPr>
      <w:r w:rsidRPr="0069114C">
        <w:t>Finanční prostředky poskytnuté Olomouckým krajem budou v roce 20</w:t>
      </w:r>
      <w:r w:rsidR="00D33A5C" w:rsidRPr="0069114C">
        <w:t>20</w:t>
      </w:r>
      <w:r w:rsidRPr="0069114C">
        <w:t xml:space="preserve"> použity n</w:t>
      </w:r>
      <w:r w:rsidR="00D33A5C" w:rsidRPr="0069114C">
        <w:t>a</w:t>
      </w:r>
      <w:r w:rsidRPr="0069114C">
        <w:t xml:space="preserve"> údržb</w:t>
      </w:r>
      <w:r w:rsidR="005F55BC" w:rsidRPr="0069114C">
        <w:t xml:space="preserve">u </w:t>
      </w:r>
      <w:r w:rsidRPr="0069114C">
        <w:t xml:space="preserve">a </w:t>
      </w:r>
      <w:r w:rsidR="005F55BC" w:rsidRPr="0069114C">
        <w:t xml:space="preserve">provoz </w:t>
      </w:r>
      <w:r w:rsidRPr="0069114C">
        <w:t>dětských dopravních hřišť</w:t>
      </w:r>
      <w:r w:rsidR="00D33A5C" w:rsidRPr="0069114C">
        <w:t xml:space="preserve"> a zařízení</w:t>
      </w:r>
      <w:r w:rsidRPr="0069114C">
        <w:t xml:space="preserve">, </w:t>
      </w:r>
      <w:r w:rsidR="00D33A5C" w:rsidRPr="0069114C">
        <w:t>na opravy</w:t>
      </w:r>
      <w:r w:rsidRPr="0069114C">
        <w:t xml:space="preserve"> a údržb</w:t>
      </w:r>
      <w:r w:rsidR="005F55BC" w:rsidRPr="0069114C">
        <w:t>u</w:t>
      </w:r>
      <w:r w:rsidRPr="0069114C">
        <w:t xml:space="preserve"> výcvikových kol a</w:t>
      </w:r>
      <w:r w:rsidR="005F55BC" w:rsidRPr="0069114C">
        <w:t> </w:t>
      </w:r>
      <w:r w:rsidRPr="0069114C">
        <w:t>koloběžek</w:t>
      </w:r>
      <w:r w:rsidR="00D33A5C" w:rsidRPr="0069114C">
        <w:t xml:space="preserve"> a podobného sportovního vybavení určeného pro výuku na dětských dopravních hřištích a zařízeních</w:t>
      </w:r>
      <w:r w:rsidRPr="0069114C">
        <w:t xml:space="preserve">, na </w:t>
      </w:r>
      <w:r w:rsidR="005F55BC" w:rsidRPr="0069114C">
        <w:t xml:space="preserve">zabezpečení dopravní výchovy dětí včetně </w:t>
      </w:r>
      <w:r w:rsidRPr="0069114C">
        <w:t>příspěvk</w:t>
      </w:r>
      <w:r w:rsidR="005F55BC" w:rsidRPr="0069114C">
        <w:t>u</w:t>
      </w:r>
      <w:r w:rsidR="009439CC" w:rsidRPr="0069114C">
        <w:t xml:space="preserve"> na </w:t>
      </w:r>
      <w:r w:rsidRPr="0069114C">
        <w:t>dopravu</w:t>
      </w:r>
      <w:r w:rsidR="005F55BC" w:rsidRPr="0069114C">
        <w:t xml:space="preserve"> dětí na dětská dopravní hřiště</w:t>
      </w:r>
      <w:r w:rsidR="00D2402E" w:rsidRPr="0069114C">
        <w:t>, na preventivně výchovné akce v kraji a další činnosti BESIP vyplývající z § 124 odst. 4 písm. c) zákona</w:t>
      </w:r>
      <w:r w:rsidR="005F55BC" w:rsidRPr="0069114C">
        <w:t>:</w:t>
      </w:r>
    </w:p>
    <w:p w:rsidR="00DF35F7" w:rsidRDefault="00DF35F7" w:rsidP="00DF35F7">
      <w:pPr>
        <w:jc w:val="both"/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3193"/>
      </w:tblGrid>
      <w:tr w:rsidR="005C4B33" w:rsidRPr="005C4B33" w:rsidTr="0069114C">
        <w:trPr>
          <w:trHeight w:val="439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C4B33" w:rsidRPr="005C4B33" w:rsidRDefault="005C4B33" w:rsidP="005C4B33">
            <w:pPr>
              <w:suppressAutoHyphens w:val="0"/>
              <w:jc w:val="center"/>
              <w:rPr>
                <w:lang w:eastAsia="cs-CZ"/>
              </w:rPr>
            </w:pPr>
            <w:r w:rsidRPr="005C4B33">
              <w:rPr>
                <w:b/>
              </w:rPr>
              <w:t>Místo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C4B33" w:rsidRPr="005C4B33" w:rsidRDefault="005C4B33" w:rsidP="005C4B33">
            <w:pPr>
              <w:suppressAutoHyphens w:val="0"/>
              <w:jc w:val="center"/>
              <w:rPr>
                <w:b/>
                <w:lang w:eastAsia="cs-CZ"/>
              </w:rPr>
            </w:pPr>
            <w:r w:rsidRPr="005C4B33">
              <w:rPr>
                <w:b/>
                <w:lang w:eastAsia="cs-CZ"/>
              </w:rPr>
              <w:t>Plánované finanční prostředky (v Kč)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J</w:t>
            </w:r>
            <w:r>
              <w:rPr>
                <w:lang w:eastAsia="cs-CZ"/>
              </w:rPr>
              <w:t>eseník</w:t>
            </w:r>
            <w:r w:rsidRPr="005C4B33">
              <w:rPr>
                <w:lang w:eastAsia="cs-CZ"/>
              </w:rPr>
              <w:t xml:space="preserve">                                                                 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55 000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Zábřeh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29 000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Mohelnice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38 000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Uničov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Litovel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Šternberk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C81F07" w:rsidRDefault="0069114C" w:rsidP="0069114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Moravský Beroun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10 000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DDH při MŠ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25 000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Olomouc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90 000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Prostějov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90 000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Přerov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Kojetín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 xml:space="preserve"> 10 000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Lipník nad Bečvou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14C" w:rsidRPr="005C4B33" w:rsidRDefault="0069114C" w:rsidP="0069114C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Hranice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38 000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14C" w:rsidRPr="005C4B33" w:rsidRDefault="007D572C" w:rsidP="0069114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Dopravní soutěž mladých cyklistů včetně dopravy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124 000</w:t>
            </w:r>
          </w:p>
        </w:tc>
      </w:tr>
      <w:tr w:rsidR="0069114C" w:rsidRPr="005C4B33" w:rsidTr="0069114C">
        <w:trPr>
          <w:trHeight w:val="439"/>
        </w:trPr>
        <w:tc>
          <w:tcPr>
            <w:tcW w:w="5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Soutěž Cyklista roku v Mohelnici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C" w:rsidRDefault="0069114C" w:rsidP="0069114C">
            <w:pPr>
              <w:suppressAutoHyphens w:val="0"/>
              <w:spacing w:line="25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6 000</w:t>
            </w:r>
          </w:p>
        </w:tc>
      </w:tr>
      <w:tr w:rsidR="00707028" w:rsidRPr="005C4B33" w:rsidTr="0069114C">
        <w:trPr>
          <w:trHeight w:val="439"/>
        </w:trPr>
        <w:tc>
          <w:tcPr>
            <w:tcW w:w="57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707028" w:rsidRPr="005C4B33" w:rsidRDefault="00707028" w:rsidP="00707028">
            <w:pPr>
              <w:suppressAutoHyphens w:val="0"/>
              <w:rPr>
                <w:b/>
                <w:lang w:eastAsia="cs-CZ"/>
              </w:rPr>
            </w:pPr>
            <w:r w:rsidRPr="005C4B33">
              <w:rPr>
                <w:b/>
                <w:lang w:eastAsia="cs-CZ"/>
              </w:rPr>
              <w:t xml:space="preserve">Celkem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07028" w:rsidRPr="005C4B33" w:rsidRDefault="0069114C" w:rsidP="0069114C">
            <w:pPr>
              <w:suppressAutoHyphens w:val="0"/>
              <w:jc w:val="righ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68</w:t>
            </w:r>
            <w:r w:rsidR="00707028">
              <w:rPr>
                <w:b/>
                <w:lang w:eastAsia="cs-CZ"/>
              </w:rPr>
              <w:t>5 000</w:t>
            </w:r>
          </w:p>
        </w:tc>
      </w:tr>
    </w:tbl>
    <w:p w:rsidR="005C4B33" w:rsidRDefault="005C4B33" w:rsidP="005C4B33">
      <w:pPr>
        <w:ind w:left="567"/>
        <w:jc w:val="both"/>
      </w:pPr>
    </w:p>
    <w:p w:rsidR="005D182D" w:rsidRDefault="005D182D" w:rsidP="005D182D">
      <w:pPr>
        <w:jc w:val="both"/>
      </w:pPr>
    </w:p>
    <w:p w:rsidR="005C4B33" w:rsidRPr="005C4B33" w:rsidRDefault="005C4B33" w:rsidP="005C4B33">
      <w:pPr>
        <w:jc w:val="both"/>
      </w:pPr>
      <w:r w:rsidRPr="005C4B33">
        <w:t>Výši finančních prostředků lze v průběhu roku upravit či změnit podle potřeb zabezpečení akcí a činností</w:t>
      </w:r>
      <w:r w:rsidR="0069114C">
        <w:t xml:space="preserve"> v rámci tabulky</w:t>
      </w:r>
      <w:r w:rsidRPr="005C4B33">
        <w:t xml:space="preserve">, zejména za účelem efektivního využití </w:t>
      </w:r>
      <w:r w:rsidRPr="005C4B33">
        <w:lastRenderedPageBreak/>
        <w:t xml:space="preserve">těchto prostředků. Celková částka </w:t>
      </w:r>
      <w:r w:rsidR="00055507">
        <w:t>poskytnuté dotace</w:t>
      </w:r>
      <w:r w:rsidRPr="005C4B33">
        <w:t xml:space="preserve"> do této oblasti však bude zac</w:t>
      </w:r>
      <w:r w:rsidR="009439CC">
        <w:t xml:space="preserve">hována. </w:t>
      </w:r>
    </w:p>
    <w:p w:rsidR="005C4B33" w:rsidRPr="005C4B33" w:rsidRDefault="005C4B33" w:rsidP="005C4B33">
      <w:pPr>
        <w:jc w:val="both"/>
      </w:pPr>
    </w:p>
    <w:p w:rsidR="005C4B33" w:rsidRDefault="006D085B" w:rsidP="005C4B33">
      <w:pPr>
        <w:jc w:val="both"/>
      </w:pPr>
      <w:r>
        <w:t>Realizace činnosti BESIP bude probíhat od 1. 1. 20</w:t>
      </w:r>
      <w:r w:rsidR="0069114C">
        <w:t>20</w:t>
      </w:r>
      <w:r>
        <w:t xml:space="preserve"> do 15. 12. 20</w:t>
      </w:r>
      <w:r w:rsidR="0069114C">
        <w:t>20</w:t>
      </w:r>
      <w:r>
        <w:t>, termín pro</w:t>
      </w:r>
      <w:r w:rsidR="001236C0">
        <w:t> </w:t>
      </w:r>
      <w:r>
        <w:t>použití dotace je do 15. 12. 20</w:t>
      </w:r>
      <w:r w:rsidR="0069114C">
        <w:t>20</w:t>
      </w:r>
      <w:r>
        <w:t xml:space="preserve">. </w:t>
      </w:r>
      <w:r w:rsidR="005C4B33" w:rsidRPr="005C4B33">
        <w:t>CSPSD předlož</w:t>
      </w:r>
      <w:r>
        <w:t xml:space="preserve">í </w:t>
      </w:r>
      <w:r w:rsidR="005C4B33" w:rsidRPr="005C4B33">
        <w:t>vyúčtování čerpání přidělených finančních prostředků doložené rozpisem jejich konkrétního použití na jednotlivé akce</w:t>
      </w:r>
      <w:r>
        <w:t xml:space="preserve"> v termínu do 15. 1. 202</w:t>
      </w:r>
      <w:r w:rsidR="0069114C">
        <w:t>1</w:t>
      </w:r>
      <w:r w:rsidR="005C4B33" w:rsidRPr="005C4B33">
        <w:t xml:space="preserve">. </w:t>
      </w:r>
    </w:p>
    <w:p w:rsidR="00BB411B" w:rsidRDefault="00BB411B" w:rsidP="005C4B33">
      <w:pPr>
        <w:jc w:val="both"/>
      </w:pPr>
    </w:p>
    <w:p w:rsidR="00C81F07" w:rsidRDefault="00C81F07" w:rsidP="005C4B33">
      <w:pPr>
        <w:jc w:val="both"/>
      </w:pPr>
    </w:p>
    <w:p w:rsidR="005C4B33" w:rsidRPr="005C4B33" w:rsidRDefault="00F76744" w:rsidP="005C4B3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5C4B33" w:rsidRPr="005C4B33">
        <w:rPr>
          <w:b/>
          <w:sz w:val="28"/>
          <w:szCs w:val="28"/>
          <w:u w:val="single"/>
        </w:rPr>
        <w:t>. Závěr:</w:t>
      </w:r>
    </w:p>
    <w:p w:rsidR="005C4B33" w:rsidRPr="005C4B33" w:rsidRDefault="005C4B33" w:rsidP="005C4B33">
      <w:pPr>
        <w:jc w:val="both"/>
      </w:pPr>
    </w:p>
    <w:p w:rsidR="008727A3" w:rsidRDefault="005C4B33" w:rsidP="00685A37">
      <w:pPr>
        <w:jc w:val="both"/>
      </w:pPr>
      <w:r w:rsidRPr="005C4B33">
        <w:t>Nehodovost v silničním provozu v České republice je závažným celospolečenským problémem, což mimo jiné dokládá i strategie BESIP přijatá vládou ČR pro léta</w:t>
      </w:r>
      <w:r w:rsidR="00E729C2">
        <w:t xml:space="preserve"> </w:t>
      </w:r>
      <w:r w:rsidRPr="005C4B33">
        <w:t>2011</w:t>
      </w:r>
      <w:r w:rsidR="00E729C2">
        <w:t xml:space="preserve"> - </w:t>
      </w:r>
      <w:r w:rsidRPr="005C4B33">
        <w:t>2020. Jedním ze základních prostředků k řešení tohoto problému mimo restriktivních opatření ze strany dozorujícího orgánu, tj. Policie ČR, je zejména cílená prevence a</w:t>
      </w:r>
      <w:r w:rsidR="001236C0">
        <w:t> </w:t>
      </w:r>
      <w:r w:rsidRPr="005C4B33">
        <w:t xml:space="preserve">výchova účastníků silničního provozu, a to </w:t>
      </w:r>
      <w:r w:rsidR="00577411">
        <w:t>nejen</w:t>
      </w:r>
      <w:r w:rsidRPr="005C4B33">
        <w:t xml:space="preserve"> výchova mladé generace, </w:t>
      </w:r>
      <w:r w:rsidR="00577411">
        <w:t>ale též ostatních</w:t>
      </w:r>
      <w:r w:rsidRPr="005C4B33">
        <w:t xml:space="preserve"> řidičů </w:t>
      </w:r>
      <w:r w:rsidR="00577411">
        <w:t>a</w:t>
      </w:r>
      <w:r w:rsidRPr="005C4B33">
        <w:t xml:space="preserve"> účastníků silničního provozu</w:t>
      </w:r>
      <w:r w:rsidR="00577411">
        <w:t>,</w:t>
      </w:r>
      <w:r w:rsidRPr="005C4B33">
        <w:t xml:space="preserve"> k zodpovědnému chová</w:t>
      </w:r>
      <w:r w:rsidR="00087225">
        <w:t xml:space="preserve">ní, které by mělo vést </w:t>
      </w:r>
      <w:r w:rsidRPr="005C4B33">
        <w:t xml:space="preserve">k trvalému snižování následků dopravních nehod. Především k tomuto cíli směřují aktivity </w:t>
      </w:r>
      <w:r w:rsidR="007628E6" w:rsidRPr="005C4B33">
        <w:t>podporované Olomouckým</w:t>
      </w:r>
      <w:r w:rsidR="007628E6" w:rsidRPr="007628E6">
        <w:t xml:space="preserve"> </w:t>
      </w:r>
      <w:r w:rsidR="00961C12">
        <w:t xml:space="preserve">krajem </w:t>
      </w:r>
      <w:r w:rsidRPr="005C4B33">
        <w:t xml:space="preserve">prováděné </w:t>
      </w:r>
      <w:r w:rsidR="00961C12">
        <w:t xml:space="preserve">a zajišťované </w:t>
      </w:r>
      <w:r w:rsidRPr="005C4B33">
        <w:t>krajským koordinačním praco</w:t>
      </w:r>
      <w:r w:rsidR="007628E6">
        <w:t>vištěm BESIP pro Olomoucký kraj.</w:t>
      </w:r>
      <w:r w:rsidR="007628E6" w:rsidRPr="005C4B33">
        <w:t> </w:t>
      </w:r>
    </w:p>
    <w:p w:rsidR="008727A3" w:rsidRDefault="008727A3" w:rsidP="00685A37">
      <w:pPr>
        <w:jc w:val="both"/>
      </w:pPr>
    </w:p>
    <w:p w:rsidR="00685A37" w:rsidRPr="00685A37" w:rsidRDefault="002A5CA7" w:rsidP="00685A37">
      <w:pPr>
        <w:jc w:val="both"/>
        <w:rPr>
          <w:rFonts w:ascii="Calibri" w:hAnsi="Calibri" w:cs="Calibri"/>
          <w:sz w:val="22"/>
          <w:szCs w:val="22"/>
          <w:lang w:eastAsia="en-US"/>
        </w:rPr>
      </w:pPr>
      <w:r>
        <w:t>Od roku 2019</w:t>
      </w:r>
      <w:r w:rsidR="008727A3">
        <w:t xml:space="preserve"> Zastupitelstvo Olomouckého kraje </w:t>
      </w:r>
      <w:r>
        <w:t>vyhlásilo</w:t>
      </w:r>
      <w:r w:rsidR="008727A3">
        <w:t xml:space="preserve"> nový dotační program Podpora výstavby, obnovy a vybavení dětských dopravních hřišť</w:t>
      </w:r>
      <w:r>
        <w:t xml:space="preserve"> – na rok 2020</w:t>
      </w:r>
      <w:r w:rsidR="008727A3">
        <w:t xml:space="preserve"> s celkovou alokací </w:t>
      </w:r>
      <w:r>
        <w:t>5</w:t>
      </w:r>
      <w:r w:rsidR="001236C0">
        <w:t> </w:t>
      </w:r>
      <w:r w:rsidR="008727A3">
        <w:t>mil. Kč</w:t>
      </w:r>
      <w:r>
        <w:t>,</w:t>
      </w:r>
      <w:r w:rsidR="008727A3">
        <w:t xml:space="preserve"> na výstavbu nových DDH, rekonstrukci stávajících, pořízení svislého i vodorovného dopravního značení a mobiliář</w:t>
      </w:r>
      <w:r>
        <w:t xml:space="preserve"> a pořízení kol, koloběžek a dalších dopravních prostředků určených pro dopravní výchovu</w:t>
      </w:r>
      <w:r w:rsidR="008727A3">
        <w:t>.</w:t>
      </w:r>
      <w:r w:rsidR="00685A37">
        <w:t xml:space="preserve"> </w:t>
      </w:r>
    </w:p>
    <w:p w:rsidR="005C4B33" w:rsidRDefault="005C4B33" w:rsidP="005C4B33">
      <w:pPr>
        <w:jc w:val="both"/>
      </w:pPr>
    </w:p>
    <w:p w:rsidR="005C4B33" w:rsidRDefault="00E61116" w:rsidP="005C4B33">
      <w:pPr>
        <w:jc w:val="both"/>
        <w:rPr>
          <w:b/>
        </w:rPr>
      </w:pPr>
      <w:r>
        <w:rPr>
          <w:b/>
        </w:rPr>
        <w:t>Rada Olomouckého kraje doporučuje Zastupitelstvu</w:t>
      </w:r>
      <w:r w:rsidR="005C4B33" w:rsidRPr="005C4B33">
        <w:rPr>
          <w:b/>
        </w:rPr>
        <w:t xml:space="preserve"> Olomouckého kraje:</w:t>
      </w:r>
    </w:p>
    <w:p w:rsidR="00C6436C" w:rsidRPr="005C4B33" w:rsidRDefault="00C6436C" w:rsidP="005C4B33">
      <w:pPr>
        <w:jc w:val="both"/>
        <w:rPr>
          <w:b/>
        </w:rPr>
      </w:pPr>
      <w:bookmarkStart w:id="0" w:name="_GoBack"/>
      <w:bookmarkEnd w:id="0"/>
    </w:p>
    <w:p w:rsidR="005C4B33" w:rsidRPr="005C4B33" w:rsidRDefault="005C4B33" w:rsidP="00584FF5">
      <w:pPr>
        <w:numPr>
          <w:ilvl w:val="0"/>
          <w:numId w:val="8"/>
        </w:numPr>
        <w:jc w:val="both"/>
      </w:pPr>
      <w:r w:rsidRPr="005C4B33">
        <w:t xml:space="preserve">vzít na vědomí </w:t>
      </w:r>
      <w:r w:rsidR="00AF2B5D">
        <w:t>informaci o vyhodnocení činnosti Krajského úřadu Olomouckého kraje při provádění prevence v oblasti BESIP za rok 2019, dle bodu A důvodové zprávy,</w:t>
      </w:r>
    </w:p>
    <w:p w:rsidR="00E729C2" w:rsidRPr="004F3887" w:rsidRDefault="00ED60FD" w:rsidP="00584FF5">
      <w:pPr>
        <w:numPr>
          <w:ilvl w:val="0"/>
          <w:numId w:val="8"/>
        </w:numPr>
        <w:jc w:val="both"/>
      </w:pPr>
      <w:r w:rsidRPr="004F3887">
        <w:t xml:space="preserve">schválit </w:t>
      </w:r>
      <w:r w:rsidR="00055507" w:rsidRPr="004F3887">
        <w:t>poskytnutí dotace Centru služeb pro silniční dopravu,</w:t>
      </w:r>
      <w:r w:rsidR="00187B66" w:rsidRPr="004F3887">
        <w:t xml:space="preserve"> IČ</w:t>
      </w:r>
      <w:r w:rsidR="00FD7AEC">
        <w:t xml:space="preserve">O: </w:t>
      </w:r>
      <w:r w:rsidR="00187B66" w:rsidRPr="004F3887">
        <w:t>70898219,</w:t>
      </w:r>
      <w:r w:rsidR="00055507" w:rsidRPr="004F3887">
        <w:t xml:space="preserve"> se sídlem nábřeží Ludvíka</w:t>
      </w:r>
      <w:r w:rsidR="006A5660" w:rsidRPr="004F3887">
        <w:t xml:space="preserve"> Svobody 1222/12, 110 </w:t>
      </w:r>
      <w:r w:rsidR="00055507" w:rsidRPr="004F3887">
        <w:t>15 Praha 1</w:t>
      </w:r>
      <w:r w:rsidR="00C36186" w:rsidRPr="004F3887">
        <w:t xml:space="preserve"> dle</w:t>
      </w:r>
      <w:r w:rsidR="009E4494">
        <w:t xml:space="preserve"> bodu B</w:t>
      </w:r>
      <w:r w:rsidR="00C36186" w:rsidRPr="004F3887">
        <w:t xml:space="preserve"> důvodové zprávy,</w:t>
      </w:r>
    </w:p>
    <w:p w:rsidR="007628E6" w:rsidRDefault="00187B66" w:rsidP="00584FF5">
      <w:pPr>
        <w:numPr>
          <w:ilvl w:val="0"/>
          <w:numId w:val="8"/>
        </w:numPr>
        <w:jc w:val="both"/>
      </w:pPr>
      <w:r w:rsidRPr="004F3887">
        <w:t xml:space="preserve">schválit </w:t>
      </w:r>
      <w:r w:rsidR="00ED60FD" w:rsidRPr="004F3887">
        <w:t>uzavř</w:t>
      </w:r>
      <w:r w:rsidRPr="004F3887">
        <w:t>ení</w:t>
      </w:r>
      <w:r w:rsidR="00ED60FD" w:rsidRPr="004F3887">
        <w:t xml:space="preserve"> veřejnoprávní smlouv</w:t>
      </w:r>
      <w:r w:rsidRPr="004F3887">
        <w:t>y</w:t>
      </w:r>
      <w:r w:rsidR="00ED60FD" w:rsidRPr="004F3887">
        <w:t xml:space="preserve"> o</w:t>
      </w:r>
      <w:r w:rsidR="00E729C2" w:rsidRPr="004F3887">
        <w:t> </w:t>
      </w:r>
      <w:r w:rsidR="00ED60FD" w:rsidRPr="004F3887">
        <w:t xml:space="preserve">poskytnutí </w:t>
      </w:r>
      <w:r w:rsidR="006A5660" w:rsidRPr="004F3887">
        <w:t>dotace na </w:t>
      </w:r>
      <w:r w:rsidR="00ED60FD" w:rsidRPr="004F3887">
        <w:t>zabezpečení činnosti při provádění prevence v</w:t>
      </w:r>
      <w:r w:rsidR="001236C0">
        <w:t> </w:t>
      </w:r>
      <w:r w:rsidR="00ED60FD" w:rsidRPr="004F3887">
        <w:t>oblasti bezpečnosti provozu na pozemních komunikacích na území Olomouckého kraje v roce 20</w:t>
      </w:r>
      <w:r w:rsidR="002A5CA7">
        <w:t>20</w:t>
      </w:r>
      <w:r w:rsidR="00ED60FD" w:rsidRPr="004F3887">
        <w:t xml:space="preserve"> mezi Olomouckým krajem a Centrem služeb</w:t>
      </w:r>
      <w:r w:rsidR="00ED60FD" w:rsidRPr="007628E6">
        <w:t xml:space="preserve"> pro silniční dopravu, se sídlem nábřeží Ludvíka Svobody 1222/12, 110 15 Praha</w:t>
      </w:r>
      <w:r w:rsidR="002A5CA7">
        <w:t> </w:t>
      </w:r>
      <w:r w:rsidR="00055507">
        <w:t>1</w:t>
      </w:r>
      <w:r w:rsidR="00ED60FD" w:rsidRPr="007628E6">
        <w:t>,  IČ</w:t>
      </w:r>
      <w:r w:rsidR="00FD7AEC">
        <w:t>O</w:t>
      </w:r>
      <w:r w:rsidR="00ED60FD" w:rsidRPr="007628E6">
        <w:t>: 70898219</w:t>
      </w:r>
      <w:r w:rsidR="00ED60FD">
        <w:t xml:space="preserve"> a </w:t>
      </w:r>
      <w:r w:rsidR="00A04C87">
        <w:t xml:space="preserve">uložit </w:t>
      </w:r>
      <w:r w:rsidR="00E729C2">
        <w:t>2. náměstkovi</w:t>
      </w:r>
      <w:r w:rsidR="0039282D">
        <w:t xml:space="preserve"> hejtman</w:t>
      </w:r>
      <w:r w:rsidR="00E729C2">
        <w:t>a</w:t>
      </w:r>
      <w:r w:rsidR="0039282D">
        <w:t xml:space="preserve"> Olomou</w:t>
      </w:r>
      <w:r w:rsidR="007628E6" w:rsidRPr="007628E6">
        <w:t>ckého kraje pod</w:t>
      </w:r>
      <w:r w:rsidR="00A04C87">
        <w:t xml:space="preserve">epsat </w:t>
      </w:r>
      <w:r w:rsidR="00A2546C">
        <w:t>v</w:t>
      </w:r>
      <w:r w:rsidR="0039282D">
        <w:t>eřejnoprávní s</w:t>
      </w:r>
      <w:r w:rsidR="007628E6" w:rsidRPr="007628E6">
        <w:t>mlouvu</w:t>
      </w:r>
      <w:r w:rsidR="005A6DDD">
        <w:t xml:space="preserve"> </w:t>
      </w:r>
      <w:r w:rsidR="005A6DDD" w:rsidRPr="007628E6">
        <w:t>o</w:t>
      </w:r>
      <w:r w:rsidR="005A6DDD">
        <w:t> </w:t>
      </w:r>
      <w:r w:rsidR="005A6DDD" w:rsidRPr="007628E6">
        <w:t>poskytnutí</w:t>
      </w:r>
      <w:r w:rsidR="008370F5">
        <w:t xml:space="preserve"> dotace</w:t>
      </w:r>
      <w:r w:rsidR="006F2864">
        <w:t>.</w:t>
      </w:r>
      <w:r w:rsidR="007628E6" w:rsidRPr="007628E6">
        <w:t xml:space="preserve">  </w:t>
      </w:r>
    </w:p>
    <w:p w:rsidR="005C4B33" w:rsidRDefault="005C4B33" w:rsidP="005C4B33">
      <w:pPr>
        <w:ind w:left="720"/>
        <w:contextualSpacing/>
      </w:pPr>
    </w:p>
    <w:p w:rsidR="005C4B33" w:rsidRDefault="005C4B33" w:rsidP="005C4B33">
      <w:pPr>
        <w:jc w:val="both"/>
        <w:rPr>
          <w:u w:val="single"/>
        </w:rPr>
      </w:pPr>
      <w:r w:rsidRPr="005C4B33">
        <w:rPr>
          <w:u w:val="single"/>
        </w:rPr>
        <w:t>Přílohy:</w:t>
      </w:r>
    </w:p>
    <w:p w:rsidR="006A5660" w:rsidRPr="005C4B33" w:rsidRDefault="006A5660" w:rsidP="005C4B33">
      <w:pPr>
        <w:jc w:val="both"/>
        <w:rPr>
          <w:u w:val="single"/>
        </w:rPr>
      </w:pPr>
    </w:p>
    <w:p w:rsidR="005C4B33" w:rsidRPr="005C4B33" w:rsidRDefault="005C4B33" w:rsidP="005C4B33">
      <w:pPr>
        <w:numPr>
          <w:ilvl w:val="0"/>
          <w:numId w:val="2"/>
        </w:numPr>
        <w:tabs>
          <w:tab w:val="left" w:pos="567"/>
        </w:tabs>
        <w:jc w:val="both"/>
        <w:rPr>
          <w:u w:val="single"/>
        </w:rPr>
      </w:pPr>
      <w:r w:rsidRPr="005C4B33">
        <w:rPr>
          <w:u w:val="single"/>
        </w:rPr>
        <w:t>Příloha č. 1</w:t>
      </w:r>
    </w:p>
    <w:p w:rsidR="005C4B33" w:rsidRPr="005C4B33" w:rsidRDefault="0039282D" w:rsidP="005C4B33">
      <w:pPr>
        <w:ind w:left="567"/>
        <w:jc w:val="both"/>
      </w:pPr>
      <w:r>
        <w:t>Veřejnoprávní s</w:t>
      </w:r>
      <w:r w:rsidR="005C4B33" w:rsidRPr="005C4B33">
        <w:t xml:space="preserve">mlouva o poskytnutí </w:t>
      </w:r>
      <w:r>
        <w:t>dotace</w:t>
      </w:r>
      <w:r w:rsidR="005C4B33" w:rsidRPr="005C4B33">
        <w:t xml:space="preserve"> mezi Olomouckým krajem a</w:t>
      </w:r>
      <w:r>
        <w:t> </w:t>
      </w:r>
      <w:r w:rsidR="005C4B33" w:rsidRPr="005C4B33">
        <w:t>CSPSD pro rok 20</w:t>
      </w:r>
      <w:r w:rsidR="002A5CA7">
        <w:t>20</w:t>
      </w:r>
    </w:p>
    <w:p w:rsidR="00331348" w:rsidRDefault="005C4B33" w:rsidP="00AF2B5D">
      <w:pPr>
        <w:ind w:firstLine="567"/>
        <w:jc w:val="both"/>
        <w:rPr>
          <w:b/>
          <w:bCs/>
          <w:sz w:val="28"/>
          <w:szCs w:val="28"/>
        </w:rPr>
      </w:pPr>
      <w:r w:rsidRPr="005C4B33">
        <w:t xml:space="preserve">(strana </w:t>
      </w:r>
      <w:r w:rsidR="00E61116">
        <w:t>8</w:t>
      </w:r>
      <w:r w:rsidRPr="005C4B33">
        <w:t xml:space="preserve"> – </w:t>
      </w:r>
      <w:r w:rsidR="001B0534">
        <w:t>1</w:t>
      </w:r>
      <w:r w:rsidR="00E61116">
        <w:t>6</w:t>
      </w:r>
      <w:r w:rsidRPr="005C4B33">
        <w:t>)</w:t>
      </w:r>
    </w:p>
    <w:sectPr w:rsidR="00331348" w:rsidSect="005D182D">
      <w:footerReference w:type="default" r:id="rId8"/>
      <w:footnotePr>
        <w:pos w:val="beneathText"/>
      </w:footnotePr>
      <w:pgSz w:w="11905" w:h="16837"/>
      <w:pgMar w:top="1417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18" w:rsidRDefault="003C4618">
      <w:r>
        <w:separator/>
      </w:r>
    </w:p>
  </w:endnote>
  <w:endnote w:type="continuationSeparator" w:id="0">
    <w:p w:rsidR="003C4618" w:rsidRDefault="003C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C0" w:rsidRPr="006B3FD4" w:rsidRDefault="00E61116" w:rsidP="001236C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236C0" w:rsidRPr="006B3FD4">
      <w:rPr>
        <w:i/>
        <w:sz w:val="20"/>
        <w:szCs w:val="20"/>
      </w:rPr>
      <w:t xml:space="preserve"> Olomouckého kraje </w:t>
    </w:r>
    <w:r w:rsidR="002A5CA7">
      <w:rPr>
        <w:i/>
        <w:sz w:val="20"/>
        <w:szCs w:val="20"/>
      </w:rPr>
      <w:t>1</w:t>
    </w:r>
    <w:r>
      <w:rPr>
        <w:i/>
        <w:sz w:val="20"/>
        <w:szCs w:val="20"/>
      </w:rPr>
      <w:t>7</w:t>
    </w:r>
    <w:r w:rsidR="001236C0">
      <w:rPr>
        <w:i/>
        <w:sz w:val="20"/>
        <w:szCs w:val="20"/>
      </w:rPr>
      <w:t xml:space="preserve">. 2. </w:t>
    </w:r>
    <w:proofErr w:type="gramStart"/>
    <w:r w:rsidR="001236C0">
      <w:rPr>
        <w:i/>
        <w:sz w:val="20"/>
        <w:szCs w:val="20"/>
      </w:rPr>
      <w:t>20</w:t>
    </w:r>
    <w:r w:rsidR="002A5CA7">
      <w:rPr>
        <w:i/>
        <w:sz w:val="20"/>
        <w:szCs w:val="20"/>
      </w:rPr>
      <w:t>20</w:t>
    </w:r>
    <w:r w:rsidR="001236C0">
      <w:rPr>
        <w:i/>
        <w:sz w:val="20"/>
        <w:szCs w:val="20"/>
      </w:rPr>
      <w:t xml:space="preserve">                                                       </w:t>
    </w:r>
    <w:r w:rsidR="001236C0" w:rsidRPr="006B3FD4">
      <w:rPr>
        <w:i/>
        <w:sz w:val="20"/>
        <w:szCs w:val="20"/>
      </w:rPr>
      <w:t>Strana</w:t>
    </w:r>
    <w:proofErr w:type="gramEnd"/>
    <w:r w:rsidR="001236C0" w:rsidRPr="006B3FD4">
      <w:rPr>
        <w:i/>
        <w:sz w:val="20"/>
        <w:szCs w:val="20"/>
      </w:rPr>
      <w:t xml:space="preserve"> </w:t>
    </w:r>
    <w:r w:rsidR="001236C0" w:rsidRPr="006B3FD4">
      <w:rPr>
        <w:i/>
        <w:sz w:val="20"/>
        <w:szCs w:val="20"/>
      </w:rPr>
      <w:fldChar w:fldCharType="begin"/>
    </w:r>
    <w:r w:rsidR="001236C0" w:rsidRPr="006B3FD4">
      <w:rPr>
        <w:i/>
        <w:sz w:val="20"/>
        <w:szCs w:val="20"/>
      </w:rPr>
      <w:instrText xml:space="preserve"> PAGE </w:instrText>
    </w:r>
    <w:r w:rsidR="001236C0" w:rsidRPr="006B3FD4">
      <w:rPr>
        <w:i/>
        <w:sz w:val="20"/>
        <w:szCs w:val="20"/>
      </w:rPr>
      <w:fldChar w:fldCharType="separate"/>
    </w:r>
    <w:r w:rsidR="00C6436C">
      <w:rPr>
        <w:i/>
        <w:noProof/>
        <w:sz w:val="20"/>
        <w:szCs w:val="20"/>
      </w:rPr>
      <w:t>6</w:t>
    </w:r>
    <w:r w:rsidR="001236C0" w:rsidRPr="006B3FD4">
      <w:rPr>
        <w:i/>
        <w:sz w:val="20"/>
        <w:szCs w:val="20"/>
      </w:rPr>
      <w:fldChar w:fldCharType="end"/>
    </w:r>
    <w:r w:rsidR="001236C0" w:rsidRPr="006B3FD4">
      <w:rPr>
        <w:i/>
        <w:sz w:val="20"/>
        <w:szCs w:val="20"/>
      </w:rPr>
      <w:t xml:space="preserve"> (celkem</w:t>
    </w:r>
    <w:r w:rsidR="001236C0">
      <w:rPr>
        <w:i/>
        <w:sz w:val="20"/>
        <w:szCs w:val="20"/>
      </w:rPr>
      <w:t xml:space="preserve"> 1</w:t>
    </w:r>
    <w:r>
      <w:rPr>
        <w:i/>
        <w:sz w:val="20"/>
        <w:szCs w:val="20"/>
      </w:rPr>
      <w:t>6</w:t>
    </w:r>
    <w:r w:rsidR="001236C0" w:rsidRPr="006B3FD4">
      <w:rPr>
        <w:i/>
        <w:sz w:val="20"/>
        <w:szCs w:val="20"/>
      </w:rPr>
      <w:t>)</w:t>
    </w:r>
  </w:p>
  <w:p w:rsidR="001236C0" w:rsidRPr="006B3FD4" w:rsidRDefault="009E4494" w:rsidP="001236C0">
    <w:pPr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 xml:space="preserve">36 </w:t>
    </w:r>
    <w:r w:rsidR="001236C0">
      <w:rPr>
        <w:i/>
        <w:sz w:val="20"/>
        <w:szCs w:val="20"/>
      </w:rPr>
      <w:t xml:space="preserve"> – Zabezpečení</w:t>
    </w:r>
    <w:proofErr w:type="gramEnd"/>
    <w:r w:rsidR="001236C0">
      <w:rPr>
        <w:i/>
        <w:sz w:val="20"/>
        <w:szCs w:val="20"/>
      </w:rPr>
      <w:t xml:space="preserve"> </w:t>
    </w:r>
    <w:r w:rsidR="001236C0" w:rsidRPr="006B3FD4">
      <w:rPr>
        <w:i/>
        <w:sz w:val="20"/>
        <w:szCs w:val="20"/>
      </w:rPr>
      <w:t xml:space="preserve">činnosti </w:t>
    </w:r>
    <w:r w:rsidR="001236C0">
      <w:rPr>
        <w:i/>
        <w:sz w:val="20"/>
        <w:szCs w:val="20"/>
      </w:rPr>
      <w:t xml:space="preserve">Krajského úřadu </w:t>
    </w:r>
    <w:r w:rsidR="001236C0" w:rsidRPr="006B3FD4">
      <w:rPr>
        <w:i/>
        <w:sz w:val="20"/>
        <w:szCs w:val="20"/>
      </w:rPr>
      <w:t xml:space="preserve">Olomouckého kraje </w:t>
    </w:r>
    <w:r w:rsidR="001236C0">
      <w:rPr>
        <w:i/>
        <w:sz w:val="20"/>
        <w:szCs w:val="20"/>
      </w:rPr>
      <w:t xml:space="preserve">při provádění </w:t>
    </w:r>
    <w:r w:rsidR="001236C0" w:rsidRPr="006B3FD4">
      <w:rPr>
        <w:i/>
        <w:sz w:val="20"/>
        <w:szCs w:val="20"/>
      </w:rPr>
      <w:t xml:space="preserve">prevence v oblasti </w:t>
    </w:r>
    <w:r w:rsidR="001236C0">
      <w:rPr>
        <w:i/>
        <w:sz w:val="20"/>
        <w:szCs w:val="20"/>
      </w:rPr>
      <w:t>BESIP v roce</w:t>
    </w:r>
    <w:r w:rsidR="001236C0" w:rsidRPr="006B3FD4">
      <w:rPr>
        <w:i/>
        <w:sz w:val="20"/>
        <w:szCs w:val="20"/>
      </w:rPr>
      <w:t xml:space="preserve"> 20</w:t>
    </w:r>
    <w:r w:rsidR="00D80B34">
      <w:rPr>
        <w:i/>
        <w:sz w:val="20"/>
        <w:szCs w:val="20"/>
      </w:rPr>
      <w:t>20</w:t>
    </w:r>
    <w:r w:rsidR="001236C0" w:rsidRPr="006B3FD4">
      <w:rPr>
        <w:i/>
        <w:sz w:val="20"/>
        <w:szCs w:val="20"/>
      </w:rPr>
      <w:t xml:space="preserve"> </w:t>
    </w:r>
    <w:r w:rsidR="001236C0">
      <w:rPr>
        <w:i/>
        <w:sz w:val="20"/>
        <w:szCs w:val="20"/>
      </w:rPr>
      <w:t>a vyhodnocení činnosti za rok</w:t>
    </w:r>
    <w:r w:rsidR="001236C0" w:rsidRPr="006B3FD4">
      <w:rPr>
        <w:i/>
        <w:sz w:val="20"/>
        <w:szCs w:val="20"/>
      </w:rPr>
      <w:t xml:space="preserve"> 201</w:t>
    </w:r>
    <w:r w:rsidR="00D80B34">
      <w:rPr>
        <w:i/>
        <w:sz w:val="20"/>
        <w:szCs w:val="20"/>
      </w:rPr>
      <w:t>9</w:t>
    </w:r>
    <w:r w:rsidR="001236C0" w:rsidRPr="006B3FD4">
      <w:rPr>
        <w:i/>
        <w:sz w:val="20"/>
        <w:szCs w:val="20"/>
      </w:rPr>
      <w:t xml:space="preserve"> </w:t>
    </w:r>
    <w:r w:rsidR="001236C0">
      <w:rPr>
        <w:i/>
        <w:sz w:val="20"/>
        <w:szCs w:val="20"/>
      </w:rPr>
      <w:t xml:space="preserve"> </w:t>
    </w:r>
  </w:p>
  <w:p w:rsidR="00B33029" w:rsidRPr="001236C0" w:rsidRDefault="00B33029" w:rsidP="00123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18" w:rsidRDefault="003C4618">
      <w:r>
        <w:separator/>
      </w:r>
    </w:p>
  </w:footnote>
  <w:footnote w:type="continuationSeparator" w:id="0">
    <w:p w:rsidR="003C4618" w:rsidRDefault="003C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</w:abstractNum>
  <w:abstractNum w:abstractNumId="6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E8666BA"/>
    <w:multiLevelType w:val="multilevel"/>
    <w:tmpl w:val="F0082DA6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B594F47"/>
    <w:multiLevelType w:val="hybridMultilevel"/>
    <w:tmpl w:val="21D8B496"/>
    <w:lvl w:ilvl="0" w:tplc="04050017">
      <w:start w:val="1"/>
      <w:numFmt w:val="lowerLetter"/>
      <w:lvlText w:val="%1)"/>
      <w:lvlJc w:val="left"/>
      <w:pPr>
        <w:ind w:left="1630" w:hanging="360"/>
      </w:pPr>
    </w:lvl>
    <w:lvl w:ilvl="1" w:tplc="04050019" w:tentative="1">
      <w:start w:val="1"/>
      <w:numFmt w:val="lowerLetter"/>
      <w:lvlText w:val="%2."/>
      <w:lvlJc w:val="left"/>
      <w:pPr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0" w15:restartNumberingAfterBreak="0">
    <w:nsid w:val="377010CE"/>
    <w:multiLevelType w:val="hybridMultilevel"/>
    <w:tmpl w:val="07E65BC8"/>
    <w:lvl w:ilvl="0" w:tplc="3470097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19074F"/>
    <w:multiLevelType w:val="hybridMultilevel"/>
    <w:tmpl w:val="450AEDD2"/>
    <w:lvl w:ilvl="0" w:tplc="00000002">
      <w:start w:val="1"/>
      <w:numFmt w:val="bullet"/>
      <w:lvlText w:val="-"/>
      <w:lvlJc w:val="left"/>
      <w:pPr>
        <w:ind w:left="1485" w:hanging="360"/>
      </w:pPr>
      <w:rPr>
        <w:rFonts w:ascii="Arial" w:hAnsi="Arial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D4B31A0"/>
    <w:multiLevelType w:val="multilevel"/>
    <w:tmpl w:val="4A7273B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2"/>
    <w:rsid w:val="00027057"/>
    <w:rsid w:val="00033EA8"/>
    <w:rsid w:val="00036023"/>
    <w:rsid w:val="00036951"/>
    <w:rsid w:val="000372E2"/>
    <w:rsid w:val="00047817"/>
    <w:rsid w:val="000518BF"/>
    <w:rsid w:val="00055507"/>
    <w:rsid w:val="000562D2"/>
    <w:rsid w:val="0005696F"/>
    <w:rsid w:val="00060FD3"/>
    <w:rsid w:val="00087225"/>
    <w:rsid w:val="000947D8"/>
    <w:rsid w:val="000954C1"/>
    <w:rsid w:val="000A6EEA"/>
    <w:rsid w:val="000A7A4C"/>
    <w:rsid w:val="000B244F"/>
    <w:rsid w:val="000B29CA"/>
    <w:rsid w:val="000B3B51"/>
    <w:rsid w:val="000C07B5"/>
    <w:rsid w:val="000C1EC0"/>
    <w:rsid w:val="000C257B"/>
    <w:rsid w:val="000C39BE"/>
    <w:rsid w:val="000C5598"/>
    <w:rsid w:val="000D5DE9"/>
    <w:rsid w:val="000D759A"/>
    <w:rsid w:val="000D7870"/>
    <w:rsid w:val="001011B4"/>
    <w:rsid w:val="00101B44"/>
    <w:rsid w:val="001036A7"/>
    <w:rsid w:val="00114FF6"/>
    <w:rsid w:val="001236C0"/>
    <w:rsid w:val="00124311"/>
    <w:rsid w:val="00124412"/>
    <w:rsid w:val="00124950"/>
    <w:rsid w:val="0013701E"/>
    <w:rsid w:val="00137FE9"/>
    <w:rsid w:val="0014007A"/>
    <w:rsid w:val="0015400C"/>
    <w:rsid w:val="00163314"/>
    <w:rsid w:val="00174663"/>
    <w:rsid w:val="00174668"/>
    <w:rsid w:val="00177935"/>
    <w:rsid w:val="00181FBB"/>
    <w:rsid w:val="00187B66"/>
    <w:rsid w:val="001A1BB7"/>
    <w:rsid w:val="001A3341"/>
    <w:rsid w:val="001B0534"/>
    <w:rsid w:val="001B11B9"/>
    <w:rsid w:val="001B15A7"/>
    <w:rsid w:val="001C47C9"/>
    <w:rsid w:val="001C63F4"/>
    <w:rsid w:val="001C6E08"/>
    <w:rsid w:val="001D2AD1"/>
    <w:rsid w:val="001D4BE5"/>
    <w:rsid w:val="001D5409"/>
    <w:rsid w:val="001D5EA0"/>
    <w:rsid w:val="001E0CC7"/>
    <w:rsid w:val="001E26B3"/>
    <w:rsid w:val="001F1155"/>
    <w:rsid w:val="001F1861"/>
    <w:rsid w:val="001F3EB2"/>
    <w:rsid w:val="001F6C07"/>
    <w:rsid w:val="00201809"/>
    <w:rsid w:val="00206B23"/>
    <w:rsid w:val="002103E0"/>
    <w:rsid w:val="00217F20"/>
    <w:rsid w:val="002377EC"/>
    <w:rsid w:val="00241253"/>
    <w:rsid w:val="00244054"/>
    <w:rsid w:val="002450FE"/>
    <w:rsid w:val="00246F2A"/>
    <w:rsid w:val="00250592"/>
    <w:rsid w:val="002510DF"/>
    <w:rsid w:val="0025402A"/>
    <w:rsid w:val="00255EB0"/>
    <w:rsid w:val="00257AC6"/>
    <w:rsid w:val="00260D9D"/>
    <w:rsid w:val="00263BF3"/>
    <w:rsid w:val="002640A4"/>
    <w:rsid w:val="002668AB"/>
    <w:rsid w:val="0028017C"/>
    <w:rsid w:val="00282F4F"/>
    <w:rsid w:val="002849A7"/>
    <w:rsid w:val="0029109B"/>
    <w:rsid w:val="002915C2"/>
    <w:rsid w:val="002936D9"/>
    <w:rsid w:val="00293B48"/>
    <w:rsid w:val="002A16AD"/>
    <w:rsid w:val="002A3DC8"/>
    <w:rsid w:val="002A5CA7"/>
    <w:rsid w:val="002A6BC0"/>
    <w:rsid w:val="002B3F6A"/>
    <w:rsid w:val="002B526D"/>
    <w:rsid w:val="002C319A"/>
    <w:rsid w:val="002C7235"/>
    <w:rsid w:val="002E38FE"/>
    <w:rsid w:val="002E547D"/>
    <w:rsid w:val="002E5780"/>
    <w:rsid w:val="002F2E44"/>
    <w:rsid w:val="002F4F29"/>
    <w:rsid w:val="003043B9"/>
    <w:rsid w:val="00305614"/>
    <w:rsid w:val="00310854"/>
    <w:rsid w:val="00317850"/>
    <w:rsid w:val="00322404"/>
    <w:rsid w:val="00327C56"/>
    <w:rsid w:val="00331348"/>
    <w:rsid w:val="00347CB5"/>
    <w:rsid w:val="00360987"/>
    <w:rsid w:val="003641FC"/>
    <w:rsid w:val="003656F5"/>
    <w:rsid w:val="00366D64"/>
    <w:rsid w:val="00367E0A"/>
    <w:rsid w:val="003729F9"/>
    <w:rsid w:val="00374CB5"/>
    <w:rsid w:val="003816A5"/>
    <w:rsid w:val="00382110"/>
    <w:rsid w:val="00384E7A"/>
    <w:rsid w:val="00390C7B"/>
    <w:rsid w:val="0039282D"/>
    <w:rsid w:val="003A003E"/>
    <w:rsid w:val="003A7A55"/>
    <w:rsid w:val="003C0BCD"/>
    <w:rsid w:val="003C4618"/>
    <w:rsid w:val="003C4DD5"/>
    <w:rsid w:val="003D2973"/>
    <w:rsid w:val="003D6B2D"/>
    <w:rsid w:val="003E2B82"/>
    <w:rsid w:val="003E5DBC"/>
    <w:rsid w:val="003E6040"/>
    <w:rsid w:val="003F1BD0"/>
    <w:rsid w:val="003F7564"/>
    <w:rsid w:val="00401415"/>
    <w:rsid w:val="0040164B"/>
    <w:rsid w:val="00401B50"/>
    <w:rsid w:val="00407F83"/>
    <w:rsid w:val="004176C8"/>
    <w:rsid w:val="0042101A"/>
    <w:rsid w:val="00427949"/>
    <w:rsid w:val="00432068"/>
    <w:rsid w:val="00440009"/>
    <w:rsid w:val="004427A9"/>
    <w:rsid w:val="0044524D"/>
    <w:rsid w:val="004457E2"/>
    <w:rsid w:val="004479B9"/>
    <w:rsid w:val="0045329F"/>
    <w:rsid w:val="00454C87"/>
    <w:rsid w:val="0046166B"/>
    <w:rsid w:val="00462B70"/>
    <w:rsid w:val="00465453"/>
    <w:rsid w:val="00471254"/>
    <w:rsid w:val="004725A8"/>
    <w:rsid w:val="00476674"/>
    <w:rsid w:val="00494758"/>
    <w:rsid w:val="004958C1"/>
    <w:rsid w:val="00496D3F"/>
    <w:rsid w:val="004B6B65"/>
    <w:rsid w:val="004C36A1"/>
    <w:rsid w:val="004C6AE1"/>
    <w:rsid w:val="004D320F"/>
    <w:rsid w:val="004D341F"/>
    <w:rsid w:val="004D423A"/>
    <w:rsid w:val="004D6694"/>
    <w:rsid w:val="004E0308"/>
    <w:rsid w:val="004E737C"/>
    <w:rsid w:val="004F3887"/>
    <w:rsid w:val="0050036F"/>
    <w:rsid w:val="00504F7A"/>
    <w:rsid w:val="0053255E"/>
    <w:rsid w:val="00533A83"/>
    <w:rsid w:val="00535A0F"/>
    <w:rsid w:val="0054740A"/>
    <w:rsid w:val="00550064"/>
    <w:rsid w:val="00560806"/>
    <w:rsid w:val="00566264"/>
    <w:rsid w:val="0056659A"/>
    <w:rsid w:val="00566A3D"/>
    <w:rsid w:val="00567788"/>
    <w:rsid w:val="00577411"/>
    <w:rsid w:val="00580D6C"/>
    <w:rsid w:val="0058259F"/>
    <w:rsid w:val="00582C9B"/>
    <w:rsid w:val="00584D83"/>
    <w:rsid w:val="00584FF5"/>
    <w:rsid w:val="0058688A"/>
    <w:rsid w:val="00590B9E"/>
    <w:rsid w:val="00594F94"/>
    <w:rsid w:val="005A6DDD"/>
    <w:rsid w:val="005B06D5"/>
    <w:rsid w:val="005C36C7"/>
    <w:rsid w:val="005C4B33"/>
    <w:rsid w:val="005C4C3E"/>
    <w:rsid w:val="005C732A"/>
    <w:rsid w:val="005D182D"/>
    <w:rsid w:val="005E0D77"/>
    <w:rsid w:val="005E2E91"/>
    <w:rsid w:val="005F1FE6"/>
    <w:rsid w:val="005F2314"/>
    <w:rsid w:val="005F33B9"/>
    <w:rsid w:val="005F4FA5"/>
    <w:rsid w:val="005F55BC"/>
    <w:rsid w:val="006018D5"/>
    <w:rsid w:val="006051D2"/>
    <w:rsid w:val="006069CE"/>
    <w:rsid w:val="00606F55"/>
    <w:rsid w:val="00611C56"/>
    <w:rsid w:val="0061665A"/>
    <w:rsid w:val="00616CDD"/>
    <w:rsid w:val="00620488"/>
    <w:rsid w:val="00621EDB"/>
    <w:rsid w:val="00624E57"/>
    <w:rsid w:val="006350F6"/>
    <w:rsid w:val="006362AE"/>
    <w:rsid w:val="00644CE6"/>
    <w:rsid w:val="006528FD"/>
    <w:rsid w:val="0065676E"/>
    <w:rsid w:val="00657E4A"/>
    <w:rsid w:val="00660180"/>
    <w:rsid w:val="0067184A"/>
    <w:rsid w:val="00671FB6"/>
    <w:rsid w:val="00677FD7"/>
    <w:rsid w:val="00682523"/>
    <w:rsid w:val="0068390F"/>
    <w:rsid w:val="00685A37"/>
    <w:rsid w:val="00686274"/>
    <w:rsid w:val="006864FB"/>
    <w:rsid w:val="0069114C"/>
    <w:rsid w:val="00695716"/>
    <w:rsid w:val="006A20B2"/>
    <w:rsid w:val="006A3613"/>
    <w:rsid w:val="006A518A"/>
    <w:rsid w:val="006A5660"/>
    <w:rsid w:val="006B025C"/>
    <w:rsid w:val="006B07E2"/>
    <w:rsid w:val="006B1905"/>
    <w:rsid w:val="006B3184"/>
    <w:rsid w:val="006B3834"/>
    <w:rsid w:val="006B4D32"/>
    <w:rsid w:val="006B5BFE"/>
    <w:rsid w:val="006B6C01"/>
    <w:rsid w:val="006C3C55"/>
    <w:rsid w:val="006C525C"/>
    <w:rsid w:val="006C639F"/>
    <w:rsid w:val="006C6757"/>
    <w:rsid w:val="006D085B"/>
    <w:rsid w:val="006E3944"/>
    <w:rsid w:val="006E6D3B"/>
    <w:rsid w:val="006F013E"/>
    <w:rsid w:val="006F2864"/>
    <w:rsid w:val="00704503"/>
    <w:rsid w:val="0070567A"/>
    <w:rsid w:val="00707028"/>
    <w:rsid w:val="0070730A"/>
    <w:rsid w:val="00716CAC"/>
    <w:rsid w:val="00720CDB"/>
    <w:rsid w:val="00722320"/>
    <w:rsid w:val="00724528"/>
    <w:rsid w:val="007451EC"/>
    <w:rsid w:val="00746550"/>
    <w:rsid w:val="00746633"/>
    <w:rsid w:val="007507B0"/>
    <w:rsid w:val="0075164F"/>
    <w:rsid w:val="00760642"/>
    <w:rsid w:val="00760C34"/>
    <w:rsid w:val="00761CF8"/>
    <w:rsid w:val="007620B7"/>
    <w:rsid w:val="007628E6"/>
    <w:rsid w:val="007630A5"/>
    <w:rsid w:val="007849E3"/>
    <w:rsid w:val="00786E16"/>
    <w:rsid w:val="00790B44"/>
    <w:rsid w:val="007A14EF"/>
    <w:rsid w:val="007B0213"/>
    <w:rsid w:val="007B03B4"/>
    <w:rsid w:val="007B0826"/>
    <w:rsid w:val="007B303D"/>
    <w:rsid w:val="007B5CEA"/>
    <w:rsid w:val="007C5144"/>
    <w:rsid w:val="007D22D4"/>
    <w:rsid w:val="007D2CDF"/>
    <w:rsid w:val="007D572C"/>
    <w:rsid w:val="007E632E"/>
    <w:rsid w:val="007F0B16"/>
    <w:rsid w:val="007F17CF"/>
    <w:rsid w:val="007F6ADA"/>
    <w:rsid w:val="00800C34"/>
    <w:rsid w:val="008040E6"/>
    <w:rsid w:val="008126DA"/>
    <w:rsid w:val="00821AA5"/>
    <w:rsid w:val="008301A4"/>
    <w:rsid w:val="00831C82"/>
    <w:rsid w:val="008338DC"/>
    <w:rsid w:val="0083610F"/>
    <w:rsid w:val="008370F5"/>
    <w:rsid w:val="00837338"/>
    <w:rsid w:val="00840B67"/>
    <w:rsid w:val="008505AC"/>
    <w:rsid w:val="00852F66"/>
    <w:rsid w:val="00855526"/>
    <w:rsid w:val="0085574D"/>
    <w:rsid w:val="00856461"/>
    <w:rsid w:val="008607A6"/>
    <w:rsid w:val="008640C0"/>
    <w:rsid w:val="008725DB"/>
    <w:rsid w:val="008727A3"/>
    <w:rsid w:val="00872E40"/>
    <w:rsid w:val="00875E50"/>
    <w:rsid w:val="00876F90"/>
    <w:rsid w:val="00883567"/>
    <w:rsid w:val="00885E9F"/>
    <w:rsid w:val="00887F22"/>
    <w:rsid w:val="00891E4A"/>
    <w:rsid w:val="008A5D87"/>
    <w:rsid w:val="008B214D"/>
    <w:rsid w:val="008B2BAA"/>
    <w:rsid w:val="008C3D10"/>
    <w:rsid w:val="008E70E7"/>
    <w:rsid w:val="008F059C"/>
    <w:rsid w:val="008F3579"/>
    <w:rsid w:val="008F6896"/>
    <w:rsid w:val="00907349"/>
    <w:rsid w:val="00907BD1"/>
    <w:rsid w:val="00914242"/>
    <w:rsid w:val="00916533"/>
    <w:rsid w:val="00923A76"/>
    <w:rsid w:val="00931ACB"/>
    <w:rsid w:val="00941EE0"/>
    <w:rsid w:val="009439CC"/>
    <w:rsid w:val="00945575"/>
    <w:rsid w:val="009526D2"/>
    <w:rsid w:val="00960931"/>
    <w:rsid w:val="00961C12"/>
    <w:rsid w:val="00964F5E"/>
    <w:rsid w:val="00970329"/>
    <w:rsid w:val="00974848"/>
    <w:rsid w:val="00975534"/>
    <w:rsid w:val="00980AC0"/>
    <w:rsid w:val="00981C7F"/>
    <w:rsid w:val="00987879"/>
    <w:rsid w:val="00991337"/>
    <w:rsid w:val="00993BD7"/>
    <w:rsid w:val="009977E5"/>
    <w:rsid w:val="00997C43"/>
    <w:rsid w:val="009A22A3"/>
    <w:rsid w:val="009A6325"/>
    <w:rsid w:val="009A6F18"/>
    <w:rsid w:val="009B04F5"/>
    <w:rsid w:val="009B25B0"/>
    <w:rsid w:val="009C3FE9"/>
    <w:rsid w:val="009D246A"/>
    <w:rsid w:val="009D5F2E"/>
    <w:rsid w:val="009D6F6A"/>
    <w:rsid w:val="009E20B3"/>
    <w:rsid w:val="009E4494"/>
    <w:rsid w:val="009E44CC"/>
    <w:rsid w:val="009F1510"/>
    <w:rsid w:val="009F2881"/>
    <w:rsid w:val="009F4EC8"/>
    <w:rsid w:val="009F721C"/>
    <w:rsid w:val="00A0036F"/>
    <w:rsid w:val="00A04C87"/>
    <w:rsid w:val="00A23BE5"/>
    <w:rsid w:val="00A2546C"/>
    <w:rsid w:val="00A4070B"/>
    <w:rsid w:val="00A44DAD"/>
    <w:rsid w:val="00A45791"/>
    <w:rsid w:val="00A45BCF"/>
    <w:rsid w:val="00A51871"/>
    <w:rsid w:val="00A5255C"/>
    <w:rsid w:val="00A54BAA"/>
    <w:rsid w:val="00A617FE"/>
    <w:rsid w:val="00A65514"/>
    <w:rsid w:val="00A679EC"/>
    <w:rsid w:val="00A741A0"/>
    <w:rsid w:val="00A760A9"/>
    <w:rsid w:val="00A8591B"/>
    <w:rsid w:val="00A90656"/>
    <w:rsid w:val="00A929F0"/>
    <w:rsid w:val="00A94D97"/>
    <w:rsid w:val="00A96E1D"/>
    <w:rsid w:val="00A97531"/>
    <w:rsid w:val="00AA63CB"/>
    <w:rsid w:val="00AA6948"/>
    <w:rsid w:val="00AA69AA"/>
    <w:rsid w:val="00AB7A23"/>
    <w:rsid w:val="00AB7B47"/>
    <w:rsid w:val="00AB7FD4"/>
    <w:rsid w:val="00AC1CF5"/>
    <w:rsid w:val="00AC34E5"/>
    <w:rsid w:val="00AC6CBC"/>
    <w:rsid w:val="00AE65EF"/>
    <w:rsid w:val="00AE7238"/>
    <w:rsid w:val="00AF2B5D"/>
    <w:rsid w:val="00B00660"/>
    <w:rsid w:val="00B01339"/>
    <w:rsid w:val="00B04885"/>
    <w:rsid w:val="00B058DF"/>
    <w:rsid w:val="00B15534"/>
    <w:rsid w:val="00B17563"/>
    <w:rsid w:val="00B20D31"/>
    <w:rsid w:val="00B22ACB"/>
    <w:rsid w:val="00B22D4F"/>
    <w:rsid w:val="00B2791E"/>
    <w:rsid w:val="00B33029"/>
    <w:rsid w:val="00B342E8"/>
    <w:rsid w:val="00B37585"/>
    <w:rsid w:val="00B40645"/>
    <w:rsid w:val="00B479EE"/>
    <w:rsid w:val="00B52907"/>
    <w:rsid w:val="00B54C3B"/>
    <w:rsid w:val="00B670B0"/>
    <w:rsid w:val="00B71CC3"/>
    <w:rsid w:val="00B8171A"/>
    <w:rsid w:val="00B84F6C"/>
    <w:rsid w:val="00B851E1"/>
    <w:rsid w:val="00B905CB"/>
    <w:rsid w:val="00B94DB4"/>
    <w:rsid w:val="00B95212"/>
    <w:rsid w:val="00BA0FFD"/>
    <w:rsid w:val="00BA7362"/>
    <w:rsid w:val="00BA7ED9"/>
    <w:rsid w:val="00BB23DD"/>
    <w:rsid w:val="00BB411B"/>
    <w:rsid w:val="00BB4148"/>
    <w:rsid w:val="00BB4897"/>
    <w:rsid w:val="00BB51F2"/>
    <w:rsid w:val="00BC05DF"/>
    <w:rsid w:val="00BC0642"/>
    <w:rsid w:val="00BC3359"/>
    <w:rsid w:val="00BC41F3"/>
    <w:rsid w:val="00BD14C2"/>
    <w:rsid w:val="00BE0905"/>
    <w:rsid w:val="00BE57C1"/>
    <w:rsid w:val="00BF1B5D"/>
    <w:rsid w:val="00BF398C"/>
    <w:rsid w:val="00C05FF9"/>
    <w:rsid w:val="00C0784D"/>
    <w:rsid w:val="00C13CDE"/>
    <w:rsid w:val="00C14948"/>
    <w:rsid w:val="00C166B5"/>
    <w:rsid w:val="00C22337"/>
    <w:rsid w:val="00C25734"/>
    <w:rsid w:val="00C26749"/>
    <w:rsid w:val="00C26964"/>
    <w:rsid w:val="00C31A04"/>
    <w:rsid w:val="00C36186"/>
    <w:rsid w:val="00C37FBB"/>
    <w:rsid w:val="00C40E11"/>
    <w:rsid w:val="00C451ED"/>
    <w:rsid w:val="00C45D0C"/>
    <w:rsid w:val="00C505BB"/>
    <w:rsid w:val="00C5553E"/>
    <w:rsid w:val="00C55B3F"/>
    <w:rsid w:val="00C60898"/>
    <w:rsid w:val="00C6436C"/>
    <w:rsid w:val="00C654C2"/>
    <w:rsid w:val="00C707C4"/>
    <w:rsid w:val="00C81F07"/>
    <w:rsid w:val="00C91567"/>
    <w:rsid w:val="00C91B8D"/>
    <w:rsid w:val="00C94723"/>
    <w:rsid w:val="00CA62E2"/>
    <w:rsid w:val="00CB5E6E"/>
    <w:rsid w:val="00CC58E8"/>
    <w:rsid w:val="00CC5D2F"/>
    <w:rsid w:val="00CC7069"/>
    <w:rsid w:val="00CD25AA"/>
    <w:rsid w:val="00CD4151"/>
    <w:rsid w:val="00CD4DDA"/>
    <w:rsid w:val="00CE1744"/>
    <w:rsid w:val="00CE2F9F"/>
    <w:rsid w:val="00CE4982"/>
    <w:rsid w:val="00CE7A31"/>
    <w:rsid w:val="00CF1172"/>
    <w:rsid w:val="00CF14F8"/>
    <w:rsid w:val="00CF4565"/>
    <w:rsid w:val="00CF7BDA"/>
    <w:rsid w:val="00D00D1E"/>
    <w:rsid w:val="00D021E6"/>
    <w:rsid w:val="00D11B5D"/>
    <w:rsid w:val="00D155A1"/>
    <w:rsid w:val="00D17349"/>
    <w:rsid w:val="00D233D7"/>
    <w:rsid w:val="00D23AF5"/>
    <w:rsid w:val="00D2402E"/>
    <w:rsid w:val="00D24B46"/>
    <w:rsid w:val="00D2622F"/>
    <w:rsid w:val="00D26EC1"/>
    <w:rsid w:val="00D310BB"/>
    <w:rsid w:val="00D313AA"/>
    <w:rsid w:val="00D315CB"/>
    <w:rsid w:val="00D33A5C"/>
    <w:rsid w:val="00D3516D"/>
    <w:rsid w:val="00D36E63"/>
    <w:rsid w:val="00D502EA"/>
    <w:rsid w:val="00D50832"/>
    <w:rsid w:val="00D52608"/>
    <w:rsid w:val="00D5452C"/>
    <w:rsid w:val="00D5529E"/>
    <w:rsid w:val="00D56990"/>
    <w:rsid w:val="00D7030D"/>
    <w:rsid w:val="00D7294D"/>
    <w:rsid w:val="00D80B34"/>
    <w:rsid w:val="00D810E7"/>
    <w:rsid w:val="00D913E7"/>
    <w:rsid w:val="00D91C0A"/>
    <w:rsid w:val="00DA2B34"/>
    <w:rsid w:val="00DA5AB2"/>
    <w:rsid w:val="00DB2272"/>
    <w:rsid w:val="00DB389C"/>
    <w:rsid w:val="00DC4A9E"/>
    <w:rsid w:val="00DE0CBA"/>
    <w:rsid w:val="00DF01D5"/>
    <w:rsid w:val="00DF2E49"/>
    <w:rsid w:val="00DF35F7"/>
    <w:rsid w:val="00E002C7"/>
    <w:rsid w:val="00E05096"/>
    <w:rsid w:val="00E06F51"/>
    <w:rsid w:val="00E07E73"/>
    <w:rsid w:val="00E16E58"/>
    <w:rsid w:val="00E20ECB"/>
    <w:rsid w:val="00E310CB"/>
    <w:rsid w:val="00E331B9"/>
    <w:rsid w:val="00E3537B"/>
    <w:rsid w:val="00E4064B"/>
    <w:rsid w:val="00E472BA"/>
    <w:rsid w:val="00E51132"/>
    <w:rsid w:val="00E5287F"/>
    <w:rsid w:val="00E551FB"/>
    <w:rsid w:val="00E5756A"/>
    <w:rsid w:val="00E61116"/>
    <w:rsid w:val="00E6564A"/>
    <w:rsid w:val="00E65E8B"/>
    <w:rsid w:val="00E729C2"/>
    <w:rsid w:val="00E749D1"/>
    <w:rsid w:val="00E808A7"/>
    <w:rsid w:val="00E80A43"/>
    <w:rsid w:val="00E85A2B"/>
    <w:rsid w:val="00E925CA"/>
    <w:rsid w:val="00EA2691"/>
    <w:rsid w:val="00EA54A0"/>
    <w:rsid w:val="00EB0A76"/>
    <w:rsid w:val="00EB0C45"/>
    <w:rsid w:val="00ED60FD"/>
    <w:rsid w:val="00ED6D7B"/>
    <w:rsid w:val="00F01F89"/>
    <w:rsid w:val="00F02BCF"/>
    <w:rsid w:val="00F0334E"/>
    <w:rsid w:val="00F05968"/>
    <w:rsid w:val="00F072F1"/>
    <w:rsid w:val="00F07F39"/>
    <w:rsid w:val="00F159BC"/>
    <w:rsid w:val="00F23052"/>
    <w:rsid w:val="00F23735"/>
    <w:rsid w:val="00F24037"/>
    <w:rsid w:val="00F3365A"/>
    <w:rsid w:val="00F338A6"/>
    <w:rsid w:val="00F41A3D"/>
    <w:rsid w:val="00F4202A"/>
    <w:rsid w:val="00F43730"/>
    <w:rsid w:val="00F50698"/>
    <w:rsid w:val="00F51C8B"/>
    <w:rsid w:val="00F53801"/>
    <w:rsid w:val="00F645D3"/>
    <w:rsid w:val="00F65F96"/>
    <w:rsid w:val="00F74455"/>
    <w:rsid w:val="00F74B43"/>
    <w:rsid w:val="00F76744"/>
    <w:rsid w:val="00F77050"/>
    <w:rsid w:val="00F831F5"/>
    <w:rsid w:val="00F9602F"/>
    <w:rsid w:val="00FA5741"/>
    <w:rsid w:val="00FB17F1"/>
    <w:rsid w:val="00FB2DF0"/>
    <w:rsid w:val="00FB301C"/>
    <w:rsid w:val="00FB35F6"/>
    <w:rsid w:val="00FB38A5"/>
    <w:rsid w:val="00FB4F22"/>
    <w:rsid w:val="00FB50B1"/>
    <w:rsid w:val="00FB51E3"/>
    <w:rsid w:val="00FB7C7E"/>
    <w:rsid w:val="00FC218D"/>
    <w:rsid w:val="00FD3CE3"/>
    <w:rsid w:val="00FD7AEC"/>
    <w:rsid w:val="00FE374C"/>
    <w:rsid w:val="00FE3ECB"/>
    <w:rsid w:val="00FE4677"/>
    <w:rsid w:val="00FE467B"/>
    <w:rsid w:val="00FE544E"/>
    <w:rsid w:val="00FE5B8B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9D027"/>
  <w15:chartTrackingRefBased/>
  <w15:docId w15:val="{ACEF7CCD-B730-47A3-B081-6A7523C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253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54C3B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cs="Times New Roman"/>
      <w:b/>
      <w:i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Arial" w:hAnsi="Arial"/>
      <w:b/>
      <w:i w:val="0"/>
      <w:sz w:val="24"/>
      <w:szCs w:val="24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u w:val="none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b/>
      <w:i w:val="0"/>
      <w:sz w:val="24"/>
      <w:szCs w:val="24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Arial" w:hAnsi="Arial"/>
      <w:b/>
      <w:i w:val="0"/>
      <w:sz w:val="24"/>
      <w:szCs w:val="24"/>
    </w:rPr>
  </w:style>
  <w:style w:type="character" w:customStyle="1" w:styleId="WW8Num12z0">
    <w:name w:val="WW8Num12z0"/>
    <w:rPr>
      <w:rFonts w:ascii="Arial" w:hAnsi="Arial"/>
      <w:b/>
      <w:i w:val="0"/>
    </w:rPr>
  </w:style>
  <w:style w:type="character" w:customStyle="1" w:styleId="WW8Num12z1">
    <w:name w:val="WW8Num12z1"/>
    <w:rPr>
      <w:rFonts w:ascii="Arial" w:hAnsi="Arial"/>
      <w:b/>
      <w:i w:val="0"/>
      <w:sz w:val="24"/>
      <w:szCs w:val="24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Arial" w:hAnsi="Arial"/>
      <w:b w:val="0"/>
      <w:sz w:val="24"/>
      <w:szCs w:val="24"/>
    </w:rPr>
  </w:style>
  <w:style w:type="character" w:customStyle="1" w:styleId="WW8Num18z0">
    <w:name w:val="WW8Num18z0"/>
    <w:rPr>
      <w:b/>
      <w:u w:val="single"/>
    </w:rPr>
  </w:style>
  <w:style w:type="character" w:customStyle="1" w:styleId="WW8Num20z0">
    <w:name w:val="WW8Num20z0"/>
    <w:rPr>
      <w:rFonts w:ascii="Arial" w:hAnsi="Arial"/>
      <w:b/>
      <w:i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0">
    <w:name w:val="WW8Num24z0"/>
    <w:rPr>
      <w:rFonts w:ascii="Arial" w:hAnsi="Arial"/>
      <w:b/>
      <w:i w:val="0"/>
      <w:sz w:val="24"/>
      <w:szCs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B54C3B"/>
    <w:rPr>
      <w:rFonts w:ascii="Arial" w:hAnsi="Arial"/>
      <w:b/>
      <w:i/>
      <w:sz w:val="24"/>
    </w:rPr>
  </w:style>
  <w:style w:type="paragraph" w:styleId="Zkladntextodsazen">
    <w:name w:val="Body Text Indent"/>
    <w:basedOn w:val="Normln"/>
    <w:link w:val="ZkladntextodsazenChar"/>
    <w:rsid w:val="006F013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F013E"/>
    <w:rPr>
      <w:rFonts w:ascii="Arial" w:hAnsi="Arial" w:cs="Arial"/>
      <w:sz w:val="24"/>
      <w:szCs w:val="24"/>
      <w:lang w:eastAsia="ar-SA"/>
    </w:rPr>
  </w:style>
  <w:style w:type="character" w:customStyle="1" w:styleId="ZhlavChar">
    <w:name w:val="Záhlaví Char"/>
    <w:link w:val="Zhlav"/>
    <w:rsid w:val="00BC3359"/>
    <w:rPr>
      <w:rFonts w:ascii="Arial" w:hAnsi="Arial" w:cs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3359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link w:val="Zpat"/>
    <w:semiHidden/>
    <w:rsid w:val="00CF7BDA"/>
    <w:rPr>
      <w:rFonts w:ascii="Arial" w:hAnsi="Arial" w:cs="Arial"/>
      <w:sz w:val="24"/>
      <w:szCs w:val="24"/>
      <w:lang w:eastAsia="ar-SA"/>
    </w:rPr>
  </w:style>
  <w:style w:type="character" w:styleId="Hypertextovodkaz">
    <w:name w:val="Hyperlink"/>
    <w:unhideWhenUsed/>
    <w:rsid w:val="00C45D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202A"/>
    <w:pPr>
      <w:ind w:left="708"/>
    </w:pPr>
  </w:style>
  <w:style w:type="table" w:styleId="Mkatabulky">
    <w:name w:val="Table Grid"/>
    <w:basedOn w:val="Normlntabulka"/>
    <w:uiPriority w:val="59"/>
    <w:rsid w:val="00760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628E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C81F07"/>
    <w:rPr>
      <w:rFonts w:ascii="Arial" w:hAnsi="Arial" w:cs="Arial"/>
      <w:sz w:val="24"/>
      <w:szCs w:val="24"/>
      <w:lang w:eastAsia="ar-SA"/>
    </w:rPr>
  </w:style>
  <w:style w:type="character" w:styleId="Sledovanodkaz">
    <w:name w:val="FollowedHyperlink"/>
    <w:uiPriority w:val="99"/>
    <w:semiHidden/>
    <w:unhideWhenUsed/>
    <w:rsid w:val="00582C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1106-D9C4-41E9-BFE2-BA1DDCD5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2401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KUOK</Company>
  <LinksUpToDate>false</LinksUpToDate>
  <CharactersWithSpaces>16535</CharactersWithSpaces>
  <SharedDoc>false</SharedDoc>
  <HLinks>
    <vt:vector size="12" baseType="variant"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https://www.olkraj.cz/vyuctovani-dotace-cl-4390.html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Suchánek Jaroslav, Ing.</dc:creator>
  <cp:keywords/>
  <cp:lastModifiedBy>Přecechtělová Lenka</cp:lastModifiedBy>
  <cp:revision>5</cp:revision>
  <cp:lastPrinted>2020-01-27T13:59:00Z</cp:lastPrinted>
  <dcterms:created xsi:type="dcterms:W3CDTF">2020-02-10T05:39:00Z</dcterms:created>
  <dcterms:modified xsi:type="dcterms:W3CDTF">2020-02-11T06:42:00Z</dcterms:modified>
</cp:coreProperties>
</file>