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0372A" w14:textId="1B2EDB84" w:rsidR="000F13F2" w:rsidRPr="00B65B49" w:rsidRDefault="00DF7A3C" w:rsidP="00561E2C">
      <w:pPr>
        <w:pStyle w:val="Nadpis2"/>
        <w:jc w:val="center"/>
        <w:rPr>
          <w:rFonts w:ascii="Arial" w:hAnsi="Arial" w:cs="Arial"/>
          <w:color w:val="auto"/>
          <w:sz w:val="24"/>
          <w:szCs w:val="24"/>
          <w:u w:val="single"/>
        </w:rPr>
      </w:pPr>
      <w:r w:rsidRPr="00B65B49">
        <w:rPr>
          <w:rFonts w:ascii="Arial" w:hAnsi="Arial" w:cs="Arial"/>
          <w:color w:val="auto"/>
          <w:sz w:val="24"/>
          <w:szCs w:val="24"/>
          <w:u w:val="single"/>
        </w:rPr>
        <w:t>Úvodní k</w:t>
      </w:r>
      <w:r w:rsidR="00A60E52" w:rsidRPr="00B65B49">
        <w:rPr>
          <w:rFonts w:ascii="Arial" w:hAnsi="Arial" w:cs="Arial"/>
          <w:color w:val="auto"/>
          <w:sz w:val="24"/>
          <w:szCs w:val="24"/>
          <w:u w:val="single"/>
        </w:rPr>
        <w:t>oncept</w:t>
      </w:r>
      <w:r w:rsidRPr="00B65B49">
        <w:rPr>
          <w:rFonts w:ascii="Arial" w:hAnsi="Arial" w:cs="Arial"/>
          <w:color w:val="auto"/>
          <w:sz w:val="24"/>
          <w:szCs w:val="24"/>
          <w:u w:val="single"/>
        </w:rPr>
        <w:t xml:space="preserve"> rozvoje</w:t>
      </w:r>
      <w:r w:rsidR="00CB3D98" w:rsidRPr="00B65B49">
        <w:rPr>
          <w:rFonts w:ascii="Arial" w:hAnsi="Arial" w:cs="Arial"/>
          <w:color w:val="auto"/>
          <w:sz w:val="24"/>
          <w:szCs w:val="24"/>
          <w:u w:val="single"/>
        </w:rPr>
        <w:t xml:space="preserve"> </w:t>
      </w:r>
      <w:r w:rsidRPr="00B65B49">
        <w:rPr>
          <w:rFonts w:ascii="Arial" w:hAnsi="Arial" w:cs="Arial"/>
          <w:color w:val="auto"/>
          <w:sz w:val="24"/>
          <w:szCs w:val="24"/>
          <w:u w:val="single"/>
        </w:rPr>
        <w:br/>
      </w:r>
      <w:r w:rsidR="00561E2C" w:rsidRPr="00B65B49">
        <w:rPr>
          <w:rFonts w:ascii="Arial" w:hAnsi="Arial" w:cs="Arial"/>
          <w:color w:val="auto"/>
          <w:sz w:val="24"/>
          <w:szCs w:val="24"/>
          <w:u w:val="single"/>
        </w:rPr>
        <w:t>OK4Inovace</w:t>
      </w:r>
      <w:r w:rsidR="00EB506F" w:rsidRPr="00B65B49">
        <w:rPr>
          <w:rFonts w:ascii="Arial" w:hAnsi="Arial" w:cs="Arial"/>
          <w:color w:val="auto"/>
          <w:sz w:val="24"/>
          <w:szCs w:val="24"/>
          <w:u w:val="single"/>
        </w:rPr>
        <w:t xml:space="preserve"> – </w:t>
      </w:r>
      <w:r w:rsidRPr="00B65B49">
        <w:rPr>
          <w:rFonts w:ascii="Arial" w:hAnsi="Arial" w:cs="Arial"/>
          <w:color w:val="auto"/>
          <w:sz w:val="24"/>
          <w:szCs w:val="24"/>
          <w:u w:val="single"/>
        </w:rPr>
        <w:t>I</w:t>
      </w:r>
      <w:r w:rsidR="00EB506F" w:rsidRPr="00B65B49">
        <w:rPr>
          <w:rFonts w:ascii="Arial" w:hAnsi="Arial" w:cs="Arial"/>
          <w:color w:val="auto"/>
          <w:sz w:val="24"/>
          <w:szCs w:val="24"/>
          <w:u w:val="single"/>
        </w:rPr>
        <w:t>novačního centra</w:t>
      </w:r>
      <w:r w:rsidR="00561E2C" w:rsidRPr="00B65B49">
        <w:rPr>
          <w:rFonts w:ascii="Arial" w:hAnsi="Arial" w:cs="Arial"/>
          <w:color w:val="auto"/>
          <w:sz w:val="24"/>
          <w:szCs w:val="24"/>
          <w:u w:val="single"/>
        </w:rPr>
        <w:t xml:space="preserve"> Olomouckého kraje</w:t>
      </w:r>
    </w:p>
    <w:p w14:paraId="1C05702A" w14:textId="77777777" w:rsidR="00B65B49" w:rsidRPr="00B65B49" w:rsidRDefault="00B65B49" w:rsidP="00B65B49">
      <w:pPr>
        <w:rPr>
          <w:rFonts w:ascii="Arial" w:hAnsi="Arial" w:cs="Arial"/>
          <w:sz w:val="24"/>
          <w:szCs w:val="24"/>
        </w:rPr>
      </w:pPr>
    </w:p>
    <w:p w14:paraId="17ACBCE6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Inovace jsou zásadním hybatelem prosperity každého regionu. Inovační centrum je zásadní agilní jednotkou pro realizaci změny – mělo by se jednat o efektivní nástroj kraje. Úkoly prvního roku existence budou spočívat v první řadě v analýze současného stavu OK4Inovace, vyhodnocení aktivit, převzetí dobré praxe a poučení se z neúspěchů. </w:t>
      </w:r>
    </w:p>
    <w:p w14:paraId="58D77B86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Samozřejmostí, resp. nutností, je zapojení OK4Inovace do stávajících sítí regionálních i národních institucí a platforem, které se věnují podpoře podnikání a výzkumu, vývoje a inovací, a navázání strategických partnerství s nimi. Zároveň bude třeba rozběhnout první služby pro podporu podnikání, výzkumu, vývoje a inovací a šířit povědomí u cílových skupin (studentů, malých a středních podniků, vědeckých organizací) o aktivitách a službách centra. Aby se OK4Inovace mohlo stát významným hybatelem inovačního prostředí Olomouckého kraje, je třeba naplnit následující podmínky. </w:t>
      </w:r>
    </w:p>
    <w:p w14:paraId="5DAAB7D1" w14:textId="77777777" w:rsidR="00B65B49" w:rsidRPr="00B65B49" w:rsidRDefault="00B65B49" w:rsidP="00B65B4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Kvalitní tým</w:t>
      </w:r>
    </w:p>
    <w:p w14:paraId="795ABB97" w14:textId="77777777" w:rsidR="00B65B49" w:rsidRPr="00B65B49" w:rsidRDefault="00B65B49" w:rsidP="00B65B4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Udržitelný rozpočet</w:t>
      </w:r>
    </w:p>
    <w:p w14:paraId="28DB9AED" w14:textId="77777777" w:rsidR="00B65B49" w:rsidRPr="00B65B49" w:rsidRDefault="00B65B49" w:rsidP="00B65B49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Rychlou realizaci základních oblastí podpory inovací</w:t>
      </w:r>
    </w:p>
    <w:p w14:paraId="0BD32E5F" w14:textId="77777777" w:rsidR="00B65B49" w:rsidRPr="00B65B49" w:rsidRDefault="00B65B49" w:rsidP="00B65B49">
      <w:pPr>
        <w:jc w:val="both"/>
        <w:rPr>
          <w:rFonts w:ascii="Arial" w:eastAsiaTheme="majorEastAsia" w:hAnsi="Arial" w:cs="Arial"/>
          <w:b/>
          <w:bCs/>
          <w:sz w:val="24"/>
          <w:szCs w:val="24"/>
        </w:rPr>
      </w:pPr>
    </w:p>
    <w:p w14:paraId="3FA6B5CC" w14:textId="77777777" w:rsidR="00B65B49" w:rsidRPr="00B65B49" w:rsidRDefault="00B65B49" w:rsidP="00B65B49">
      <w:pPr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B65B49">
        <w:rPr>
          <w:rFonts w:ascii="Arial" w:eastAsiaTheme="majorEastAsia" w:hAnsi="Arial" w:cs="Arial"/>
          <w:b/>
          <w:bCs/>
          <w:sz w:val="24"/>
          <w:szCs w:val="24"/>
        </w:rPr>
        <w:t>Kvalitní tým</w:t>
      </w:r>
    </w:p>
    <w:p w14:paraId="7999314B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Tým OK4Inovace je tvořen následujícími pozicemi:</w:t>
      </w:r>
    </w:p>
    <w:p w14:paraId="0504F074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Ředitelka sdružení</w:t>
      </w:r>
    </w:p>
    <w:p w14:paraId="29893C54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RIS3 krajský manažer</w:t>
      </w:r>
    </w:p>
    <w:p w14:paraId="10DC201C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Marketingový manažer</w:t>
      </w:r>
    </w:p>
    <w:p w14:paraId="67C8917C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Developer inovací 1 </w:t>
      </w:r>
    </w:p>
    <w:p w14:paraId="14822E8C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Developer inovací 2</w:t>
      </w:r>
    </w:p>
    <w:p w14:paraId="614064EF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Analytik</w:t>
      </w:r>
    </w:p>
    <w:p w14:paraId="7E6D07E0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RIS3 metodik</w:t>
      </w:r>
    </w:p>
    <w:p w14:paraId="37D42186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Odborný asistent</w:t>
      </w:r>
    </w:p>
    <w:p w14:paraId="6016E2FA" w14:textId="77777777" w:rsidR="00B65B49" w:rsidRPr="00B65B49" w:rsidRDefault="00B65B49" w:rsidP="00B65B49">
      <w:pPr>
        <w:pStyle w:val="Odstavecseseznamem"/>
        <w:numPr>
          <w:ilvl w:val="0"/>
          <w:numId w:val="27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Finanční manažer </w:t>
      </w:r>
    </w:p>
    <w:p w14:paraId="690E6DBB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V tomto složení je OK4Inovace schopno zajistit základní rozsah své činnosti, tj. primárně realizovat administraci projektů Smart Akcelerátor Olomouckého kraje II., aktivně se zapojit do aktivit Smart Region Olomoucký kraj a případně dalších projektů (viz níže). OK4Inovace předpokládá také zapojení externích spolupracovníků z řad expertů v jednotlivých inovačních oblastech. Tito experti by byli z velké části součástí vybudovaného poolu expertů OK4Inovace a byli by k dispozici formou placených konzultací firmám Olomouckého kraje (dále viz níže program PLATINN). </w:t>
      </w:r>
    </w:p>
    <w:p w14:paraId="699481C3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</w:p>
    <w:p w14:paraId="01430616" w14:textId="77777777" w:rsidR="00B65B49" w:rsidRPr="00B65B49" w:rsidRDefault="00B65B49" w:rsidP="00B65B49">
      <w:pPr>
        <w:pStyle w:val="Nadpis3"/>
        <w:rPr>
          <w:rFonts w:ascii="Arial" w:hAnsi="Arial" w:cs="Arial"/>
          <w:color w:val="auto"/>
          <w:sz w:val="24"/>
          <w:szCs w:val="24"/>
        </w:rPr>
      </w:pPr>
      <w:r w:rsidRPr="00B65B49">
        <w:rPr>
          <w:rFonts w:ascii="Arial" w:hAnsi="Arial" w:cs="Arial"/>
          <w:color w:val="auto"/>
          <w:sz w:val="24"/>
          <w:szCs w:val="24"/>
        </w:rPr>
        <w:t>Udržitelný rozpočet</w:t>
      </w:r>
    </w:p>
    <w:p w14:paraId="034D3138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Pro období prvního roku předpokládám potřebu naplnění rozpočtu ze strany Krajského úřadu Olomouckého kraje v minimální výši cca 4 mil. Kč (pro závěrečná období roku 2019 bylo již řešeno mimořádnými opatřeními). Z hlediska „startovacího“ rozpočtu jde o základní částku, která je velmi nízká v porovnání s jinými kraji, které se rozvoji vlastních inovačních center věnují dlouhodoběji. Přesto lze pro rok 2020 na základní chod organizace považovat tuto částku jako dostatečnou. Je potřeba v tomto ohledu zdůraznit, že je nezbytně nutné, aby ambice Olomouckého kraje v oblasti podpory ekoinovačního systému byly podpořeny odpovídajícími finančními prostředky s odpovídající zpětnou vazbou a vyhodnocením efektivity vynaložených financí. Příklady dobré praxe z ostatních krajů dokládají, že tento směr má své opodstatnění a pozitivní dopady. </w:t>
      </w:r>
    </w:p>
    <w:p w14:paraId="4365DFCD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V průběhu roku 2020 bude rozpočet postupně naplňován i dalšími finančními prostředky. Konkrétně se bude jednat o finance v rámci administrace Smart Akcelerátoru 2, finance na realizaci projektu, finance za administraci projektů financovaných Evropskou investiční bankou prostřednictvím investičních fondů, případně ITI Olomoucké aglomerace, program přeshraniční spolupráce (CZ-PL), případně další evropské a komunitární dotační programy.</w:t>
      </w:r>
    </w:p>
    <w:p w14:paraId="36479220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Jedním z cílů pro rok 2020 je komplexní aktualizace strategie a koncepce fungování OK4Inovace takovým způsobem, aby byla organizace schopna poskytovat také služby hrazené klienty, tj. rozvíjela také vlastní zdroje. Současně tím bude posílen tlak na zvyšování kvality poskytovaných služeb a jejich neustálý rozvoj (viz rovněž níže: základní oblasti činností). </w:t>
      </w:r>
    </w:p>
    <w:p w14:paraId="72BDAE43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</w:p>
    <w:p w14:paraId="71D33BF8" w14:textId="77777777" w:rsidR="00B65B49" w:rsidRPr="00B65B49" w:rsidRDefault="00B65B49" w:rsidP="00B65B49">
      <w:pPr>
        <w:pStyle w:val="Nadpis3"/>
        <w:rPr>
          <w:rFonts w:ascii="Arial" w:hAnsi="Arial" w:cs="Arial"/>
          <w:color w:val="auto"/>
          <w:sz w:val="24"/>
          <w:szCs w:val="24"/>
        </w:rPr>
      </w:pPr>
      <w:r w:rsidRPr="00B65B49">
        <w:rPr>
          <w:rFonts w:ascii="Arial" w:hAnsi="Arial" w:cs="Arial"/>
          <w:color w:val="auto"/>
          <w:sz w:val="24"/>
          <w:szCs w:val="24"/>
        </w:rPr>
        <w:t>Základní oblasti činností</w:t>
      </w:r>
    </w:p>
    <w:p w14:paraId="4FB08E35" w14:textId="77777777" w:rsidR="00B65B49" w:rsidRPr="00B65B49" w:rsidRDefault="00B65B49" w:rsidP="00B65B4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Koncentrace činnosti na development inovačního ekosystému regionu (strategické projekty/témata RIS3 OK, ITI Olomoucké aglomerace, Smart Akcelerátor OK II), síťování (firmy a veřejný sektor včetně VŠ), budování značky</w:t>
      </w:r>
    </w:p>
    <w:p w14:paraId="434C5D7F" w14:textId="77777777" w:rsidR="00B65B49" w:rsidRPr="00B65B49" w:rsidRDefault="00B65B49" w:rsidP="00B65B4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Zaměření služeb: </w:t>
      </w:r>
      <w:r w:rsidRPr="00B65B49">
        <w:rPr>
          <w:rFonts w:ascii="Arial" w:hAnsi="Arial" w:cs="Arial"/>
          <w:b/>
          <w:bCs/>
          <w:sz w:val="24"/>
          <w:szCs w:val="24"/>
        </w:rPr>
        <w:t>rozvoj nových firem (inkubační program)</w:t>
      </w:r>
      <w:r w:rsidRPr="00B65B49">
        <w:rPr>
          <w:rFonts w:ascii="Arial" w:hAnsi="Arial" w:cs="Arial"/>
          <w:sz w:val="24"/>
          <w:szCs w:val="24"/>
        </w:rPr>
        <w:t xml:space="preserve"> – potřeba navýšení financování o 0,5 úvazku člověka na tento program (bude důležité postupně navyšovat peníze na mentory - lidi, kteří radí začínajícím podnikatelům) - v první fázi jsme schopni dohodnout se s vytipovanými lidmi, kteří budou ochotni bez nároku na honorář poradit, protože budou chtít být s námi v komunitě, posléze budeme schopni práci těchto mentorů finančně odměnit. </w:t>
      </w:r>
    </w:p>
    <w:p w14:paraId="63ABAD99" w14:textId="77777777" w:rsidR="00B65B49" w:rsidRPr="00B65B49" w:rsidRDefault="00B65B49" w:rsidP="00B65B4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Jednou z klíčových priorit je zajistit spolupráci s investory - vybudování sítě, připravit úvodní </w:t>
      </w:r>
      <w:r w:rsidRPr="00B65B49">
        <w:rPr>
          <w:rFonts w:ascii="Arial" w:hAnsi="Arial" w:cs="Arial"/>
          <w:b/>
          <w:bCs/>
          <w:sz w:val="24"/>
          <w:szCs w:val="24"/>
        </w:rPr>
        <w:t>eventy</w:t>
      </w:r>
      <w:r w:rsidRPr="00B65B49">
        <w:rPr>
          <w:rFonts w:ascii="Arial" w:hAnsi="Arial" w:cs="Arial"/>
          <w:sz w:val="24"/>
          <w:szCs w:val="24"/>
        </w:rPr>
        <w:t xml:space="preserve"> (například Start-upový festival, případně tematický hackathon), v neposlední řadě bychom rádi rozjeli i program </w:t>
      </w:r>
      <w:r w:rsidRPr="00B65B49">
        <w:rPr>
          <w:rFonts w:ascii="Arial" w:hAnsi="Arial" w:cs="Arial"/>
          <w:b/>
          <w:bCs/>
          <w:sz w:val="24"/>
          <w:szCs w:val="24"/>
        </w:rPr>
        <w:t xml:space="preserve">podpora </w:t>
      </w:r>
      <w:r w:rsidRPr="00B65B49">
        <w:rPr>
          <w:rFonts w:ascii="Arial" w:hAnsi="Arial" w:cs="Arial"/>
          <w:b/>
          <w:bCs/>
          <w:sz w:val="24"/>
          <w:szCs w:val="24"/>
        </w:rPr>
        <w:lastRenderedPageBreak/>
        <w:t>podnikavosti</w:t>
      </w:r>
      <w:r w:rsidRPr="00B65B49">
        <w:rPr>
          <w:rFonts w:ascii="Arial" w:hAnsi="Arial" w:cs="Arial"/>
          <w:bCs/>
          <w:sz w:val="24"/>
          <w:szCs w:val="24"/>
        </w:rPr>
        <w:t>, což je program</w:t>
      </w:r>
      <w:r w:rsidRPr="00B65B49">
        <w:rPr>
          <w:rFonts w:ascii="Arial" w:hAnsi="Arial" w:cs="Arial"/>
          <w:sz w:val="24"/>
          <w:szCs w:val="24"/>
        </w:rPr>
        <w:t xml:space="preserve"> spolupráce s firmami a akademickou sférou (např. kurz na některé VŠ na téma Podnikání v regionu). </w:t>
      </w:r>
    </w:p>
    <w:p w14:paraId="4C2FA5F7" w14:textId="77777777" w:rsidR="00B65B49" w:rsidRPr="00B65B49" w:rsidRDefault="00B65B49" w:rsidP="00B65B4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Rozvoj spolupráce firem a výzkumných organizací: program </w:t>
      </w:r>
      <w:r w:rsidRPr="00B65B49">
        <w:rPr>
          <w:rFonts w:ascii="Arial" w:hAnsi="Arial" w:cs="Arial"/>
          <w:b/>
          <w:bCs/>
          <w:sz w:val="24"/>
          <w:szCs w:val="24"/>
        </w:rPr>
        <w:t>Inovační vouchery Olomouckého kraje</w:t>
      </w:r>
      <w:r w:rsidRPr="00B65B49">
        <w:rPr>
          <w:rFonts w:ascii="Arial" w:hAnsi="Arial" w:cs="Arial"/>
          <w:sz w:val="24"/>
          <w:szCs w:val="24"/>
        </w:rPr>
        <w:t xml:space="preserve"> (administrovalo by a konzultovalo OK4Inovace) – Věda a Výzkum jako prostředek pro inovace ve firmách. Úzká spolupráce s výzkumnými organizacemi a propagace VaV regionu.</w:t>
      </w:r>
    </w:p>
    <w:p w14:paraId="5AFED756" w14:textId="77777777" w:rsidR="00B65B49" w:rsidRPr="00B65B49" w:rsidRDefault="00B65B49" w:rsidP="00B65B49">
      <w:pPr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Dále plánujeme během 2020 získat i kompetence pro vedlejší činnosti, jakými budou odborné studie, analýzy, či menší zakázky.</w:t>
      </w:r>
    </w:p>
    <w:p w14:paraId="7D97D994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Za jednu z nejprogresivnějších aktivit centra považujeme možnost zapojit se do programu PLATINN, který přináší větší důraz na inovace v existujících firmách. Program </w:t>
      </w:r>
      <w:r w:rsidRPr="00B65B49">
        <w:rPr>
          <w:rFonts w:ascii="Arial" w:hAnsi="Arial" w:cs="Arial"/>
          <w:bCs/>
          <w:sz w:val="24"/>
          <w:szCs w:val="24"/>
        </w:rPr>
        <w:t>PLATINN</w:t>
      </w:r>
      <w:r w:rsidRPr="00B65B49">
        <w:rPr>
          <w:rFonts w:ascii="Arial" w:hAnsi="Arial" w:cs="Arial"/>
          <w:sz w:val="24"/>
          <w:szCs w:val="24"/>
        </w:rPr>
        <w:t xml:space="preserve"> zvyšuje inovační výkonnost malých a středních firem a tím konkurenceschopnost regionu. </w:t>
      </w:r>
      <w:r w:rsidRPr="00B65B49">
        <w:rPr>
          <w:rFonts w:ascii="Arial" w:hAnsi="Arial" w:cs="Arial"/>
          <w:bCs/>
          <w:sz w:val="24"/>
          <w:szCs w:val="24"/>
        </w:rPr>
        <w:t xml:space="preserve">Jedná se o metodiku využívanou pro spolupráci firem a expertů pro jednotlivé oblasti byznysu, která byla převzata ze Švýcarska. </w:t>
      </w:r>
      <w:r w:rsidRPr="00B65B49">
        <w:rPr>
          <w:rFonts w:ascii="Arial" w:hAnsi="Arial" w:cs="Arial"/>
          <w:sz w:val="24"/>
          <w:szCs w:val="24"/>
        </w:rPr>
        <w:t>Díky programu firmy odhalí inovační příležitosti a realizují změny vedoucí k růstu firmy a rozvoji regionu. Převažující způsoby spolupráce jsou koučink a facilitativní mentorink. Hlavními hodnotami programu PLATINN je:</w:t>
      </w:r>
    </w:p>
    <w:p w14:paraId="4582ECB7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b/>
          <w:bCs/>
          <w:sz w:val="24"/>
          <w:szCs w:val="24"/>
        </w:rPr>
        <w:t>Dlouhodobé strategické partnerství</w:t>
      </w:r>
    </w:p>
    <w:p w14:paraId="4ABFFC53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b/>
          <w:bCs/>
          <w:sz w:val="24"/>
          <w:szCs w:val="24"/>
        </w:rPr>
        <w:t>Posilování konkurenceschopnosti krajů a ČR</w:t>
      </w:r>
    </w:p>
    <w:p w14:paraId="423FDFCF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b/>
          <w:bCs/>
          <w:sz w:val="24"/>
          <w:szCs w:val="24"/>
        </w:rPr>
        <w:t>Kultivace podnikatelského prostředí</w:t>
      </w:r>
    </w:p>
    <w:p w14:paraId="2779D201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b/>
          <w:bCs/>
          <w:sz w:val="24"/>
          <w:szCs w:val="24"/>
        </w:rPr>
        <w:t>Podpora principů otevřenosti a sdílení</w:t>
      </w:r>
    </w:p>
    <w:p w14:paraId="077A46FC" w14:textId="77777777" w:rsidR="00B65B49" w:rsidRPr="00B65B49" w:rsidRDefault="00B65B49" w:rsidP="00B65B49">
      <w:p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Program PLATINN je rozdělen do dvou fází</w:t>
      </w:r>
    </w:p>
    <w:p w14:paraId="7901E41F" w14:textId="77777777" w:rsidR="00B65B49" w:rsidRPr="00B65B49" w:rsidRDefault="00B65B49" w:rsidP="00B65B4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Fáze 1 je pro firmu vždy zdarma a může trvat maximálně 40 hodin spolupráce s Expertem. Do této fáze smí jedna firma vstoupit pouze jednou.</w:t>
      </w:r>
    </w:p>
    <w:p w14:paraId="58996A67" w14:textId="77777777" w:rsidR="00B65B49" w:rsidRPr="00B65B49" w:rsidRDefault="00B65B49" w:rsidP="00B65B49">
      <w:pPr>
        <w:pStyle w:val="Odstavecseseznamem"/>
        <w:numPr>
          <w:ilvl w:val="0"/>
          <w:numId w:val="30"/>
        </w:num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Fáze 2 je vždy z poloviny spolufinancovaná firmou a může trvat maximálně 80 hodin. Do této fáze lze vstupovat opakovaně vždy, když má firma v plánu realizovat nový změnový projekt.</w:t>
      </w:r>
    </w:p>
    <w:p w14:paraId="1093D60D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Hodinová sazba Experta je stanovena ve všech službách na 1500 Kč za hodinu bez DPH.</w:t>
      </w:r>
    </w:p>
    <w:p w14:paraId="12876207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V současnosti je program PLATINN aktivně realizován v těchto krajích: Ústeckém, Libereckém, Středočeském, Jihomoravském a Zlínském (více viz </w:t>
      </w:r>
      <w:hyperlink r:id="rId7" w:history="1">
        <w:r w:rsidRPr="00B65B49">
          <w:rPr>
            <w:rStyle w:val="Hypertextovodkaz"/>
            <w:rFonts w:ascii="Arial" w:hAnsi="Arial" w:cs="Arial"/>
            <w:color w:val="auto"/>
            <w:sz w:val="24"/>
            <w:szCs w:val="24"/>
          </w:rPr>
          <w:t>http://platinn.cz/</w:t>
        </w:r>
      </w:hyperlink>
      <w:r w:rsidRPr="00B65B49">
        <w:rPr>
          <w:rFonts w:ascii="Arial" w:hAnsi="Arial" w:cs="Arial"/>
          <w:sz w:val="24"/>
          <w:szCs w:val="24"/>
        </w:rPr>
        <w:t>). Již proběhlo úvodní setkání v JIC na téma PLATINN a budeme v něm dále pokračovat.</w:t>
      </w:r>
    </w:p>
    <w:p w14:paraId="6EC86DF2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 xml:space="preserve">Další zásadní aktivitou, kterou bych chtěla, aby OK4Inovace realizovalo, je vytvoření jednoho z Center pro digitální inovace v Olomouckém kraji a administrace jeho činností. Jedná se o iniciativu EU s názvem Program Digitální Evropa, což je odpověď Evropské Komise na výzvu digitální transformace. Jedná se o investiční doplněk ke Strategii pro jednotný digitální trh EU. </w:t>
      </w:r>
    </w:p>
    <w:p w14:paraId="60313598" w14:textId="77777777" w:rsidR="007336B0" w:rsidRDefault="007336B0" w:rsidP="00B65B49">
      <w:pPr>
        <w:jc w:val="both"/>
        <w:rPr>
          <w:rFonts w:ascii="Arial" w:hAnsi="Arial" w:cs="Arial"/>
          <w:sz w:val="24"/>
          <w:szCs w:val="24"/>
        </w:rPr>
      </w:pPr>
    </w:p>
    <w:p w14:paraId="1A2EE117" w14:textId="4EC46A5C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lastRenderedPageBreak/>
        <w:t>Centra pro digitální inovace:</w:t>
      </w:r>
    </w:p>
    <w:p w14:paraId="137DF2B8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Vychází z Programu Digitální Evropy</w:t>
      </w:r>
    </w:p>
    <w:p w14:paraId="61D53BA2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Propojení inovačních technologií a malých a středních podniků</w:t>
      </w:r>
    </w:p>
    <w:p w14:paraId="4C5D97EF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Poskytování služeb digitální transformace</w:t>
      </w:r>
    </w:p>
    <w:p w14:paraId="3D9A7CBF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Regionální neziskové „One-Stop-Shopy“ pro malé a střední podniky</w:t>
      </w:r>
    </w:p>
    <w:p w14:paraId="6AB08BD1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Zvyšování povědomí o nutnosti digitalizace malých a středních podniků</w:t>
      </w:r>
    </w:p>
    <w:p w14:paraId="11F0C85D" w14:textId="77777777" w:rsidR="00B65B49" w:rsidRPr="00B65B49" w:rsidRDefault="00B65B49" w:rsidP="00B65B49">
      <w:p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Základní služby Centra pro digitální inovace:</w:t>
      </w:r>
    </w:p>
    <w:p w14:paraId="5D435FCA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Vývoj a testování produktů před finální výrobou a uvedením na trh</w:t>
      </w:r>
    </w:p>
    <w:p w14:paraId="7CBEB793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Poskytování služeb a kapacit souvisejících s využíváním disponibilní digitální infrastruktury</w:t>
      </w:r>
    </w:p>
    <w:p w14:paraId="3B957186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Podpora při hledání investic</w:t>
      </w:r>
    </w:p>
    <w:p w14:paraId="6F30E38A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Vzdělávání a rozvoj dovedností (training opportunities)</w:t>
      </w:r>
    </w:p>
    <w:p w14:paraId="4196185F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Podpora regionu v budování inovativního ekosystému a spolupráce</w:t>
      </w:r>
    </w:p>
    <w:p w14:paraId="5FD9AE9C" w14:textId="77777777" w:rsidR="0079767C" w:rsidRDefault="0079767C" w:rsidP="00B65B49">
      <w:pPr>
        <w:jc w:val="both"/>
        <w:rPr>
          <w:rFonts w:ascii="Arial" w:hAnsi="Arial" w:cs="Arial"/>
          <w:bCs/>
          <w:sz w:val="24"/>
          <w:szCs w:val="24"/>
        </w:rPr>
      </w:pPr>
    </w:p>
    <w:p w14:paraId="31E28C0E" w14:textId="47DF62AF" w:rsidR="00B65B49" w:rsidRPr="00B65B49" w:rsidRDefault="00B65B49" w:rsidP="00B65B49">
      <w:pPr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B65B49">
        <w:rPr>
          <w:rFonts w:ascii="Arial" w:hAnsi="Arial" w:cs="Arial"/>
          <w:bCs/>
          <w:sz w:val="24"/>
          <w:szCs w:val="24"/>
        </w:rPr>
        <w:t>Podmínky kladené na národní síť Center pro digitální inovace:</w:t>
      </w:r>
    </w:p>
    <w:p w14:paraId="5B23C6FB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Budou respektovat RIS3 strategii ČR</w:t>
      </w:r>
    </w:p>
    <w:p w14:paraId="0695797B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 xml:space="preserve">Budou vycházet z vyhodnocení silných a slabých stránek ekonomiky </w:t>
      </w:r>
    </w:p>
    <w:p w14:paraId="2F62258C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Budou vycházet z potřeb a příležitostí v regionu</w:t>
      </w:r>
    </w:p>
    <w:p w14:paraId="634738BC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 xml:space="preserve">Důraz na Specializaci CDI </w:t>
      </w:r>
    </w:p>
    <w:p w14:paraId="3E586C13" w14:textId="77777777" w:rsidR="00B65B49" w:rsidRPr="00B65B49" w:rsidRDefault="00B65B49" w:rsidP="00B65B49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na konkrétní technologii (AI, robotika apod.)</w:t>
      </w:r>
    </w:p>
    <w:p w14:paraId="6136DE55" w14:textId="77777777" w:rsidR="00B65B49" w:rsidRPr="00B65B49" w:rsidRDefault="00B65B49" w:rsidP="00B65B49">
      <w:pPr>
        <w:pStyle w:val="Odstavecseseznamem"/>
        <w:numPr>
          <w:ilvl w:val="1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na konkrétní sektor (zpracovatelský průmysl, zdravotnictví, zemědělství atd.)</w:t>
      </w:r>
    </w:p>
    <w:p w14:paraId="10FC3D05" w14:textId="77777777" w:rsidR="00B65B49" w:rsidRPr="00B65B49" w:rsidRDefault="00B65B49" w:rsidP="00B65B49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Bude vybaven dostatečným zázemím (fyzická infrastruktura, odborné kapacity)</w:t>
      </w:r>
    </w:p>
    <w:p w14:paraId="37BDB000" w14:textId="77777777" w:rsidR="00B65B49" w:rsidRPr="00B65B49" w:rsidRDefault="00B65B49" w:rsidP="00B65B49">
      <w:p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Snaha o získání jednoho z Center pro digitální inovace by měla být společným cílem Olomouckého kraje a OK4Inovace. Stejně tak by tyto dva subjekty ve spolupráci s akademickou sférou kraje a zástupci Hospodářské komory měly navrhnout chtěnou specializaci Centra Digitálních Inovací, která bude vycházet z priorit Kraje a bude v souladu se strategií RIS3 Olomouckého kraje.</w:t>
      </w:r>
    </w:p>
    <w:p w14:paraId="0315B8E9" w14:textId="77777777" w:rsidR="00B65B49" w:rsidRPr="00B65B49" w:rsidRDefault="00B65B49" w:rsidP="00B65B49">
      <w:p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t>Další potenciálně velmi zajímavou a inovacím v Olomouckém kraji prospěšnou aktivitou může být spolupráce s novým investičním fondem Lighthouse Ventures, který se stal jedním ze dvou vítězů výběrového řízení u Evropského investičního fondu (EIF). Ten v Česku hledal správce fondů rizikového kapitálu, do nichž by vložil peníze z programu se stamiliony korun od vlády a Evropské investiční banky na podporu začínajících firem. Zaměřuje se na hodně rané fáze podnikání v oblastech, jako jsou virtuální realita, biotechnologie, umělá inteligence, kybernetická bezpečnost, internet věcí nebo chytrá doprava. S majiteli investičního fondu jsem v kontaktu a jsme předběžně domluveni na spolupráci.</w:t>
      </w:r>
    </w:p>
    <w:p w14:paraId="73636C01" w14:textId="77777777" w:rsidR="00B65B49" w:rsidRPr="00B65B49" w:rsidRDefault="00B65B49" w:rsidP="00B65B49">
      <w:pPr>
        <w:jc w:val="both"/>
        <w:rPr>
          <w:rFonts w:ascii="Arial" w:hAnsi="Arial" w:cs="Arial"/>
          <w:bCs/>
          <w:sz w:val="24"/>
          <w:szCs w:val="24"/>
        </w:rPr>
      </w:pPr>
      <w:r w:rsidRPr="00B65B49">
        <w:rPr>
          <w:rFonts w:ascii="Arial" w:hAnsi="Arial" w:cs="Arial"/>
          <w:bCs/>
          <w:sz w:val="24"/>
          <w:szCs w:val="24"/>
        </w:rPr>
        <w:lastRenderedPageBreak/>
        <w:t xml:space="preserve">Nedílnou součástí činnosti OK4Inovace je komunikace a podpora osvěty v oblasti působnosti naší organizace. V tomto ohledu je potřeba provést co nejdříve rebranding inovačního centra Olomouckého kraje a současně spolu s tím rychle rozvinout a doplnit komunikační nástroje a kanály. </w:t>
      </w:r>
    </w:p>
    <w:p w14:paraId="48334665" w14:textId="77777777" w:rsidR="00B65B49" w:rsidRPr="00B65B49" w:rsidRDefault="00B65B49" w:rsidP="00B65B49">
      <w:pPr>
        <w:jc w:val="both"/>
        <w:rPr>
          <w:rFonts w:ascii="Arial" w:hAnsi="Arial" w:cs="Arial"/>
          <w:bCs/>
          <w:sz w:val="24"/>
          <w:szCs w:val="24"/>
        </w:rPr>
      </w:pPr>
    </w:p>
    <w:p w14:paraId="72206DF9" w14:textId="77777777" w:rsidR="00B65B49" w:rsidRPr="00B65B49" w:rsidRDefault="00B65B49" w:rsidP="00B65B49">
      <w:pPr>
        <w:pStyle w:val="Nadpis3"/>
        <w:rPr>
          <w:rFonts w:ascii="Arial" w:hAnsi="Arial" w:cs="Arial"/>
          <w:color w:val="auto"/>
          <w:sz w:val="24"/>
          <w:szCs w:val="24"/>
        </w:rPr>
      </w:pPr>
      <w:r w:rsidRPr="00B65B49">
        <w:rPr>
          <w:rFonts w:ascii="Arial" w:hAnsi="Arial" w:cs="Arial"/>
          <w:color w:val="auto"/>
          <w:sz w:val="24"/>
          <w:szCs w:val="24"/>
        </w:rPr>
        <w:t>Vytipovaní partneři pro spolupráci</w:t>
      </w:r>
    </w:p>
    <w:p w14:paraId="6127EF21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sz w:val="24"/>
          <w:szCs w:val="24"/>
        </w:rPr>
        <w:t>Rádi bychom podpořili intenzivnější vytváření sítě přirozených partnerů na úrovni regionu i České republiky. Vzhledem k tomu, že naším cílem je vytvořit z OK4Inovace stabilní a neustále se vyvíjející krajské inovační centrum z pohledu reálných výsledků (myšleno počtem podpořených firem z pohledu transferu výsledků vědy a výzkumu, úspěšně rozjetých start-upů, realizovaných investic do začínajících firem prostřednictvím investičního fondu), chceme se zaměřit i na spolupráci s těmi nejlepšími inovátory na světě, za které považuji Skandinávii, Izrael a Estonsko.</w:t>
      </w:r>
    </w:p>
    <w:p w14:paraId="540DA0A0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  <w:r w:rsidRPr="00B65B49">
        <w:rPr>
          <w:rFonts w:ascii="Arial" w:hAnsi="Arial" w:cs="Arial"/>
          <w:b/>
          <w:sz w:val="24"/>
          <w:szCs w:val="24"/>
        </w:rPr>
        <w:t xml:space="preserve">Prioritními partnery </w:t>
      </w:r>
      <w:r w:rsidRPr="00B65B49">
        <w:rPr>
          <w:rFonts w:ascii="Arial" w:hAnsi="Arial" w:cs="Arial"/>
          <w:sz w:val="24"/>
          <w:szCs w:val="24"/>
        </w:rPr>
        <w:t>pro nás</w:t>
      </w:r>
      <w:r w:rsidRPr="00B65B49">
        <w:rPr>
          <w:rFonts w:ascii="Arial" w:hAnsi="Arial" w:cs="Arial"/>
          <w:b/>
          <w:sz w:val="24"/>
          <w:szCs w:val="24"/>
        </w:rPr>
        <w:t xml:space="preserve"> </w:t>
      </w:r>
      <w:r w:rsidRPr="00B65B49">
        <w:rPr>
          <w:rFonts w:ascii="Arial" w:hAnsi="Arial" w:cs="Arial"/>
          <w:sz w:val="24"/>
          <w:szCs w:val="24"/>
        </w:rPr>
        <w:t xml:space="preserve">jsou Univerzita Palackého Olomouc, Vysoká škola báňská Ostrava, VUT Brno, Inovační centra Moravskoslezského kraje, Jihomoravského kraje a Ústeckého kraje. V této oblasti je specifickým partnerem Inovační centrum Zlínského kraje a to především proto, že Olomoucký kraj společně se Zlínským krajem tvoří jeden z regionů NUTS2. Toto je důležité mj. například pro přípravu a realizaci projektů v rámci HORIZON 2020, případně HORIZON EUROPE pro příští programové období, kde může být kooperace a intenzivní spolupráce v rámci NUTS2 naprosto zásadní. Kontakty s partnery ze Zlínského kraje již byly zahájeny na centrální úrovni a je prioritou se co nejdříve zapojit do aktivit pracovních skupin především na MPO, MMR a MŽP. </w:t>
      </w:r>
    </w:p>
    <w:p w14:paraId="29D7F996" w14:textId="77777777" w:rsidR="00B65B49" w:rsidRPr="00B65B49" w:rsidRDefault="00B65B49" w:rsidP="00B65B49">
      <w:pPr>
        <w:jc w:val="both"/>
        <w:rPr>
          <w:rFonts w:ascii="Arial" w:hAnsi="Arial" w:cs="Arial"/>
          <w:sz w:val="24"/>
          <w:szCs w:val="24"/>
        </w:rPr>
      </w:pPr>
    </w:p>
    <w:p w14:paraId="5D8EB2B4" w14:textId="77777777" w:rsidR="00B65B49" w:rsidRPr="00B65B49" w:rsidRDefault="00B65B49" w:rsidP="00B65B49">
      <w:pPr>
        <w:pStyle w:val="Nadpis3"/>
        <w:rPr>
          <w:rFonts w:ascii="Arial" w:hAnsi="Arial" w:cs="Arial"/>
          <w:color w:val="auto"/>
          <w:sz w:val="24"/>
          <w:szCs w:val="24"/>
        </w:rPr>
      </w:pPr>
      <w:r w:rsidRPr="00B65B49">
        <w:rPr>
          <w:rFonts w:ascii="Arial" w:hAnsi="Arial" w:cs="Arial"/>
          <w:color w:val="auto"/>
          <w:sz w:val="24"/>
          <w:szCs w:val="24"/>
        </w:rPr>
        <w:t xml:space="preserve">Shrnutí a dovětek </w:t>
      </w:r>
    </w:p>
    <w:p w14:paraId="466A7A9B" w14:textId="77777777" w:rsidR="00B65B49" w:rsidRPr="00B65B49" w:rsidRDefault="00B65B49" w:rsidP="00B65B49">
      <w:pPr>
        <w:jc w:val="both"/>
        <w:rPr>
          <w:rFonts w:ascii="Arial" w:hAnsi="Arial" w:cs="Arial"/>
          <w:b/>
          <w:sz w:val="24"/>
          <w:szCs w:val="24"/>
        </w:rPr>
      </w:pPr>
      <w:r w:rsidRPr="00B65B49">
        <w:rPr>
          <w:rFonts w:ascii="Arial" w:hAnsi="Arial" w:cs="Arial"/>
          <w:b/>
          <w:sz w:val="24"/>
          <w:szCs w:val="24"/>
        </w:rPr>
        <w:t xml:space="preserve">Výše uvedený úvodní koncept OK4Inovace je pracovním materiálem. V současné chvíli pokračuje rozjezd projektu Smart Akcelerátor Olomouckého kraje II. (SAOKII.) s tím, že je revidována za plného provozu činnost celé organizace. V roce 2019 bylo potřeba překlenout obtížné období a situaci nedostatku finančních zdrojů na pokrytí běžných výdajů. Současně bylo v závěru roku 2019 velmi rychle a za náročných podmínek zajištěno personální obsazení klíčových pozic v projektu SAOKII. </w:t>
      </w:r>
    </w:p>
    <w:sectPr w:rsidR="00B65B49" w:rsidRPr="00B65B49" w:rsidSect="00A620E4">
      <w:headerReference w:type="default" r:id="rId8"/>
      <w:footerReference w:type="default" r:id="rId9"/>
      <w:pgSz w:w="11906" w:h="16838"/>
      <w:pgMar w:top="1417" w:right="1417" w:bottom="1417" w:left="1417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6AAE" w14:textId="77777777" w:rsidR="00382AC9" w:rsidRDefault="00382AC9" w:rsidP="00DF7A3C">
      <w:pPr>
        <w:spacing w:after="0" w:line="240" w:lineRule="auto"/>
      </w:pPr>
      <w:r>
        <w:separator/>
      </w:r>
    </w:p>
  </w:endnote>
  <w:endnote w:type="continuationSeparator" w:id="0">
    <w:p w14:paraId="027FB2FC" w14:textId="77777777" w:rsidR="00382AC9" w:rsidRDefault="00382AC9" w:rsidP="00DF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66161669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E4F07E" w14:textId="6DF6992B" w:rsidR="00043460" w:rsidRPr="00334BA4" w:rsidRDefault="00D31D16" w:rsidP="00D67F06">
            <w:pPr>
              <w:pStyle w:val="Zpat"/>
              <w:pBdr>
                <w:top w:val="single" w:sz="4" w:space="1" w:color="auto"/>
              </w:pBd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Zastupitelstvo</w:t>
            </w:r>
            <w:r w:rsidR="00043460" w:rsidRPr="00334BA4">
              <w:rPr>
                <w:rFonts w:ascii="Arial" w:hAnsi="Arial"/>
                <w:i/>
                <w:sz w:val="20"/>
                <w:szCs w:val="20"/>
              </w:rPr>
              <w:t xml:space="preserve"> Olomouckého kraje</w:t>
            </w:r>
            <w:r w:rsidR="0004346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17</w:t>
            </w:r>
            <w:r w:rsidR="00043460" w:rsidRPr="00E774A0">
              <w:rPr>
                <w:rFonts w:ascii="Arial" w:hAnsi="Arial"/>
                <w:i/>
                <w:sz w:val="20"/>
                <w:szCs w:val="20"/>
              </w:rPr>
              <w:t>. </w:t>
            </w:r>
            <w:r>
              <w:rPr>
                <w:rFonts w:ascii="Arial" w:hAnsi="Arial"/>
                <w:i/>
                <w:sz w:val="20"/>
                <w:szCs w:val="20"/>
              </w:rPr>
              <w:t>2</w:t>
            </w:r>
            <w:r w:rsidR="00043460" w:rsidRPr="00E774A0">
              <w:rPr>
                <w:rFonts w:ascii="Arial" w:hAnsi="Arial"/>
                <w:i/>
                <w:sz w:val="20"/>
                <w:szCs w:val="20"/>
              </w:rPr>
              <w:t>. 20</w:t>
            </w:r>
            <w:r w:rsidR="00043460">
              <w:rPr>
                <w:rFonts w:ascii="Arial" w:hAnsi="Arial"/>
                <w:i/>
                <w:sz w:val="20"/>
                <w:szCs w:val="20"/>
              </w:rPr>
              <w:t>20</w:t>
            </w:r>
            <w:r w:rsidR="00043460" w:rsidRPr="00334BA4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043460" w:rsidRPr="00334BA4">
              <w:rPr>
                <w:rFonts w:ascii="Arial" w:hAnsi="Arial"/>
                <w:i/>
                <w:sz w:val="20"/>
                <w:szCs w:val="20"/>
              </w:rPr>
              <w:tab/>
            </w:r>
            <w:r w:rsidR="00043460" w:rsidRPr="00334BA4">
              <w:rPr>
                <w:rFonts w:ascii="Arial" w:hAnsi="Arial"/>
                <w:i/>
                <w:sz w:val="20"/>
                <w:szCs w:val="20"/>
              </w:rPr>
              <w:tab/>
            </w:r>
            <w:r w:rsidR="00043460" w:rsidRPr="00334BA4">
              <w:rPr>
                <w:rFonts w:ascii="Arial" w:hAnsi="Arial" w:cs="Arial"/>
                <w:i/>
                <w:sz w:val="20"/>
                <w:szCs w:val="20"/>
              </w:rPr>
              <w:t xml:space="preserve">strana </w:t>
            </w:r>
            <w:r w:rsidR="00043460" w:rsidRPr="00334BA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043460" w:rsidRPr="006D12AB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PAGE </w:instrText>
            </w:r>
            <w:r w:rsidR="00043460" w:rsidRPr="00334BA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9767C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4</w:t>
            </w:r>
            <w:r w:rsidR="00043460" w:rsidRPr="00334BA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043460" w:rsidRPr="00334BA4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 xml:space="preserve"> (celkem </w:t>
            </w:r>
            <w:r w:rsidR="00043460" w:rsidRPr="00533F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begin"/>
            </w:r>
            <w:r w:rsidR="00043460" w:rsidRPr="00533F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instrText xml:space="preserve"> NUMPAGES </w:instrText>
            </w:r>
            <w:r w:rsidR="00043460" w:rsidRPr="00533F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="0079767C">
              <w:rPr>
                <w:rStyle w:val="slostrnky"/>
                <w:rFonts w:ascii="Arial" w:hAnsi="Arial" w:cs="Arial"/>
                <w:i/>
                <w:noProof/>
                <w:sz w:val="20"/>
                <w:szCs w:val="20"/>
              </w:rPr>
              <w:t>5</w:t>
            </w:r>
            <w:r w:rsidR="00043460" w:rsidRPr="00533FFD">
              <w:rPr>
                <w:rStyle w:val="slostrnky"/>
                <w:rFonts w:ascii="Arial" w:hAnsi="Arial" w:cs="Arial"/>
                <w:i/>
                <w:sz w:val="20"/>
                <w:szCs w:val="20"/>
              </w:rPr>
              <w:fldChar w:fldCharType="end"/>
            </w:r>
            <w:r w:rsidR="00043460" w:rsidRPr="007D63A7">
              <w:rPr>
                <w:rStyle w:val="slostrnky"/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4EEAD79B" w14:textId="45D23FF9" w:rsidR="00043460" w:rsidRDefault="00230864" w:rsidP="00043460">
            <w:pPr>
              <w:pStyle w:val="Zpat"/>
              <w:rPr>
                <w:rFonts w:ascii="Arial" w:hAnsi="Arial"/>
                <w:i/>
                <w:sz w:val="20"/>
                <w:szCs w:val="20"/>
              </w:rPr>
            </w:pPr>
            <w:r w:rsidRPr="00230864">
              <w:rPr>
                <w:rFonts w:ascii="Arial" w:hAnsi="Arial"/>
                <w:i/>
                <w:sz w:val="20"/>
                <w:szCs w:val="20"/>
              </w:rPr>
              <w:t>25</w:t>
            </w:r>
            <w:r w:rsidR="00043460" w:rsidRPr="00230864">
              <w:rPr>
                <w:rFonts w:ascii="Arial" w:hAnsi="Arial"/>
                <w:i/>
                <w:sz w:val="20"/>
                <w:szCs w:val="20"/>
              </w:rPr>
              <w:t>.</w:t>
            </w:r>
            <w:r w:rsidR="00043460" w:rsidRPr="00334BA4">
              <w:rPr>
                <w:rFonts w:ascii="Arial" w:hAnsi="Arial"/>
                <w:i/>
                <w:sz w:val="20"/>
                <w:szCs w:val="20"/>
              </w:rPr>
              <w:t xml:space="preserve"> – </w:t>
            </w:r>
            <w:r w:rsidR="00043460">
              <w:rPr>
                <w:rFonts w:ascii="Arial" w:hAnsi="Arial"/>
                <w:i/>
                <w:sz w:val="20"/>
                <w:szCs w:val="20"/>
              </w:rPr>
              <w:t>Zájmové sdružení právnických osob OK4Inovace</w:t>
            </w:r>
          </w:p>
          <w:p w14:paraId="48A3CA30" w14:textId="20126DC3" w:rsidR="00043460" w:rsidRDefault="00043460" w:rsidP="00043460">
            <w:pPr>
              <w:pStyle w:val="Zpat"/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Příloha č. </w:t>
            </w:r>
            <w:r w:rsidR="00FC0BFF">
              <w:rPr>
                <w:rFonts w:ascii="Arial" w:hAnsi="Arial"/>
                <w:i/>
                <w:sz w:val="20"/>
                <w:szCs w:val="20"/>
              </w:rPr>
              <w:t>1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– Úvodní koncept rozvoje OK4Inovace – Inovačního centra Olomouckého kraje</w:t>
            </w:r>
          </w:p>
          <w:p w14:paraId="790C6F6C" w14:textId="4CB8D86F" w:rsidR="00DF7A3C" w:rsidRPr="00DF7A3C" w:rsidRDefault="00382AC9" w:rsidP="00DF7A3C">
            <w:pPr>
              <w:pStyle w:val="Zpat"/>
              <w:jc w:val="center"/>
              <w:rPr>
                <w:sz w:val="18"/>
                <w:szCs w:val="18"/>
              </w:rPr>
            </w:pPr>
          </w:p>
        </w:sdtContent>
      </w:sdt>
    </w:sdtContent>
  </w:sdt>
  <w:p w14:paraId="495F4FD8" w14:textId="77777777" w:rsidR="00DF7A3C" w:rsidRDefault="00DF7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76645" w14:textId="77777777" w:rsidR="00382AC9" w:rsidRDefault="00382AC9" w:rsidP="00DF7A3C">
      <w:pPr>
        <w:spacing w:after="0" w:line="240" w:lineRule="auto"/>
      </w:pPr>
      <w:r>
        <w:separator/>
      </w:r>
    </w:p>
  </w:footnote>
  <w:footnote w:type="continuationSeparator" w:id="0">
    <w:p w14:paraId="1068B648" w14:textId="77777777" w:rsidR="00382AC9" w:rsidRDefault="00382AC9" w:rsidP="00DF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CF17A" w14:textId="433D0CE0" w:rsidR="00D67F06" w:rsidRDefault="0059465C">
    <w:pPr>
      <w:pStyle w:val="Zhlav"/>
    </w:pPr>
    <w:r>
      <w:rPr>
        <w:rFonts w:ascii="Arial" w:hAnsi="Arial"/>
        <w:i/>
        <w:sz w:val="20"/>
        <w:szCs w:val="20"/>
      </w:rPr>
      <w:t xml:space="preserve">Příloha č. </w:t>
    </w:r>
    <w:r w:rsidR="00FC0BFF">
      <w:rPr>
        <w:rFonts w:ascii="Arial" w:hAnsi="Arial"/>
        <w:i/>
        <w:sz w:val="20"/>
        <w:szCs w:val="20"/>
      </w:rPr>
      <w:t>1</w:t>
    </w:r>
    <w:r>
      <w:rPr>
        <w:rFonts w:ascii="Arial" w:hAnsi="Arial"/>
        <w:i/>
        <w:sz w:val="20"/>
        <w:szCs w:val="20"/>
      </w:rPr>
      <w:t xml:space="preserve"> – Úvodní koncept rozvoje OK4Inovace – Inovačního centra Olomouckého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4.5pt;height:202.5pt" o:bullet="t">
        <v:imagedata r:id="rId1" o:title="art413"/>
      </v:shape>
    </w:pict>
  </w:numPicBullet>
  <w:numPicBullet w:numPicBulletId="1">
    <w:pict>
      <v:shape id="_x0000_i1029" type="#_x0000_t75" style="width:153.75pt;height:204pt" o:bullet="t">
        <v:imagedata r:id="rId2" o:title="art415"/>
      </v:shape>
    </w:pict>
  </w:numPicBullet>
  <w:abstractNum w:abstractNumId="0" w15:restartNumberingAfterBreak="0">
    <w:nsid w:val="007A78B8"/>
    <w:multiLevelType w:val="hybridMultilevel"/>
    <w:tmpl w:val="FCEA201A"/>
    <w:lvl w:ilvl="0" w:tplc="EC8A2C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84A3F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E292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8F4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AA77E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8A595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5A67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54060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50772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A7B30A7"/>
    <w:multiLevelType w:val="hybridMultilevel"/>
    <w:tmpl w:val="4A980BBA"/>
    <w:lvl w:ilvl="0" w:tplc="5BA8C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6A2EB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EE47A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A8181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6261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BC1A3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7CAC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B434A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4CAD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04C54EE"/>
    <w:multiLevelType w:val="hybridMultilevel"/>
    <w:tmpl w:val="25F203E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74243E"/>
    <w:multiLevelType w:val="hybridMultilevel"/>
    <w:tmpl w:val="166C8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26EF5"/>
    <w:multiLevelType w:val="hybridMultilevel"/>
    <w:tmpl w:val="EFB8FDF4"/>
    <w:lvl w:ilvl="0" w:tplc="007AB3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8CE5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EDB6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AE9A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8755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64F70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C019C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E95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6029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0AE7401"/>
    <w:multiLevelType w:val="hybridMultilevel"/>
    <w:tmpl w:val="281C38F8"/>
    <w:lvl w:ilvl="0" w:tplc="15B64C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AC0E0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98E4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98FA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20AD9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FC8AD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C9E4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20905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6E6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1B963DA"/>
    <w:multiLevelType w:val="hybridMultilevel"/>
    <w:tmpl w:val="C29EA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A73AC"/>
    <w:multiLevelType w:val="hybridMultilevel"/>
    <w:tmpl w:val="DC6815DA"/>
    <w:lvl w:ilvl="0" w:tplc="95486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A95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D485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8251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E99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80A1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899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6C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7E70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A826E07"/>
    <w:multiLevelType w:val="hybridMultilevel"/>
    <w:tmpl w:val="9D681322"/>
    <w:lvl w:ilvl="0" w:tplc="522CD0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0E5B1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186B4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AE2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92EBE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6270D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4AF09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36652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AE8D5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228744D"/>
    <w:multiLevelType w:val="multilevel"/>
    <w:tmpl w:val="ECF87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402892"/>
    <w:multiLevelType w:val="hybridMultilevel"/>
    <w:tmpl w:val="3918AB7E"/>
    <w:lvl w:ilvl="0" w:tplc="7B0C0F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1EDEF6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405B1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82ADA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343B0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00EA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B4A22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30E44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9632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3D7B5B3F"/>
    <w:multiLevelType w:val="hybridMultilevel"/>
    <w:tmpl w:val="6D86488C"/>
    <w:lvl w:ilvl="0" w:tplc="A254F9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ACC3B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6659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042D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6195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34CE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0021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5C8C6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42669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3EF4522B"/>
    <w:multiLevelType w:val="hybridMultilevel"/>
    <w:tmpl w:val="0E46E6DA"/>
    <w:lvl w:ilvl="0" w:tplc="E49EFF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896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7AE14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FC78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0818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CB48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94813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668C7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FCDE5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41F689C"/>
    <w:multiLevelType w:val="hybridMultilevel"/>
    <w:tmpl w:val="F7029668"/>
    <w:lvl w:ilvl="0" w:tplc="990E4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1AE55C"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068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CCB93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3A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6404E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E1E634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76AF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9A402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9E325D3"/>
    <w:multiLevelType w:val="hybridMultilevel"/>
    <w:tmpl w:val="A57E47F6"/>
    <w:lvl w:ilvl="0" w:tplc="22CC55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3E24C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5846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C8E8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CE0E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0149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A111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C390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08CB4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C2E0793"/>
    <w:multiLevelType w:val="hybridMultilevel"/>
    <w:tmpl w:val="6A2CAAD0"/>
    <w:lvl w:ilvl="0" w:tplc="9E8E5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81AC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EEA85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E8175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B432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864AB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781D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ED4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E3C6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D460DED"/>
    <w:multiLevelType w:val="hybridMultilevel"/>
    <w:tmpl w:val="F4CCF7F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901315"/>
    <w:multiLevelType w:val="hybridMultilevel"/>
    <w:tmpl w:val="7988C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FD5FD9"/>
    <w:multiLevelType w:val="hybridMultilevel"/>
    <w:tmpl w:val="7F88F8DA"/>
    <w:lvl w:ilvl="0" w:tplc="723267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E903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C2A27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E61D6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63A6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6567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85C677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2CDA7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AA81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81C3D62"/>
    <w:multiLevelType w:val="hybridMultilevel"/>
    <w:tmpl w:val="4F72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4A7325"/>
    <w:multiLevelType w:val="multilevel"/>
    <w:tmpl w:val="2E22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935F54"/>
    <w:multiLevelType w:val="multilevel"/>
    <w:tmpl w:val="B5365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9324A6"/>
    <w:multiLevelType w:val="hybridMultilevel"/>
    <w:tmpl w:val="78F6139C"/>
    <w:lvl w:ilvl="0" w:tplc="967ED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1C5D4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F8811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20011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073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B0911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4A89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85B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231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73A26931"/>
    <w:multiLevelType w:val="hybridMultilevel"/>
    <w:tmpl w:val="8354B43E"/>
    <w:lvl w:ilvl="0" w:tplc="30FA43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2060A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98350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546E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C4ECD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AC41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2E92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14D60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AA10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74D1CAF"/>
    <w:multiLevelType w:val="hybridMultilevel"/>
    <w:tmpl w:val="427AC8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21"/>
  </w:num>
  <w:num w:numId="4">
    <w:abstractNumId w:val="19"/>
  </w:num>
  <w:num w:numId="5">
    <w:abstractNumId w:val="3"/>
  </w:num>
  <w:num w:numId="6">
    <w:abstractNumId w:val="11"/>
  </w:num>
  <w:num w:numId="7">
    <w:abstractNumId w:val="13"/>
  </w:num>
  <w:num w:numId="8">
    <w:abstractNumId w:val="8"/>
  </w:num>
  <w:num w:numId="9">
    <w:abstractNumId w:val="23"/>
  </w:num>
  <w:num w:numId="10">
    <w:abstractNumId w:val="15"/>
  </w:num>
  <w:num w:numId="11">
    <w:abstractNumId w:val="2"/>
  </w:num>
  <w:num w:numId="12">
    <w:abstractNumId w:val="4"/>
  </w:num>
  <w:num w:numId="13">
    <w:abstractNumId w:val="7"/>
  </w:num>
  <w:num w:numId="14">
    <w:abstractNumId w:val="12"/>
  </w:num>
  <w:num w:numId="15">
    <w:abstractNumId w:val="22"/>
  </w:num>
  <w:num w:numId="16">
    <w:abstractNumId w:val="0"/>
  </w:num>
  <w:num w:numId="17">
    <w:abstractNumId w:val="16"/>
  </w:num>
  <w:num w:numId="18">
    <w:abstractNumId w:val="1"/>
  </w:num>
  <w:num w:numId="19">
    <w:abstractNumId w:val="5"/>
  </w:num>
  <w:num w:numId="20">
    <w:abstractNumId w:val="14"/>
  </w:num>
  <w:num w:numId="21">
    <w:abstractNumId w:val="10"/>
  </w:num>
  <w:num w:numId="22">
    <w:abstractNumId w:val="18"/>
  </w:num>
  <w:num w:numId="23">
    <w:abstractNumId w:val="17"/>
  </w:num>
  <w:num w:numId="24">
    <w:abstractNumId w:val="24"/>
  </w:num>
  <w:num w:numId="25">
    <w:abstractNumId w:val="6"/>
  </w:num>
  <w:num w:numId="26">
    <w:abstractNumId w:val="19"/>
  </w:num>
  <w:num w:numId="27">
    <w:abstractNumId w:val="6"/>
  </w:num>
  <w:num w:numId="28">
    <w:abstractNumId w:val="20"/>
  </w:num>
  <w:num w:numId="29">
    <w:abstractNumId w:val="3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2C"/>
    <w:rsid w:val="00036901"/>
    <w:rsid w:val="00043460"/>
    <w:rsid w:val="00073A66"/>
    <w:rsid w:val="000D1184"/>
    <w:rsid w:val="000F13F2"/>
    <w:rsid w:val="00100AB0"/>
    <w:rsid w:val="00107063"/>
    <w:rsid w:val="001B2E6F"/>
    <w:rsid w:val="00230864"/>
    <w:rsid w:val="002411B0"/>
    <w:rsid w:val="00254D66"/>
    <w:rsid w:val="002A70A5"/>
    <w:rsid w:val="002E50DF"/>
    <w:rsid w:val="002F7131"/>
    <w:rsid w:val="00310209"/>
    <w:rsid w:val="00312A7B"/>
    <w:rsid w:val="00317769"/>
    <w:rsid w:val="00351E3C"/>
    <w:rsid w:val="00354B8D"/>
    <w:rsid w:val="00382AC9"/>
    <w:rsid w:val="003A2819"/>
    <w:rsid w:val="003A57A3"/>
    <w:rsid w:val="003D1213"/>
    <w:rsid w:val="00421251"/>
    <w:rsid w:val="00487EE2"/>
    <w:rsid w:val="004B0DDA"/>
    <w:rsid w:val="004F2550"/>
    <w:rsid w:val="00551704"/>
    <w:rsid w:val="00561E2C"/>
    <w:rsid w:val="005626F9"/>
    <w:rsid w:val="0057655A"/>
    <w:rsid w:val="0059465C"/>
    <w:rsid w:val="005E56AC"/>
    <w:rsid w:val="005F4247"/>
    <w:rsid w:val="00616B68"/>
    <w:rsid w:val="00622274"/>
    <w:rsid w:val="00680923"/>
    <w:rsid w:val="006A3818"/>
    <w:rsid w:val="006C754C"/>
    <w:rsid w:val="006D1769"/>
    <w:rsid w:val="006E1A09"/>
    <w:rsid w:val="007260A4"/>
    <w:rsid w:val="007336B0"/>
    <w:rsid w:val="00744C16"/>
    <w:rsid w:val="0075171F"/>
    <w:rsid w:val="007611F4"/>
    <w:rsid w:val="007971BB"/>
    <w:rsid w:val="0079767C"/>
    <w:rsid w:val="007C0295"/>
    <w:rsid w:val="00815732"/>
    <w:rsid w:val="00817240"/>
    <w:rsid w:val="00867ADA"/>
    <w:rsid w:val="008E05CC"/>
    <w:rsid w:val="009307DA"/>
    <w:rsid w:val="00931B68"/>
    <w:rsid w:val="00932E46"/>
    <w:rsid w:val="00947973"/>
    <w:rsid w:val="009C27CA"/>
    <w:rsid w:val="009C70E1"/>
    <w:rsid w:val="00A270DC"/>
    <w:rsid w:val="00A526C7"/>
    <w:rsid w:val="00A60E52"/>
    <w:rsid w:val="00A620E4"/>
    <w:rsid w:val="00A8745E"/>
    <w:rsid w:val="00B42F1B"/>
    <w:rsid w:val="00B65B49"/>
    <w:rsid w:val="00B77F39"/>
    <w:rsid w:val="00B82948"/>
    <w:rsid w:val="00BB7E5A"/>
    <w:rsid w:val="00BD09D1"/>
    <w:rsid w:val="00C662FE"/>
    <w:rsid w:val="00CB3D98"/>
    <w:rsid w:val="00CE6F86"/>
    <w:rsid w:val="00D31D16"/>
    <w:rsid w:val="00D67F06"/>
    <w:rsid w:val="00DF7A3C"/>
    <w:rsid w:val="00E567E7"/>
    <w:rsid w:val="00EB506F"/>
    <w:rsid w:val="00ED238A"/>
    <w:rsid w:val="00F11D25"/>
    <w:rsid w:val="00F21A8A"/>
    <w:rsid w:val="00F26F65"/>
    <w:rsid w:val="00F651F4"/>
    <w:rsid w:val="00FC0BFF"/>
    <w:rsid w:val="00FE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99489"/>
  <w15:docId w15:val="{51FB7C7E-4E5C-4278-A12C-8967F541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1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662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1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561E2C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662F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662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A270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1E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F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7A3C"/>
  </w:style>
  <w:style w:type="paragraph" w:styleId="Zpat">
    <w:name w:val="footer"/>
    <w:basedOn w:val="Normln"/>
    <w:link w:val="ZpatChar"/>
    <w:uiPriority w:val="99"/>
    <w:unhideWhenUsed/>
    <w:rsid w:val="00DF7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7A3C"/>
  </w:style>
  <w:style w:type="character" w:styleId="slostrnky">
    <w:name w:val="page number"/>
    <w:basedOn w:val="Standardnpsmoodstavce"/>
    <w:rsid w:val="00043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2219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818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9858">
          <w:marLeft w:val="113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619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94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4375">
          <w:marLeft w:val="5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0283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931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1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446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186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266">
          <w:marLeft w:val="113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90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055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715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784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985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860">
          <w:marLeft w:val="56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0611">
              <w:marLeft w:val="0"/>
              <w:marRight w:val="0"/>
              <w:marTop w:val="9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470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latin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1609</Words>
  <Characters>9494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Novotná Marta</dc:creator>
  <cp:keywords/>
  <dc:description/>
  <cp:lastModifiedBy>Novotná Marta</cp:lastModifiedBy>
  <cp:revision>2</cp:revision>
  <cp:lastPrinted>2019-08-15T19:34:00Z</cp:lastPrinted>
  <dcterms:created xsi:type="dcterms:W3CDTF">2020-01-29T10:41:00Z</dcterms:created>
  <dcterms:modified xsi:type="dcterms:W3CDTF">2020-01-29T10:41:00Z</dcterms:modified>
  <cp:category/>
</cp:coreProperties>
</file>