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78" w:rsidRPr="0070736C" w:rsidRDefault="008B7278" w:rsidP="008B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0736C">
        <w:rPr>
          <w:rFonts w:ascii="Arial" w:eastAsia="Times New Roman" w:hAnsi="Arial" w:cs="Arial"/>
          <w:b/>
          <w:sz w:val="24"/>
          <w:szCs w:val="24"/>
          <w:lang w:eastAsia="cs-CZ"/>
        </w:rPr>
        <w:t>Důvodová zpráva</w:t>
      </w:r>
    </w:p>
    <w:p w:rsidR="008B7278" w:rsidRPr="0070736C" w:rsidRDefault="008B7278" w:rsidP="008B72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B7278" w:rsidRPr="0070736C" w:rsidRDefault="008B7278" w:rsidP="008B7278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627E4">
        <w:rPr>
          <w:rFonts w:ascii="Arial" w:eastAsia="Times New Roman" w:hAnsi="Arial" w:cs="Arial"/>
          <w:sz w:val="24"/>
          <w:szCs w:val="24"/>
          <w:lang w:eastAsia="cs-CZ"/>
        </w:rPr>
        <w:t xml:space="preserve">V rámci zajištění plnění regionálních funkcí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knihoven </w:t>
      </w:r>
      <w:r w:rsidRPr="007627E4"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0B4EE2">
        <w:rPr>
          <w:rFonts w:ascii="Arial" w:eastAsia="Times New Roman" w:hAnsi="Arial" w:cs="Arial"/>
          <w:sz w:val="24"/>
          <w:szCs w:val="24"/>
          <w:lang w:eastAsia="cs-CZ"/>
        </w:rPr>
        <w:t>2020 schválilo Zastupitelstvo Olomouckého kraje (dále jen „ZOK“) usnesením č. UZ/18/55/2019 ze dne 16. 12. 2019 poskytnutí dotací na výkon regionálních funkcí knihoven v celkové výši 11 930 000 Kč. Dle § 11 zákona č. 257/2001 Sb., o knihovnách a podmínkách provozování veřejných knihovnických a informačn</w:t>
      </w:r>
      <w:r>
        <w:rPr>
          <w:rFonts w:ascii="Arial" w:eastAsia="Times New Roman" w:hAnsi="Arial" w:cs="Arial"/>
          <w:sz w:val="24"/>
          <w:szCs w:val="24"/>
          <w:lang w:eastAsia="cs-CZ"/>
        </w:rPr>
        <w:t>ích služeb (knihovní zákon), ve </w:t>
      </w:r>
      <w:r w:rsidRPr="000B4EE2">
        <w:rPr>
          <w:rFonts w:ascii="Arial" w:eastAsia="Times New Roman" w:hAnsi="Arial" w:cs="Arial"/>
          <w:sz w:val="24"/>
          <w:szCs w:val="24"/>
          <w:lang w:eastAsia="cs-CZ"/>
        </w:rPr>
        <w:t>znění pozdějších předpisů náklady spojené s výkonem regionálních funkcí knihoven hradí kraje ze svého rozpočtu.</w:t>
      </w:r>
      <w:bookmarkStart w:id="0" w:name="_GoBack"/>
      <w:bookmarkEnd w:id="0"/>
      <w:r w:rsidRPr="000B4EE2">
        <w:rPr>
          <w:rFonts w:ascii="Arial" w:eastAsia="Times New Roman" w:hAnsi="Arial" w:cs="Arial"/>
          <w:sz w:val="24"/>
          <w:szCs w:val="24"/>
          <w:lang w:eastAsia="cs-CZ"/>
        </w:rPr>
        <w:t xml:space="preserve"> Věde</w:t>
      </w:r>
      <w:r>
        <w:rPr>
          <w:rFonts w:ascii="Arial" w:eastAsia="Times New Roman" w:hAnsi="Arial" w:cs="Arial"/>
          <w:sz w:val="24"/>
          <w:szCs w:val="24"/>
          <w:lang w:eastAsia="cs-CZ"/>
        </w:rPr>
        <w:t>cké knihovně v Olomouci byly na </w:t>
      </w:r>
      <w:r w:rsidRPr="000B4EE2">
        <w:rPr>
          <w:rFonts w:ascii="Arial" w:eastAsia="Times New Roman" w:hAnsi="Arial" w:cs="Arial"/>
          <w:sz w:val="24"/>
          <w:szCs w:val="24"/>
          <w:lang w:eastAsia="cs-CZ"/>
        </w:rPr>
        <w:t>zajištění regionálních funkcí poskytnuty účelov</w:t>
      </w:r>
      <w:r>
        <w:rPr>
          <w:rFonts w:ascii="Arial" w:eastAsia="Times New Roman" w:hAnsi="Arial" w:cs="Arial"/>
          <w:sz w:val="24"/>
          <w:szCs w:val="24"/>
          <w:lang w:eastAsia="cs-CZ"/>
        </w:rPr>
        <w:t>é finanční prostředky ve výši 1 </w:t>
      </w:r>
      <w:r w:rsidRPr="000B4EE2">
        <w:rPr>
          <w:rFonts w:ascii="Arial" w:eastAsia="Times New Roman" w:hAnsi="Arial" w:cs="Arial"/>
          <w:sz w:val="24"/>
          <w:szCs w:val="24"/>
          <w:lang w:eastAsia="cs-CZ"/>
        </w:rPr>
        <w:t>248 000 Kč a mezi pověřené knihovny byla formou dotace rozdělena částka ve výši 10 682 000 Kč.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B7278" w:rsidRDefault="008B7278" w:rsidP="008B7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B6">
        <w:rPr>
          <w:rFonts w:ascii="Arial" w:eastAsia="Times New Roman" w:hAnsi="Arial" w:cs="Arial"/>
          <w:sz w:val="24"/>
          <w:szCs w:val="24"/>
          <w:lang w:eastAsia="cs-CZ"/>
        </w:rPr>
        <w:t xml:space="preserve">Dne 4. 11. 2019 přijala vláda České republiky nařízení vlády č. </w:t>
      </w:r>
      <w:r>
        <w:rPr>
          <w:rFonts w:ascii="Arial" w:eastAsia="Times New Roman" w:hAnsi="Arial" w:cs="Arial"/>
          <w:sz w:val="24"/>
          <w:szCs w:val="24"/>
          <w:lang w:eastAsia="cs-CZ"/>
        </w:rPr>
        <w:t>300</w:t>
      </w:r>
      <w:r w:rsidRPr="004A1EB6">
        <w:rPr>
          <w:rFonts w:ascii="Arial" w:eastAsia="Times New Roman" w:hAnsi="Arial" w:cs="Arial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4A1EB6">
        <w:rPr>
          <w:rFonts w:ascii="Arial" w:eastAsia="Times New Roman" w:hAnsi="Arial" w:cs="Arial"/>
          <w:sz w:val="24"/>
          <w:szCs w:val="24"/>
          <w:lang w:eastAsia="cs-CZ"/>
        </w:rPr>
        <w:t xml:space="preserve"> Sb., kterým se mění nařízení vlády č. 341/2017 Sb., o pl</w:t>
      </w:r>
      <w:r>
        <w:rPr>
          <w:rFonts w:ascii="Arial" w:eastAsia="Times New Roman" w:hAnsi="Arial" w:cs="Arial"/>
          <w:sz w:val="24"/>
          <w:szCs w:val="24"/>
          <w:lang w:eastAsia="cs-CZ"/>
        </w:rPr>
        <w:t>atových poměrech zaměstnanců ve </w:t>
      </w:r>
      <w:r w:rsidRPr="004A1EB6">
        <w:rPr>
          <w:rFonts w:ascii="Arial" w:eastAsia="Times New Roman" w:hAnsi="Arial" w:cs="Arial"/>
          <w:sz w:val="24"/>
          <w:szCs w:val="24"/>
          <w:lang w:eastAsia="cs-CZ"/>
        </w:rPr>
        <w:t>veřejných službách a správě, ve znění pozdějšíc</w:t>
      </w:r>
      <w:r>
        <w:rPr>
          <w:rFonts w:ascii="Arial" w:eastAsia="Times New Roman" w:hAnsi="Arial" w:cs="Arial"/>
          <w:sz w:val="24"/>
          <w:szCs w:val="24"/>
          <w:lang w:eastAsia="cs-CZ"/>
        </w:rPr>
        <w:t>h předpisů, a nařízení vlády č.</w:t>
      </w:r>
      <w:r>
        <w:t> </w:t>
      </w:r>
      <w:r w:rsidRPr="004A1EB6">
        <w:rPr>
          <w:rFonts w:ascii="Arial" w:eastAsia="Times New Roman" w:hAnsi="Arial" w:cs="Arial"/>
          <w:sz w:val="24"/>
          <w:szCs w:val="24"/>
          <w:lang w:eastAsia="cs-CZ"/>
        </w:rPr>
        <w:t>304/2014 Sb., o platových poměrech státních zaměstnanců,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 Nařízení</w:t>
      </w:r>
      <w:r w:rsidRPr="004A1EB6">
        <w:rPr>
          <w:rFonts w:ascii="Arial" w:eastAsia="Times New Roman" w:hAnsi="Arial" w:cs="Arial"/>
          <w:sz w:val="24"/>
          <w:szCs w:val="24"/>
          <w:lang w:eastAsia="cs-CZ"/>
        </w:rPr>
        <w:t xml:space="preserve"> nab</w:t>
      </w:r>
      <w:r>
        <w:rPr>
          <w:rFonts w:ascii="Arial" w:eastAsia="Times New Roman" w:hAnsi="Arial" w:cs="Arial"/>
          <w:sz w:val="24"/>
          <w:szCs w:val="24"/>
          <w:lang w:eastAsia="cs-CZ"/>
        </w:rPr>
        <w:t>ylo</w:t>
      </w:r>
      <w:r w:rsidRPr="004A1EB6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dnem</w:t>
      </w:r>
      <w:r w:rsidRPr="004A1EB6">
        <w:rPr>
          <w:rFonts w:ascii="Arial" w:eastAsia="Times New Roman" w:hAnsi="Arial" w:cs="Arial"/>
          <w:sz w:val="24"/>
          <w:szCs w:val="24"/>
          <w:lang w:eastAsia="cs-CZ"/>
        </w:rPr>
        <w:t xml:space="preserve"> 1. ledna 2020. Novela mimo jiné upravuje (zvyšuje) platové tarify zaměstnancům příspěvkových organizací v oblasti kultury odměňovaných formou platu.</w:t>
      </w:r>
      <w:r w:rsidRPr="00707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278" w:rsidRPr="0070736C" w:rsidRDefault="008B7278" w:rsidP="008B727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0736C">
        <w:rPr>
          <w:rFonts w:ascii="Arial" w:eastAsia="Times New Roman" w:hAnsi="Arial" w:cs="Arial"/>
          <w:sz w:val="24"/>
          <w:szCs w:val="24"/>
          <w:lang w:eastAsia="cs-CZ"/>
        </w:rPr>
        <w:t xml:space="preserve">Aby bylo možné navýšit tarifní platy pracovníkům,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zajišťujícím výkon regionálních funkcí knihoven, 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>musí níže uvedené pověřené knihovny, včetně Vědecké knihovny v Olomouci, pře</w:t>
      </w:r>
      <w:r>
        <w:rPr>
          <w:rFonts w:ascii="Arial" w:eastAsia="Times New Roman" w:hAnsi="Arial" w:cs="Arial"/>
          <w:sz w:val="24"/>
          <w:szCs w:val="24"/>
          <w:lang w:eastAsia="cs-CZ"/>
        </w:rPr>
        <w:t>rozdělit finanční prostředky na 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 xml:space="preserve">regionální funkce na úkor nákupu ostatních služeb, jako je zejména nákup knih, informačních technologií, servis automatizovaného knihovního systému, zabezpečení cirkulace výměnných souborů (knihy, které cirkulují mezi jednotlivými knihovnami z důvodu, že si tyto knihovny vlastní knihy nemohou zakoupit buď z finančních, nebo z  kapacitních důvodů) a další knihovnické služby. </w:t>
      </w:r>
    </w:p>
    <w:p w:rsidR="008B7278" w:rsidRDefault="008B7278" w:rsidP="008B727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0736C">
        <w:rPr>
          <w:rFonts w:ascii="Arial" w:eastAsia="Times New Roman" w:hAnsi="Arial" w:cs="Arial"/>
          <w:sz w:val="24"/>
          <w:szCs w:val="24"/>
          <w:lang w:eastAsia="cs-CZ"/>
        </w:rPr>
        <w:t>Z 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 xml:space="preserve"> důvodu je nutné objem finančních prostředků pro rok 20</w:t>
      </w:r>
      <w:r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>, který byl již jednotlivým knihovnám poskytnut na základě veřej</w:t>
      </w:r>
      <w:r>
        <w:rPr>
          <w:rFonts w:ascii="Arial" w:eastAsia="Times New Roman" w:hAnsi="Arial" w:cs="Arial"/>
          <w:sz w:val="24"/>
          <w:szCs w:val="24"/>
          <w:lang w:eastAsia="cs-CZ"/>
        </w:rPr>
        <w:t>noprávních smluv, navýšit, a to 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 xml:space="preserve">souhrnnou částku </w:t>
      </w:r>
      <w:r>
        <w:rPr>
          <w:rFonts w:ascii="Arial" w:eastAsia="Times New Roman" w:hAnsi="Arial" w:cs="Arial"/>
          <w:sz w:val="24"/>
          <w:szCs w:val="24"/>
          <w:lang w:eastAsia="cs-CZ"/>
        </w:rPr>
        <w:t>892 000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 xml:space="preserve"> Kč. </w:t>
      </w:r>
    </w:p>
    <w:p w:rsidR="008B7278" w:rsidRPr="0070736C" w:rsidRDefault="008B7278" w:rsidP="008B72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 Olomouckého kraje navrhuje ZOK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 xml:space="preserve"> rozdělit uvedenou částku </w:t>
      </w:r>
      <w:r>
        <w:rPr>
          <w:rFonts w:ascii="Arial" w:eastAsia="Times New Roman" w:hAnsi="Arial" w:cs="Arial"/>
          <w:sz w:val="24"/>
          <w:szCs w:val="24"/>
          <w:lang w:eastAsia="cs-CZ"/>
        </w:rPr>
        <w:t>následovně</w:t>
      </w:r>
      <w:r w:rsidRPr="0070736C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8B7278" w:rsidRPr="0070736C" w:rsidRDefault="008B7278" w:rsidP="008B72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1984"/>
      </w:tblGrid>
      <w:tr w:rsidR="008B7278" w:rsidRPr="0070736C" w:rsidTr="00294A7E">
        <w:tc>
          <w:tcPr>
            <w:tcW w:w="4219" w:type="dxa"/>
            <w:shd w:val="clear" w:color="auto" w:fill="CBCBCB"/>
            <w:vAlign w:val="center"/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70736C">
              <w:rPr>
                <w:rFonts w:ascii="Arial" w:eastAsia="Times New Roman" w:hAnsi="Arial" w:cs="Arial"/>
                <w:b/>
                <w:lang w:eastAsia="cs-CZ"/>
              </w:rPr>
              <w:t>Příjemce</w:t>
            </w:r>
          </w:p>
        </w:tc>
        <w:tc>
          <w:tcPr>
            <w:tcW w:w="2977" w:type="dxa"/>
            <w:shd w:val="clear" w:color="auto" w:fill="CBCBCB"/>
            <w:vAlign w:val="center"/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70736C">
              <w:rPr>
                <w:rFonts w:ascii="Arial" w:eastAsia="Times New Roman" w:hAnsi="Arial" w:cs="Arial"/>
                <w:b/>
                <w:lang w:eastAsia="cs-CZ"/>
              </w:rPr>
              <w:t>Zřizovatel</w:t>
            </w:r>
          </w:p>
        </w:tc>
        <w:tc>
          <w:tcPr>
            <w:tcW w:w="1984" w:type="dxa"/>
            <w:shd w:val="clear" w:color="auto" w:fill="CBCBCB"/>
            <w:vAlign w:val="center"/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70736C">
              <w:rPr>
                <w:rFonts w:ascii="Arial" w:eastAsia="Times New Roman" w:hAnsi="Arial" w:cs="Arial"/>
                <w:b/>
                <w:lang w:eastAsia="cs-CZ"/>
              </w:rPr>
              <w:t>Navýšená částka v Kč</w:t>
            </w:r>
          </w:p>
        </w:tc>
      </w:tr>
      <w:tr w:rsidR="008B7278" w:rsidRPr="0070736C" w:rsidTr="00294A7E">
        <w:tc>
          <w:tcPr>
            <w:tcW w:w="4219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Knihovna města Olomouce, p. 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statutární město Olomouc</w:t>
            </w:r>
          </w:p>
        </w:tc>
        <w:tc>
          <w:tcPr>
            <w:tcW w:w="1984" w:type="dxa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ind w:right="142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>135</w:t>
            </w:r>
            <w:r w:rsidRPr="0070736C"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</w:tr>
      <w:tr w:rsidR="008B7278" w:rsidRPr="0070736C" w:rsidTr="00294A7E">
        <w:tc>
          <w:tcPr>
            <w:tcW w:w="4219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Městská knihovna v Přerově, p. 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statutární město Přerov</w:t>
            </w:r>
          </w:p>
        </w:tc>
        <w:tc>
          <w:tcPr>
            <w:tcW w:w="1984" w:type="dxa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ind w:right="142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>76</w:t>
            </w:r>
            <w:r w:rsidRPr="0070736C"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</w:tr>
      <w:tr w:rsidR="008B7278" w:rsidRPr="0070736C" w:rsidTr="00294A7E">
        <w:tc>
          <w:tcPr>
            <w:tcW w:w="4219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Městská knihovna Prostějov, p. 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statutární město Prostějov</w:t>
            </w:r>
          </w:p>
        </w:tc>
        <w:tc>
          <w:tcPr>
            <w:tcW w:w="1984" w:type="dxa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ind w:right="142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>168</w:t>
            </w:r>
            <w:r w:rsidRPr="0070736C"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</w:tr>
      <w:tr w:rsidR="008B7278" w:rsidRPr="0070736C" w:rsidTr="00294A7E">
        <w:tc>
          <w:tcPr>
            <w:tcW w:w="4219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Městská knihovna</w:t>
            </w:r>
            <w:r>
              <w:rPr>
                <w:rFonts w:ascii="Arial" w:eastAsia="Times New Roman" w:hAnsi="Arial" w:cs="Arial"/>
                <w:lang w:eastAsia="cs-CZ"/>
              </w:rPr>
              <w:t xml:space="preserve"> T. G: Masaryka</w:t>
            </w:r>
            <w:r w:rsidRPr="0070736C">
              <w:rPr>
                <w:rFonts w:ascii="Arial" w:eastAsia="Times New Roman" w:hAnsi="Arial" w:cs="Arial"/>
                <w:lang w:eastAsia="cs-CZ"/>
              </w:rPr>
              <w:t xml:space="preserve"> Šumperk, p. o.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město Šumperk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ind w:right="142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>195</w:t>
            </w:r>
            <w:r w:rsidRPr="0070736C"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</w:tr>
      <w:tr w:rsidR="008B7278" w:rsidRPr="0070736C" w:rsidTr="00294A7E">
        <w:tc>
          <w:tcPr>
            <w:tcW w:w="4219" w:type="dxa"/>
            <w:shd w:val="clear" w:color="auto" w:fill="auto"/>
            <w:vAlign w:val="bottom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 xml:space="preserve">Městská kulturní zařízení Jeseník, </w:t>
            </w:r>
            <w:proofErr w:type="spellStart"/>
            <w:proofErr w:type="gramStart"/>
            <w:r w:rsidRPr="0070736C">
              <w:rPr>
                <w:rFonts w:ascii="Arial" w:eastAsia="Times New Roman" w:hAnsi="Arial" w:cs="Arial"/>
                <w:lang w:eastAsia="cs-CZ"/>
              </w:rPr>
              <w:t>p.o</w:t>
            </w:r>
            <w:proofErr w:type="spellEnd"/>
            <w:r w:rsidRPr="0070736C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  <w:r w:rsidRPr="0070736C">
              <w:rPr>
                <w:rFonts w:ascii="Arial" w:eastAsia="Times New Roman" w:hAnsi="Arial" w:cs="Arial"/>
                <w:lang w:eastAsia="cs-CZ"/>
              </w:rPr>
              <w:t xml:space="preserve">    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město Jeseník</w:t>
            </w:r>
          </w:p>
        </w:tc>
        <w:tc>
          <w:tcPr>
            <w:tcW w:w="1984" w:type="dxa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ind w:right="142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>65</w:t>
            </w:r>
            <w:r w:rsidRPr="0070736C"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</w:tr>
      <w:tr w:rsidR="008B7278" w:rsidRPr="0070736C" w:rsidTr="00294A7E">
        <w:tc>
          <w:tcPr>
            <w:tcW w:w="4219" w:type="dxa"/>
            <w:shd w:val="clear" w:color="auto" w:fill="auto"/>
            <w:vAlign w:val="bottom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 xml:space="preserve">Městská kulturní zařízení Hranice, </w:t>
            </w:r>
            <w:proofErr w:type="spellStart"/>
            <w:proofErr w:type="gramStart"/>
            <w:r w:rsidRPr="0070736C">
              <w:rPr>
                <w:rFonts w:ascii="Arial" w:eastAsia="Times New Roman" w:hAnsi="Arial" w:cs="Arial"/>
                <w:lang w:eastAsia="cs-CZ"/>
              </w:rPr>
              <w:t>p.o</w:t>
            </w:r>
            <w:proofErr w:type="spellEnd"/>
            <w:r w:rsidRPr="0070736C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  <w:r w:rsidRPr="0070736C">
              <w:rPr>
                <w:rFonts w:ascii="Arial" w:eastAsia="Times New Roman" w:hAnsi="Arial" w:cs="Arial"/>
                <w:lang w:eastAsia="cs-CZ"/>
              </w:rPr>
              <w:t xml:space="preserve">                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město Hranice</w:t>
            </w:r>
          </w:p>
        </w:tc>
        <w:tc>
          <w:tcPr>
            <w:tcW w:w="1984" w:type="dxa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ind w:right="142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>84</w:t>
            </w:r>
            <w:r w:rsidRPr="0070736C"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</w:tr>
      <w:tr w:rsidR="008B7278" w:rsidRPr="0070736C" w:rsidTr="00294A7E">
        <w:tc>
          <w:tcPr>
            <w:tcW w:w="4219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Městská knihovna Lipník nad B., p. 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město Lipník nad Bečvou</w:t>
            </w:r>
          </w:p>
        </w:tc>
        <w:tc>
          <w:tcPr>
            <w:tcW w:w="1984" w:type="dxa"/>
          </w:tcPr>
          <w:p w:rsidR="008B7278" w:rsidRPr="0070736C" w:rsidRDefault="008B7278" w:rsidP="00294A7E">
            <w:pPr>
              <w:widowControl w:val="0"/>
              <w:spacing w:before="40" w:after="40" w:line="240" w:lineRule="auto"/>
              <w:ind w:right="142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>69</w:t>
            </w:r>
            <w:r w:rsidRPr="0070736C">
              <w:rPr>
                <w:rFonts w:ascii="Arial" w:eastAsia="Times New Roman" w:hAnsi="Arial" w:cs="Arial"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</w:tr>
      <w:tr w:rsidR="008B7278" w:rsidRPr="0070736C" w:rsidTr="00294A7E"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70736C">
              <w:rPr>
                <w:rFonts w:ascii="Arial" w:eastAsia="Times New Roman" w:hAnsi="Arial" w:cs="Arial"/>
                <w:b/>
                <w:lang w:eastAsia="cs-CZ"/>
              </w:rPr>
              <w:t>Příspěvky obcím celkem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ind w:right="142"/>
              <w:jc w:val="right"/>
              <w:rPr>
                <w:rFonts w:ascii="Arial" w:eastAsia="Times New Roman" w:hAnsi="Arial" w:cs="Arial"/>
                <w:b/>
                <w:lang w:eastAsia="cs-CZ"/>
              </w:rPr>
            </w:pPr>
            <w:r w:rsidRPr="0070736C">
              <w:rPr>
                <w:rFonts w:ascii="Arial" w:eastAsia="Times New Roman" w:hAnsi="Arial" w:cs="Arial"/>
                <w:b/>
                <w:lang w:eastAsia="cs-CZ"/>
              </w:rPr>
              <w:fldChar w:fldCharType="begin"/>
            </w:r>
            <w:r w:rsidRPr="0070736C">
              <w:rPr>
                <w:rFonts w:ascii="Arial" w:eastAsia="Times New Roman" w:hAnsi="Arial" w:cs="Arial"/>
                <w:b/>
                <w:lang w:eastAsia="cs-CZ"/>
              </w:rPr>
              <w:instrText xml:space="preserve"> =SUM(ABOVE) </w:instrText>
            </w:r>
            <w:r w:rsidRPr="0070736C">
              <w:rPr>
                <w:rFonts w:ascii="Arial" w:eastAsia="Times New Roman" w:hAnsi="Arial" w:cs="Arial"/>
                <w:b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cs-CZ"/>
              </w:rPr>
              <w:t>792</w:t>
            </w:r>
            <w:r w:rsidRPr="0070736C">
              <w:rPr>
                <w:rFonts w:ascii="Arial" w:eastAsia="Times New Roman" w:hAnsi="Arial" w:cs="Arial"/>
                <w:b/>
                <w:noProof/>
                <w:lang w:eastAsia="cs-CZ"/>
              </w:rPr>
              <w:t xml:space="preserve"> 000</w:t>
            </w:r>
            <w:r w:rsidRPr="0070736C">
              <w:rPr>
                <w:rFonts w:ascii="Arial" w:eastAsia="Times New Roman" w:hAnsi="Arial" w:cs="Arial"/>
                <w:b/>
                <w:lang w:eastAsia="cs-CZ"/>
              </w:rPr>
              <w:fldChar w:fldCharType="end"/>
            </w:r>
          </w:p>
        </w:tc>
      </w:tr>
      <w:tr w:rsidR="008B7278" w:rsidRPr="0070736C" w:rsidTr="00294A7E"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Vědecká knihovna v Olomouci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0736C">
              <w:rPr>
                <w:rFonts w:ascii="Arial" w:eastAsia="Times New Roman" w:hAnsi="Arial" w:cs="Arial"/>
                <w:lang w:eastAsia="cs-CZ"/>
              </w:rPr>
              <w:t>Olomoucký kraj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ind w:right="142"/>
              <w:jc w:val="right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>100</w:t>
            </w:r>
            <w:r w:rsidRPr="0070736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</w:tr>
      <w:tr w:rsidR="008B7278" w:rsidRPr="0070736C" w:rsidTr="00294A7E">
        <w:tc>
          <w:tcPr>
            <w:tcW w:w="4219" w:type="dxa"/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70736C">
              <w:rPr>
                <w:rFonts w:ascii="Arial" w:eastAsia="Times New Roman" w:hAnsi="Arial" w:cs="Arial"/>
                <w:b/>
                <w:lang w:eastAsia="cs-CZ"/>
              </w:rPr>
              <w:lastRenderedPageBreak/>
              <w:t>Celkem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7278" w:rsidRPr="0070736C" w:rsidRDefault="008B7278" w:rsidP="00294A7E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70736C">
              <w:rPr>
                <w:rFonts w:ascii="Arial" w:eastAsia="Times New Roman" w:hAnsi="Arial" w:cs="Arial"/>
                <w:b/>
                <w:lang w:eastAsia="cs-CZ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lang w:eastAsia="cs-CZ"/>
              </w:rPr>
              <w:t>892</w:t>
            </w:r>
            <w:r w:rsidRPr="0070736C">
              <w:rPr>
                <w:rFonts w:ascii="Arial" w:eastAsia="Times New Roman" w:hAnsi="Arial" w:cs="Arial"/>
                <w:b/>
                <w:lang w:eastAsia="cs-CZ"/>
              </w:rPr>
              <w:t xml:space="preserve"> 000</w:t>
            </w:r>
          </w:p>
        </w:tc>
      </w:tr>
    </w:tbl>
    <w:p w:rsidR="008B7278" w:rsidRPr="0070736C" w:rsidRDefault="008B7278" w:rsidP="008B72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B7278" w:rsidRPr="0070736C" w:rsidRDefault="008B7278" w:rsidP="008B7278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0736C">
        <w:rPr>
          <w:rFonts w:ascii="Arial" w:eastAsia="Times New Roman" w:hAnsi="Arial" w:cs="Arial"/>
          <w:sz w:val="24"/>
          <w:szCs w:val="24"/>
          <w:lang w:eastAsia="cs-CZ"/>
        </w:rPr>
        <w:t xml:space="preserve">Způsob čerpání dotace bude zachován. </w:t>
      </w:r>
      <w:r w:rsidRPr="0070736C">
        <w:rPr>
          <w:rFonts w:ascii="Arial" w:eastAsia="Times New Roman" w:hAnsi="Arial" w:cs="Times New Roman"/>
          <w:sz w:val="24"/>
          <w:szCs w:val="24"/>
          <w:lang w:eastAsia="cs-CZ"/>
        </w:rPr>
        <w:t>V souladu s rozpočtovými pravidly bude úhrada finančních prostředků realizována prostřednictvím bankovního účtu zřizovatele knihovny; Vědecké knihovně v Olomouci budou fi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nanční prostředky poskytnuty do </w:t>
      </w:r>
      <w:r w:rsidRPr="0070736C">
        <w:rPr>
          <w:rFonts w:ascii="Arial" w:eastAsia="Times New Roman" w:hAnsi="Arial" w:cs="Times New Roman"/>
          <w:sz w:val="24"/>
          <w:szCs w:val="24"/>
          <w:lang w:eastAsia="cs-CZ"/>
        </w:rPr>
        <w:t xml:space="preserve">rozpočtu formou účelově určeného příspěvku. </w:t>
      </w:r>
    </w:p>
    <w:p w:rsidR="008B7278" w:rsidRPr="000348F5" w:rsidRDefault="008B7278" w:rsidP="008B7278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348F5">
        <w:rPr>
          <w:rFonts w:ascii="Arial" w:eastAsia="Times New Roman" w:hAnsi="Arial" w:cs="Times New Roman"/>
          <w:sz w:val="24"/>
          <w:szCs w:val="24"/>
          <w:lang w:eastAsia="cs-CZ"/>
        </w:rPr>
        <w:t xml:space="preserve">Finanční prostředky na navýšení platů pracovníků knihoven budou hrazeny z rezervy OSKPP alokované pro individuální žádosti o poskytnutí dotace z rozpočtu Olomouckého kraje (ORJ 13). </w:t>
      </w:r>
    </w:p>
    <w:p w:rsidR="008B7278" w:rsidRDefault="008B7278" w:rsidP="008B7278">
      <w:pPr>
        <w:widowControl w:val="0"/>
        <w:spacing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8B7278" w:rsidRPr="0070736C" w:rsidRDefault="008B7278" w:rsidP="008B7278">
      <w:pPr>
        <w:widowControl w:val="0"/>
        <w:spacing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8B7278" w:rsidRDefault="008B7278" w:rsidP="008B727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0736C">
        <w:rPr>
          <w:rFonts w:ascii="Arial" w:eastAsia="Times New Roman" w:hAnsi="Arial" w:cs="Times New Roman"/>
          <w:sz w:val="24"/>
          <w:szCs w:val="24"/>
          <w:lang w:eastAsia="cs-CZ"/>
        </w:rPr>
        <w:t xml:space="preserve">Na základě výše uvedeného navrhuje předkladatel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Z</w:t>
      </w:r>
      <w:r w:rsidRPr="0070736C">
        <w:rPr>
          <w:rFonts w:ascii="Arial" w:eastAsia="Times New Roman" w:hAnsi="Arial" w:cs="Times New Roman"/>
          <w:sz w:val="24"/>
          <w:szCs w:val="24"/>
          <w:lang w:eastAsia="cs-CZ"/>
        </w:rPr>
        <w:t>OK:</w:t>
      </w:r>
    </w:p>
    <w:p w:rsidR="008B7278" w:rsidRDefault="008B7278" w:rsidP="008B727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8B7278" w:rsidRDefault="008B7278" w:rsidP="008B72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E5A58">
        <w:rPr>
          <w:rFonts w:ascii="Arial" w:eastAsia="Times New Roman" w:hAnsi="Arial" w:cs="Times New Roman"/>
          <w:b/>
          <w:spacing w:val="20"/>
          <w:sz w:val="24"/>
          <w:szCs w:val="24"/>
          <w:lang w:eastAsia="cs-CZ"/>
        </w:rPr>
        <w:t>vzít na vědomí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důvodovou zprávu,</w:t>
      </w:r>
    </w:p>
    <w:p w:rsidR="008B7278" w:rsidRDefault="008B7278" w:rsidP="008B72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pacing w:val="20"/>
          <w:sz w:val="24"/>
          <w:szCs w:val="24"/>
          <w:lang w:eastAsia="cs-CZ"/>
        </w:rPr>
        <w:t>schválit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poskytnutí dotací na zajištění regionálních funkcí knihoven v Olomouckém kraji v roce 2020 příjemcům </w:t>
      </w:r>
      <w:r w:rsidR="00AE659D">
        <w:rPr>
          <w:rFonts w:ascii="Arial" w:eastAsia="Times New Roman" w:hAnsi="Arial" w:cs="Times New Roman"/>
          <w:sz w:val="24"/>
          <w:szCs w:val="24"/>
          <w:lang w:eastAsia="cs-CZ"/>
        </w:rPr>
        <w:t xml:space="preserve">a ve výši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dle důvodové zprávy,</w:t>
      </w:r>
    </w:p>
    <w:p w:rsidR="008B7278" w:rsidRDefault="008B7278" w:rsidP="008B72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pacing w:val="20"/>
          <w:sz w:val="24"/>
          <w:szCs w:val="24"/>
          <w:lang w:eastAsia="cs-CZ"/>
        </w:rPr>
        <w:t>schválit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uzavření dodatků k veřejnoprávním smlouvám o poskytnutí dotací s příjemci </w:t>
      </w:r>
      <w:r w:rsidR="00AE659D">
        <w:rPr>
          <w:rFonts w:ascii="Arial" w:eastAsia="Times New Roman" w:hAnsi="Arial" w:cs="Times New Roman"/>
          <w:sz w:val="24"/>
          <w:szCs w:val="24"/>
          <w:lang w:eastAsia="cs-CZ"/>
        </w:rPr>
        <w:t xml:space="preserve">a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ve výši dle bodu </w:t>
      </w:r>
      <w:r w:rsidR="00AE659D">
        <w:rPr>
          <w:rFonts w:ascii="Arial" w:eastAsia="Times New Roman" w:hAnsi="Arial" w:cs="Times New Roman"/>
          <w:sz w:val="24"/>
          <w:szCs w:val="24"/>
          <w:lang w:eastAsia="cs-CZ"/>
        </w:rPr>
        <w:t>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usnesení, ve znění vzorového dodatku k veřejnoprávní</w:t>
      </w:r>
      <w:r w:rsidR="00AE659D">
        <w:rPr>
          <w:rFonts w:ascii="Arial" w:eastAsia="Times New Roman" w:hAnsi="Arial" w:cs="Times New Roman"/>
          <w:sz w:val="24"/>
          <w:szCs w:val="24"/>
          <w:lang w:eastAsia="cs-CZ"/>
        </w:rPr>
        <w:t>m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smlouv</w:t>
      </w:r>
      <w:r w:rsidR="00AE659D">
        <w:rPr>
          <w:rFonts w:ascii="Arial" w:eastAsia="Times New Roman" w:hAnsi="Arial" w:cs="Times New Roman"/>
          <w:sz w:val="24"/>
          <w:szCs w:val="24"/>
          <w:lang w:eastAsia="cs-CZ"/>
        </w:rPr>
        <w:t xml:space="preserve">ám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dle Přílohy č. 1 důvodové zprávy,</w:t>
      </w:r>
    </w:p>
    <w:p w:rsidR="008B7278" w:rsidRDefault="008B7278" w:rsidP="008B72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E5A58">
        <w:rPr>
          <w:rFonts w:ascii="Arial" w:eastAsia="Times New Roman" w:hAnsi="Arial" w:cs="Times New Roman"/>
          <w:b/>
          <w:spacing w:val="20"/>
          <w:sz w:val="24"/>
          <w:szCs w:val="24"/>
          <w:lang w:eastAsia="cs-CZ"/>
        </w:rPr>
        <w:t>uložit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AE659D" w:rsidRPr="00AE659D">
        <w:rPr>
          <w:rFonts w:ascii="Arial" w:eastAsia="Times New Roman" w:hAnsi="Arial" w:cs="Times New Roman"/>
          <w:b/>
          <w:spacing w:val="30"/>
          <w:sz w:val="24"/>
          <w:szCs w:val="24"/>
          <w:lang w:eastAsia="cs-CZ"/>
        </w:rPr>
        <w:t xml:space="preserve">podepsat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Ing. Petru Vránovi, náměstku hejtmana, dodatky </w:t>
      </w:r>
      <w:r w:rsidR="00AE659D">
        <w:rPr>
          <w:rFonts w:ascii="Arial" w:eastAsia="Times New Roman" w:hAnsi="Arial" w:cs="Times New Roman"/>
          <w:sz w:val="24"/>
          <w:szCs w:val="24"/>
          <w:lang w:eastAsia="cs-CZ"/>
        </w:rPr>
        <w:t>dle bodu 3 usnesení</w:t>
      </w:r>
    </w:p>
    <w:p w:rsidR="008B7278" w:rsidRDefault="008B7278" w:rsidP="008B727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8B7278" w:rsidRPr="00EE5A58" w:rsidRDefault="008B7278" w:rsidP="008B727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8B7278" w:rsidRDefault="008B7278" w:rsidP="008B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278" w:rsidRDefault="008B7278" w:rsidP="008B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278" w:rsidRPr="0070736C" w:rsidRDefault="008B7278" w:rsidP="008B7278">
      <w:pPr>
        <w:tabs>
          <w:tab w:val="left" w:pos="3960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70736C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Přílohy:</w:t>
      </w:r>
    </w:p>
    <w:p w:rsidR="008B7278" w:rsidRPr="0070736C" w:rsidRDefault="008B7278" w:rsidP="008B7278">
      <w:pPr>
        <w:tabs>
          <w:tab w:val="num" w:pos="567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70736C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</w:t>
      </w:r>
    </w:p>
    <w:p w:rsidR="008B7278" w:rsidRPr="00B77C47" w:rsidRDefault="008B7278" w:rsidP="008B7278">
      <w:pPr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0736C">
        <w:rPr>
          <w:rFonts w:ascii="Arial" w:eastAsia="Times New Roman" w:hAnsi="Arial" w:cs="Arial"/>
          <w:bCs/>
          <w:sz w:val="24"/>
          <w:szCs w:val="24"/>
          <w:lang w:eastAsia="cs-CZ"/>
        </w:rPr>
        <w:t>Vzor dodatku k veřejnoprávní smlouvě o poskytnutí dotace na výkon regionálních funkcí knihoven v roce 20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20</w:t>
      </w:r>
      <w:r w:rsidRPr="0070736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(strana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3-4</w:t>
      </w:r>
      <w:r w:rsidRPr="0070736C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1F4C4C" w:rsidRDefault="001F4C4C"/>
    <w:sectPr w:rsidR="001F4C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5D7F">
      <w:pPr>
        <w:spacing w:after="0" w:line="240" w:lineRule="auto"/>
      </w:pPr>
      <w:r>
        <w:separator/>
      </w:r>
    </w:p>
  </w:endnote>
  <w:endnote w:type="continuationSeparator" w:id="0">
    <w:p w:rsidR="00000000" w:rsidRDefault="008E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6C" w:rsidRPr="0070736C" w:rsidRDefault="008B7278" w:rsidP="0070736C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70736C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17. 2. 2020</w:t>
    </w:r>
    <w:r w:rsidRPr="0070736C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                            </w:t>
    </w:r>
    <w:r w:rsidRPr="0070736C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Pr="0070736C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70736C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Pr="0070736C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8E5D7F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Pr="0070736C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70736C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70736C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70736C" w:rsidRPr="0070736C" w:rsidRDefault="008E5D7F" w:rsidP="006C6761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14</w:t>
    </w:r>
    <w:r w:rsidR="008B7278" w:rsidRPr="0070736C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8B7278" w:rsidRPr="0070736C">
      <w:rPr>
        <w:rFonts w:ascii="Arial" w:eastAsia="Times New Roman" w:hAnsi="Arial" w:cs="Arial"/>
        <w:bCs/>
        <w:i/>
        <w:sz w:val="20"/>
        <w:szCs w:val="20"/>
        <w:lang w:eastAsia="cs-CZ"/>
      </w:rPr>
      <w:t>Dodatky k veřejnoprávním smlouvám o poskytnutí dotace na výkon regionál</w:t>
    </w:r>
    <w:r w:rsidR="008B7278">
      <w:rPr>
        <w:rFonts w:ascii="Arial" w:eastAsia="Times New Roman" w:hAnsi="Arial" w:cs="Arial"/>
        <w:bCs/>
        <w:i/>
        <w:sz w:val="20"/>
        <w:szCs w:val="20"/>
        <w:lang w:eastAsia="cs-CZ"/>
      </w:rPr>
      <w:t>ních funkcí knihoven v roce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5D7F">
      <w:pPr>
        <w:spacing w:after="0" w:line="240" w:lineRule="auto"/>
      </w:pPr>
      <w:r>
        <w:separator/>
      </w:r>
    </w:p>
  </w:footnote>
  <w:footnote w:type="continuationSeparator" w:id="0">
    <w:p w:rsidR="00000000" w:rsidRDefault="008E5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4EF8"/>
    <w:multiLevelType w:val="hybridMultilevel"/>
    <w:tmpl w:val="70D882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78"/>
    <w:rsid w:val="00083B33"/>
    <w:rsid w:val="001F4C4C"/>
    <w:rsid w:val="003E1866"/>
    <w:rsid w:val="00755E52"/>
    <w:rsid w:val="00823AB1"/>
    <w:rsid w:val="008B7278"/>
    <w:rsid w:val="008E5D7F"/>
    <w:rsid w:val="00A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BC12"/>
  <w15:chartTrackingRefBased/>
  <w15:docId w15:val="{F0F23E25-6AA1-41DD-BE8E-848DFC5D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278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2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5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D7F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8E5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D7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Píšová Jaroslava</cp:lastModifiedBy>
  <cp:revision>2</cp:revision>
  <dcterms:created xsi:type="dcterms:W3CDTF">2020-01-28T13:32:00Z</dcterms:created>
  <dcterms:modified xsi:type="dcterms:W3CDTF">2020-01-31T08:44:00Z</dcterms:modified>
</cp:coreProperties>
</file>