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7208E18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0E386D69" w14:textId="77777777" w:rsidR="00E24319" w:rsidRPr="004E4AEF" w:rsidRDefault="00E24319" w:rsidP="00E24319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Vzor smlouvy DT 1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1288FDA" w:rsidR="00E62519" w:rsidRPr="003E2D41" w:rsidRDefault="00E62519" w:rsidP="00DA2B5E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81E08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………………………………………….</w:t>
      </w:r>
    </w:p>
    <w:p w14:paraId="6F420F65" w14:textId="1C279F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24319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081E08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48CEDC0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</w:t>
      </w:r>
      <w:r w:rsidR="00E24319" w:rsidRPr="00F85C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1A56BB33" w:rsid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0C585338" w14:textId="77777777" w:rsidR="00851FD0" w:rsidRPr="00957345" w:rsidRDefault="00851FD0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64E3BF23" w14:textId="77777777" w:rsidR="00851FD0" w:rsidRPr="00851FD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>za účelem</w:t>
      </w:r>
      <w:r w:rsidR="00851FD0">
        <w:rPr>
          <w:rFonts w:ascii="Arial" w:hAnsi="Arial" w:cs="Arial"/>
          <w:sz w:val="24"/>
          <w:szCs w:val="24"/>
        </w:rPr>
        <w:t xml:space="preserve"> podpory investičních a neinvestičních akcí obcí zaměřených na následující aktivity:</w:t>
      </w:r>
    </w:p>
    <w:p w14:paraId="52D848E0" w14:textId="77111CBC" w:rsidR="00851FD0" w:rsidRPr="00851FD0" w:rsidRDefault="00851FD0" w:rsidP="00851FD0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851FD0">
        <w:rPr>
          <w:rFonts w:ascii="Arial" w:hAnsi="Arial" w:cs="Arial"/>
          <w:sz w:val="24"/>
          <w:szCs w:val="24"/>
        </w:rPr>
        <w:t>výstavba, rekonstrukce, oprava místních komunikací, chodníků a součástí místních komunikací (mosty, lávky apod.),</w:t>
      </w:r>
    </w:p>
    <w:p w14:paraId="4E70A918" w14:textId="77777777" w:rsidR="00851FD0" w:rsidRPr="00851FD0" w:rsidRDefault="00851FD0" w:rsidP="00851FD0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851FD0">
        <w:rPr>
          <w:rFonts w:ascii="Arial" w:hAnsi="Arial" w:cs="Arial"/>
          <w:sz w:val="24"/>
          <w:szCs w:val="24"/>
        </w:rPr>
        <w:t>výstavba, rekonstrukce, oprava staveb ve vlastnictví obce,</w:t>
      </w:r>
    </w:p>
    <w:p w14:paraId="5313D0E3" w14:textId="77777777" w:rsidR="00851FD0" w:rsidRPr="00851FD0" w:rsidRDefault="00851FD0" w:rsidP="00851FD0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851FD0">
        <w:rPr>
          <w:rFonts w:ascii="Arial" w:hAnsi="Arial" w:cs="Arial"/>
          <w:sz w:val="24"/>
          <w:szCs w:val="24"/>
        </w:rPr>
        <w:t>výstavba, rekonstrukce, oprava veřejného osvětlení a veřejného rozhlasu,</w:t>
      </w:r>
    </w:p>
    <w:p w14:paraId="3A418622" w14:textId="77777777" w:rsidR="00851FD0" w:rsidRPr="00851FD0" w:rsidRDefault="00851FD0" w:rsidP="00851FD0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851FD0">
        <w:rPr>
          <w:rFonts w:ascii="Arial" w:hAnsi="Arial" w:cs="Arial"/>
          <w:sz w:val="24"/>
          <w:szCs w:val="24"/>
        </w:rPr>
        <w:t>příprava a realizace protipovodňových opatření (hráze, zatravnění, meze, úpravy na kanalizaci apod.),</w:t>
      </w:r>
    </w:p>
    <w:p w14:paraId="7EC38EE1" w14:textId="77777777" w:rsidR="00851FD0" w:rsidRPr="00851FD0" w:rsidRDefault="00851FD0" w:rsidP="00851FD0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851FD0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apod.,</w:t>
      </w:r>
    </w:p>
    <w:p w14:paraId="2F4D4759" w14:textId="77777777" w:rsidR="00851FD0" w:rsidRPr="00851FD0" w:rsidRDefault="00851FD0" w:rsidP="00851FD0">
      <w:pPr>
        <w:pStyle w:val="Odstavecseseznamem"/>
        <w:numPr>
          <w:ilvl w:val="0"/>
          <w:numId w:val="43"/>
        </w:numPr>
        <w:spacing w:after="120"/>
        <w:ind w:left="1570" w:hanging="357"/>
        <w:contextualSpacing w:val="0"/>
        <w:rPr>
          <w:rFonts w:ascii="Arial" w:hAnsi="Arial" w:cs="Arial"/>
          <w:sz w:val="24"/>
          <w:szCs w:val="24"/>
        </w:rPr>
      </w:pPr>
      <w:r w:rsidRPr="00851FD0">
        <w:rPr>
          <w:rFonts w:ascii="Arial" w:hAnsi="Arial" w:cs="Arial"/>
          <w:sz w:val="24"/>
          <w:szCs w:val="24"/>
        </w:rPr>
        <w:t>kombinace výše uvedených podporovaných aktivit řadících se do tohoto dotačního titulu.</w:t>
      </w:r>
    </w:p>
    <w:p w14:paraId="3C9258CF" w14:textId="011E2B16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0A052E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D861C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0A052E" w:rsidRPr="00D861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 Název akce a</w:t>
      </w:r>
      <w:r w:rsidR="000A052E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 použití dotace na akci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FCE3D39" w:rsidR="009A3DA5" w:rsidRPr="000A052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</w:t>
      </w:r>
      <w:r w:rsidR="00F85CB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</w:p>
    <w:p w14:paraId="3C9258D1" w14:textId="38E41B8B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A05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A052E" w:rsidRPr="00D861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(Bude specifikováno dle podané žádosti příjemce. V případě poskytování dotace současně na úhradu investičních i neinvestičních </w:t>
      </w:r>
      <w:r w:rsidR="00AF72D4" w:rsidRPr="00D861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uznatelných </w:t>
      </w:r>
      <w:r w:rsidR="000A052E" w:rsidRPr="00D861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 bude uvedeno „Dotace se poskytuje na účel stanovaný v čl. I odst. 2 této smlouvy jako dotace z</w:t>
      </w:r>
      <w:r w:rsidR="008642F9" w:rsidRPr="00D861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0A052E" w:rsidRPr="00D861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části</w:t>
      </w:r>
      <w:r w:rsidR="008642F9" w:rsidRPr="00D861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investiční ve výši  … Kč, slovy: … korun českých a zároveň z části neinvestiční ve výši … Kč, slovy: … korun českých.)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5E461D4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F85C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5CA617B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861C4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8642F9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2020“ </w:t>
      </w:r>
      <w:r w:rsidR="00ED68BB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8642F9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1 Podpora budování a obnovy infrastruktury obce </w:t>
      </w:r>
      <w:r w:rsidR="00ED68BB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88BA27E" w:rsidR="009A3DA5" w:rsidRPr="006D4BA3" w:rsidRDefault="009A3DA5" w:rsidP="003855F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6D4BA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,</w:t>
      </w:r>
      <w:r w:rsidR="00DA5A22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32579A" w:rsidRPr="00D861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specifikuje se dle podané žádosti; neprovádí se přitom žádná změna konkrétního účelu uvedeného ve schválené žádosti – tzn. v tabulce žadatelů v</w:t>
      </w:r>
      <w:r w:rsidR="006D4BA3" w:rsidRPr="00D861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32579A" w:rsidRPr="00D861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materiálu, schváleném řídícím orgánem. Zde uvedený text odpovídá obsahu sloupc</w:t>
      </w:r>
      <w:r w:rsidR="006D4BA3" w:rsidRPr="00D861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 </w:t>
      </w:r>
      <w:r w:rsidR="0032579A" w:rsidRPr="00D861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 použití dotace na akci</w:t>
      </w:r>
      <w:r w:rsidR="003855F6" w:rsidRPr="00D861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specifikovaný v podané žádosti příjemce</w:t>
      </w:r>
      <w:r w:rsidR="00DA5A22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F055D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odst. </w:t>
      </w:r>
      <w:r w:rsidR="009438E8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D159C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</w:t>
      </w:r>
      <w:r w:rsidR="009438E8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8</w:t>
      </w:r>
      <w:r w:rsidR="00F055D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861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861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5A946AC3" w:rsidR="009A3DA5" w:rsidRPr="00ED6813" w:rsidRDefault="009A3DA5" w:rsidP="00ED681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ZDPH svůj původně uplatněný nárok na odpočet DPH, který se vztahuje na 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5CC8EA3" w:rsidR="009A3DA5" w:rsidRPr="006D4BA3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8486B4F" w:rsidR="001455CD" w:rsidRPr="006D4BA3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60216FD1" w:rsidR="009A3DA5" w:rsidRPr="00D861C4" w:rsidRDefault="009A3DA5" w:rsidP="00ED6813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do</w:t>
      </w:r>
      <w:r w:rsidR="006D4BA3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20. 12. 2020</w:t>
      </w:r>
      <w:r w:rsidR="009A4F51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1F90F3DA" w:rsidR="009A3DA5" w:rsidRPr="00D861C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C56305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uznatelných </w:t>
      </w:r>
      <w:r w:rsidR="003D1870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</w:t>
      </w:r>
      <w:r w:rsidR="00542225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2</w:t>
      </w:r>
      <w:r w:rsidR="00542225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4</w:t>
      </w:r>
      <w:r w:rsidR="00542225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a podmínkami </w:t>
      </w:r>
      <w:r w:rsidR="00F6008E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</w:t>
      </w:r>
      <w:r w:rsidR="00542225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1</w:t>
      </w:r>
      <w:r w:rsidR="00542225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v období od </w:t>
      </w:r>
      <w:r w:rsidR="006D4BA3"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D861C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311C294C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….…… Kč (slovy: …..…… korun českých). Příjemce je povinen na tento účel vynaložit </w:t>
      </w:r>
      <w:r w:rsidR="005175F6" w:rsidRPr="00D861C4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6D4BA3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50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D861C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D861C4">
        <w:rPr>
          <w:rFonts w:ascii="Arial" w:hAnsi="Arial" w:cs="Arial"/>
          <w:sz w:val="24"/>
          <w:szCs w:val="24"/>
        </w:rPr>
        <w:t xml:space="preserve">dotace </w:t>
      </w:r>
      <w:r w:rsidRPr="00D861C4">
        <w:rPr>
          <w:rFonts w:ascii="Arial" w:hAnsi="Arial" w:cs="Arial"/>
          <w:sz w:val="24"/>
          <w:szCs w:val="24"/>
        </w:rPr>
        <w:t xml:space="preserve">odpovídala </w:t>
      </w:r>
      <w:r w:rsidR="005175F6" w:rsidRPr="00D861C4">
        <w:rPr>
          <w:rFonts w:ascii="Arial" w:hAnsi="Arial" w:cs="Arial"/>
          <w:sz w:val="24"/>
          <w:szCs w:val="24"/>
        </w:rPr>
        <w:t>nejvýše</w:t>
      </w:r>
      <w:r w:rsidR="006D4BA3" w:rsidRPr="00D861C4">
        <w:rPr>
          <w:rFonts w:ascii="Arial" w:hAnsi="Arial" w:cs="Arial"/>
          <w:sz w:val="24"/>
          <w:szCs w:val="24"/>
        </w:rPr>
        <w:t xml:space="preserve"> 50 </w:t>
      </w:r>
      <w:r w:rsidR="00ED6813" w:rsidRPr="00D861C4">
        <w:rPr>
          <w:rFonts w:ascii="Arial" w:hAnsi="Arial" w:cs="Arial"/>
          <w:sz w:val="24"/>
          <w:szCs w:val="24"/>
        </w:rPr>
        <w:t xml:space="preserve">% </w:t>
      </w:r>
      <w:r w:rsidRPr="00D861C4">
        <w:rPr>
          <w:rFonts w:ascii="Arial" w:hAnsi="Arial" w:cs="Arial"/>
          <w:sz w:val="24"/>
          <w:szCs w:val="24"/>
        </w:rPr>
        <w:t>celkových skutečně vynaložených uznatelných výdajů na účel dle čl. I</w:t>
      </w:r>
      <w:r w:rsidR="00542225" w:rsidRPr="00D861C4">
        <w:rPr>
          <w:rFonts w:ascii="Arial" w:hAnsi="Arial" w:cs="Arial"/>
          <w:sz w:val="24"/>
          <w:szCs w:val="24"/>
        </w:rPr>
        <w:t>.</w:t>
      </w:r>
      <w:r w:rsidRPr="00D861C4">
        <w:rPr>
          <w:rFonts w:ascii="Arial" w:hAnsi="Arial" w:cs="Arial"/>
          <w:sz w:val="24"/>
          <w:szCs w:val="24"/>
        </w:rPr>
        <w:t xml:space="preserve"> odst</w:t>
      </w:r>
      <w:r w:rsidRPr="00957345">
        <w:rPr>
          <w:rFonts w:ascii="Arial" w:hAnsi="Arial" w:cs="Arial"/>
          <w:sz w:val="24"/>
          <w:szCs w:val="24"/>
        </w:rPr>
        <w:t>. 2</w:t>
      </w:r>
      <w:r w:rsidR="00542225">
        <w:rPr>
          <w:rFonts w:ascii="Arial" w:hAnsi="Arial" w:cs="Arial"/>
          <w:color w:val="FF0000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a</w:t>
      </w:r>
      <w:r w:rsidR="00ED6813">
        <w:rPr>
          <w:rFonts w:ascii="Arial" w:hAnsi="Arial" w:cs="Arial"/>
          <w:sz w:val="24"/>
          <w:szCs w:val="24"/>
        </w:rPr>
        <w:t> </w:t>
      </w:r>
      <w:r w:rsidRPr="00957345">
        <w:rPr>
          <w:rFonts w:ascii="Arial" w:hAnsi="Arial" w:cs="Arial"/>
          <w:sz w:val="24"/>
          <w:szCs w:val="24"/>
        </w:rPr>
        <w:t>4</w:t>
      </w:r>
      <w:r w:rsidR="00542225">
        <w:rPr>
          <w:rFonts w:ascii="Arial" w:hAnsi="Arial" w:cs="Arial"/>
          <w:color w:val="FF0000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této smlouvy.</w:t>
      </w:r>
    </w:p>
    <w:p w14:paraId="14ACB8E3" w14:textId="5B16C19A" w:rsidR="00CB5336" w:rsidRPr="003E2D41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stanoven pro použití dotace</w:t>
      </w:r>
      <w:r w:rsidR="00C67B8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4DC2550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C67B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2003E00F" w:rsidR="009A3DA5" w:rsidRPr="00D861C4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C67B87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31. 12. 2020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D861C4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6E0CF0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30BE68B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DC7A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příloze č. 1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D861C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D861C4" w:rsidRPr="0035119E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https://www.olkraj.cz/vyuctovani-dotace-cl-4659.html</w:t>
        </w:r>
      </w:hyperlink>
      <w:r w:rsidR="00AA2FD8" w:rsidRPr="00444D4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861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příjmy uvedené v soupisu jsou pravdivé a úplné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58C0E32F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0B3EA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BF26E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</w:t>
      </w:r>
      <w:r w:rsidR="00BF26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1)</w:t>
      </w:r>
    </w:p>
    <w:p w14:paraId="0B5E3DCC" w14:textId="4B05B078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137B92A5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BF26E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55E3C647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3723C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D02A7C" w14:textId="5C8387B3" w:rsidR="00A9730D" w:rsidRPr="003E2D41" w:rsidRDefault="00094F03" w:rsidP="00BF26E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DD3C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 w:rsidRPr="00094F0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9AB0A17" w14:textId="0BA7003E" w:rsidR="00094F03" w:rsidRPr="003E2D41" w:rsidRDefault="009C5E46" w:rsidP="00094F03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094F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F03" w:rsidRPr="00D861C4">
        <w:rPr>
          <w:rFonts w:ascii="Arial" w:eastAsia="Times New Roman" w:hAnsi="Arial" w:cs="Arial"/>
          <w:sz w:val="24"/>
          <w:szCs w:val="24"/>
          <w:lang w:eastAsia="cs-CZ"/>
        </w:rPr>
        <w:t>vyplněný formulář „Závěrečná zpráva o</w:t>
      </w:r>
      <w:r w:rsidR="00643871" w:rsidRPr="00D861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94F03" w:rsidRPr="00D861C4">
        <w:rPr>
          <w:rFonts w:ascii="Arial" w:eastAsia="Times New Roman" w:hAnsi="Arial" w:cs="Arial"/>
          <w:sz w:val="24"/>
          <w:szCs w:val="24"/>
          <w:lang w:eastAsia="cs-CZ"/>
        </w:rPr>
        <w:t>ukončení realizace akce z Programu obnovy venkova Olomouckého kraje 2020“</w:t>
      </w:r>
      <w:r w:rsidR="003723CC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č. 1</w:t>
      </w:r>
      <w:r w:rsidR="00094F03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F03" w:rsidRPr="005B68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uveřejněný na web</w:t>
      </w:r>
      <w:r w:rsidR="00BF26ED" w:rsidRPr="005B68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ových stránkách </w:t>
      </w:r>
      <w:r w:rsidR="00094F03" w:rsidRPr="005B68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poskytovatele)</w:t>
      </w:r>
      <w:r w:rsidR="006438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94F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příloze závěrečné zprávy je příjemce povinen předložit poskytovateli</w:t>
      </w:r>
      <w:r w:rsidR="00094F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F03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protokol o předání a převzetí díla, stavební povolení/ohlášení stavby, oznámení stavebního úřadu nebo kolaudační souhlas v případě, že stavba bude ve smyslu zákona č. 183/2006 Sb. vyžadovat stavební povolení, fotodokumentaci z průběhu realizace akce (min. 3 </w:t>
      </w:r>
      <w:r w:rsidR="005313E7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fotografie </w:t>
      </w:r>
      <w:r w:rsidR="00094F03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z průběhu realizace akce a min. 3 </w:t>
      </w:r>
      <w:r w:rsidR="005313E7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fotografie </w:t>
      </w:r>
      <w:r w:rsidR="00094F03" w:rsidRPr="00D861C4">
        <w:rPr>
          <w:rFonts w:ascii="Arial" w:eastAsia="Times New Roman" w:hAnsi="Arial" w:cs="Arial"/>
          <w:sz w:val="24"/>
          <w:szCs w:val="24"/>
          <w:lang w:eastAsia="cs-CZ"/>
        </w:rPr>
        <w:t>po realizaci akce) a dokumentaci splnění povinné propagace poskytovatele a užití loga</w:t>
      </w:r>
      <w:r w:rsidR="00E90C02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 </w:t>
      </w:r>
      <w:r w:rsidR="00094F03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dle čl. II odst. 10 této smlouvy. </w:t>
      </w:r>
      <w:bookmarkStart w:id="0" w:name="_GoBack"/>
    </w:p>
    <w:bookmarkEnd w:id="0"/>
    <w:p w14:paraId="758E3118" w14:textId="30A8677B" w:rsidR="00A9730D" w:rsidRPr="00D861C4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D861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E0688B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D861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uvedené</w:t>
      </w:r>
      <w:r w:rsidR="006E4E96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 čl. II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861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</w:t>
      </w:r>
      <w:r w:rsidR="00542225" w:rsidRPr="00D861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542225" w:rsidRPr="00D861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542225" w:rsidRPr="00D861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byly nižší než celkové předpokládané uznatelné výdaje dle čl. II</w:t>
      </w:r>
      <w:r w:rsidR="00542225" w:rsidRPr="00D861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542225" w:rsidRPr="00D861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B777F4" w:rsidRPr="00D861C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861C4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D861C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D861C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861C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D861C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861C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D861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12664FAA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poruší některou z jiných podmínek použití dotace, stanovených v čl. II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1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ale vyúčtování nebo závěrečná zpráva nebudou obsahovat všechny náležitosti stanovené v čl. II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54222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C669682" w:rsidR="009A3DA5" w:rsidRPr="00D861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poskytovatele č.</w:t>
      </w:r>
      <w:r w:rsidR="006E7565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D861C4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6E7565" w:rsidRPr="00D861C4">
        <w:rPr>
          <w:rFonts w:ascii="Arial" w:hAnsi="Arial" w:cs="Arial"/>
          <w:sz w:val="24"/>
          <w:szCs w:val="24"/>
        </w:rPr>
        <w:t xml:space="preserve"> 27-4228320287/0100 </w:t>
      </w:r>
      <w:r w:rsidR="00D40813" w:rsidRPr="00D861C4">
        <w:rPr>
          <w:rFonts w:ascii="Arial" w:hAnsi="Arial" w:cs="Arial"/>
          <w:sz w:val="24"/>
          <w:szCs w:val="24"/>
        </w:rPr>
        <w:t>na základě vystavené faktury.</w:t>
      </w:r>
      <w:r w:rsidR="00AE30DE" w:rsidRPr="00D861C4">
        <w:rPr>
          <w:rFonts w:ascii="Arial" w:hAnsi="Arial" w:cs="Arial"/>
          <w:sz w:val="24"/>
          <w:szCs w:val="24"/>
        </w:rPr>
        <w:t xml:space="preserve"> </w:t>
      </w:r>
    </w:p>
    <w:p w14:paraId="57AF1CAB" w14:textId="66472799" w:rsidR="00163897" w:rsidRPr="00643871" w:rsidRDefault="009A3DA5" w:rsidP="0064387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3F00A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C1AD75A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61C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</w:t>
      </w:r>
      <w:r w:rsidR="00140465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313E7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a ochrannou známku POV </w:t>
      </w:r>
      <w:r w:rsidR="00643871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na svých webových stránkách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615CE6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od</w:t>
      </w:r>
      <w:r w:rsidR="00AC1C0D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5BBC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nabytí </w:t>
      </w:r>
      <w:r w:rsidR="00AC1C0D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účinnosti této smlouvy </w:t>
      </w:r>
      <w:r w:rsidR="005313E7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43871" w:rsidRPr="00D861C4">
        <w:rPr>
          <w:rFonts w:ascii="Arial" w:eastAsia="Times New Roman" w:hAnsi="Arial" w:cs="Arial"/>
          <w:sz w:val="24"/>
          <w:szCs w:val="24"/>
          <w:lang w:eastAsia="cs-CZ"/>
        </w:rPr>
        <w:t>do konce roku 2020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</w:t>
      </w:r>
      <w:r w:rsidR="00140465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minimálně ve formátu A4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, nebo obdobné zařízení, s logem poskytovatele</w:t>
      </w:r>
      <w:r w:rsidR="00140465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známkou POV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do místa, ve kterém je realizována podpořená akce</w:t>
      </w:r>
      <w:r w:rsidR="00D75478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nebo v sídle příjemce dotace</w:t>
      </w:r>
      <w:r w:rsidR="00725B3A" w:rsidRPr="00D861C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313E7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nejméně</w:t>
      </w:r>
      <w:r w:rsidR="00725B3A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po dobu</w:t>
      </w:r>
      <w:r w:rsidR="00D75478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</w:t>
      </w:r>
      <w:r w:rsidR="00643871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Spolu s</w:t>
      </w:r>
      <w:r w:rsidR="00D75478" w:rsidRPr="00D861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logem</w:t>
      </w:r>
      <w:r w:rsidR="00D75478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poskytovatele dotace a</w:t>
      </w:r>
      <w:r w:rsidR="00C318D8" w:rsidRPr="00D861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75478" w:rsidRPr="00D861C4">
        <w:rPr>
          <w:rFonts w:ascii="Arial" w:eastAsia="Times New Roman" w:hAnsi="Arial" w:cs="Arial"/>
          <w:sz w:val="24"/>
          <w:szCs w:val="24"/>
          <w:lang w:eastAsia="cs-CZ"/>
        </w:rPr>
        <w:t>ochrannou známkou POV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285D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finančně podpořil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3701293E" w:rsidR="009A3DA5" w:rsidRPr="00D861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</w:t>
      </w:r>
      <w:r w:rsidR="00D75478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a ochrann</w:t>
      </w:r>
      <w:r w:rsidR="00DA5365" w:rsidRPr="00D861C4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D75478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známk</w:t>
      </w:r>
      <w:r w:rsidR="00DA5365" w:rsidRPr="00D861C4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D75478"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POV 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>způsobem a v rozsahu uvedeném v čl. II</w:t>
      </w:r>
      <w:r w:rsidR="00542225" w:rsidRPr="00D861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odst. 10</w:t>
      </w:r>
      <w:r w:rsidR="00542225" w:rsidRPr="00D861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861C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3CCA0A10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65391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02C2AAD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proofErr w:type="gramStart"/>
      <w:r w:rsidR="00ED0C6D" w:rsidRPr="007068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10.1.</w:t>
      </w:r>
      <w:r w:rsidRPr="007068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ED0C6D" w:rsidRPr="007068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</w:t>
      </w:r>
      <w:proofErr w:type="gramEnd"/>
      <w:r w:rsidR="00ED0C6D" w:rsidRPr="007068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odst. 12.5.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ED0C6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proofErr w:type="gram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12.5</w:t>
      </w:r>
      <w:r w:rsidR="007C468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</w:t>
      </w:r>
      <w:proofErr w:type="gram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uvede v případě, že dotace bude poskytována v režimu de </w:t>
      </w:r>
      <w:proofErr w:type="spell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5384D985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dále prohlašuje, že v době od podání žádosti o dotaci do dne podpisu této smlouvy u něj nedošlo k žádné změně předpokládané v odst. </w:t>
      </w:r>
      <w:r w:rsidRPr="007068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="004B704C" w:rsidRPr="007068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CD8D446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6EB2F4C4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3F00A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554CB97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135E8CE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6539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6539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8D46517" w:rsidR="00170EC7" w:rsidRPr="00957345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</w:t>
      </w:r>
      <w:r w:rsidR="006539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Pr="00957345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350664A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3F00A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8587AAC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</w:t>
      </w:r>
      <w:r w:rsidR="004B704C">
        <w:rPr>
          <w:rFonts w:ascii="Arial" w:eastAsia="Times New Roman" w:hAnsi="Arial" w:cs="Arial"/>
          <w:sz w:val="24"/>
          <w:szCs w:val="24"/>
          <w:lang w:eastAsia="cs-CZ"/>
        </w:rPr>
        <w:t xml:space="preserve">mlouvy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14:paraId="5D8A80AE" w14:textId="27A3DBA0" w:rsidR="004436F0" w:rsidRPr="00DF604F" w:rsidRDefault="004436F0" w:rsidP="00005CAF">
      <w:pPr>
        <w:numPr>
          <w:ilvl w:val="0"/>
          <w:numId w:val="35"/>
        </w:numPr>
        <w:spacing w:after="60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příslušným orgánem příjemce. </w:t>
      </w:r>
      <w:r w:rsidRPr="00DF604F">
        <w:rPr>
          <w:rFonts w:ascii="Arial" w:eastAsia="Times New Roman" w:hAnsi="Arial" w:cs="Arial"/>
          <w:sz w:val="24"/>
          <w:szCs w:val="24"/>
          <w:lang w:eastAsia="cs-CZ"/>
        </w:rPr>
        <w:t>Doložka o této skutečnosti je ke smlouvě připojena v samostatném souboru.</w:t>
      </w:r>
    </w:p>
    <w:p w14:paraId="3C925924" w14:textId="656491AB" w:rsidR="009A3DA5" w:rsidRPr="00957345" w:rsidRDefault="009A3DA5" w:rsidP="00005CAF">
      <w:pPr>
        <w:tabs>
          <w:tab w:val="left" w:pos="4536"/>
        </w:tabs>
        <w:spacing w:before="240" w:after="4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4429"/>
      </w:tblGrid>
      <w:tr w:rsidR="009A3DA5" w:rsidRPr="00957345" w14:paraId="3C92592A" w14:textId="77777777" w:rsidTr="00F930AD">
        <w:trPr>
          <w:trHeight w:val="405"/>
        </w:trPr>
        <w:tc>
          <w:tcPr>
            <w:tcW w:w="44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 w:rsidP="00F930A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 w:rsidP="00F930AD">
            <w:pPr>
              <w:spacing w:before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 w:rsidP="00F930A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F930AD">
        <w:trPr>
          <w:trHeight w:val="927"/>
        </w:trPr>
        <w:tc>
          <w:tcPr>
            <w:tcW w:w="44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3E5CF" w14:textId="77777777" w:rsidR="00005CAF" w:rsidRDefault="00005CAF" w:rsidP="00005CAF">
            <w:pPr>
              <w:spacing w:before="360" w:after="36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70C57B30" w:rsidR="009A3DA5" w:rsidRPr="00957345" w:rsidRDefault="009A3DA5" w:rsidP="00005CAF">
            <w:pPr>
              <w:spacing w:before="360"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 w:rsidP="00005CA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 w:rsidP="00F930AD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4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77C62" w14:textId="77777777" w:rsidR="00005CAF" w:rsidRDefault="00005CAF" w:rsidP="00005CAF">
            <w:pPr>
              <w:spacing w:before="36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4F2D35D8" w:rsidR="009A3DA5" w:rsidRPr="00957345" w:rsidRDefault="009A3DA5" w:rsidP="00005CAF">
            <w:pPr>
              <w:spacing w:before="36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7B8A20E0" w:rsidR="009C233E" w:rsidRDefault="009C233E" w:rsidP="003F62B7">
      <w:pPr>
        <w:ind w:left="0" w:firstLine="0"/>
        <w:rPr>
          <w:rFonts w:ascii="Arial" w:hAnsi="Arial" w:cs="Arial"/>
          <w:bCs/>
        </w:rPr>
      </w:pPr>
    </w:p>
    <w:p w14:paraId="7D1C19F9" w14:textId="08517D68" w:rsidR="009B0F59" w:rsidRPr="009C233E" w:rsidRDefault="009C233E" w:rsidP="009C233E">
      <w:pPr>
        <w:tabs>
          <w:tab w:val="left" w:pos="67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B0F59" w:rsidRPr="009C233E" w:rsidSect="00F930AD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15474" w14:textId="77777777" w:rsidR="0017592A" w:rsidRDefault="0017592A" w:rsidP="00D40C40">
      <w:r>
        <w:separator/>
      </w:r>
    </w:p>
  </w:endnote>
  <w:endnote w:type="continuationSeparator" w:id="0">
    <w:p w14:paraId="45472099" w14:textId="77777777" w:rsidR="0017592A" w:rsidRDefault="0017592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9141" w14:textId="08F0142E" w:rsidR="00FF194D" w:rsidRPr="005720E6" w:rsidRDefault="009C233E" w:rsidP="00FF19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2019</w:t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3E2D4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EA4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2DB2043" w14:textId="73C1BEE4" w:rsidR="00FF194D" w:rsidRDefault="00C20A7A" w:rsidP="00FF19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58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- Program obnovy venkova Olomouckého kraje 20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0B718648" w14:textId="416276F5" w:rsidR="00FF194D" w:rsidRPr="005F64F8" w:rsidRDefault="00FF194D" w:rsidP="00210C6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1418" w:hanging="1418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11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poskytnutí dotace na akci obcím, městysům,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720B3" w14:textId="77777777" w:rsidR="0017592A" w:rsidRDefault="0017592A" w:rsidP="00D40C40">
      <w:r>
        <w:separator/>
      </w:r>
    </w:p>
  </w:footnote>
  <w:footnote w:type="continuationSeparator" w:id="0">
    <w:p w14:paraId="07B06CE4" w14:textId="77777777" w:rsidR="0017592A" w:rsidRDefault="0017592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4E16D" w14:textId="6F876216" w:rsidR="00FF194D" w:rsidRDefault="00FF194D" w:rsidP="00210C69">
    <w:pPr>
      <w:pStyle w:val="Zhlav"/>
      <w:ind w:left="1418" w:hanging="1418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11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městysům,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1</w:t>
    </w:r>
  </w:p>
  <w:p w14:paraId="2B74F62C" w14:textId="77777777" w:rsidR="00471FA4" w:rsidRDefault="00471F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AFFCCF6C"/>
    <w:lvl w:ilvl="0" w:tplc="1E121D1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5CAF"/>
    <w:rsid w:val="00006AE8"/>
    <w:rsid w:val="00011BB9"/>
    <w:rsid w:val="000129E7"/>
    <w:rsid w:val="000145AB"/>
    <w:rsid w:val="00014A64"/>
    <w:rsid w:val="00015EEA"/>
    <w:rsid w:val="00016E18"/>
    <w:rsid w:val="00025AAA"/>
    <w:rsid w:val="0002797C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E08"/>
    <w:rsid w:val="00083837"/>
    <w:rsid w:val="00083C15"/>
    <w:rsid w:val="00086582"/>
    <w:rsid w:val="0009016F"/>
    <w:rsid w:val="0009326B"/>
    <w:rsid w:val="0009398A"/>
    <w:rsid w:val="00093D1C"/>
    <w:rsid w:val="00094EF7"/>
    <w:rsid w:val="00094F03"/>
    <w:rsid w:val="000950D4"/>
    <w:rsid w:val="000951F1"/>
    <w:rsid w:val="0009595C"/>
    <w:rsid w:val="00095E9A"/>
    <w:rsid w:val="0009666A"/>
    <w:rsid w:val="000979C5"/>
    <w:rsid w:val="000A052E"/>
    <w:rsid w:val="000A1C1C"/>
    <w:rsid w:val="000A2109"/>
    <w:rsid w:val="000A3504"/>
    <w:rsid w:val="000A5F56"/>
    <w:rsid w:val="000A6591"/>
    <w:rsid w:val="000B0318"/>
    <w:rsid w:val="000B06AF"/>
    <w:rsid w:val="000B0BBD"/>
    <w:rsid w:val="000B103E"/>
    <w:rsid w:val="000B1B0F"/>
    <w:rsid w:val="000B2B07"/>
    <w:rsid w:val="000B3EAE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04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92A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EE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0C69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4453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BBC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0E3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C6F8A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5961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79A"/>
    <w:rsid w:val="00325F77"/>
    <w:rsid w:val="00326204"/>
    <w:rsid w:val="00331407"/>
    <w:rsid w:val="00332FD6"/>
    <w:rsid w:val="0033568D"/>
    <w:rsid w:val="00335BBC"/>
    <w:rsid w:val="00337CC7"/>
    <w:rsid w:val="003407BA"/>
    <w:rsid w:val="00341653"/>
    <w:rsid w:val="003418F9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6EA2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3CC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77C02"/>
    <w:rsid w:val="0038220B"/>
    <w:rsid w:val="00383116"/>
    <w:rsid w:val="003855F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4D5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2D41"/>
    <w:rsid w:val="003E489A"/>
    <w:rsid w:val="003E6768"/>
    <w:rsid w:val="003E692E"/>
    <w:rsid w:val="003E7028"/>
    <w:rsid w:val="003F00AD"/>
    <w:rsid w:val="003F08B5"/>
    <w:rsid w:val="003F1AF8"/>
    <w:rsid w:val="003F53C7"/>
    <w:rsid w:val="003F5722"/>
    <w:rsid w:val="003F62B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04C"/>
    <w:rsid w:val="004B7E00"/>
    <w:rsid w:val="004C0852"/>
    <w:rsid w:val="004C0F3D"/>
    <w:rsid w:val="004C1433"/>
    <w:rsid w:val="004C1E11"/>
    <w:rsid w:val="004C2E36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3E7"/>
    <w:rsid w:val="0053167E"/>
    <w:rsid w:val="005333B5"/>
    <w:rsid w:val="005349A1"/>
    <w:rsid w:val="00541847"/>
    <w:rsid w:val="00542225"/>
    <w:rsid w:val="00543768"/>
    <w:rsid w:val="005459E0"/>
    <w:rsid w:val="00545A5B"/>
    <w:rsid w:val="0054676F"/>
    <w:rsid w:val="005469CD"/>
    <w:rsid w:val="005471B0"/>
    <w:rsid w:val="0055217E"/>
    <w:rsid w:val="005540C7"/>
    <w:rsid w:val="005554B0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CBA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68A3"/>
    <w:rsid w:val="005C15B3"/>
    <w:rsid w:val="005C1E36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5CE6"/>
    <w:rsid w:val="00621063"/>
    <w:rsid w:val="00621852"/>
    <w:rsid w:val="00621A3A"/>
    <w:rsid w:val="00624EC7"/>
    <w:rsid w:val="006250D3"/>
    <w:rsid w:val="00625F24"/>
    <w:rsid w:val="006264E0"/>
    <w:rsid w:val="006266DD"/>
    <w:rsid w:val="00630335"/>
    <w:rsid w:val="006304D1"/>
    <w:rsid w:val="00632D35"/>
    <w:rsid w:val="00633683"/>
    <w:rsid w:val="00634B58"/>
    <w:rsid w:val="0063512A"/>
    <w:rsid w:val="00643871"/>
    <w:rsid w:val="00644896"/>
    <w:rsid w:val="00644A22"/>
    <w:rsid w:val="00644A29"/>
    <w:rsid w:val="00644E8F"/>
    <w:rsid w:val="00644F18"/>
    <w:rsid w:val="00652CC8"/>
    <w:rsid w:val="006535D7"/>
    <w:rsid w:val="00653910"/>
    <w:rsid w:val="00654C17"/>
    <w:rsid w:val="00657774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7789F"/>
    <w:rsid w:val="00684C20"/>
    <w:rsid w:val="00685285"/>
    <w:rsid w:val="00690949"/>
    <w:rsid w:val="00694CB0"/>
    <w:rsid w:val="00695FFD"/>
    <w:rsid w:val="00696660"/>
    <w:rsid w:val="006A036C"/>
    <w:rsid w:val="006A0B33"/>
    <w:rsid w:val="006A1C2B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34D5"/>
    <w:rsid w:val="006C43C7"/>
    <w:rsid w:val="006C452D"/>
    <w:rsid w:val="006C478B"/>
    <w:rsid w:val="006C5BC4"/>
    <w:rsid w:val="006D0AC7"/>
    <w:rsid w:val="006D101C"/>
    <w:rsid w:val="006D2534"/>
    <w:rsid w:val="006D28BA"/>
    <w:rsid w:val="006D4BA3"/>
    <w:rsid w:val="006D6288"/>
    <w:rsid w:val="006D7F30"/>
    <w:rsid w:val="006E07ED"/>
    <w:rsid w:val="006E098C"/>
    <w:rsid w:val="006E0AD7"/>
    <w:rsid w:val="006E0CF0"/>
    <w:rsid w:val="006E33A0"/>
    <w:rsid w:val="006E4022"/>
    <w:rsid w:val="006E4E96"/>
    <w:rsid w:val="006E54F8"/>
    <w:rsid w:val="006E5BA7"/>
    <w:rsid w:val="006E7565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06810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87E2A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6E7"/>
    <w:rsid w:val="007C40B5"/>
    <w:rsid w:val="007C4681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76C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5060"/>
    <w:rsid w:val="0084606A"/>
    <w:rsid w:val="008463C9"/>
    <w:rsid w:val="008479FE"/>
    <w:rsid w:val="00851FD0"/>
    <w:rsid w:val="008525B2"/>
    <w:rsid w:val="008556B1"/>
    <w:rsid w:val="0085615A"/>
    <w:rsid w:val="00856F2E"/>
    <w:rsid w:val="008642F9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391A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5C55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3E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E7D26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C0D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2D4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3DE9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70B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2C70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6ED"/>
    <w:rsid w:val="00BF30CC"/>
    <w:rsid w:val="00BF54F8"/>
    <w:rsid w:val="00BF747A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A7A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18D8"/>
    <w:rsid w:val="00C32822"/>
    <w:rsid w:val="00C33655"/>
    <w:rsid w:val="00C34051"/>
    <w:rsid w:val="00C34D62"/>
    <w:rsid w:val="00C35596"/>
    <w:rsid w:val="00C36A1D"/>
    <w:rsid w:val="00C37AF3"/>
    <w:rsid w:val="00C42719"/>
    <w:rsid w:val="00C437F6"/>
    <w:rsid w:val="00C43C6C"/>
    <w:rsid w:val="00C43E35"/>
    <w:rsid w:val="00C474F4"/>
    <w:rsid w:val="00C475DB"/>
    <w:rsid w:val="00C51C7B"/>
    <w:rsid w:val="00C522FA"/>
    <w:rsid w:val="00C524A4"/>
    <w:rsid w:val="00C56305"/>
    <w:rsid w:val="00C569FE"/>
    <w:rsid w:val="00C57C51"/>
    <w:rsid w:val="00C60AA7"/>
    <w:rsid w:val="00C6290F"/>
    <w:rsid w:val="00C62A8E"/>
    <w:rsid w:val="00C63CC5"/>
    <w:rsid w:val="00C63E88"/>
    <w:rsid w:val="00C642A8"/>
    <w:rsid w:val="00C67B87"/>
    <w:rsid w:val="00C7203F"/>
    <w:rsid w:val="00C73D04"/>
    <w:rsid w:val="00C73FE7"/>
    <w:rsid w:val="00C74BFA"/>
    <w:rsid w:val="00C75652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1F62"/>
    <w:rsid w:val="00CA24A0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490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4018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5478"/>
    <w:rsid w:val="00D776B5"/>
    <w:rsid w:val="00D8021D"/>
    <w:rsid w:val="00D80504"/>
    <w:rsid w:val="00D80CF4"/>
    <w:rsid w:val="00D815C4"/>
    <w:rsid w:val="00D846F0"/>
    <w:rsid w:val="00D84E9F"/>
    <w:rsid w:val="00D852F2"/>
    <w:rsid w:val="00D861C4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2B5E"/>
    <w:rsid w:val="00DA365F"/>
    <w:rsid w:val="00DA43B2"/>
    <w:rsid w:val="00DA5365"/>
    <w:rsid w:val="00DA5A22"/>
    <w:rsid w:val="00DB1D51"/>
    <w:rsid w:val="00DB3240"/>
    <w:rsid w:val="00DB68A2"/>
    <w:rsid w:val="00DC038B"/>
    <w:rsid w:val="00DC039D"/>
    <w:rsid w:val="00DC039E"/>
    <w:rsid w:val="00DC473B"/>
    <w:rsid w:val="00DC5C4C"/>
    <w:rsid w:val="00DC7A8E"/>
    <w:rsid w:val="00DD3CA7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04F"/>
    <w:rsid w:val="00DF62D6"/>
    <w:rsid w:val="00E029A9"/>
    <w:rsid w:val="00E039A3"/>
    <w:rsid w:val="00E05CB5"/>
    <w:rsid w:val="00E0688B"/>
    <w:rsid w:val="00E125C3"/>
    <w:rsid w:val="00E128AD"/>
    <w:rsid w:val="00E13318"/>
    <w:rsid w:val="00E144E4"/>
    <w:rsid w:val="00E14732"/>
    <w:rsid w:val="00E2179C"/>
    <w:rsid w:val="00E21EF9"/>
    <w:rsid w:val="00E22986"/>
    <w:rsid w:val="00E24319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0C02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431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0C6D"/>
    <w:rsid w:val="00ED1378"/>
    <w:rsid w:val="00ED1983"/>
    <w:rsid w:val="00ED233E"/>
    <w:rsid w:val="00ED2C68"/>
    <w:rsid w:val="00ED4349"/>
    <w:rsid w:val="00ED6813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1D06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5CB5"/>
    <w:rsid w:val="00F8667F"/>
    <w:rsid w:val="00F903CF"/>
    <w:rsid w:val="00F90512"/>
    <w:rsid w:val="00F90895"/>
    <w:rsid w:val="00F90F4D"/>
    <w:rsid w:val="00F91B53"/>
    <w:rsid w:val="00F926B6"/>
    <w:rsid w:val="00F93004"/>
    <w:rsid w:val="00F930AD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1A4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194D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5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90CC-160B-452B-B97B-15DF7715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3350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5</cp:revision>
  <cp:lastPrinted>2018-08-24T12:55:00Z</cp:lastPrinted>
  <dcterms:created xsi:type="dcterms:W3CDTF">2019-11-21T14:07:00Z</dcterms:created>
  <dcterms:modified xsi:type="dcterms:W3CDTF">2019-11-26T09:16:00Z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