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F" w:rsidRPr="00324AA7" w:rsidRDefault="001E4E7F" w:rsidP="001E4E7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324AA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E4E7F" w:rsidRPr="00324AA7" w:rsidRDefault="001E4E7F" w:rsidP="001E4E7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24AA7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1E4E7F" w:rsidRPr="00324AA7" w:rsidRDefault="001E4E7F" w:rsidP="001E4E7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24AA7">
        <w:rPr>
          <w:rFonts w:ascii="Arial" w:hAnsi="Arial" w:cs="Arial"/>
          <w:sz w:val="24"/>
          <w:szCs w:val="24"/>
        </w:rPr>
        <w:t>Komerční banka, a.s., pobočka Olomouc</w:t>
      </w:r>
    </w:p>
    <w:p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</w:rPr>
        <w:t>Č.</w:t>
      </w:r>
      <w:r w:rsidR="001B4D7D" w:rsidRPr="00324A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AA7">
        <w:rPr>
          <w:rFonts w:ascii="Arial" w:hAnsi="Arial" w:cs="Arial"/>
          <w:sz w:val="24"/>
          <w:szCs w:val="24"/>
        </w:rPr>
        <w:t>ú.</w:t>
      </w:r>
      <w:proofErr w:type="spellEnd"/>
      <w:r w:rsidRPr="00324AA7">
        <w:rPr>
          <w:rFonts w:ascii="Arial" w:hAnsi="Arial" w:cs="Arial"/>
          <w:sz w:val="24"/>
          <w:szCs w:val="24"/>
        </w:rPr>
        <w:t>: 27–4228330207/0100</w:t>
      </w:r>
    </w:p>
    <w:p w:rsidR="001E4E7F" w:rsidRPr="00324AA7" w:rsidRDefault="001E4E7F" w:rsidP="001E4E7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E4E7F" w:rsidRPr="00324AA7" w:rsidRDefault="001E4E7F" w:rsidP="001E4E7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E4E7F" w:rsidRPr="00324AA7" w:rsidRDefault="001E4E7F" w:rsidP="001E4E7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1B4D7D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1E4E7F" w:rsidRPr="00324AA7" w:rsidRDefault="001E4E7F" w:rsidP="001E4E7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:rsidR="001E4E7F" w:rsidRPr="00324AA7" w:rsidRDefault="001E4E7F" w:rsidP="001E4E7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1E4E7F" w:rsidRPr="00324AA7" w:rsidRDefault="001E4E7F" w:rsidP="001E4E7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E4E7F" w:rsidRPr="00324AA7" w:rsidRDefault="001E4E7F" w:rsidP="001E4E7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324AA7">
        <w:rPr>
          <w:rFonts w:ascii="Arial" w:hAnsi="Arial" w:cs="Arial"/>
          <w:sz w:val="24"/>
          <w:szCs w:val="24"/>
        </w:rPr>
        <w:t xml:space="preserve"> za účelem </w:t>
      </w:r>
      <w:r w:rsidR="0053618A" w:rsidRPr="00324AA7">
        <w:rPr>
          <w:rFonts w:ascii="Arial" w:hAnsi="Arial" w:cs="Arial"/>
          <w:sz w:val="24"/>
          <w:szCs w:val="24"/>
        </w:rPr>
        <w:t>podpory projektů investičního charakteru do infrastruktury sociálních služeb za účelem zvyšování kvality materiálně – technických podmínek pro jejich poskytování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24A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v termínu … 2020. (</w:t>
      </w:r>
      <w:r w:rsidR="00C24F8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ále také „akce“). </w:t>
      </w:r>
    </w:p>
    <w:p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C24F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:rsidR="001E4E7F" w:rsidRPr="00324AA7" w:rsidRDefault="001E4E7F" w:rsidP="001E4E7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 </w:t>
      </w:r>
    </w:p>
    <w:p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E4E7F" w:rsidRPr="00324AA7" w:rsidRDefault="001E4E7F" w:rsidP="001E4E7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infrastruktury sociálních služeb na území Olomouckého kraje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1E4E7F" w:rsidRPr="00324AA7" w:rsidRDefault="001E4E7F" w:rsidP="001E4E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324AA7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24AA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24AA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24AA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24AA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E4E7F" w:rsidRPr="00324AA7" w:rsidRDefault="001E4E7F" w:rsidP="001B4D7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..…</w:t>
      </w:r>
      <w:proofErr w:type="gramEnd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:rsidR="001E4E7F" w:rsidRPr="00324AA7" w:rsidRDefault="001E4E7F" w:rsidP="001E4E7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324AA7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="001B4D7D" w:rsidRPr="00324AA7">
        <w:rPr>
          <w:rFonts w:ascii="Arial" w:hAnsi="Arial" w:cs="Arial"/>
          <w:sz w:val="24"/>
          <w:szCs w:val="24"/>
        </w:rPr>
        <w:t xml:space="preserve"> %</w:t>
      </w:r>
      <w:r w:rsidRPr="00324AA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24AA7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E4E7F" w:rsidRPr="00324AA7" w:rsidRDefault="001E4E7F" w:rsidP="001E4E7F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E4E7F" w:rsidRPr="00324AA7" w:rsidRDefault="001E4E7F" w:rsidP="001E4E7F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Pr="00324AA7">
        <w:rPr>
          <w:rFonts w:ascii="Arial" w:hAnsi="Arial" w:cs="Arial"/>
          <w:sz w:val="24"/>
          <w:szCs w:val="24"/>
        </w:rPr>
        <w:t>Finanční vyúčtování dotace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324A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324AA7">
          <w:rPr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324AA7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hAnsi="Arial" w:cs="Arial"/>
          <w:iCs/>
          <w:sz w:val="24"/>
          <w:szCs w:val="24"/>
        </w:rPr>
        <w:t xml:space="preserve">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24AA7">
        <w:rPr>
          <w:rFonts w:ascii="Arial" w:hAnsi="Arial" w:cs="Arial"/>
          <w:sz w:val="24"/>
          <w:szCs w:val="24"/>
        </w:rPr>
        <w:t>příjmy uvedené v odst. 11.24</w:t>
      </w:r>
      <w:r w:rsidR="00C24F87">
        <w:rPr>
          <w:rFonts w:ascii="Arial" w:hAnsi="Arial" w:cs="Arial"/>
          <w:sz w:val="24"/>
          <w:szCs w:val="24"/>
        </w:rPr>
        <w:t>.</w:t>
      </w:r>
      <w:r w:rsidRPr="00324AA7">
        <w:rPr>
          <w:rFonts w:ascii="Arial" w:hAnsi="Arial" w:cs="Arial"/>
          <w:sz w:val="24"/>
          <w:szCs w:val="24"/>
        </w:rPr>
        <w:t xml:space="preserve"> Pravidel.</w:t>
      </w:r>
    </w:p>
    <w:p w:rsidR="001E4E7F" w:rsidRPr="00324AA7" w:rsidRDefault="001E4E7F" w:rsidP="001E4E7F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dotace“. Soupis výdajů dle tohoto ustanovení doloží příjemce čestným prohlášením, že celkové skutečně vynaložené výdaje uvedené v soupisu jsou pravdivé a úplné.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E949E9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1E4E7F" w:rsidRPr="00324AA7" w:rsidRDefault="001E4E7F" w:rsidP="001E4E7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B4D7D"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1B4D7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24AA7">
        <w:rPr>
          <w:rFonts w:ascii="Arial" w:hAnsi="Arial" w:cs="Arial"/>
          <w:sz w:val="24"/>
          <w:szCs w:val="24"/>
        </w:rPr>
        <w:t xml:space="preserve">být v listinné formě a musí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hAnsi="Arial" w:cs="Arial"/>
          <w:sz w:val="24"/>
          <w:szCs w:val="24"/>
        </w:rPr>
        <w:t xml:space="preserve">popis využití </w:t>
      </w:r>
      <w:r w:rsidRPr="00324AA7">
        <w:rPr>
          <w:rFonts w:ascii="Arial" w:hAnsi="Arial" w:cs="Arial"/>
          <w:sz w:val="24"/>
          <w:szCs w:val="24"/>
        </w:rPr>
        <w:lastRenderedPageBreak/>
        <w:t>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324A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324AA7">
        <w:rPr>
          <w:rFonts w:ascii="Arial" w:hAnsi="Arial" w:cs="Arial"/>
          <w:sz w:val="24"/>
          <w:szCs w:val="24"/>
        </w:rPr>
        <w:t xml:space="preserve">fotodokumentaci z průběhu realizace akce </w:t>
      </w:r>
      <w:r w:rsidR="0047046E" w:rsidRPr="00324AA7">
        <w:rPr>
          <w:rFonts w:ascii="Arial" w:hAnsi="Arial" w:cs="Arial"/>
          <w:sz w:val="24"/>
          <w:szCs w:val="24"/>
        </w:rPr>
        <w:t xml:space="preserve">(2ks fotografií) </w:t>
      </w:r>
      <w:r w:rsidRPr="00324AA7">
        <w:rPr>
          <w:rFonts w:ascii="Arial" w:hAnsi="Arial" w:cs="Arial"/>
          <w:sz w:val="24"/>
          <w:szCs w:val="24"/>
        </w:rPr>
        <w:t xml:space="preserve">a </w:t>
      </w:r>
      <w:r w:rsidRPr="00324AA7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24AA7" w:rsidRPr="00324AA7" w:rsidTr="0021311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1E4E7F" w:rsidRPr="00324AA7" w:rsidRDefault="001E4E7F" w:rsidP="0021311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24AA7" w:rsidRPr="00324AA7" w:rsidTr="0021311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E4E7F" w:rsidRPr="00324AA7" w:rsidTr="0021311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7F" w:rsidRPr="00324AA7" w:rsidRDefault="001E4E7F" w:rsidP="0021311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324AA7">
        <w:rPr>
          <w:rFonts w:ascii="Arial" w:hAnsi="Arial" w:cs="Arial"/>
          <w:sz w:val="24"/>
          <w:szCs w:val="24"/>
        </w:rPr>
        <w:t>27–4228330207/0100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24AA7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324AA7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:rsidR="001E4E7F" w:rsidRPr="00324AA7" w:rsidRDefault="001E4E7F" w:rsidP="001E4E7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FE011A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FE011A" w:rsidRPr="00324AA7">
        <w:rPr>
          <w:rFonts w:ascii="Arial" w:hAnsi="Arial" w:cs="Arial"/>
          <w:sz w:val="24"/>
          <w:szCs w:val="24"/>
        </w:rPr>
        <w:t>nesmí majetek pořízený z dotace, nebo jeho části, po dobu jeho životnosti, minimálně však po dobu 5 let, převést na jinou osobu bez předchozího písemného souhlasu poskytovatele (schválení a uzavření dodatku k této Smlouvě).</w:t>
      </w:r>
    </w:p>
    <w:p w:rsidR="001E4E7F" w:rsidRPr="00324AA7" w:rsidRDefault="001E4E7F" w:rsidP="001E4E7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324AA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akce, a to po dobu její realizace</w:t>
      </w:r>
      <w:r w:rsidRPr="00324A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dvě fotografie dokladující propagaci poskytovatele na viditelném veřejně přístupném místě) musí být poskytovateli příjemcem předložena společně se závěrečnou zprávou.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1E4E7F" w:rsidRPr="00324AA7" w:rsidRDefault="001E4E7F" w:rsidP="001E4E7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</w:t>
      </w:r>
      <w:proofErr w:type="gramEnd"/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12.5. 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24F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24AA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24A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1E4E7F" w:rsidRPr="00324AA7" w:rsidRDefault="001E4E7F" w:rsidP="001E4E7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1E4E7F" w:rsidRPr="00324AA7" w:rsidRDefault="001E4E7F" w:rsidP="001E4E7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:rsidR="001E4E7F" w:rsidRPr="00324AA7" w:rsidRDefault="001E4E7F" w:rsidP="001E4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24AA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………</w:t>
      </w:r>
      <w:proofErr w:type="gramStart"/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.. 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ze dne .........</w:t>
      </w:r>
      <w:r w:rsidR="00B37D8D" w:rsidRPr="00324AA7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E4E7F" w:rsidRPr="00324AA7" w:rsidRDefault="001E4E7F" w:rsidP="001E4E7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:rsidR="00B37D8D" w:rsidRPr="00324AA7" w:rsidRDefault="00B37D8D" w:rsidP="00B37D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4E7F" w:rsidRPr="00324AA7" w:rsidRDefault="001E4E7F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324AA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24AA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324AA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:rsidR="00B37D8D" w:rsidRPr="00324AA7" w:rsidRDefault="00B37D8D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7D8D" w:rsidRPr="00324AA7" w:rsidRDefault="00B37D8D" w:rsidP="001E4E7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24AA7" w:rsidRPr="00324AA7" w:rsidTr="0021311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4E7F" w:rsidRPr="00324AA7" w:rsidRDefault="001E4E7F" w:rsidP="0021311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E4E7F" w:rsidRPr="00324AA7" w:rsidTr="0021311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E7F" w:rsidRPr="00324AA7" w:rsidRDefault="001E4E7F" w:rsidP="0021311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:rsidR="001E4E7F" w:rsidRPr="00324AA7" w:rsidRDefault="001E4E7F" w:rsidP="0021311B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:rsidR="001E4E7F" w:rsidRPr="00324AA7" w:rsidRDefault="001E4E7F" w:rsidP="0021311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4E7F" w:rsidRPr="00324AA7" w:rsidRDefault="001E4E7F" w:rsidP="0021311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4A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1E4E7F" w:rsidRPr="00324AA7" w:rsidRDefault="001E4E7F" w:rsidP="00B37D8D">
      <w:pPr>
        <w:ind w:left="0" w:firstLine="0"/>
        <w:rPr>
          <w:rFonts w:ascii="Arial" w:hAnsi="Arial" w:cs="Arial"/>
          <w:bCs/>
        </w:rPr>
      </w:pPr>
    </w:p>
    <w:sectPr w:rsidR="001E4E7F" w:rsidRPr="00324AA7" w:rsidSect="000934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4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36" w:rsidRDefault="00C3788F">
      <w:r>
        <w:separator/>
      </w:r>
    </w:p>
  </w:endnote>
  <w:endnote w:type="continuationSeparator" w:id="0">
    <w:p w:rsidR="00336536" w:rsidRDefault="00C3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BE" w:rsidRPr="005720E6" w:rsidRDefault="005B69FD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7609BE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609BE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609BE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52DC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7609BE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975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0934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:rsidR="007609BE" w:rsidRDefault="00052DC4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49. 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7609B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7609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:rsidR="007609BE" w:rsidRPr="006D03C3" w:rsidRDefault="007609BE" w:rsidP="007609B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5.2.1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 právnickým osobám</w:t>
    </w:r>
  </w:p>
  <w:p w:rsidR="006440CC" w:rsidRPr="007609BE" w:rsidRDefault="00052DC4" w:rsidP="00760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CC" w:rsidRPr="009344EE" w:rsidRDefault="00A801FF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EE3EB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:rsidR="006440CC" w:rsidRPr="009344EE" w:rsidRDefault="00A801FF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:rsidR="006440CC" w:rsidRPr="009344EE" w:rsidRDefault="00A801FF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36" w:rsidRDefault="00C3788F">
      <w:r>
        <w:separator/>
      </w:r>
    </w:p>
  </w:footnote>
  <w:footnote w:type="continuationSeparator" w:id="0">
    <w:p w:rsidR="00336536" w:rsidRDefault="00C3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BC" w:rsidRDefault="00EE3EBC" w:rsidP="00EE3EBC">
    <w:pPr>
      <w:pStyle w:val="Zhlav"/>
      <w:rPr>
        <w:i/>
        <w:iCs/>
      </w:rPr>
    </w:pPr>
    <w:r w:rsidRPr="001C237F">
      <w:rPr>
        <w:i/>
        <w:iCs/>
      </w:rPr>
      <w:t xml:space="preserve">Příloha č. </w:t>
    </w:r>
    <w:r>
      <w:rPr>
        <w:i/>
        <w:iCs/>
      </w:rPr>
      <w:t>5</w:t>
    </w:r>
    <w:r w:rsidRPr="001C237F">
      <w:rPr>
        <w:i/>
        <w:iCs/>
      </w:rPr>
      <w:t>.</w:t>
    </w:r>
    <w:r>
      <w:rPr>
        <w:i/>
        <w:iCs/>
      </w:rPr>
      <w:t>2</w:t>
    </w:r>
    <w:r w:rsidRPr="001C237F">
      <w:rPr>
        <w:i/>
        <w:iCs/>
      </w:rPr>
      <w:t>.</w:t>
    </w:r>
    <w:r>
      <w:rPr>
        <w:i/>
        <w:iCs/>
      </w:rPr>
      <w:t>1</w:t>
    </w:r>
    <w:r w:rsidRPr="001C237F">
      <w:rPr>
        <w:i/>
        <w:iCs/>
      </w:rPr>
      <w:t xml:space="preserve"> – Vzorová veřejnoprávní smlouva o poskytnutí dotace na </w:t>
    </w:r>
    <w:r>
      <w:rPr>
        <w:i/>
        <w:iCs/>
      </w:rPr>
      <w:t>akci</w:t>
    </w:r>
    <w:r w:rsidRPr="001C237F">
      <w:rPr>
        <w:i/>
        <w:iCs/>
      </w:rPr>
      <w:t xml:space="preserve"> právnickým </w:t>
    </w:r>
    <w:r>
      <w:rPr>
        <w:i/>
        <w:iCs/>
      </w:rPr>
      <w:t xml:space="preserve">   </w:t>
    </w:r>
  </w:p>
  <w:p w:rsidR="00EE3EBC" w:rsidRPr="001C237F" w:rsidRDefault="00EE3EBC" w:rsidP="00EE3EBC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 xml:space="preserve">osobám </w:t>
    </w:r>
  </w:p>
  <w:p w:rsidR="00EE3EBC" w:rsidRDefault="00EE3EBC" w:rsidP="00EE3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CC" w:rsidRPr="006122C6" w:rsidRDefault="00EE3EBC">
    <w:pPr>
      <w:pStyle w:val="Zhlav"/>
      <w:rPr>
        <w:strike/>
      </w:rPr>
    </w:pPr>
    <w:r>
      <w:rPr>
        <w:rFonts w:ascii="Arial" w:hAnsi="Arial" w:cs="Arial"/>
        <w:b/>
        <w:bCs/>
        <w:i/>
        <w:iCs/>
        <w:strike/>
        <w:sz w:val="24"/>
        <w:szCs w:val="24"/>
      </w:rPr>
      <w:t xml:space="preserve">Příloha č. 5.2.1. – Vzorová veřejnoprávní smlouva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F"/>
    <w:rsid w:val="00052DC4"/>
    <w:rsid w:val="00093404"/>
    <w:rsid w:val="001B4D7D"/>
    <w:rsid w:val="001E4E7F"/>
    <w:rsid w:val="001F36A3"/>
    <w:rsid w:val="00324AA7"/>
    <w:rsid w:val="00336536"/>
    <w:rsid w:val="0047046E"/>
    <w:rsid w:val="0053618A"/>
    <w:rsid w:val="005751C5"/>
    <w:rsid w:val="00597542"/>
    <w:rsid w:val="005B69FD"/>
    <w:rsid w:val="007609BE"/>
    <w:rsid w:val="00A801FF"/>
    <w:rsid w:val="00AD535B"/>
    <w:rsid w:val="00B37D8D"/>
    <w:rsid w:val="00BB1EFE"/>
    <w:rsid w:val="00BD746A"/>
    <w:rsid w:val="00C24F87"/>
    <w:rsid w:val="00C3788F"/>
    <w:rsid w:val="00D10E45"/>
    <w:rsid w:val="00E949E9"/>
    <w:rsid w:val="00EE3EBC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1B9C59"/>
  <w15:chartTrackingRefBased/>
  <w15:docId w15:val="{9C4863E6-C8DC-43F7-8D9C-3B00E69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E7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E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E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4E7F"/>
  </w:style>
  <w:style w:type="paragraph" w:styleId="Zpat">
    <w:name w:val="footer"/>
    <w:basedOn w:val="Normln"/>
    <w:link w:val="ZpatChar"/>
    <w:uiPriority w:val="99"/>
    <w:unhideWhenUsed/>
    <w:rsid w:val="001E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-olomoucky.cz/vyuctovani-dotace-cl-465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3052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19</cp:revision>
  <dcterms:created xsi:type="dcterms:W3CDTF">2019-10-31T11:21:00Z</dcterms:created>
  <dcterms:modified xsi:type="dcterms:W3CDTF">2019-11-26T06:36:00Z</dcterms:modified>
</cp:coreProperties>
</file>