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F9" w:rsidRPr="00176AF9" w:rsidRDefault="00176AF9" w:rsidP="00176AF9">
      <w:pPr>
        <w:pStyle w:val="Radadvodovzprva"/>
        <w:spacing w:after="240"/>
        <w:rPr>
          <w:sz w:val="24"/>
          <w:szCs w:val="24"/>
        </w:rPr>
      </w:pPr>
      <w:r w:rsidRPr="00176AF9">
        <w:rPr>
          <w:sz w:val="24"/>
          <w:szCs w:val="24"/>
        </w:rPr>
        <w:t>Důvodová zpráva:</w:t>
      </w:r>
    </w:p>
    <w:p w:rsidR="00176AF9" w:rsidRPr="00176AF9" w:rsidRDefault="00176AF9" w:rsidP="00176AF9">
      <w:pPr>
        <w:pStyle w:val="Radadvodovzprva"/>
        <w:spacing w:after="120"/>
        <w:rPr>
          <w:b w:val="0"/>
          <w:sz w:val="24"/>
          <w:szCs w:val="24"/>
        </w:rPr>
      </w:pPr>
      <w:r w:rsidRPr="00176AF9">
        <w:rPr>
          <w:b w:val="0"/>
          <w:sz w:val="24"/>
          <w:szCs w:val="24"/>
        </w:rPr>
        <w:t>Regionální funkce knihoven upravuje zákon č. 257/2001 Sb., o knihovnách a podmínkách provozování veřejných knihovnických a informačních služeb (knihovní zákon), ve znění pozdějších předpisů. Tato činnost představuje poradenské, vzdělávací a koordinační služby, budování výměnných fondů, jejich správu a půjčování, výkon dalších nezbytných činností napomáhajících rozvoji knihoven a jejich veřejných knihovnických a informačních služeb (statistika knihovnických činností, poradenská a konzultační činnost, vzdělávací akce pro knihovníky, pomoc při revizi knihovního fondu, servis automatizovaného knihovního systému apod.). V souladu s </w:t>
      </w:r>
      <w:proofErr w:type="spellStart"/>
      <w:r w:rsidRPr="00176AF9">
        <w:rPr>
          <w:b w:val="0"/>
          <w:sz w:val="24"/>
          <w:szCs w:val="24"/>
        </w:rPr>
        <w:t>ust</w:t>
      </w:r>
      <w:proofErr w:type="spellEnd"/>
      <w:r w:rsidRPr="00176AF9">
        <w:rPr>
          <w:b w:val="0"/>
          <w:sz w:val="24"/>
          <w:szCs w:val="24"/>
        </w:rPr>
        <w:t>. § 11 odst. 3 knihovního zákona plní a koordinuje plnění regionálních funkcí příslušná krajská knihovna.</w:t>
      </w:r>
    </w:p>
    <w:p w:rsidR="00176AF9" w:rsidRPr="00176AF9" w:rsidRDefault="00176AF9" w:rsidP="00176AF9">
      <w:pPr>
        <w:pStyle w:val="Radadvodovzprva"/>
        <w:spacing w:after="120"/>
        <w:rPr>
          <w:b w:val="0"/>
          <w:sz w:val="24"/>
          <w:szCs w:val="24"/>
        </w:rPr>
      </w:pPr>
      <w:r w:rsidRPr="00176AF9">
        <w:rPr>
          <w:b w:val="0"/>
          <w:sz w:val="24"/>
          <w:szCs w:val="24"/>
        </w:rPr>
        <w:t>V Olomouckém kraji plní a koordinuje regionální funkce Vědecká knihovna v Olomouci (dále jen „VKOL“), která je příspěvkovou organizací zřizovanou Olomouckým krajem. V souladu s knihovním zákonem je zákonnou povinností kraje zajišťovat regionální funkce z peněžních prostředků svého rozpočtu. Z uvedeného důvodu je poskytnutí těchto dotací vyjmuto z režimu dotačních programů i režimu dotací na základě individuálních žádostí.</w:t>
      </w:r>
    </w:p>
    <w:p w:rsidR="00176AF9" w:rsidRPr="00176AF9" w:rsidRDefault="00176AF9" w:rsidP="00176AF9">
      <w:pPr>
        <w:pStyle w:val="Radadvodovzprva"/>
        <w:spacing w:after="120"/>
        <w:rPr>
          <w:b w:val="0"/>
          <w:sz w:val="24"/>
          <w:szCs w:val="24"/>
        </w:rPr>
      </w:pPr>
      <w:r w:rsidRPr="00176AF9">
        <w:rPr>
          <w:b w:val="0"/>
          <w:sz w:val="24"/>
          <w:szCs w:val="24"/>
        </w:rPr>
        <w:t xml:space="preserve">VKOL uzavírá s vybranými pověřenými knihovnami v kraji smlouvu o přenesení regionálních funkcí. Smlouva musí mít písemnou formu. Regionální funkce v Olomouckém kraji vykonávají </w:t>
      </w:r>
      <w:r w:rsidRPr="00176AF9">
        <w:rPr>
          <w:rFonts w:cs="Arial"/>
          <w:b w:val="0"/>
          <w:sz w:val="24"/>
          <w:szCs w:val="24"/>
        </w:rPr>
        <w:t xml:space="preserve">Knihovna města Olomouce, p. o., Městská knihovna v Přerově, p. o., Městská knihovna Prostějov, p. o., Městská knihovna T. G. Masaryka Šumperk, p. o., Městská kulturní zařízení Jeseník, p. o., Městská kulturní zařízení Hranice, p. o. a  Městská knihovna Lipník nad Bečvou, p. o. (dále jen „pověřené knihovny“). </w:t>
      </w:r>
      <w:r w:rsidRPr="00176AF9">
        <w:rPr>
          <w:b w:val="0"/>
          <w:sz w:val="24"/>
          <w:szCs w:val="24"/>
        </w:rPr>
        <w:t>Prostřednictvím pověřených knihoven bude zajišťována metodická a organizační pomoc a další odborné činnosti pro 479 základních knihoven, které jsou v Olomouckém kraji zřizovány městy a obcemi.</w:t>
      </w:r>
    </w:p>
    <w:p w:rsidR="00176AF9" w:rsidRPr="00176AF9" w:rsidRDefault="00176AF9" w:rsidP="00176AF9">
      <w:pPr>
        <w:pStyle w:val="Radadvodovzprva"/>
        <w:spacing w:after="120"/>
        <w:rPr>
          <w:b w:val="0"/>
          <w:sz w:val="24"/>
          <w:szCs w:val="24"/>
        </w:rPr>
      </w:pPr>
      <w:r w:rsidRPr="00176AF9">
        <w:rPr>
          <w:b w:val="0"/>
          <w:sz w:val="24"/>
          <w:szCs w:val="24"/>
        </w:rPr>
        <w:t>V návrhu rozpočtu Olomouckého kraje na rok 2020 je pro financování výkonu regionálních funkcí vyčleněna částka 11 930 000 Kč.</w:t>
      </w:r>
    </w:p>
    <w:p w:rsidR="00176AF9" w:rsidRPr="00176AF9" w:rsidRDefault="00176AF9" w:rsidP="00176AF9">
      <w:pPr>
        <w:pStyle w:val="Radadvodovzprva"/>
        <w:spacing w:after="120"/>
        <w:rPr>
          <w:rFonts w:cs="Arial"/>
          <w:color w:val="FF0000"/>
        </w:rPr>
      </w:pPr>
      <w:r w:rsidRPr="00176AF9">
        <w:rPr>
          <w:b w:val="0"/>
          <w:sz w:val="24"/>
          <w:szCs w:val="24"/>
        </w:rPr>
        <w:t xml:space="preserve">S pověřenými knihovnami uzavře Olomoucký kraj veřejnoprávní smlouvu o poskytnutí dotace (návrh smlouvy v Příloze č. 1). Kritéria propočtu výše ročního příspěvku pro jednotlivé pověřené knihovny jsou použita v souladu s obecně přijatým doporučením dle Metodického pokynu k zajištění výkonu regionálních funkcí knihoven a jejich koordinaci na území České republiky vydaného Ministerstvem kultury České republiky v  roce 2014. Z částky, která představuje 55 % určených finančních prostředků, se stanoví průměrná částka připadající na jednoho obyvatele kraje. Ze zbývající části 45 % se 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V souladu s rozpočtovými pravidly bude úhrada finančních prostředků realizována prostřednictvím bankovního účtu zřizovatele knihovny. </w:t>
      </w:r>
    </w:p>
    <w:p w:rsidR="00176AF9" w:rsidRPr="00176AF9" w:rsidRDefault="00176AF9" w:rsidP="00176AF9">
      <w:pPr>
        <w:pStyle w:val="Radadvodovzprva"/>
        <w:spacing w:after="120"/>
        <w:rPr>
          <w:b w:val="0"/>
          <w:sz w:val="24"/>
          <w:szCs w:val="24"/>
        </w:rPr>
      </w:pPr>
      <w:r w:rsidRPr="00176AF9">
        <w:rPr>
          <w:b w:val="0"/>
          <w:sz w:val="24"/>
          <w:szCs w:val="24"/>
        </w:rPr>
        <w:t>Za den poskytnutí dotace se pro účely této smlouvy považuje den odepsání finančních prostředků z účtu poskytovatele ve prospěch účtu příjemce.</w:t>
      </w:r>
    </w:p>
    <w:p w:rsidR="00176AF9" w:rsidRPr="00176AF9" w:rsidRDefault="00176AF9" w:rsidP="00176AF9">
      <w:pPr>
        <w:pStyle w:val="Radadvodovzprva"/>
        <w:spacing w:after="120"/>
        <w:rPr>
          <w:b w:val="0"/>
          <w:sz w:val="24"/>
          <w:szCs w:val="24"/>
        </w:rPr>
      </w:pPr>
      <w:r w:rsidRPr="00176AF9">
        <w:rPr>
          <w:b w:val="0"/>
          <w:sz w:val="24"/>
          <w:szCs w:val="24"/>
        </w:rPr>
        <w:t>Konečným příjemcem účelových finančních prostř</w:t>
      </w:r>
      <w:bookmarkStart w:id="0" w:name="_GoBack"/>
      <w:bookmarkEnd w:id="0"/>
      <w:r w:rsidRPr="00176AF9">
        <w:rPr>
          <w:b w:val="0"/>
          <w:sz w:val="24"/>
          <w:szCs w:val="24"/>
        </w:rPr>
        <w:t xml:space="preserve">edků je pověřená knihovna.  </w:t>
      </w:r>
    </w:p>
    <w:p w:rsidR="00176AF9" w:rsidRPr="00176AF9" w:rsidRDefault="00176AF9" w:rsidP="00176AF9">
      <w:pPr>
        <w:pStyle w:val="Radadvodovzprva"/>
        <w:spacing w:after="240"/>
        <w:rPr>
          <w:b w:val="0"/>
          <w:color w:val="1F497D"/>
          <w:sz w:val="24"/>
          <w:szCs w:val="24"/>
        </w:rPr>
      </w:pPr>
      <w:r w:rsidRPr="00176AF9">
        <w:rPr>
          <w:b w:val="0"/>
          <w:sz w:val="24"/>
          <w:szCs w:val="24"/>
        </w:rPr>
        <w:t xml:space="preserve">VKOL budou na zajištění regionálních funkcí poskytnuty účelové finanční prostředky ve </w:t>
      </w:r>
      <w:r w:rsidRPr="00176AF9">
        <w:rPr>
          <w:b w:val="0"/>
          <w:sz w:val="24"/>
          <w:szCs w:val="24"/>
        </w:rPr>
        <w:lastRenderedPageBreak/>
        <w:t xml:space="preserve">výši  1 248 000 Kč. Jedná se o výkon standardních služeb na krajské úrovni, jako např. vzdělávání knihovníků, porady a konzultace, rozbory, statistika a komplexní metodika v přímé vazbě na Národní knihovnu Praha, která je ze zákona pověřena celostátní koordinací regionálních funkcí. Mezi pověřené knihovny bude rozdělena částka ve výši 10 682 000 Kč. </w:t>
      </w:r>
    </w:p>
    <w:p w:rsidR="00176AF9" w:rsidRPr="00176AF9" w:rsidRDefault="00176AF9" w:rsidP="00176AF9">
      <w:pPr>
        <w:pStyle w:val="Radadvodovzprva"/>
        <w:spacing w:after="240"/>
        <w:rPr>
          <w:b w:val="0"/>
          <w:sz w:val="24"/>
          <w:szCs w:val="24"/>
        </w:rPr>
      </w:pPr>
      <w:r w:rsidRPr="00176AF9">
        <w:rPr>
          <w:b w:val="0"/>
          <w:sz w:val="24"/>
          <w:szCs w:val="24"/>
        </w:rPr>
        <w:t>Vyčleněná částka z rozpočtu Olomouckého kraje ve výši 11 930 000 Kč se navrhuje rozdělit podle daných kritérií takto: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835"/>
        <w:gridCol w:w="1984"/>
      </w:tblGrid>
      <w:tr w:rsidR="00176AF9" w:rsidRPr="004504FF" w:rsidTr="0061231B">
        <w:tc>
          <w:tcPr>
            <w:tcW w:w="4503" w:type="dxa"/>
            <w:shd w:val="clear" w:color="auto" w:fill="CBCBCB"/>
            <w:vAlign w:val="bottom"/>
          </w:tcPr>
          <w:p w:rsidR="00176AF9" w:rsidRPr="004504FF" w:rsidRDefault="00176AF9" w:rsidP="0061231B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Příjemce</w:t>
            </w:r>
          </w:p>
        </w:tc>
        <w:tc>
          <w:tcPr>
            <w:tcW w:w="2835" w:type="dxa"/>
            <w:shd w:val="clear" w:color="auto" w:fill="CBCBCB"/>
            <w:vAlign w:val="center"/>
          </w:tcPr>
          <w:p w:rsidR="00176AF9" w:rsidRPr="004504FF" w:rsidRDefault="00176AF9" w:rsidP="0061231B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zřizovatel</w:t>
            </w:r>
          </w:p>
        </w:tc>
        <w:tc>
          <w:tcPr>
            <w:tcW w:w="1984" w:type="dxa"/>
            <w:shd w:val="clear" w:color="auto" w:fill="CBCBCB"/>
          </w:tcPr>
          <w:p w:rsidR="00176AF9" w:rsidRPr="004504FF" w:rsidRDefault="00176AF9" w:rsidP="0061231B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Kč</w:t>
            </w:r>
          </w:p>
        </w:tc>
      </w:tr>
      <w:tr w:rsidR="00176AF9" w:rsidRPr="004504FF" w:rsidTr="0061231B">
        <w:tc>
          <w:tcPr>
            <w:tcW w:w="4503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Knihovna města Olomouce, p. o.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2 858 894</w:t>
            </w:r>
          </w:p>
        </w:tc>
      </w:tr>
      <w:tr w:rsidR="00176AF9" w:rsidRPr="004504FF" w:rsidTr="0061231B">
        <w:tc>
          <w:tcPr>
            <w:tcW w:w="4503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v Přerově, p. o.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1 314 702</w:t>
            </w:r>
          </w:p>
        </w:tc>
      </w:tr>
      <w:tr w:rsidR="00176AF9" w:rsidRPr="004504FF" w:rsidTr="0061231B">
        <w:tc>
          <w:tcPr>
            <w:tcW w:w="4503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Prostějov, p. o.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2 305 975</w:t>
            </w:r>
          </w:p>
        </w:tc>
      </w:tr>
      <w:tr w:rsidR="00176AF9" w:rsidRPr="004504FF" w:rsidTr="0061231B">
        <w:tc>
          <w:tcPr>
            <w:tcW w:w="4503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</w:t>
            </w:r>
            <w:r w:rsidRPr="002203AF">
              <w:rPr>
                <w:sz w:val="24"/>
                <w:szCs w:val="24"/>
              </w:rPr>
              <w:t xml:space="preserve">T. G. Masaryka </w:t>
            </w:r>
            <w:r w:rsidRPr="004504FF">
              <w:rPr>
                <w:sz w:val="24"/>
                <w:szCs w:val="24"/>
              </w:rPr>
              <w:t>Šumperk, p. o.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Šumperk</w:t>
            </w: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2 248 401</w:t>
            </w:r>
          </w:p>
        </w:tc>
      </w:tr>
      <w:tr w:rsidR="00176AF9" w:rsidRPr="004504FF" w:rsidTr="0061231B">
        <w:tc>
          <w:tcPr>
            <w:tcW w:w="4503" w:type="dxa"/>
            <w:vAlign w:val="bottom"/>
          </w:tcPr>
          <w:p w:rsidR="00176AF9" w:rsidRPr="004504FF" w:rsidRDefault="00176AF9" w:rsidP="0061231B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Jeseník, p. o.                  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Jeseník</w:t>
            </w: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661 629</w:t>
            </w:r>
          </w:p>
        </w:tc>
      </w:tr>
      <w:tr w:rsidR="00176AF9" w:rsidRPr="004504FF" w:rsidTr="0061231B">
        <w:tc>
          <w:tcPr>
            <w:tcW w:w="4503" w:type="dxa"/>
            <w:vAlign w:val="bottom"/>
          </w:tcPr>
          <w:p w:rsidR="00176AF9" w:rsidRPr="004504FF" w:rsidRDefault="00176AF9" w:rsidP="0061231B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Hranice, p. o.                              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Hranice</w:t>
            </w: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715 739</w:t>
            </w:r>
          </w:p>
        </w:tc>
      </w:tr>
      <w:tr w:rsidR="00176AF9" w:rsidRPr="004504FF" w:rsidTr="0061231B">
        <w:tc>
          <w:tcPr>
            <w:tcW w:w="4503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Lipník nad B., p. o.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576 660</w:t>
            </w:r>
          </w:p>
        </w:tc>
      </w:tr>
      <w:tr w:rsidR="00176AF9" w:rsidRPr="004504FF" w:rsidTr="0061231B">
        <w:tc>
          <w:tcPr>
            <w:tcW w:w="4503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10 682 000</w:t>
            </w:r>
          </w:p>
        </w:tc>
      </w:tr>
      <w:tr w:rsidR="00176AF9" w:rsidRPr="004504FF" w:rsidTr="0061231B">
        <w:tc>
          <w:tcPr>
            <w:tcW w:w="4503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  1 248 000</w:t>
            </w:r>
          </w:p>
        </w:tc>
      </w:tr>
      <w:tr w:rsidR="00176AF9" w:rsidTr="0061231B">
        <w:tc>
          <w:tcPr>
            <w:tcW w:w="4503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835" w:type="dxa"/>
            <w:vAlign w:val="center"/>
          </w:tcPr>
          <w:p w:rsidR="00176AF9" w:rsidRPr="004504FF" w:rsidRDefault="00176AF9" w:rsidP="0061231B">
            <w:pPr>
              <w:pStyle w:val="Tabulkazkladntex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6AF9" w:rsidRPr="004504FF" w:rsidRDefault="00176AF9" w:rsidP="0061231B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11 930 000</w:t>
            </w:r>
          </w:p>
        </w:tc>
      </w:tr>
    </w:tbl>
    <w:p w:rsidR="00176AF9" w:rsidRDefault="00176AF9" w:rsidP="00176AF9">
      <w:pPr>
        <w:pStyle w:val="Radadvodovzprva"/>
        <w:spacing w:before="240"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Poskytovatel ve smlouvě navrhuje použití účelových finančních prostředků </w:t>
      </w:r>
      <w:r>
        <w:rPr>
          <w:sz w:val="24"/>
          <w:szCs w:val="24"/>
        </w:rPr>
        <w:t>do 31. 12. 2020</w:t>
      </w:r>
      <w:r>
        <w:rPr>
          <w:b w:val="0"/>
          <w:sz w:val="24"/>
          <w:szCs w:val="24"/>
        </w:rPr>
        <w:t xml:space="preserve"> a vyúčtování účelových finančních prostředků </w:t>
      </w:r>
      <w:r>
        <w:rPr>
          <w:sz w:val="24"/>
          <w:szCs w:val="24"/>
        </w:rPr>
        <w:t>do 31. 1. 2021</w:t>
      </w:r>
      <w:r>
        <w:rPr>
          <w:b w:val="0"/>
          <w:sz w:val="24"/>
          <w:szCs w:val="24"/>
        </w:rPr>
        <w:t xml:space="preserve">. Pověřené knihovny předloží VKOL </w:t>
      </w:r>
      <w:r w:rsidRPr="00C718CC">
        <w:rPr>
          <w:b w:val="0"/>
          <w:sz w:val="24"/>
          <w:szCs w:val="24"/>
        </w:rPr>
        <w:t>1x</w:t>
      </w:r>
      <w:r>
        <w:rPr>
          <w:b w:val="0"/>
          <w:sz w:val="24"/>
          <w:szCs w:val="24"/>
        </w:rPr>
        <w:t xml:space="preserve"> ročně odbornou zprávu plnění regionálních funkcí, jejíž jedno vyhotovení obdrží také Odbor sportu, kultury </w:t>
      </w:r>
      <w:r>
        <w:rPr>
          <w:b w:val="0"/>
          <w:sz w:val="24"/>
          <w:szCs w:val="24"/>
        </w:rPr>
        <w:br/>
        <w:t>a památkové péče KÚOK. Kontrolu bude zajišťovat po skončení smluvního období oddělení kultury Odboru sportu, kultury a památkové péče KÚOK ve spolupráci s Odborem kontroly KÚOK.</w:t>
      </w:r>
    </w:p>
    <w:p w:rsidR="00176AF9" w:rsidRDefault="00176AF9" w:rsidP="00176AF9">
      <w:pPr>
        <w:pStyle w:val="Radadvodovzprva"/>
        <w:spacing w:before="240" w:after="240"/>
        <w:rPr>
          <w:sz w:val="24"/>
          <w:szCs w:val="24"/>
        </w:rPr>
      </w:pPr>
    </w:p>
    <w:p w:rsidR="00176AF9" w:rsidRDefault="00880CBC" w:rsidP="00176AF9">
      <w:pPr>
        <w:pStyle w:val="Radadvodovzprva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Rada Olomouckého kraje doporučuje Zastupitelstvu Olomouckého kraje</w:t>
      </w:r>
      <w:r w:rsidR="00176AF9">
        <w:rPr>
          <w:sz w:val="24"/>
          <w:szCs w:val="24"/>
        </w:rPr>
        <w:t>:</w:t>
      </w:r>
    </w:p>
    <w:p w:rsidR="00176AF9" w:rsidRPr="004504FF" w:rsidRDefault="00176AF9" w:rsidP="00176AF9">
      <w:pPr>
        <w:pStyle w:val="Normal"/>
        <w:numPr>
          <w:ilvl w:val="0"/>
          <w:numId w:val="3"/>
        </w:numPr>
        <w:tabs>
          <w:tab w:val="left" w:pos="426"/>
        </w:tabs>
        <w:spacing w:after="119"/>
        <w:ind w:left="426" w:hanging="426"/>
        <w:jc w:val="both"/>
        <w:rPr>
          <w:rFonts w:eastAsia="Calibri"/>
          <w:lang w:eastAsia="en-US"/>
        </w:rPr>
      </w:pPr>
      <w:r w:rsidRPr="004504FF">
        <w:rPr>
          <w:b/>
          <w:spacing w:val="70"/>
        </w:rPr>
        <w:t>vzít na vědomí</w:t>
      </w:r>
      <w:r>
        <w:t xml:space="preserve"> důvodovou zprávu,</w:t>
      </w:r>
    </w:p>
    <w:p w:rsidR="00176AF9" w:rsidRPr="004504FF" w:rsidRDefault="00880CBC" w:rsidP="00176AF9">
      <w:pPr>
        <w:pStyle w:val="Normal"/>
        <w:numPr>
          <w:ilvl w:val="0"/>
          <w:numId w:val="3"/>
        </w:numPr>
        <w:tabs>
          <w:tab w:val="left" w:pos="426"/>
        </w:tabs>
        <w:spacing w:after="119"/>
        <w:ind w:left="426" w:hanging="426"/>
        <w:jc w:val="both"/>
      </w:pPr>
      <w:r>
        <w:rPr>
          <w:b/>
          <w:spacing w:val="70"/>
        </w:rPr>
        <w:t>schválit</w:t>
      </w:r>
      <w:r w:rsidR="00176AF9">
        <w:t xml:space="preserve"> </w:t>
      </w:r>
      <w:r>
        <w:rPr>
          <w:rFonts w:eastAsia="Calibri"/>
          <w:lang w:eastAsia="en-US"/>
        </w:rPr>
        <w:t>poskytnutí</w:t>
      </w:r>
      <w:r w:rsidR="00176AF9" w:rsidRPr="004504FF">
        <w:rPr>
          <w:rFonts w:eastAsia="Calibri"/>
          <w:lang w:eastAsia="en-US"/>
        </w:rPr>
        <w:t xml:space="preserve"> dotací na zajištění regionálních funkcí knihoven v Olomouc</w:t>
      </w:r>
      <w:r w:rsidR="00176AF9">
        <w:rPr>
          <w:rFonts w:eastAsia="Calibri"/>
          <w:lang w:eastAsia="en-US"/>
        </w:rPr>
        <w:t>kém kraji příjemcům ve výši 10 682</w:t>
      </w:r>
      <w:r w:rsidR="00176AF9" w:rsidRPr="004504FF">
        <w:rPr>
          <w:rFonts w:eastAsia="Calibri"/>
          <w:lang w:eastAsia="en-US"/>
        </w:rPr>
        <w:t xml:space="preserve"> 000 Kč dle důvodové zprávy,</w:t>
      </w:r>
    </w:p>
    <w:p w:rsidR="00176AF9" w:rsidRDefault="00176AF9" w:rsidP="00176AF9">
      <w:pPr>
        <w:pStyle w:val="Normal"/>
        <w:numPr>
          <w:ilvl w:val="0"/>
          <w:numId w:val="3"/>
        </w:numPr>
        <w:tabs>
          <w:tab w:val="left" w:pos="426"/>
        </w:tabs>
        <w:spacing w:after="119"/>
        <w:ind w:left="426" w:hanging="426"/>
        <w:jc w:val="both"/>
      </w:pPr>
      <w:r w:rsidRPr="004504FF">
        <w:rPr>
          <w:b/>
          <w:spacing w:val="70"/>
        </w:rPr>
        <w:t>s</w:t>
      </w:r>
      <w:r w:rsidR="00880CBC">
        <w:rPr>
          <w:b/>
          <w:spacing w:val="70"/>
        </w:rPr>
        <w:t>chválit</w:t>
      </w:r>
      <w:r w:rsidR="00880CBC">
        <w:t xml:space="preserve"> uzavření</w:t>
      </w:r>
      <w:r>
        <w:t xml:space="preserve"> veřejnoprávních smluv o poskytnutí dotací s příjemci a ve výši dle bodu </w:t>
      </w:r>
      <w:r w:rsidR="00880CBC">
        <w:t>2</w:t>
      </w:r>
      <w:r>
        <w:t xml:space="preserve"> usnesení, ve znění veřejnoprávní smlouvy dle Přílohy č. 1 důvodové zprávy,</w:t>
      </w:r>
    </w:p>
    <w:p w:rsidR="00176AF9" w:rsidRPr="004504FF" w:rsidRDefault="00176AF9" w:rsidP="00176AF9">
      <w:pPr>
        <w:pStyle w:val="Normal"/>
        <w:numPr>
          <w:ilvl w:val="0"/>
          <w:numId w:val="3"/>
        </w:numPr>
        <w:tabs>
          <w:tab w:val="left" w:pos="426"/>
        </w:tabs>
        <w:spacing w:after="119"/>
        <w:ind w:left="426" w:hanging="426"/>
        <w:jc w:val="both"/>
        <w:rPr>
          <w:rFonts w:eastAsia="Calibri"/>
          <w:lang w:eastAsia="en-US"/>
        </w:rPr>
      </w:pPr>
      <w:r w:rsidRPr="004504FF">
        <w:rPr>
          <w:b/>
          <w:spacing w:val="70"/>
        </w:rPr>
        <w:t>uložit</w:t>
      </w:r>
      <w:r>
        <w:t xml:space="preserve"> </w:t>
      </w:r>
      <w:r w:rsidR="00880CBC">
        <w:rPr>
          <w:rFonts w:eastAsia="Calibri"/>
          <w:lang w:eastAsia="en-US"/>
        </w:rPr>
        <w:t xml:space="preserve">Ing. Petrovi Vránovi, náměstkovi hejtmana, veřejnoprávní </w:t>
      </w:r>
      <w:r w:rsidR="00880CBC" w:rsidRPr="004504FF">
        <w:rPr>
          <w:rFonts w:eastAsia="Calibri"/>
          <w:lang w:eastAsia="en-US"/>
        </w:rPr>
        <w:t xml:space="preserve">smlouvy </w:t>
      </w:r>
      <w:r w:rsidR="00880CBC" w:rsidRPr="004504FF">
        <w:rPr>
          <w:rFonts w:eastAsia="Calibri"/>
          <w:lang w:eastAsia="en-US"/>
        </w:rPr>
        <w:lastRenderedPageBreak/>
        <w:t>podepsat</w:t>
      </w:r>
    </w:p>
    <w:p w:rsidR="00176AF9" w:rsidRDefault="00176AF9" w:rsidP="00176AF9">
      <w:pPr>
        <w:pStyle w:val="Normal"/>
        <w:tabs>
          <w:tab w:val="left" w:pos="622"/>
        </w:tabs>
        <w:spacing w:after="119"/>
        <w:ind w:left="360"/>
        <w:jc w:val="both"/>
        <w:rPr>
          <w:rFonts w:eastAsia="Calibri"/>
          <w:lang w:eastAsia="en-US"/>
        </w:rPr>
      </w:pPr>
    </w:p>
    <w:p w:rsidR="00176AF9" w:rsidRDefault="00176AF9" w:rsidP="00176AF9">
      <w:pPr>
        <w:pStyle w:val="Radaplohy"/>
        <w:spacing w:before="120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176AF9" w:rsidRDefault="00176AF9" w:rsidP="00176AF9">
      <w:pPr>
        <w:pStyle w:val="Radaploha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:rsidR="00176AF9" w:rsidRDefault="00176AF9" w:rsidP="00C35C1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Vzor veřejnoprávní smlouvy o poskytnutí dotace n</w:t>
      </w:r>
      <w:r w:rsidR="00EC7082">
        <w:rPr>
          <w:rFonts w:ascii="Arial" w:hAnsi="Arial" w:cs="Arial"/>
        </w:rPr>
        <w:t>a regionální funkce (strana 4–</w:t>
      </w:r>
      <w:r>
        <w:rPr>
          <w:rFonts w:ascii="Arial" w:hAnsi="Arial" w:cs="Arial"/>
        </w:rPr>
        <w:t>10)</w:t>
      </w:r>
    </w:p>
    <w:p w:rsidR="00176AF9" w:rsidRDefault="00176AF9" w:rsidP="00176AF9">
      <w:pPr>
        <w:ind w:firstLine="360"/>
        <w:rPr>
          <w:rFonts w:ascii="Arial" w:hAnsi="Arial" w:cs="Arial"/>
        </w:rPr>
      </w:pPr>
    </w:p>
    <w:p w:rsidR="00176AF9" w:rsidRDefault="00176AF9" w:rsidP="00176AF9">
      <w:pPr>
        <w:ind w:firstLine="360"/>
        <w:rPr>
          <w:rFonts w:ascii="Arial" w:hAnsi="Arial" w:cs="Arial"/>
        </w:rPr>
      </w:pPr>
    </w:p>
    <w:p w:rsidR="00176AF9" w:rsidRDefault="00176AF9" w:rsidP="00176AF9"/>
    <w:p w:rsidR="00B41FB8" w:rsidRDefault="00284F79"/>
    <w:sectPr w:rsidR="00B41FB8">
      <w:footerReference w:type="default" r:id="rId7"/>
      <w:pgSz w:w="11906" w:h="16838" w:code="9"/>
      <w:pgMar w:top="1418" w:right="1274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E0" w:rsidRDefault="00496CE0">
      <w:r>
        <w:separator/>
      </w:r>
    </w:p>
  </w:endnote>
  <w:endnote w:type="continuationSeparator" w:id="0">
    <w:p w:rsidR="00496CE0" w:rsidRDefault="0049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CD" w:rsidRDefault="00880CBC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 xml:space="preserve">Zastupitelstvo </w:t>
    </w:r>
    <w:r w:rsidR="00176AF9">
      <w:rPr>
        <w:rFonts w:ascii="Arial" w:hAnsi="Arial"/>
        <w:szCs w:val="20"/>
      </w:rPr>
      <w:t xml:space="preserve">Olomouckého kraje </w:t>
    </w:r>
    <w:r>
      <w:rPr>
        <w:rFonts w:ascii="Arial" w:hAnsi="Arial"/>
        <w:szCs w:val="20"/>
      </w:rPr>
      <w:t>16</w:t>
    </w:r>
    <w:r w:rsidR="00176AF9">
      <w:rPr>
        <w:rFonts w:ascii="Arial" w:hAnsi="Arial"/>
        <w:szCs w:val="20"/>
      </w:rPr>
      <w:t>. 1</w:t>
    </w:r>
    <w:r>
      <w:rPr>
        <w:rFonts w:ascii="Arial" w:hAnsi="Arial"/>
        <w:szCs w:val="20"/>
      </w:rPr>
      <w:t>2</w:t>
    </w:r>
    <w:r w:rsidR="00176AF9">
      <w:rPr>
        <w:rFonts w:ascii="Arial" w:hAnsi="Arial"/>
        <w:szCs w:val="20"/>
      </w:rPr>
      <w:t xml:space="preserve">. </w:t>
    </w:r>
    <w:proofErr w:type="gramStart"/>
    <w:r w:rsidR="00176AF9">
      <w:rPr>
        <w:rFonts w:ascii="Arial" w:hAnsi="Arial"/>
        <w:szCs w:val="20"/>
      </w:rPr>
      <w:t xml:space="preserve">2019                              </w:t>
    </w:r>
    <w:r>
      <w:rPr>
        <w:rFonts w:ascii="Arial" w:hAnsi="Arial"/>
        <w:szCs w:val="20"/>
      </w:rPr>
      <w:t xml:space="preserve">                 </w:t>
    </w:r>
    <w:r w:rsidR="00176AF9">
      <w:rPr>
        <w:rFonts w:ascii="Arial" w:hAnsi="Arial"/>
        <w:szCs w:val="20"/>
      </w:rPr>
      <w:t xml:space="preserve">  Strana</w:t>
    </w:r>
    <w:proofErr w:type="gramEnd"/>
    <w:r w:rsidR="00176AF9">
      <w:rPr>
        <w:rFonts w:ascii="Arial" w:hAnsi="Arial"/>
        <w:szCs w:val="20"/>
      </w:rPr>
      <w:t xml:space="preserve"> </w:t>
    </w:r>
    <w:r w:rsidR="00176AF9">
      <w:rPr>
        <w:rFonts w:ascii="Arial" w:hAnsi="Arial"/>
        <w:i w:val="0"/>
        <w:szCs w:val="20"/>
      </w:rPr>
      <w:fldChar w:fldCharType="begin"/>
    </w:r>
    <w:r w:rsidR="00176AF9">
      <w:rPr>
        <w:rFonts w:ascii="Arial" w:hAnsi="Arial"/>
        <w:szCs w:val="20"/>
      </w:rPr>
      <w:instrText xml:space="preserve"> PAGE </w:instrText>
    </w:r>
    <w:r w:rsidR="00176AF9">
      <w:rPr>
        <w:rFonts w:ascii="Arial" w:hAnsi="Arial"/>
        <w:i w:val="0"/>
        <w:szCs w:val="20"/>
      </w:rPr>
      <w:fldChar w:fldCharType="separate"/>
    </w:r>
    <w:r w:rsidR="00284F79">
      <w:rPr>
        <w:rFonts w:ascii="Arial" w:hAnsi="Arial"/>
        <w:noProof/>
        <w:szCs w:val="20"/>
      </w:rPr>
      <w:t>3</w:t>
    </w:r>
    <w:r w:rsidR="00176AF9">
      <w:rPr>
        <w:rFonts w:ascii="Arial" w:hAnsi="Arial"/>
        <w:i w:val="0"/>
        <w:szCs w:val="20"/>
      </w:rPr>
      <w:fldChar w:fldCharType="end"/>
    </w:r>
    <w:r w:rsidR="00176AF9">
      <w:rPr>
        <w:rFonts w:ascii="Arial" w:hAnsi="Arial"/>
        <w:szCs w:val="20"/>
      </w:rPr>
      <w:t xml:space="preserve"> (celkem </w:t>
    </w:r>
    <w:r w:rsidR="00176AF9" w:rsidRPr="00E521B2">
      <w:rPr>
        <w:rFonts w:ascii="Arial" w:hAnsi="Arial"/>
        <w:szCs w:val="20"/>
      </w:rPr>
      <w:t>10)</w:t>
    </w:r>
  </w:p>
  <w:p w:rsidR="003863CD" w:rsidRDefault="00880CBC" w:rsidP="00D87250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35</w:t>
    </w:r>
    <w:r w:rsidR="00176AF9">
      <w:rPr>
        <w:b w:val="0"/>
        <w:i/>
        <w:sz w:val="20"/>
      </w:rPr>
      <w:t>. –</w:t>
    </w:r>
    <w:r w:rsidR="00176AF9">
      <w:rPr>
        <w:i/>
        <w:sz w:val="20"/>
      </w:rPr>
      <w:t xml:space="preserve"> </w:t>
    </w:r>
    <w:r w:rsidR="00176AF9">
      <w:rPr>
        <w:b w:val="0"/>
        <w:i/>
        <w:sz w:val="20"/>
      </w:rPr>
      <w:t>Zajištění a financování regionálních funkcí knihoven v Olomouckém kraji v roce 2020</w:t>
    </w:r>
  </w:p>
  <w:p w:rsidR="00D87250" w:rsidRDefault="00284F79" w:rsidP="00D87250">
    <w:pPr>
      <w:pStyle w:val="Radabodschze"/>
      <w:spacing w:before="0" w:after="0"/>
      <w:rPr>
        <w:b w:val="0"/>
        <w:i/>
        <w:sz w:val="20"/>
      </w:rPr>
    </w:pPr>
  </w:p>
  <w:p w:rsidR="00D87250" w:rsidRPr="00D87250" w:rsidRDefault="00284F79" w:rsidP="00D87250">
    <w:pPr>
      <w:pStyle w:val="Radabodschze"/>
      <w:spacing w:before="0" w:after="0"/>
      <w:rPr>
        <w:b w:val="0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E0" w:rsidRDefault="00496CE0">
      <w:r>
        <w:separator/>
      </w:r>
    </w:p>
  </w:footnote>
  <w:footnote w:type="continuationSeparator" w:id="0">
    <w:p w:rsidR="00496CE0" w:rsidRDefault="0049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966CD"/>
    <w:multiLevelType w:val="hybridMultilevel"/>
    <w:tmpl w:val="1314247E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F9"/>
    <w:rsid w:val="00176AF9"/>
    <w:rsid w:val="00194B59"/>
    <w:rsid w:val="001B6406"/>
    <w:rsid w:val="001C7D79"/>
    <w:rsid w:val="00284F79"/>
    <w:rsid w:val="00496CE0"/>
    <w:rsid w:val="005716D7"/>
    <w:rsid w:val="00880CBC"/>
    <w:rsid w:val="008970C1"/>
    <w:rsid w:val="009558A3"/>
    <w:rsid w:val="00B573D4"/>
    <w:rsid w:val="00B60D92"/>
    <w:rsid w:val="00B65195"/>
    <w:rsid w:val="00C35C12"/>
    <w:rsid w:val="00C85556"/>
    <w:rsid w:val="00E521B2"/>
    <w:rsid w:val="00E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75DFF-32CE-4134-B46D-23C54D8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176AF9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Radadvodovzprva">
    <w:name w:val="Rada důvodová zpráva"/>
    <w:basedOn w:val="Normln"/>
    <w:rsid w:val="00176AF9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176AF9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176AF9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176AF9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176AF9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176AF9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semiHidden/>
    <w:rsid w:val="00176AF9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semiHidden/>
    <w:rsid w:val="00176AF9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176AF9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Normal">
    <w:name w:val="[Normal]"/>
    <w:rsid w:val="00176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5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C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Japacek</dc:creator>
  <cp:keywords/>
  <dc:description/>
  <cp:lastModifiedBy>Navrátil Tomáš</cp:lastModifiedBy>
  <cp:revision>4</cp:revision>
  <dcterms:created xsi:type="dcterms:W3CDTF">2019-11-28T11:41:00Z</dcterms:created>
  <dcterms:modified xsi:type="dcterms:W3CDTF">2019-11-28T12:01:00Z</dcterms:modified>
</cp:coreProperties>
</file>