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22ECEBD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344B36E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67AE7" w:rsidRPr="00D232F0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512595A0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175714D" w:rsidR="009A3DA5" w:rsidRPr="00D232F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6D2534">
        <w:rPr>
          <w:rFonts w:ascii="Arial" w:hAnsi="Arial" w:cs="Arial"/>
          <w:sz w:val="24"/>
          <w:szCs w:val="24"/>
        </w:rPr>
        <w:t xml:space="preserve">za účelem </w:t>
      </w:r>
      <w:r w:rsidR="00A67AE7" w:rsidRPr="00D232F0">
        <w:rPr>
          <w:rFonts w:ascii="Arial" w:hAnsi="Arial" w:cs="Arial"/>
          <w:sz w:val="24"/>
          <w:szCs w:val="24"/>
        </w:rPr>
        <w:t xml:space="preserve">podpory </w:t>
      </w:r>
      <w:r w:rsidR="00A67AE7" w:rsidRPr="00D232F0">
        <w:rPr>
          <w:rFonts w:ascii="Arial" w:hAnsi="Arial" w:cs="Arial"/>
          <w:sz w:val="24"/>
          <w:szCs w:val="24"/>
        </w:rPr>
        <w:lastRenderedPageBreak/>
        <w:t>a rozšíření kvalitních a hodnotných typů kulturních aktivit v Olomouckém kraji ve veřejném zájmu a v souladu s cíli Olomouckého kraje.</w:t>
      </w:r>
    </w:p>
    <w:p w14:paraId="3C9258CF" w14:textId="14CCD001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74E56D30" w14:textId="25320DE3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26631A" w:rsidRPr="00D232F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26631A" w:rsidRPr="00D232F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26631A" w:rsidRPr="00D232F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26631A" w:rsidRPr="00D232F0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26631A" w:rsidRPr="00D23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26631A" w:rsidRPr="00D232F0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26631A" w:rsidRPr="00D232F0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26631A" w:rsidRPr="00D232F0">
        <w:rPr>
          <w:rFonts w:ascii="Arial" w:hAnsi="Arial" w:cs="Arial"/>
          <w:i/>
          <w:color w:val="0000FF"/>
          <w:sz w:val="24"/>
          <w:szCs w:val="24"/>
        </w:rPr>
        <w:t>.</w:t>
      </w:r>
      <w:r w:rsidR="0026631A" w:rsidRPr="00D23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09ABD61" w14:textId="3512BEDA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26631A" w:rsidRPr="00D232F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26631A" w:rsidRPr="00D232F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26631A" w:rsidRPr="00D232F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26631A" w:rsidRPr="00D232F0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26631A" w:rsidRPr="00D23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26631A" w:rsidRPr="00D232F0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26631A" w:rsidRPr="00D232F0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26631A" w:rsidRPr="00D232F0">
        <w:rPr>
          <w:rFonts w:ascii="Arial" w:hAnsi="Arial" w:cs="Arial"/>
          <w:i/>
          <w:color w:val="0000FF"/>
          <w:sz w:val="24"/>
          <w:szCs w:val="24"/>
        </w:rPr>
        <w:t>.</w:t>
      </w:r>
      <w:r w:rsidR="0026631A" w:rsidRPr="00D23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1B2AA13D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809DFE" w14:textId="77777777" w:rsidR="00E82BF2" w:rsidRDefault="00E82BF2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2CAB08E2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B28DD14" w:rsidR="00001074" w:rsidRPr="00711602" w:rsidRDefault="00D232F0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Pr="000B0C10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38155C5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232F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232F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644CDA5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6839A369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7AD5B64A" w:rsidR="009A3DA5" w:rsidRPr="00D232F0" w:rsidRDefault="009A3DA5" w:rsidP="00D232F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2AC0F184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2B1D97"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D232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0BFC1180" w14:textId="77777777" w:rsidR="00D232F0" w:rsidRDefault="00D232F0" w:rsidP="00D232F0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</w:t>
      </w:r>
      <w:r w:rsidRPr="000B0C10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gramStart"/>
      <w:r w:rsidRPr="000B0C1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0B0C1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0B0C10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</w:t>
      </w:r>
      <w:r w:rsidRPr="000B0C10">
        <w:rPr>
          <w:rFonts w:ascii="Arial" w:hAnsi="Arial" w:cs="Arial"/>
          <w:bCs/>
          <w:i/>
          <w:sz w:val="24"/>
          <w:szCs w:val="24"/>
        </w:rPr>
        <w:t xml:space="preserve"> </w:t>
      </w:r>
      <w:r w:rsidRPr="000B0C10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</w:t>
      </w:r>
      <w:r w:rsidRPr="00957345">
        <w:rPr>
          <w:rFonts w:ascii="Arial" w:hAnsi="Arial" w:cs="Arial"/>
          <w:sz w:val="24"/>
          <w:szCs w:val="24"/>
        </w:rPr>
        <w:t>2 a 4 této smlouvy.</w:t>
      </w:r>
    </w:p>
    <w:p w14:paraId="60381378" w14:textId="77777777" w:rsidR="00D232F0" w:rsidRPr="00957345" w:rsidRDefault="00D232F0" w:rsidP="00D232F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0C10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0B0C10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0B0C10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0B0C10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0B0C10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0B0C10">
        <w:rPr>
          <w:rFonts w:ascii="Arial" w:hAnsi="Arial" w:cs="Arial"/>
          <w:sz w:val="24"/>
          <w:szCs w:val="24"/>
          <w:highlight w:val="green"/>
        </w:rPr>
        <w:t>(</w:t>
      </w:r>
      <w:r w:rsidRPr="000B0C10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0B0C10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0B0C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14ACB8E3" w14:textId="624FD6BB" w:rsidR="00CB5336" w:rsidRPr="00711602" w:rsidRDefault="00D232F0" w:rsidP="00D232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233EC098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27BA4345" w14:textId="77777777" w:rsidR="00205E0B" w:rsidRPr="003E0167" w:rsidRDefault="00205E0B" w:rsidP="00205E0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B3868F" w14:textId="77777777" w:rsidR="00205E0B" w:rsidRPr="003E0167" w:rsidRDefault="00205E0B" w:rsidP="00205E0B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„Finanční vyúčtování dotace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676D8E">
        <w:rPr>
          <w:rFonts w:ascii="Arial" w:hAnsi="Arial" w:cs="Arial"/>
          <w:sz w:val="24"/>
          <w:szCs w:val="24"/>
        </w:rPr>
        <w:t>https://www.olkraj.cz/vyuctovani-dotace-cl-4659.html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53DE349" w14:textId="77777777" w:rsidR="00205E0B" w:rsidRPr="003E0167" w:rsidRDefault="00205E0B" w:rsidP="00205E0B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2451801" w14:textId="77777777" w:rsidR="00205E0B" w:rsidRPr="003E0167" w:rsidRDefault="00205E0B" w:rsidP="00205E0B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2FB67F7C" w14:textId="77777777" w:rsidR="00205E0B" w:rsidRPr="003E0167" w:rsidRDefault="00205E0B" w:rsidP="00205E0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07457678" w14:textId="77777777" w:rsidR="00205E0B" w:rsidRPr="003E0167" w:rsidRDefault="00205E0B" w:rsidP="00205E0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0EDE897A" w14:textId="77777777" w:rsidR="00205E0B" w:rsidRPr="003E0167" w:rsidRDefault="00205E0B" w:rsidP="00205E0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A4CC36C" w14:textId="77777777" w:rsidR="00205E0B" w:rsidRPr="003E0167" w:rsidRDefault="00205E0B" w:rsidP="00205E0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DF1BF41" w14:textId="2E2D7C23" w:rsidR="00205E0B" w:rsidRPr="003E0167" w:rsidRDefault="00205E0B" w:rsidP="00205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5C0680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7E430337" w:rsidR="00A9730D" w:rsidRPr="00A9730D" w:rsidRDefault="00205E0B" w:rsidP="00205E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758E3118" w14:textId="719C0C8B" w:rsidR="00A9730D" w:rsidRPr="0094156E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B7D1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205E0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 w:rsidRPr="00205E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05E0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 w:rsidRPr="00205E0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94156E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1B7D16" w:rsidRPr="0094156E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94156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4156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94156E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4156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4156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7D39B1CE" w14:textId="2D520F21" w:rsidR="0094156E" w:rsidRPr="00A9730D" w:rsidRDefault="0094156E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205E0B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205E0B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205E0B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205E0B">
        <w:rPr>
          <w:rFonts w:ascii="Arial" w:hAnsi="Arial" w:cs="Arial"/>
          <w:sz w:val="24"/>
          <w:szCs w:val="24"/>
          <w:highlight w:val="green"/>
        </w:rPr>
        <w:t>(</w:t>
      </w:r>
      <w:r w:rsidRPr="00205E0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205E0B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205E0B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205E0B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205E0B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205E0B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205E0B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205E0B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205E0B">
        <w:rPr>
          <w:rFonts w:ascii="Arial" w:hAnsi="Arial" w:cs="Arial"/>
          <w:sz w:val="24"/>
          <w:szCs w:val="24"/>
          <w:highlight w:val="green"/>
        </w:rPr>
        <w:t>(</w:t>
      </w:r>
      <w:r w:rsidRPr="00205E0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205E0B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2825A5">
        <w:rPr>
          <w:rFonts w:ascii="Arial" w:hAnsi="Arial" w:cs="Arial"/>
          <w:i/>
          <w:color w:val="0066FF"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2E4106F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7005F6" w:rsidR="009A3DA5" w:rsidRPr="00205E0B" w:rsidRDefault="0094156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05E0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27-4228120277/0100. </w:t>
      </w:r>
      <w:r w:rsidRPr="00205E0B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36C03458" w14:textId="77777777" w:rsidR="00205E0B" w:rsidRPr="003E0167" w:rsidRDefault="00205E0B" w:rsidP="00205E0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7CA379A4" w14:textId="6E4B0297" w:rsidR="00205E0B" w:rsidRPr="003E0167" w:rsidRDefault="005C0680" w:rsidP="00205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14:paraId="267E7CB8" w14:textId="77777777" w:rsidR="00205E0B" w:rsidRPr="003E0167" w:rsidRDefault="00205E0B" w:rsidP="00205E0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proofErr w:type="gram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 akci</w:t>
      </w:r>
      <w:proofErr w:type="gram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výši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Kč, se navíc uvede:</w:t>
      </w:r>
    </w:p>
    <w:p w14:paraId="5D83674C" w14:textId="77777777" w:rsidR="00205E0B" w:rsidRDefault="00205E0B" w:rsidP="00205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akce.</w:t>
      </w:r>
    </w:p>
    <w:p w14:paraId="151EC141" w14:textId="77777777" w:rsidR="00205E0B" w:rsidRDefault="00205E0B" w:rsidP="00205E0B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  <w:lang w:eastAsia="cs-CZ"/>
        </w:rPr>
      </w:pPr>
      <w:r w:rsidRPr="00DC2C9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57E88AA4" w14:textId="77777777" w:rsidR="00205E0B" w:rsidRPr="003556D7" w:rsidRDefault="00205E0B" w:rsidP="00205E0B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3556D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556D7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20040845" w14:textId="0F1B9FFB" w:rsidR="00836AA2" w:rsidRPr="00836AA2" w:rsidRDefault="00205E0B" w:rsidP="00205E0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556D7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6E82823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205E0B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A5DD4" w:rsidRPr="00205E0B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57ACF74" w14:textId="77777777" w:rsidR="00205E0B" w:rsidRPr="003E0167" w:rsidRDefault="00205E0B" w:rsidP="00205E0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3556D7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 xml:space="preserve">nebo odst. 12.6 </w:t>
      </w:r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12.6 se uvede v případě, že dotace bude poskytována v režimu de </w:t>
      </w:r>
      <w:proofErr w:type="spellStart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03757AF9" w14:textId="77777777" w:rsidR="00205E0B" w:rsidRPr="003E0167" w:rsidRDefault="00205E0B" w:rsidP="00205E0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6CC8CF" w14:textId="4CFB503D" w:rsidR="009A332B" w:rsidRPr="00711602" w:rsidRDefault="00205E0B" w:rsidP="00205E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2848E173" w14:textId="77777777" w:rsidR="00E82BF2" w:rsidRDefault="00E82BF2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11669AAF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1700E33" w14:textId="77777777" w:rsidR="0094156E" w:rsidRDefault="0094156E" w:rsidP="009415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2DD91F8" w14:textId="77777777" w:rsidR="0094156E" w:rsidRPr="002825A5" w:rsidRDefault="0094156E" w:rsidP="0094156E">
      <w:pPr>
        <w:spacing w:after="120"/>
        <w:ind w:left="0" w:firstLine="0"/>
        <w:rPr>
          <w:rFonts w:ascii="Arial" w:eastAsia="Times New Roman" w:hAnsi="Arial" w:cs="Arial"/>
          <w:i/>
          <w:color w:val="0066FF"/>
          <w:sz w:val="28"/>
          <w:szCs w:val="24"/>
          <w:lang w:eastAsia="cs-CZ"/>
        </w:rPr>
      </w:pPr>
      <w:r w:rsidRPr="000C39D6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0C39D6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2825A5">
        <w:rPr>
          <w:rFonts w:ascii="Arial" w:hAnsi="Arial" w:cs="Arial"/>
          <w:i/>
          <w:color w:val="0066FF"/>
          <w:sz w:val="24"/>
        </w:rPr>
        <w:t>.</w:t>
      </w:r>
    </w:p>
    <w:p w14:paraId="1935AFF6" w14:textId="77777777" w:rsidR="0094156E" w:rsidRPr="00205E0B" w:rsidRDefault="0094156E" w:rsidP="0094156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205E0B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205E0B">
        <w:rPr>
          <w:rFonts w:ascii="Arial" w:hAnsi="Arial" w:cs="Arial"/>
          <w:sz w:val="24"/>
          <w:szCs w:val="24"/>
          <w:highlight w:val="green"/>
        </w:rPr>
        <w:t>GBER“)</w:t>
      </w:r>
      <w:r w:rsidRPr="00205E0B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205E0B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205E0B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3BAC342E" w14:textId="77777777" w:rsidR="0094156E" w:rsidRPr="00205E0B" w:rsidRDefault="0094156E" w:rsidP="0094156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205E0B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585A8AF2" w14:textId="77777777" w:rsidR="0094156E" w:rsidRPr="00205E0B" w:rsidRDefault="0094156E" w:rsidP="0094156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205E0B">
        <w:rPr>
          <w:rFonts w:ascii="Arial" w:hAnsi="Arial" w:cs="Arial"/>
          <w:sz w:val="24"/>
          <w:szCs w:val="24"/>
          <w:highlight w:val="green"/>
        </w:rPr>
        <w:t>GBER.</w:t>
      </w:r>
    </w:p>
    <w:p w14:paraId="249155A2" w14:textId="77777777" w:rsidR="0094156E" w:rsidRPr="002825A5" w:rsidRDefault="0094156E" w:rsidP="0094156E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205E0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768EFB05" w14:textId="77777777" w:rsidR="0094156E" w:rsidRPr="003E0167" w:rsidRDefault="0094156E" w:rsidP="0094156E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</w:t>
      </w:r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veřejnou podporu </w:t>
      </w:r>
      <w:proofErr w:type="spellStart"/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205E0B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205E0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6-9:</w:t>
      </w:r>
    </w:p>
    <w:p w14:paraId="6640E07B" w14:textId="77777777" w:rsidR="0094156E" w:rsidRPr="002825A5" w:rsidRDefault="0094156E" w:rsidP="0094156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61F0BDA7" w14:textId="77777777" w:rsidR="0094156E" w:rsidRPr="002825A5" w:rsidRDefault="0094156E" w:rsidP="0094156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BA889E1" w14:textId="77777777" w:rsidR="0094156E" w:rsidRPr="002825A5" w:rsidRDefault="0094156E" w:rsidP="0094156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BBE7141" w14:textId="77777777" w:rsidR="0094156E" w:rsidRPr="00957345" w:rsidRDefault="0094156E" w:rsidP="009415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1A8BEC07" w14:textId="77777777" w:rsidR="0094156E" w:rsidRPr="00957345" w:rsidRDefault="0094156E" w:rsidP="0094156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4EA7E92" w14:textId="77777777" w:rsidR="0094156E" w:rsidRPr="00957345" w:rsidRDefault="0094156E" w:rsidP="0094156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3065918" w14:textId="77777777" w:rsidR="0094156E" w:rsidRPr="00957345" w:rsidRDefault="0094156E" w:rsidP="0094156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1594AE16" w:rsidR="00B96E96" w:rsidRPr="00CC0204" w:rsidRDefault="0094156E" w:rsidP="009415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58BC274" w14:textId="77777777" w:rsidR="00D232F0" w:rsidRPr="00D232F0" w:rsidRDefault="00701669" w:rsidP="0070166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7419A260" w14:textId="497CD888" w:rsidR="00701669" w:rsidRDefault="00D232F0" w:rsidP="00D232F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</w:t>
      </w:r>
    </w:p>
    <w:p w14:paraId="2EF0EE85" w14:textId="77777777" w:rsidR="00D7249E" w:rsidRDefault="00D7249E" w:rsidP="00D7249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3" w14:textId="40A57029" w:rsidR="009A3DA5" w:rsidRDefault="00EA0A3A" w:rsidP="00D7249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17 se ve smlouvě neuvede, bude-li s příjemcem smlouva uzavírána elektronicky (viz bod 8.3.1 písm. b) Pravidel)</w:t>
      </w:r>
    </w:p>
    <w:p w14:paraId="3C925924" w14:textId="597680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2AEDEF1" w14:textId="77777777" w:rsidR="00C0487D" w:rsidRPr="00803A28" w:rsidRDefault="00C0487D" w:rsidP="00C0487D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</w:t>
      </w:r>
      <w:r w:rsidRPr="00892D6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6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smluv o poskytnutí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programové </w:t>
      </w:r>
      <w:r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35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9AB65F2" w14:textId="77777777" w:rsidR="00C0487D" w:rsidRPr="003E0167" w:rsidRDefault="00C0487D" w:rsidP="00C0487D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0F72B6B5" w14:textId="77777777" w:rsidR="00C0487D" w:rsidRPr="00892D67" w:rsidRDefault="00C0487D" w:rsidP="00C0487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3ED7F44B" w14:textId="77777777" w:rsidR="00C0487D" w:rsidRPr="00803A28" w:rsidRDefault="00C0487D" w:rsidP="00C0487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2D67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892D67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892D67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892D67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892D67">
        <w:rPr>
          <w:rFonts w:ascii="Arial" w:hAnsi="Arial" w:cs="Arial"/>
          <w:sz w:val="24"/>
          <w:szCs w:val="24"/>
          <w:highlight w:val="green"/>
        </w:rPr>
        <w:t>(</w:t>
      </w:r>
      <w:r w:rsidRPr="00892D6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892D67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2825A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7DC3B4D3" w14:textId="77777777" w:rsidR="00C0487D" w:rsidRPr="00803A28" w:rsidRDefault="00C0487D" w:rsidP="00C0487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7FD076D" w14:textId="77777777" w:rsidR="00C0487D" w:rsidRPr="00803A28" w:rsidRDefault="00C0487D" w:rsidP="00C0487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2112B558" w14:textId="77777777" w:rsidR="00C0487D" w:rsidRDefault="00C0487D" w:rsidP="00C0487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5C3B527" w14:textId="77777777" w:rsidR="00C0487D" w:rsidRPr="003556D7" w:rsidRDefault="00C0487D" w:rsidP="00C0487D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3556D7">
        <w:rPr>
          <w:rFonts w:ascii="Arial" w:hAnsi="Arial" w:cs="Arial"/>
          <w:sz w:val="24"/>
          <w:szCs w:val="24"/>
        </w:rPr>
        <w:t>https://www.olkraj.cz/vyuctovani-dotace-cl-4659.html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hAnsi="Arial" w:cs="Arial"/>
          <w:iCs/>
          <w:sz w:val="24"/>
          <w:szCs w:val="24"/>
        </w:rPr>
        <w:t xml:space="preserve">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556D7">
        <w:rPr>
          <w:rFonts w:ascii="Arial" w:hAnsi="Arial" w:cs="Arial"/>
          <w:sz w:val="24"/>
          <w:szCs w:val="24"/>
        </w:rPr>
        <w:t>příjmy uvedené v odst. 11.24 Pravidel.</w:t>
      </w:r>
    </w:p>
    <w:p w14:paraId="20097E40" w14:textId="77777777" w:rsidR="00C0487D" w:rsidRPr="003556D7" w:rsidRDefault="00C0487D" w:rsidP="00C0487D">
      <w:pPr>
        <w:pStyle w:val="Odstavecseseznamem"/>
        <w:numPr>
          <w:ilvl w:val="1"/>
          <w:numId w:val="42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1. Soupis výdajů dle tohoto ustanovení doloží příjemce čestným prohlášením, že celkové skutečně vynaložené výdaje uvedené v soupisu jsou pravdivé a úplné.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273D1200" w14:textId="0BEA9C08" w:rsidR="00C0487D" w:rsidRPr="00CC0204" w:rsidRDefault="00C0487D" w:rsidP="00C0487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5C0680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E85F0B" w14:textId="6859AF44" w:rsidR="00C0487D" w:rsidRDefault="00CA5FD0" w:rsidP="00C0487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2993090E" w14:textId="77777777" w:rsidR="00C0487D" w:rsidRPr="00131601" w:rsidRDefault="00C0487D" w:rsidP="00C0487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3D3478">
        <w:rPr>
          <w:rFonts w:ascii="Arial" w:eastAsia="Times New Roman" w:hAnsi="Arial" w:cs="Arial"/>
          <w:sz w:val="24"/>
          <w:szCs w:val="24"/>
          <w:lang w:eastAsia="cs-CZ"/>
        </w:rPr>
        <w:t xml:space="preserve">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D347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347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48C2E05E" w14:textId="08CF32D5" w:rsidR="00D7249E" w:rsidRPr="009B2BCC" w:rsidRDefault="00C0487D" w:rsidP="00C0487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3556D7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556D7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</w:t>
      </w:r>
      <w:proofErr w:type="gramStart"/>
      <w:r w:rsidRPr="003556D7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556D7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3556D7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3556D7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556D7">
        <w:rPr>
          <w:rFonts w:ascii="Arial" w:hAnsi="Arial" w:cs="Arial"/>
          <w:sz w:val="24"/>
          <w:szCs w:val="24"/>
          <w:highlight w:val="green"/>
        </w:rPr>
        <w:t>(</w:t>
      </w:r>
      <w:r w:rsidRPr="003556D7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556D7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556D7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3556D7">
        <w:rPr>
          <w:rFonts w:ascii="Arial" w:hAnsi="Arial" w:cs="Arial"/>
          <w:i/>
          <w:sz w:val="24"/>
        </w:rPr>
        <w:t xml:space="preserve"> </w:t>
      </w:r>
      <w:r w:rsidRPr="000C39D6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0C39D6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0C39D6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D7249E" w:rsidRPr="009B2BCC" w:rsidSect="00512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442B" w14:textId="77777777" w:rsidR="001743DC" w:rsidRDefault="001743DC" w:rsidP="00D40C40">
      <w:r>
        <w:separator/>
      </w:r>
    </w:p>
  </w:endnote>
  <w:endnote w:type="continuationSeparator" w:id="0">
    <w:p w14:paraId="7976F2E1" w14:textId="77777777" w:rsidR="001743DC" w:rsidRDefault="001743D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EB72" w14:textId="77777777" w:rsidR="00620A3A" w:rsidRDefault="00620A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F2" w14:textId="2C32CE8F" w:rsidR="000E4C34" w:rsidRPr="00FC1D34" w:rsidRDefault="00620A3A" w:rsidP="000E4C34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0E4C34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</w:t>
    </w:r>
    <w:r w:rsidR="000E4C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0E4C34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0E4C34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0E4C34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0E4C34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0E4C34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88</w:t>
    </w:r>
    <w:r w:rsidR="000E4C34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0E4C34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0E4C34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043B84">
      <w:rPr>
        <w:rFonts w:ascii="Arial" w:eastAsia="Times New Roman" w:hAnsi="Arial"/>
        <w:i/>
        <w:sz w:val="20"/>
        <w:szCs w:val="20"/>
        <w:lang w:eastAsia="cs-CZ"/>
      </w:rPr>
      <w:t>152</w:t>
    </w:r>
    <w:r w:rsidR="000E4C34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0809CB6" w14:textId="440AD5E2" w:rsidR="000E4C34" w:rsidRPr="00AD524D" w:rsidRDefault="00620A3A" w:rsidP="000E4C3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bookmarkStart w:id="0" w:name="_GoBack"/>
    <w:bookmarkEnd w:id="0"/>
    <w:r w:rsidR="000E4C3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0E4C34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0E4C34" w:rsidRPr="00CF61C5">
      <w:rPr>
        <w:rFonts w:ascii="Arial" w:hAnsi="Arial" w:cs="Arial"/>
        <w:bCs/>
        <w:i/>
        <w:sz w:val="20"/>
        <w:szCs w:val="20"/>
      </w:rPr>
      <w:t>Program</w:t>
    </w:r>
    <w:r w:rsidR="000E4C34">
      <w:rPr>
        <w:rFonts w:ascii="Arial" w:hAnsi="Arial" w:cs="Arial"/>
        <w:bCs/>
        <w:i/>
        <w:sz w:val="20"/>
        <w:szCs w:val="20"/>
      </w:rPr>
      <w:t xml:space="preserve"> </w:t>
    </w:r>
    <w:r w:rsidR="000E4C34" w:rsidRPr="00CF61C5">
      <w:rPr>
        <w:rFonts w:ascii="Arial" w:hAnsi="Arial" w:cs="Arial"/>
        <w:bCs/>
        <w:i/>
        <w:sz w:val="20"/>
        <w:szCs w:val="20"/>
      </w:rPr>
      <w:t>podpor</w:t>
    </w:r>
    <w:r w:rsidR="000E4C34">
      <w:rPr>
        <w:rFonts w:ascii="Arial" w:hAnsi="Arial" w:cs="Arial"/>
        <w:bCs/>
        <w:i/>
        <w:sz w:val="20"/>
        <w:szCs w:val="20"/>
      </w:rPr>
      <w:t>y</w:t>
    </w:r>
    <w:r w:rsidR="000E4C34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0E4C34">
      <w:rPr>
        <w:rFonts w:ascii="Arial" w:hAnsi="Arial" w:cs="Arial"/>
        <w:bCs/>
        <w:i/>
        <w:sz w:val="20"/>
        <w:szCs w:val="20"/>
      </w:rPr>
      <w:t>20</w:t>
    </w:r>
    <w:r w:rsidR="000E4C34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7BA5330" w14:textId="1108DD1E" w:rsidR="00D20B9A" w:rsidRPr="00BA52A0" w:rsidRDefault="000E4C34" w:rsidP="000E4C34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07</w:t>
    </w:r>
    <w:r w:rsidRPr="00BA52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D61837">
      <w:rPr>
        <w:rFonts w:ascii="Arial" w:hAnsi="Arial" w:cs="Arial"/>
        <w:i/>
        <w:sz w:val="20"/>
        <w:szCs w:val="24"/>
      </w:rPr>
      <w:t>Vzorová veřejnoprávní smlouva o poskytnutí dotace na akci příspěvkovým organizacím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A7CF2" w14:textId="796F486E" w:rsidR="008E44A1" w:rsidRPr="00FC1D34" w:rsidRDefault="00620A3A" w:rsidP="008E44A1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8E44A1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</w:t>
    </w:r>
    <w:r w:rsidR="008E44A1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8E44A1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8E44A1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8E44A1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8E44A1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8E44A1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87</w:t>
    </w:r>
    <w:r w:rsidR="008E44A1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8E44A1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8E44A1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043B84">
      <w:rPr>
        <w:rFonts w:ascii="Arial" w:eastAsia="Times New Roman" w:hAnsi="Arial"/>
        <w:i/>
        <w:sz w:val="20"/>
        <w:szCs w:val="20"/>
        <w:lang w:eastAsia="cs-CZ"/>
      </w:rPr>
      <w:t>152</w:t>
    </w:r>
    <w:r w:rsidR="008E44A1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00FCC8A1" w14:textId="59B45FEC" w:rsidR="00AD524D" w:rsidRPr="00AD524D" w:rsidRDefault="00620A3A" w:rsidP="008E44A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32</w:t>
    </w:r>
    <w:r w:rsidR="008E44A1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8E44A1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8E44A1" w:rsidRPr="00CF61C5">
      <w:rPr>
        <w:rFonts w:ascii="Arial" w:hAnsi="Arial" w:cs="Arial"/>
        <w:bCs/>
        <w:i/>
        <w:sz w:val="20"/>
        <w:szCs w:val="20"/>
      </w:rPr>
      <w:t>Program</w:t>
    </w:r>
    <w:r w:rsidR="008E44A1">
      <w:rPr>
        <w:rFonts w:ascii="Arial" w:hAnsi="Arial" w:cs="Arial"/>
        <w:bCs/>
        <w:i/>
        <w:sz w:val="20"/>
        <w:szCs w:val="20"/>
      </w:rPr>
      <w:t xml:space="preserve"> </w:t>
    </w:r>
    <w:r w:rsidR="008E44A1" w:rsidRPr="00CF61C5">
      <w:rPr>
        <w:rFonts w:ascii="Arial" w:hAnsi="Arial" w:cs="Arial"/>
        <w:bCs/>
        <w:i/>
        <w:sz w:val="20"/>
        <w:szCs w:val="20"/>
      </w:rPr>
      <w:t>podpor</w:t>
    </w:r>
    <w:r w:rsidR="008E44A1">
      <w:rPr>
        <w:rFonts w:ascii="Arial" w:hAnsi="Arial" w:cs="Arial"/>
        <w:bCs/>
        <w:i/>
        <w:sz w:val="20"/>
        <w:szCs w:val="20"/>
      </w:rPr>
      <w:t>y</w:t>
    </w:r>
    <w:r w:rsidR="008E44A1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8E44A1">
      <w:rPr>
        <w:rFonts w:ascii="Arial" w:hAnsi="Arial" w:cs="Arial"/>
        <w:bCs/>
        <w:i/>
        <w:sz w:val="20"/>
        <w:szCs w:val="20"/>
      </w:rPr>
      <w:t>20</w:t>
    </w:r>
    <w:r w:rsidR="008E44A1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91B58AA" w14:textId="79023B29" w:rsidR="00A375C6" w:rsidRPr="00BA52A0" w:rsidRDefault="00D61837" w:rsidP="00BA52A0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07</w:t>
    </w:r>
    <w:r w:rsidR="00BA52A0" w:rsidRPr="00BA52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D61837">
      <w:rPr>
        <w:rFonts w:ascii="Arial" w:hAnsi="Arial" w:cs="Arial"/>
        <w:i/>
        <w:sz w:val="20"/>
        <w:szCs w:val="24"/>
      </w:rPr>
      <w:t>Vzorová veřejnoprávní smlouva o poskytnutí dotace na akci příspěvkovým organizacím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750D" w14:textId="77777777" w:rsidR="001743DC" w:rsidRDefault="001743DC" w:rsidP="00D40C40">
      <w:r>
        <w:separator/>
      </w:r>
    </w:p>
  </w:footnote>
  <w:footnote w:type="continuationSeparator" w:id="0">
    <w:p w14:paraId="332DD92F" w14:textId="77777777" w:rsidR="001743DC" w:rsidRDefault="001743D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774FE" w14:textId="77777777" w:rsidR="00620A3A" w:rsidRDefault="00620A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CAF7" w14:textId="431E7D69" w:rsidR="00AD524D" w:rsidRDefault="00D61837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07</w:t>
    </w:r>
    <w:r w:rsidRPr="00BA52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D61837">
      <w:rPr>
        <w:rFonts w:ascii="Arial" w:hAnsi="Arial" w:cs="Arial"/>
        <w:i/>
        <w:sz w:val="20"/>
        <w:szCs w:val="24"/>
      </w:rPr>
      <w:t>Vzorová veřejnoprávní smlouva o poskytnutí dotace na akci příspěvkovým organizacím</w:t>
    </w:r>
  </w:p>
  <w:p w14:paraId="1E2773DA" w14:textId="77777777" w:rsidR="00AD524D" w:rsidRDefault="00AD52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7EE4" w14:textId="0FA87F89" w:rsidR="00AD524D" w:rsidRDefault="00D61837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07</w:t>
    </w:r>
    <w:r w:rsidRPr="00BA52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D61837">
      <w:rPr>
        <w:rFonts w:ascii="Arial" w:hAnsi="Arial" w:cs="Arial"/>
        <w:i/>
        <w:sz w:val="20"/>
        <w:szCs w:val="24"/>
      </w:rPr>
      <w:t>Vzorová veřejnoprávní smlouva o poskytnutí dotace na akci příspěvkovým organizacím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B84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131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E12"/>
    <w:rsid w:val="000A5DD4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03AB"/>
    <w:rsid w:val="000E1AAD"/>
    <w:rsid w:val="000E2BFA"/>
    <w:rsid w:val="000E4C34"/>
    <w:rsid w:val="000E4EB8"/>
    <w:rsid w:val="000E6307"/>
    <w:rsid w:val="000E63E3"/>
    <w:rsid w:val="000E72E9"/>
    <w:rsid w:val="000E7952"/>
    <w:rsid w:val="000E7D2F"/>
    <w:rsid w:val="000F0519"/>
    <w:rsid w:val="000F659E"/>
    <w:rsid w:val="00100E02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2F28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F09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43DC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B9D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0D2E"/>
    <w:rsid w:val="001E21D4"/>
    <w:rsid w:val="001E478A"/>
    <w:rsid w:val="001E5401"/>
    <w:rsid w:val="001E5DC3"/>
    <w:rsid w:val="001E5DE6"/>
    <w:rsid w:val="001E61B2"/>
    <w:rsid w:val="001E6893"/>
    <w:rsid w:val="001F0441"/>
    <w:rsid w:val="001F411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E0B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31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1D97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2B6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E95"/>
    <w:rsid w:val="00461837"/>
    <w:rsid w:val="004618CC"/>
    <w:rsid w:val="004632A7"/>
    <w:rsid w:val="00464488"/>
    <w:rsid w:val="0046461C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2AF7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0680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3A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B60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7EF9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610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E7D94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C8C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629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44A1"/>
    <w:rsid w:val="008F03FB"/>
    <w:rsid w:val="008F1173"/>
    <w:rsid w:val="008F1445"/>
    <w:rsid w:val="008F4077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56E"/>
    <w:rsid w:val="00942070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06A9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67AE7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59E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24D"/>
    <w:rsid w:val="00AE18C4"/>
    <w:rsid w:val="00AE30DE"/>
    <w:rsid w:val="00AE3DBD"/>
    <w:rsid w:val="00AE7CD0"/>
    <w:rsid w:val="00AF161F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4AAB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695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52A0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87D"/>
    <w:rsid w:val="00C04BCF"/>
    <w:rsid w:val="00C061B6"/>
    <w:rsid w:val="00C063A4"/>
    <w:rsid w:val="00C0680B"/>
    <w:rsid w:val="00C06BFA"/>
    <w:rsid w:val="00C076A4"/>
    <w:rsid w:val="00C11B75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115"/>
    <w:rsid w:val="00C875AA"/>
    <w:rsid w:val="00C877AD"/>
    <w:rsid w:val="00C87CAD"/>
    <w:rsid w:val="00C90DC4"/>
    <w:rsid w:val="00C92651"/>
    <w:rsid w:val="00C9283D"/>
    <w:rsid w:val="00C93442"/>
    <w:rsid w:val="00C938DD"/>
    <w:rsid w:val="00C95988"/>
    <w:rsid w:val="00C96B55"/>
    <w:rsid w:val="00CA0A71"/>
    <w:rsid w:val="00CA19C3"/>
    <w:rsid w:val="00CA1E36"/>
    <w:rsid w:val="00CA24A0"/>
    <w:rsid w:val="00CA5FD0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3E06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2AD"/>
    <w:rsid w:val="00D232F0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837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49E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2BF2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0A3A"/>
    <w:rsid w:val="00EA3E6A"/>
    <w:rsid w:val="00EA597C"/>
    <w:rsid w:val="00EA5E7D"/>
    <w:rsid w:val="00EA6532"/>
    <w:rsid w:val="00EA7643"/>
    <w:rsid w:val="00EB0B52"/>
    <w:rsid w:val="00EB28FE"/>
    <w:rsid w:val="00EB378B"/>
    <w:rsid w:val="00EB383A"/>
    <w:rsid w:val="00EB4D8F"/>
    <w:rsid w:val="00EB56A8"/>
    <w:rsid w:val="00EB5B0E"/>
    <w:rsid w:val="00EB6A20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64D9-4DA5-40E2-B3C7-847537C1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4197</Words>
  <Characters>24768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25</cp:revision>
  <cp:lastPrinted>2018-08-24T12:56:00Z</cp:lastPrinted>
  <dcterms:created xsi:type="dcterms:W3CDTF">2019-11-26T08:08:00Z</dcterms:created>
  <dcterms:modified xsi:type="dcterms:W3CDTF">2019-12-06T09:12:00Z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