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D2FD099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60530E7C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49D" w:rsidRPr="00881B52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D4F6AA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55649D" w:rsidRPr="00881B52">
        <w:rPr>
          <w:rFonts w:ascii="Arial" w:hAnsi="Arial" w:cs="Arial"/>
          <w:sz w:val="24"/>
          <w:szCs w:val="24"/>
        </w:rPr>
        <w:t xml:space="preserve">podpory </w:t>
      </w:r>
      <w:r w:rsidR="0055649D" w:rsidRPr="00881B52">
        <w:rPr>
          <w:rFonts w:ascii="Arial" w:hAnsi="Arial" w:cs="Arial"/>
          <w:sz w:val="24"/>
          <w:szCs w:val="24"/>
        </w:rPr>
        <w:lastRenderedPageBreak/>
        <w:t>a rozšíření kvalitních a hodnotných typů kulturních aktivit v Olomouckém kraji ve veřejném zájmu a v souladu s cíli Olomouckého kraje.</w:t>
      </w:r>
    </w:p>
    <w:p w14:paraId="3C9258CF" w14:textId="6B293F33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64CE383B" w14:textId="77777777" w:rsidR="00881B52" w:rsidRPr="000A6233" w:rsidRDefault="00881B52" w:rsidP="00881B5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Pr="006874C8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0A6233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Pr="000A6233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Pr="000A6233">
        <w:rPr>
          <w:rFonts w:ascii="Arial" w:hAnsi="Arial" w:cs="Arial"/>
          <w:i/>
          <w:color w:val="0000FF"/>
          <w:sz w:val="24"/>
          <w:szCs w:val="24"/>
        </w:rPr>
        <w:t>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650194E" w14:textId="77777777" w:rsidR="00881B52" w:rsidRDefault="00881B52" w:rsidP="00881B52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3AD2E2" w14:textId="59E7B86D" w:rsidR="00826F10" w:rsidRDefault="00881B52" w:rsidP="00881B5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38312F1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83AF80B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55649D" w:rsidRPr="00881B52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55649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649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841B88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4DAB37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B5051DB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9CD312E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0D2E5A9" w14:textId="77777777" w:rsidR="0055649D" w:rsidRPr="00520771" w:rsidRDefault="005A477A" w:rsidP="0055649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55649D" w:rsidRPr="00881B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="0055649D"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B7CE2B9" w14:textId="60954D6E" w:rsidR="00BF3D05" w:rsidRDefault="0055649D" w:rsidP="0055649D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881B52">
        <w:rPr>
          <w:rFonts w:ascii="Arial" w:eastAsia="Times New Roman" w:hAnsi="Arial" w:cs="Arial"/>
          <w:sz w:val="24"/>
          <w:szCs w:val="24"/>
          <w:lang w:eastAsia="cs-CZ"/>
        </w:rPr>
        <w:t xml:space="preserve">50 % z vlastních a jiných zdrojů. Budou-li celkové skutečně vynaložené uznatelné výdaje nižší než celkové předpokládané uznatelné výdaje, je příjemce povinen </w:t>
      </w:r>
      <w:r w:rsidRPr="00881B5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50 </w:t>
      </w:r>
      <w:r>
        <w:rPr>
          <w:rFonts w:ascii="Arial" w:hAnsi="Arial" w:cs="Arial"/>
          <w:sz w:val="24"/>
          <w:szCs w:val="24"/>
        </w:rPr>
        <w:t>%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AC8699F" w14:textId="759267F5" w:rsidR="0055649D" w:rsidRPr="009869E4" w:rsidRDefault="0055649D" w:rsidP="005564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1B52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81B52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81B52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DD21C5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881B52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881B52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81B52">
        <w:rPr>
          <w:rFonts w:ascii="Arial" w:hAnsi="Arial" w:cs="Arial"/>
          <w:sz w:val="24"/>
          <w:szCs w:val="24"/>
          <w:highlight w:val="green"/>
        </w:rPr>
        <w:t>(</w:t>
      </w:r>
      <w:r w:rsidRPr="00881B52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81B52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05B0703" w14:textId="5E707428" w:rsidR="00BF3D05" w:rsidRPr="00841ADB" w:rsidRDefault="00881B52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074652B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7674EA87" w14:textId="77777777" w:rsidR="00881B52" w:rsidRDefault="00881B52" w:rsidP="00881B5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E563D18" w14:textId="77777777" w:rsidR="00881B52" w:rsidRPr="00520771" w:rsidRDefault="00881B52" w:rsidP="00881B5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4D72ABE4" w14:textId="77777777" w:rsidR="00881B52" w:rsidRPr="00520771" w:rsidRDefault="00881B52" w:rsidP="00881B52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3393281" w14:textId="77777777" w:rsidR="00881B52" w:rsidRPr="00520771" w:rsidRDefault="00881B52" w:rsidP="00881B5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4534F31" w14:textId="77777777" w:rsidR="00881B52" w:rsidRPr="00520771" w:rsidRDefault="00881B52" w:rsidP="00881B5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1. Tento soupis bude doložen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11B37E" w14:textId="3F1A7B37" w:rsidR="00881B52" w:rsidRPr="00520771" w:rsidRDefault="00881B52" w:rsidP="00881B5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C77CB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411F8E17" w:rsidR="006A1189" w:rsidRDefault="00881B52" w:rsidP="00881B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45386B8B" w:rsidR="009A3DA5" w:rsidRPr="0055649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881B5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81B5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81B5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881B5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dle čl. II odst. 2 této smlouvy,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2DA7711" w14:textId="7EB7D9BD" w:rsidR="0055649D" w:rsidRPr="0058756D" w:rsidRDefault="0055649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881B52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881B52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881B52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881B52">
        <w:rPr>
          <w:rFonts w:ascii="Arial" w:hAnsi="Arial" w:cs="Arial"/>
          <w:sz w:val="24"/>
          <w:szCs w:val="24"/>
          <w:highlight w:val="green"/>
        </w:rPr>
        <w:t>(</w:t>
      </w:r>
      <w:r w:rsidRPr="00881B52">
        <w:rPr>
          <w:rFonts w:ascii="Arial" w:hAnsi="Arial" w:cs="Arial"/>
          <w:b/>
          <w:sz w:val="24"/>
          <w:szCs w:val="24"/>
          <w:highlight w:val="green"/>
        </w:rPr>
        <w:t>70 %</w:t>
      </w:r>
      <w:r w:rsidR="00DD21C5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881B52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881B52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</w:t>
      </w:r>
      <w:r w:rsidR="00DD21C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881B52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881B52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881B52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881B52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881B52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881B52">
        <w:rPr>
          <w:rFonts w:ascii="Arial" w:hAnsi="Arial" w:cs="Arial"/>
          <w:sz w:val="24"/>
          <w:szCs w:val="24"/>
          <w:highlight w:val="green"/>
        </w:rPr>
        <w:t>(</w:t>
      </w:r>
      <w:r w:rsidRPr="00881B52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81B52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DD21C5">
        <w:rPr>
          <w:rFonts w:ascii="Arial" w:hAnsi="Arial" w:cs="Arial"/>
          <w:sz w:val="24"/>
          <w:szCs w:val="24"/>
          <w:highlight w:val="green"/>
        </w:rPr>
        <w:t>činnost</w:t>
      </w:r>
      <w:r w:rsidRPr="00881B52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výdajů na </w:t>
      </w:r>
      <w:r w:rsidR="00DD21C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881B52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33880A4" w14:textId="77777777" w:rsidR="0055649D" w:rsidRPr="00881B52" w:rsidRDefault="0055649D" w:rsidP="0055649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81B5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881B52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29ABCA0D" w:rsidR="009A3DA5" w:rsidRPr="008B0B51" w:rsidRDefault="0055649D" w:rsidP="005564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pak: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881B5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5C94BA7" w14:textId="4E427D5C" w:rsidR="00881B52" w:rsidRPr="00520771" w:rsidRDefault="00881B52" w:rsidP="00881B5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</w:t>
      </w:r>
      <w:r w:rsidR="00A140B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</w:t>
      </w:r>
      <w:r w:rsidR="002D4061">
        <w:rPr>
          <w:rFonts w:ascii="Arial" w:eastAsia="Times New Roman" w:hAnsi="Arial" w:cs="Arial"/>
          <w:sz w:val="24"/>
          <w:szCs w:val="24"/>
          <w:lang w:eastAsia="cs-CZ"/>
        </w:rPr>
        <w:t xml:space="preserve"> informace, že 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157919C9" w14:textId="30207854" w:rsidR="00881B52" w:rsidRDefault="00C77CBA" w:rsidP="00881B5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činnosti podporované dle této smlouvy. Povinně pořízená fotodokumentace </w:t>
      </w:r>
      <w:r>
        <w:rPr>
          <w:rFonts w:ascii="Arial" w:eastAsia="Times New Roman" w:hAnsi="Arial" w:cs="Arial"/>
          <w:sz w:val="24"/>
          <w:szCs w:val="24"/>
          <w:lang w:eastAsia="cs-CZ"/>
        </w:rPr>
        <w:t>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61DEFF52" w14:textId="77777777" w:rsidR="00881B52" w:rsidRDefault="00881B52" w:rsidP="00881B52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42F5DBAF" w14:textId="77777777" w:rsidR="00881B52" w:rsidRPr="003556D7" w:rsidRDefault="00881B52" w:rsidP="00881B5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lastRenderedPageBreak/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6CF99BD1" w:rsidR="00836AA2" w:rsidRPr="00836AA2" w:rsidRDefault="00881B52" w:rsidP="00881B5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4862E5A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881B5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5649D" w:rsidRPr="00881B52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209A72FE" w14:textId="77777777" w:rsidR="00881B52" w:rsidRPr="003E0167" w:rsidRDefault="00881B52" w:rsidP="00881B5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03A2BA6" w14:textId="77777777" w:rsidR="00881B52" w:rsidRPr="003E0167" w:rsidRDefault="00881B52" w:rsidP="00881B5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32A9740B" w:rsidR="006C7815" w:rsidRPr="00381AF3" w:rsidRDefault="00881B52" w:rsidP="00881B5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ABAF52C" w14:textId="77777777" w:rsidR="0055649D" w:rsidRDefault="0055649D" w:rsidP="0055649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15C5408" w14:textId="77777777" w:rsidR="0055649D" w:rsidRPr="002825A5" w:rsidRDefault="0055649D" w:rsidP="0055649D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1E106F7B" w14:textId="77777777" w:rsidR="0055649D" w:rsidRPr="00881B52" w:rsidRDefault="0055649D" w:rsidP="005564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81B52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881B52">
        <w:rPr>
          <w:rFonts w:ascii="Arial" w:hAnsi="Arial" w:cs="Arial"/>
          <w:sz w:val="24"/>
          <w:szCs w:val="24"/>
          <w:highlight w:val="green"/>
        </w:rPr>
        <w:t>GBER“)</w:t>
      </w:r>
      <w:r w:rsidRPr="00881B52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881B52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881B52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77917A7A" w14:textId="77777777" w:rsidR="0055649D" w:rsidRPr="00881B52" w:rsidRDefault="0055649D" w:rsidP="005564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881B52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23148E63" w14:textId="77777777" w:rsidR="0055649D" w:rsidRPr="00881B52" w:rsidRDefault="0055649D" w:rsidP="005564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881B52">
        <w:rPr>
          <w:rFonts w:ascii="Arial" w:hAnsi="Arial" w:cs="Arial"/>
          <w:sz w:val="24"/>
          <w:szCs w:val="24"/>
          <w:highlight w:val="green"/>
        </w:rPr>
        <w:t>GBER.</w:t>
      </w:r>
    </w:p>
    <w:p w14:paraId="66A72D60" w14:textId="77777777" w:rsidR="0055649D" w:rsidRPr="00881B52" w:rsidRDefault="0055649D" w:rsidP="0055649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881B5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3684ABAB" w14:textId="77777777" w:rsidR="0055649D" w:rsidRPr="003E0167" w:rsidRDefault="0055649D" w:rsidP="0055649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Pokud nebude možné </w:t>
      </w:r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vzhledem k účelu dotace vyloučit veřejnou podporu </w:t>
      </w:r>
      <w:proofErr w:type="spellStart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81B52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81B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ABA9943" w14:textId="77777777" w:rsidR="0055649D" w:rsidRPr="002825A5" w:rsidRDefault="0055649D" w:rsidP="0055649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03966687" w14:textId="77777777" w:rsidR="0055649D" w:rsidRPr="002825A5" w:rsidRDefault="0055649D" w:rsidP="0055649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3BE7EB96" w14:textId="77777777" w:rsidR="0055649D" w:rsidRPr="002825A5" w:rsidRDefault="0055649D" w:rsidP="0055649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B45A937" w:rsidR="00170EC7" w:rsidRPr="009869E4" w:rsidRDefault="0055649D" w:rsidP="0055649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B681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11F9A168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7CA3A69" w14:textId="77777777" w:rsidR="0055649D" w:rsidRDefault="0055649D" w:rsidP="0055649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70DC3338" w:rsidR="009A3DA5" w:rsidRPr="009869E4" w:rsidRDefault="00881B52" w:rsidP="005564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43E2215" w14:textId="77777777" w:rsidR="00881B52" w:rsidRPr="00520771" w:rsidRDefault="00881B52" w:rsidP="00881B52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vé ustanovení čl. II odst. 2 – </w:t>
      </w:r>
      <w:r w:rsidRPr="005A3611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7EAE52CC" w14:textId="77777777" w:rsidR="00881B52" w:rsidRPr="003E0167" w:rsidRDefault="00881B52" w:rsidP="00881B52">
      <w:pPr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0AB4DC8" w14:textId="77777777" w:rsidR="00881B52" w:rsidRPr="00892D67" w:rsidRDefault="00881B52" w:rsidP="00881B5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46D393E6" w14:textId="4847D68F" w:rsidR="00881B52" w:rsidRPr="00520771" w:rsidRDefault="00881B52" w:rsidP="00881B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</w:t>
      </w:r>
      <w:r w:rsidR="00DD21C5">
        <w:rPr>
          <w:rFonts w:ascii="Arial" w:hAnsi="Arial" w:cs="Arial"/>
          <w:sz w:val="24"/>
          <w:szCs w:val="24"/>
          <w:highlight w:val="green"/>
        </w:rPr>
        <w:t>činnosti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DDDB8C5" w14:textId="77777777" w:rsidR="00881B52" w:rsidRPr="00520771" w:rsidRDefault="00881B52" w:rsidP="00881B52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E06372D" w14:textId="77777777" w:rsidR="00881B52" w:rsidRPr="00520771" w:rsidRDefault="00881B52" w:rsidP="00881B5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F7FC2D7" w14:textId="77777777" w:rsidR="00881B52" w:rsidRPr="00520771" w:rsidRDefault="00881B52" w:rsidP="00881B5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36297EE" w14:textId="77777777" w:rsidR="00881B52" w:rsidRPr="00520771" w:rsidRDefault="00881B52" w:rsidP="00881B5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286B7FE5" w14:textId="4940572E" w:rsidR="00881B52" w:rsidRPr="00520771" w:rsidRDefault="00881B52" w:rsidP="00881B5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642DE8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16468A" w14:textId="1B04D26B" w:rsidR="00881B52" w:rsidRPr="00520771" w:rsidRDefault="002B4938" w:rsidP="00881B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CE782" w14:textId="77777777" w:rsidR="00881B52" w:rsidRPr="00F2620D" w:rsidRDefault="00881B52" w:rsidP="00881B5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21BA659B" w14:textId="7A6A8248" w:rsidR="0055649D" w:rsidRPr="00C862B3" w:rsidRDefault="00881B52" w:rsidP="00881B5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A361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DD21C5">
        <w:rPr>
          <w:rFonts w:ascii="Arial" w:hAnsi="Arial" w:cs="Arial"/>
          <w:sz w:val="24"/>
          <w:szCs w:val="24"/>
          <w:highlight w:val="green"/>
        </w:rPr>
        <w:t>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5A3611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</w:t>
      </w:r>
      <w:r w:rsidR="00DD21C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A361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5A3611">
        <w:rPr>
          <w:rFonts w:ascii="Arial" w:hAnsi="Arial" w:cs="Arial"/>
          <w:sz w:val="24"/>
          <w:szCs w:val="24"/>
          <w:highlight w:val="green"/>
        </w:rPr>
        <w:t xml:space="preserve">, v jakékoli formě </w:t>
      </w:r>
      <w:r w:rsidRPr="005A3611">
        <w:rPr>
          <w:rFonts w:ascii="Arial" w:hAnsi="Arial" w:cs="Arial"/>
          <w:sz w:val="24"/>
          <w:szCs w:val="24"/>
          <w:highlight w:val="green"/>
        </w:rPr>
        <w:lastRenderedPageBreak/>
        <w:t xml:space="preserve">poskytnutých ze všech veřejných zdrojů nepřesáhl 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DD21C5">
        <w:rPr>
          <w:rFonts w:ascii="Arial" w:hAnsi="Arial" w:cs="Arial"/>
          <w:sz w:val="24"/>
          <w:szCs w:val="24"/>
          <w:highlight w:val="green"/>
        </w:rPr>
        <w:t>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výdajů na </w:t>
      </w:r>
      <w:r w:rsidR="00DD21C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5A3611">
        <w:rPr>
          <w:rFonts w:ascii="Arial" w:hAnsi="Arial" w:cs="Arial"/>
          <w:i/>
          <w:sz w:val="24"/>
        </w:rPr>
        <w:t xml:space="preserve"> </w:t>
      </w:r>
      <w:r w:rsidRPr="00CD480C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CD480C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CD480C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55649D" w:rsidRPr="00C862B3" w:rsidSect="008B6B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11FD" w14:textId="77777777" w:rsidR="00252E7B" w:rsidRDefault="00252E7B" w:rsidP="00D40C40">
      <w:r>
        <w:separator/>
      </w:r>
    </w:p>
  </w:endnote>
  <w:endnote w:type="continuationSeparator" w:id="0">
    <w:p w14:paraId="64263E83" w14:textId="77777777" w:rsidR="00252E7B" w:rsidRDefault="00252E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0626" w14:textId="77777777" w:rsidR="00EC2F18" w:rsidRDefault="00EC2F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4108" w14:textId="7B3580E8" w:rsidR="00FF1304" w:rsidRPr="00FC1D34" w:rsidRDefault="00EC2F18" w:rsidP="00FF1304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FF1304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="00FF1304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FF1304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121</w: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FF1304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B60FB">
      <w:rPr>
        <w:rFonts w:ascii="Arial" w:eastAsia="Times New Roman" w:hAnsi="Arial"/>
        <w:i/>
        <w:sz w:val="20"/>
        <w:szCs w:val="20"/>
        <w:lang w:eastAsia="cs-CZ"/>
      </w:rPr>
      <w:t>152</w:t>
    </w:r>
    <w:r w:rsidR="00FF1304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194BDA27" w14:textId="113D25ED" w:rsidR="00FF1304" w:rsidRDefault="00EC2F18" w:rsidP="00FF130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bookmarkStart w:id="0" w:name="_GoBack"/>
    <w:bookmarkEnd w:id="0"/>
    <w:r w:rsidR="00FF130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FF1304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FF1304" w:rsidRPr="00CF61C5">
      <w:rPr>
        <w:rFonts w:ascii="Arial" w:hAnsi="Arial" w:cs="Arial"/>
        <w:bCs/>
        <w:i/>
        <w:sz w:val="20"/>
        <w:szCs w:val="20"/>
      </w:rPr>
      <w:t>Program</w:t>
    </w:r>
    <w:r w:rsidR="00FF1304">
      <w:rPr>
        <w:rFonts w:ascii="Arial" w:hAnsi="Arial" w:cs="Arial"/>
        <w:bCs/>
        <w:i/>
        <w:sz w:val="20"/>
        <w:szCs w:val="20"/>
      </w:rPr>
      <w:t xml:space="preserve"> </w:t>
    </w:r>
    <w:r w:rsidR="00FF1304" w:rsidRPr="00CF61C5">
      <w:rPr>
        <w:rFonts w:ascii="Arial" w:hAnsi="Arial" w:cs="Arial"/>
        <w:bCs/>
        <w:i/>
        <w:sz w:val="20"/>
        <w:szCs w:val="20"/>
      </w:rPr>
      <w:t>podpor</w:t>
    </w:r>
    <w:r w:rsidR="00FF1304">
      <w:rPr>
        <w:rFonts w:ascii="Arial" w:hAnsi="Arial" w:cs="Arial"/>
        <w:bCs/>
        <w:i/>
        <w:sz w:val="20"/>
        <w:szCs w:val="20"/>
      </w:rPr>
      <w:t>y</w:t>
    </w:r>
    <w:r w:rsidR="00FF1304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FF1304">
      <w:rPr>
        <w:rFonts w:ascii="Arial" w:hAnsi="Arial" w:cs="Arial"/>
        <w:bCs/>
        <w:i/>
        <w:sz w:val="20"/>
        <w:szCs w:val="20"/>
      </w:rPr>
      <w:t>20</w:t>
    </w:r>
    <w:r w:rsidR="00FF1304" w:rsidRPr="00CF61C5">
      <w:rPr>
        <w:rFonts w:ascii="Arial" w:hAnsi="Arial" w:cs="Arial"/>
        <w:bCs/>
        <w:i/>
        <w:sz w:val="20"/>
        <w:szCs w:val="20"/>
      </w:rPr>
      <w:t xml:space="preserve"> </w:t>
    </w:r>
    <w:r w:rsidR="00FF1304">
      <w:rPr>
        <w:rFonts w:ascii="Arial" w:hAnsi="Arial" w:cs="Arial"/>
        <w:bCs/>
        <w:i/>
        <w:sz w:val="20"/>
        <w:szCs w:val="20"/>
      </w:rPr>
      <w:t>–</w:t>
    </w:r>
    <w:r w:rsidR="00FF1304" w:rsidRPr="00CF61C5">
      <w:rPr>
        <w:rFonts w:ascii="Arial" w:hAnsi="Arial" w:cs="Arial"/>
        <w:bCs/>
        <w:i/>
        <w:sz w:val="20"/>
        <w:szCs w:val="20"/>
      </w:rPr>
      <w:t xml:space="preserve"> vyhlášení</w:t>
    </w:r>
  </w:p>
  <w:p w14:paraId="2A6F19C7" w14:textId="0DFCC298" w:rsidR="005B6E80" w:rsidRPr="006D03C3" w:rsidRDefault="00FF1304" w:rsidP="00FF130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F1304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F781" w14:textId="1873D458" w:rsidR="00FF1304" w:rsidRPr="00FC1D34" w:rsidRDefault="00EC2F18" w:rsidP="00FF1304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FF1304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FF130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FF1304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120</w:t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FF1304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FF1304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B60FB">
      <w:rPr>
        <w:rFonts w:ascii="Arial" w:eastAsia="Times New Roman" w:hAnsi="Arial"/>
        <w:i/>
        <w:sz w:val="20"/>
        <w:szCs w:val="20"/>
        <w:lang w:eastAsia="cs-CZ"/>
      </w:rPr>
      <w:t>152</w:t>
    </w:r>
    <w:r w:rsidR="00FF1304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FEEF303" w14:textId="3D816459" w:rsidR="00FF1304" w:rsidRDefault="00EC2F18" w:rsidP="00FF130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FF130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FF1304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FF1304" w:rsidRPr="00CF61C5">
      <w:rPr>
        <w:rFonts w:ascii="Arial" w:hAnsi="Arial" w:cs="Arial"/>
        <w:bCs/>
        <w:i/>
        <w:sz w:val="20"/>
        <w:szCs w:val="20"/>
      </w:rPr>
      <w:t>Program</w:t>
    </w:r>
    <w:r w:rsidR="00FF1304">
      <w:rPr>
        <w:rFonts w:ascii="Arial" w:hAnsi="Arial" w:cs="Arial"/>
        <w:bCs/>
        <w:i/>
        <w:sz w:val="20"/>
        <w:szCs w:val="20"/>
      </w:rPr>
      <w:t xml:space="preserve"> </w:t>
    </w:r>
    <w:r w:rsidR="00FF1304" w:rsidRPr="00CF61C5">
      <w:rPr>
        <w:rFonts w:ascii="Arial" w:hAnsi="Arial" w:cs="Arial"/>
        <w:bCs/>
        <w:i/>
        <w:sz w:val="20"/>
        <w:szCs w:val="20"/>
      </w:rPr>
      <w:t>podpor</w:t>
    </w:r>
    <w:r w:rsidR="00FF1304">
      <w:rPr>
        <w:rFonts w:ascii="Arial" w:hAnsi="Arial" w:cs="Arial"/>
        <w:bCs/>
        <w:i/>
        <w:sz w:val="20"/>
        <w:szCs w:val="20"/>
      </w:rPr>
      <w:t>y</w:t>
    </w:r>
    <w:r w:rsidR="00FF1304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FF1304">
      <w:rPr>
        <w:rFonts w:ascii="Arial" w:hAnsi="Arial" w:cs="Arial"/>
        <w:bCs/>
        <w:i/>
        <w:sz w:val="20"/>
        <w:szCs w:val="20"/>
      </w:rPr>
      <w:t>20</w:t>
    </w:r>
    <w:r w:rsidR="00FF1304" w:rsidRPr="00CF61C5">
      <w:rPr>
        <w:rFonts w:ascii="Arial" w:hAnsi="Arial" w:cs="Arial"/>
        <w:bCs/>
        <w:i/>
        <w:sz w:val="20"/>
        <w:szCs w:val="20"/>
      </w:rPr>
      <w:t xml:space="preserve"> </w:t>
    </w:r>
    <w:r w:rsidR="00FF1304">
      <w:rPr>
        <w:rFonts w:ascii="Arial" w:hAnsi="Arial" w:cs="Arial"/>
        <w:bCs/>
        <w:i/>
        <w:sz w:val="20"/>
        <w:szCs w:val="20"/>
      </w:rPr>
      <w:t>–</w:t>
    </w:r>
    <w:r w:rsidR="00FF1304" w:rsidRPr="00CF61C5">
      <w:rPr>
        <w:rFonts w:ascii="Arial" w:hAnsi="Arial" w:cs="Arial"/>
        <w:bCs/>
        <w:i/>
        <w:sz w:val="20"/>
        <w:szCs w:val="20"/>
      </w:rPr>
      <w:t xml:space="preserve"> vyhlášení</w:t>
    </w:r>
  </w:p>
  <w:p w14:paraId="391B58AA" w14:textId="62A84213" w:rsidR="00A375C6" w:rsidRPr="0042015B" w:rsidRDefault="003D1C6E" w:rsidP="00FF130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FF13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FF1304" w:rsidRPr="00FF1304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BB72" w14:textId="77777777" w:rsidR="00252E7B" w:rsidRDefault="00252E7B" w:rsidP="00D40C40">
      <w:r>
        <w:separator/>
      </w:r>
    </w:p>
  </w:footnote>
  <w:footnote w:type="continuationSeparator" w:id="0">
    <w:p w14:paraId="311FE68B" w14:textId="77777777" w:rsidR="00252E7B" w:rsidRDefault="00252E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BA91" w14:textId="77777777" w:rsidR="00EC2F18" w:rsidRDefault="00EC2F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2DD0" w14:textId="5DAA8BE1" w:rsidR="0042015B" w:rsidRDefault="00FF1304" w:rsidP="00FF1304">
    <w:pPr>
      <w:pStyle w:val="Zhlav"/>
      <w:ind w:left="0" w:firstLine="0"/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F1304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  <w:p w14:paraId="44926F71" w14:textId="77777777" w:rsidR="0042015B" w:rsidRDefault="004201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A169" w14:textId="3B64564F" w:rsidR="0042015B" w:rsidRDefault="00FF1304" w:rsidP="00FF1304">
    <w:pPr>
      <w:pStyle w:val="Zhlav"/>
      <w:ind w:left="0" w:firstLine="0"/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F1304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4938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4061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2E0E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649D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DE8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1B52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3999"/>
    <w:rsid w:val="008B4510"/>
    <w:rsid w:val="008B4FF9"/>
    <w:rsid w:val="008B5721"/>
    <w:rsid w:val="008B6046"/>
    <w:rsid w:val="008B6B1B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57F36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0FB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0BC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D3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7CBA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1754"/>
    <w:rsid w:val="00D72898"/>
    <w:rsid w:val="00D73EC7"/>
    <w:rsid w:val="00D74FAE"/>
    <w:rsid w:val="00D76C86"/>
    <w:rsid w:val="00D76F92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21C5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2F1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489D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1304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vyuctovani-dotace-cl-46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913C-D630-4AEA-8D03-8DD40C3C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3759</Words>
  <Characters>22179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20</cp:revision>
  <cp:lastPrinted>2018-08-24T12:55:00Z</cp:lastPrinted>
  <dcterms:created xsi:type="dcterms:W3CDTF">2019-10-15T11:27:00Z</dcterms:created>
  <dcterms:modified xsi:type="dcterms:W3CDTF">2019-12-06T09:14:00Z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