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4B97BF9B" w:rsidR="009701E1" w:rsidRPr="00367D2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4B8F90B" w:rsidR="009701E1" w:rsidRPr="00973B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A5434CF" w14:textId="77777777" w:rsidR="00F33FFA" w:rsidRPr="00F33FFA" w:rsidRDefault="009A3DA5" w:rsidP="00F33FFA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3FFA">
        <w:rPr>
          <w:rFonts w:ascii="Arial" w:eastAsia="Times New Roman" w:hAnsi="Arial" w:cs="Arial"/>
          <w:sz w:val="24"/>
          <w:szCs w:val="24"/>
          <w:lang w:eastAsia="cs-CZ"/>
        </w:rPr>
        <w:t>za účelem:</w:t>
      </w:r>
      <w:r w:rsidR="00973BD5" w:rsidRPr="008B34E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23C0CCF5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6B1AD8">
        <w:rPr>
          <w:rFonts w:ascii="Arial" w:hAnsi="Arial" w:cs="Arial"/>
          <w:sz w:val="24"/>
        </w:rPr>
        <w:t>podpory přípravy nových profesně zaměřených bakalářských a/nebo magisterských studijních oborů;</w:t>
      </w:r>
    </w:p>
    <w:p w14:paraId="36838D4D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6B1AD8">
        <w:rPr>
          <w:rFonts w:ascii="Arial" w:hAnsi="Arial" w:cs="Arial"/>
          <w:sz w:val="24"/>
        </w:rPr>
        <w:t>podpory výuky v již akreditovaných profesně zaměřených bakalářských a/nebo magisterských studijních oborech;</w:t>
      </w:r>
    </w:p>
    <w:p w14:paraId="6FD08296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6B1AD8">
        <w:rPr>
          <w:rFonts w:ascii="Arial" w:hAnsi="Arial" w:cs="Arial"/>
          <w:sz w:val="24"/>
        </w:rPr>
        <w:t>podpory propagace</w:t>
      </w:r>
      <w:r w:rsidRPr="006B1AD8">
        <w:rPr>
          <w:rFonts w:ascii="Arial" w:hAnsi="Arial" w:cs="Arial"/>
          <w:i/>
          <w:sz w:val="24"/>
        </w:rPr>
        <w:t xml:space="preserve"> </w:t>
      </w:r>
      <w:r w:rsidRPr="006B1AD8">
        <w:rPr>
          <w:rFonts w:ascii="Arial" w:hAnsi="Arial" w:cs="Arial"/>
          <w:sz w:val="24"/>
        </w:rPr>
        <w:t>profesně zaměřených bakalářských a/nebo magisterských studijních oborů včetně propagace na středních školách;</w:t>
      </w:r>
    </w:p>
    <w:p w14:paraId="2D2E9680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6B1AD8">
        <w:rPr>
          <w:rFonts w:ascii="Arial" w:hAnsi="Arial" w:cs="Arial"/>
          <w:sz w:val="24"/>
        </w:rPr>
        <w:t>podpory praxe studentů ke zvýšení uplatnitelnosti na trhu práce;</w:t>
      </w:r>
    </w:p>
    <w:p w14:paraId="6F507674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6B1AD8">
        <w:rPr>
          <w:rFonts w:ascii="Arial" w:hAnsi="Arial" w:cs="Arial"/>
          <w:sz w:val="24"/>
        </w:rPr>
        <w:t>spolupráce s odborníky z praxe při výuce a zajištění praxe pro studenty;</w:t>
      </w:r>
    </w:p>
    <w:p w14:paraId="7CDD24B1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sz w:val="24"/>
        </w:rPr>
      </w:pPr>
      <w:r w:rsidRPr="006B1AD8">
        <w:rPr>
          <w:rFonts w:ascii="Arial" w:hAnsi="Arial" w:cs="Arial"/>
          <w:sz w:val="24"/>
        </w:rPr>
        <w:lastRenderedPageBreak/>
        <w:t>spolupráce vysokých škol se zaměstnavateli a organizacemi zaměstnavatelů z Olomouckého kraje;</w:t>
      </w:r>
    </w:p>
    <w:p w14:paraId="4AD59183" w14:textId="77777777" w:rsidR="00F33FFA" w:rsidRPr="006B1AD8" w:rsidRDefault="00F33FFA" w:rsidP="00F33FFA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hAnsi="Arial" w:cs="Arial"/>
          <w:color w:val="FF0000"/>
          <w:sz w:val="24"/>
        </w:rPr>
      </w:pPr>
      <w:r w:rsidRPr="006B1AD8">
        <w:rPr>
          <w:rFonts w:ascii="Arial" w:hAnsi="Arial" w:cs="Arial"/>
          <w:sz w:val="24"/>
        </w:rPr>
        <w:t>spolupráce vysokých škol s ostatními aktéry vzdělávacího systému v Olomouckém kraji.</w:t>
      </w:r>
    </w:p>
    <w:p w14:paraId="3C9258CF" w14:textId="0E80BB9B" w:rsidR="009A3DA5" w:rsidRPr="00481EAD" w:rsidRDefault="009A3DA5" w:rsidP="00481EAD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481EAD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481EA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81EAD">
        <w:rPr>
          <w:rFonts w:ascii="Arial" w:eastAsia="Times New Roman" w:hAnsi="Arial" w:cs="Arial"/>
          <w:sz w:val="24"/>
          <w:szCs w:val="24"/>
          <w:lang w:eastAsia="cs-CZ"/>
        </w:rPr>
        <w:t>úhrada/částečná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367D2A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0B6138D3" w:rsidR="009A3DA5" w:rsidRPr="003B29BF" w:rsidRDefault="009A3DA5" w:rsidP="003B29BF">
      <w:pPr>
        <w:numPr>
          <w:ilvl w:val="0"/>
          <w:numId w:val="43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2BCD9BF8" w14:textId="554B5AA1" w:rsidR="003B29BF" w:rsidRPr="00481EAD" w:rsidRDefault="003B29BF" w:rsidP="003B29BF">
      <w:pPr>
        <w:spacing w:after="24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987EF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6B13E297" w:rsidR="009A3DA5" w:rsidRDefault="009A3DA5" w:rsidP="00481EAD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981C58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26DA9" w:rsidRPr="00367D2A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2020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04169" w:rsidRPr="00367D2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26DA9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– Podpora </w:t>
      </w:r>
      <w:r w:rsidR="00804169" w:rsidRPr="00367D2A">
        <w:rPr>
          <w:rFonts w:ascii="Arial" w:eastAsia="Times New Roman" w:hAnsi="Arial" w:cs="Arial"/>
          <w:sz w:val="24"/>
          <w:szCs w:val="24"/>
          <w:lang w:eastAsia="cs-CZ"/>
        </w:rPr>
        <w:t>profesně zaměřených studijních programů na vysokých školách v Olomouckém kraji</w:t>
      </w:r>
      <w:r w:rsidR="00326DA9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2C82A111" w:rsidR="00054974" w:rsidRPr="0000726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367D2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</w:t>
      </w: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čerpán jako uznatelný výdaj.</w:t>
      </w:r>
    </w:p>
    <w:p w14:paraId="3C9258DD" w14:textId="5F1D4F33" w:rsidR="009A3DA5" w:rsidRPr="00367D2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</w:t>
      </w:r>
      <w:r w:rsidR="00BD263F"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625E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</w:t>
      </w: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367D2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367D2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367D2A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9262858" w:rsidR="005A477A" w:rsidRPr="00367D2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45969" w:rsidRPr="00367D2A">
        <w:rPr>
          <w:rFonts w:ascii="Arial" w:eastAsia="Times New Roman" w:hAnsi="Arial" w:cs="Arial"/>
          <w:sz w:val="24"/>
          <w:szCs w:val="24"/>
          <w:lang w:eastAsia="cs-CZ"/>
        </w:rPr>
        <w:t>31. 12. 2020.</w:t>
      </w:r>
      <w:r w:rsidR="00BF3D05" w:rsidRPr="00367D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444CEC6D" w:rsidR="005A477A" w:rsidRPr="00367D2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94EC8"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049DD"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B29BF">
        <w:rPr>
          <w:rFonts w:ascii="Arial" w:eastAsia="Times New Roman" w:hAnsi="Arial" w:cs="Arial"/>
          <w:iCs/>
          <w:sz w:val="24"/>
          <w:szCs w:val="24"/>
          <w:lang w:eastAsia="cs-CZ"/>
        </w:rPr>
        <w:t>uzavření</w:t>
      </w:r>
      <w:r w:rsidR="009049DD"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EADD0B3" w:rsidR="006A1189" w:rsidRPr="00625E0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625E08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611607" w:rsidRPr="00625E08">
        <w:rPr>
          <w:rFonts w:ascii="Arial" w:eastAsia="Times New Roman" w:hAnsi="Arial" w:cs="Arial"/>
          <w:sz w:val="24"/>
          <w:szCs w:val="24"/>
          <w:lang w:eastAsia="cs-CZ"/>
        </w:rPr>
        <w:t>15. 1. 2021</w:t>
      </w:r>
      <w:r w:rsidRPr="00625E0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EB1DB22" w:rsidR="006A1189" w:rsidRPr="00367D2A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12F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2F72" w:rsidRPr="00367D2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B42DD">
        <w:rPr>
          <w:rFonts w:ascii="Arial" w:eastAsia="Times New Roman" w:hAnsi="Arial" w:cs="Arial"/>
          <w:sz w:val="24"/>
          <w:szCs w:val="24"/>
          <w:lang w:eastAsia="cs-CZ"/>
        </w:rPr>
        <w:t>F</w:t>
      </w:r>
      <w:r w:rsidR="00712F72" w:rsidRPr="00367D2A">
        <w:rPr>
          <w:rFonts w:ascii="Arial" w:eastAsia="Times New Roman" w:hAnsi="Arial" w:cs="Arial"/>
          <w:sz w:val="24"/>
          <w:szCs w:val="24"/>
          <w:lang w:eastAsia="cs-CZ"/>
        </w:rPr>
        <w:t>inanční vyúčtování dotace – vzor na rok 2020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367D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6B1AD8" w:rsidRPr="00001FF4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https://www.kr-olomoucky.cz/vyuctovani-dotace-cl-4659.html</w:t>
        </w:r>
      </w:hyperlink>
      <w:r w:rsidR="006B1AD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26929A00" w:rsidR="006A1189" w:rsidRPr="00367D2A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0118E78" w14:textId="77777777" w:rsidR="000736D5" w:rsidRPr="00367D2A" w:rsidRDefault="000736D5" w:rsidP="000736D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12AAC84" w14:textId="32652582" w:rsidR="000736D5" w:rsidRPr="00367D2A" w:rsidRDefault="000736D5" w:rsidP="000736D5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AE23A9C" w14:textId="7D61FA3D" w:rsidR="006A1189" w:rsidRPr="000736D5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5571A7A2" w:rsidR="006A1189" w:rsidRPr="00367D2A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184A58" w:rsidRPr="00367D2A">
        <w:rPr>
          <w:rFonts w:ascii="Arial" w:eastAsia="Times New Roman" w:hAnsi="Arial" w:cs="Arial"/>
          <w:sz w:val="24"/>
          <w:szCs w:val="24"/>
          <w:lang w:eastAsia="cs-CZ"/>
        </w:rPr>
        <w:t>být zpracována v listinné podobě a musí obsahovat stručné zhodnocení projektu včetně jeho přínosu pro Olomoucký kr</w:t>
      </w:r>
      <w:r w:rsidR="00367D2A">
        <w:rPr>
          <w:rFonts w:ascii="Arial" w:eastAsia="Times New Roman" w:hAnsi="Arial" w:cs="Arial"/>
          <w:sz w:val="24"/>
          <w:szCs w:val="24"/>
          <w:lang w:eastAsia="cs-CZ"/>
        </w:rPr>
        <w:t xml:space="preserve">aj.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2F6CBF" w:rsidRPr="00367D2A">
        <w:rPr>
          <w:rFonts w:ascii="Arial" w:eastAsia="Times New Roman" w:hAnsi="Arial" w:cs="Arial"/>
          <w:sz w:val="24"/>
          <w:szCs w:val="24"/>
          <w:lang w:eastAsia="cs-CZ"/>
        </w:rPr>
        <w:t>fotodokumentaci užití loga Olomouckého kraje dle č. II odst. 10 této smlouvy.</w:t>
      </w:r>
      <w:r w:rsidR="002F6CBF" w:rsidRPr="00367D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F6CBF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6F434AE2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1AD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="00367D2A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367D2A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Typ porušení smluvních ujednání (procentní sazba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48D642" w14:textId="115B5BF5" w:rsidR="001C3E75" w:rsidRPr="008B0B51" w:rsidRDefault="009A3DA5" w:rsidP="001C3E7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</w:t>
      </w:r>
      <w:r w:rsidR="00367D2A">
        <w:rPr>
          <w:rFonts w:ascii="Arial" w:eastAsia="Times New Roman" w:hAnsi="Arial" w:cs="Arial"/>
          <w:sz w:val="24"/>
          <w:szCs w:val="24"/>
          <w:lang w:eastAsia="cs-CZ"/>
        </w:rPr>
        <w:t xml:space="preserve">jí část na účet </w:t>
      </w:r>
      <w:r w:rsidR="00367D2A" w:rsidRPr="00367D2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C3E75" w:rsidRPr="00367D2A">
        <w:rPr>
          <w:rFonts w:ascii="Arial" w:eastAsia="Times New Roman" w:hAnsi="Arial" w:cs="Arial"/>
          <w:sz w:val="24"/>
          <w:szCs w:val="24"/>
          <w:lang w:eastAsia="cs-CZ"/>
        </w:rPr>
        <w:t>č. 27- 4228330207/0100 (platí pro</w:t>
      </w:r>
      <w:r w:rsidR="00367D2A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vratku realizovanou v roce 2020</w:t>
      </w:r>
      <w:r w:rsidR="001C3E75" w:rsidRPr="00367D2A">
        <w:rPr>
          <w:rFonts w:ascii="Arial" w:eastAsia="Times New Roman" w:hAnsi="Arial" w:cs="Arial"/>
          <w:sz w:val="24"/>
          <w:szCs w:val="24"/>
          <w:lang w:eastAsia="cs-CZ"/>
        </w:rPr>
        <w:t>) nebo č. 27-4228320287/0100 (platí pro vratku real</w:t>
      </w:r>
      <w:r w:rsidR="00367D2A" w:rsidRPr="00367D2A">
        <w:rPr>
          <w:rFonts w:ascii="Arial" w:eastAsia="Times New Roman" w:hAnsi="Arial" w:cs="Arial"/>
          <w:sz w:val="24"/>
          <w:szCs w:val="24"/>
          <w:lang w:eastAsia="cs-CZ"/>
        </w:rPr>
        <w:t>izovanou v roce 2021</w:t>
      </w:r>
      <w:r w:rsidR="001C3E75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="001C3E75" w:rsidRPr="00367D2A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1C3E75" w:rsidRPr="00367D2A">
        <w:rPr>
          <w:rFonts w:ascii="Arial" w:hAnsi="Arial" w:cs="Arial"/>
          <w:iCs/>
          <w:sz w:val="24"/>
          <w:szCs w:val="24"/>
        </w:rPr>
        <w:t xml:space="preserve"> 27-4228320287/0100 </w:t>
      </w:r>
      <w:r w:rsidR="001C3E75" w:rsidRPr="00367D2A">
        <w:rPr>
          <w:rFonts w:ascii="Arial" w:hAnsi="Arial" w:cs="Arial"/>
          <w:sz w:val="24"/>
          <w:szCs w:val="24"/>
        </w:rPr>
        <w:t xml:space="preserve"> </w:t>
      </w:r>
      <w:r w:rsidR="001C3E75" w:rsidRPr="00D40813">
        <w:rPr>
          <w:rFonts w:ascii="Arial" w:hAnsi="Arial" w:cs="Arial"/>
          <w:sz w:val="24"/>
          <w:szCs w:val="24"/>
        </w:rPr>
        <w:t xml:space="preserve">na </w:t>
      </w:r>
      <w:r w:rsidR="001C3E75"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07872FD8" w:rsidR="007317C3" w:rsidRPr="000F1C41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55BDF311" w14:textId="6B99ADC1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BD1A3E" w:rsidRPr="00367D2A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="00367D2A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367D2A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367D2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61F7D" w:rsidRPr="00367D2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realizace této činnosti</w:t>
      </w:r>
      <w:r w:rsidR="0031285D" w:rsidRPr="00367D2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67D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367D2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367D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sz w:val="24"/>
          <w:szCs w:val="24"/>
          <w:lang w:eastAsia="cs-CZ"/>
        </w:rPr>
        <w:t>finančně podpořil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628F046" w:rsidR="006C7815" w:rsidRPr="00367D2A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367D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odst. 10.1 Pravidel.</w:t>
      </w:r>
    </w:p>
    <w:p w14:paraId="7455507D" w14:textId="35C95494" w:rsidR="006C7815" w:rsidRPr="00367D2A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67D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67D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67D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555CAAF0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7BB71D6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6D5260AA" w:rsidR="00367D2A" w:rsidRDefault="00367D2A" w:rsidP="00367D2A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Tato </w:t>
      </w:r>
      <w:r w:rsidRPr="009869E4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>
        <w:rPr>
          <w:rFonts w:ascii="Arial" w:hAnsi="Arial" w:cs="Arial"/>
          <w:sz w:val="24"/>
          <w:szCs w:val="24"/>
          <w:lang w:eastAsia="cs-CZ"/>
        </w:rPr>
        <w:t>.</w:t>
      </w:r>
    </w:p>
    <w:p w14:paraId="118545C2" w14:textId="1E27E717" w:rsidR="009D3461" w:rsidRPr="003B29BF" w:rsidRDefault="003B29BF" w:rsidP="003B29BF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87EF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</w:t>
      </w:r>
      <w:r w:rsidR="0073675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7EF7">
        <w:rPr>
          <w:rFonts w:ascii="Arial" w:eastAsia="Times New Roman" w:hAnsi="Arial" w:cs="Arial"/>
          <w:sz w:val="24"/>
          <w:szCs w:val="24"/>
          <w:lang w:eastAsia="cs-CZ"/>
        </w:rPr>
        <w:t>f) Pravidel.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F2845BE" w14:textId="0D129C68" w:rsidR="001C26F6" w:rsidRPr="0082586A" w:rsidRDefault="004F7CD6" w:rsidP="001C26F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</w:t>
      </w:r>
      <w:r w:rsidRPr="0082586A">
        <w:rPr>
          <w:rFonts w:ascii="Arial" w:eastAsia="Times New Roman" w:hAnsi="Arial" w:cs="Arial"/>
          <w:sz w:val="24"/>
          <w:szCs w:val="24"/>
          <w:lang w:eastAsia="cs-CZ"/>
        </w:rPr>
        <w:t>Olomouckého kraje</w:t>
      </w:r>
      <w:r w:rsidR="00AE0C85" w:rsidRPr="008258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3B29BF" w:rsidRPr="002F27F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2586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C8AC48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</w:t>
      </w:r>
      <w:r w:rsidR="00FB4C6F">
        <w:rPr>
          <w:rFonts w:ascii="Arial" w:eastAsia="Times New Roman" w:hAnsi="Arial" w:cs="Arial"/>
          <w:sz w:val="24"/>
          <w:szCs w:val="24"/>
          <w:lang w:eastAsia="cs-CZ"/>
        </w:rPr>
        <w:t>tupitelstva Olomouckého kraje č………</w:t>
      </w:r>
      <w:proofErr w:type="gramStart"/>
      <w:r w:rsidR="00FB4C6F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7F3478E" w14:textId="755C2895" w:rsidR="001C26F6" w:rsidRPr="00367D2A" w:rsidRDefault="003B29BF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29BF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v souladu s příslušnými právními předpisy, zejména v souladu se zákonem č. 111/1998 Sb., o vysokých školách a o změně a doplnění dalších zákonů (zákon o vysokých školách), ve znění pozdějších předpisů.</w:t>
      </w:r>
    </w:p>
    <w:p w14:paraId="3C925923" w14:textId="530F7D32" w:rsidR="009A3DA5" w:rsidRPr="00FB4C6F" w:rsidRDefault="006B1AD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B23B91">
        <w:rPr>
          <w:rFonts w:ascii="Arial" w:eastAsia="Times New Roman" w:hAnsi="Arial" w:cs="Arial"/>
          <w:sz w:val="24"/>
          <w:szCs w:val="24"/>
          <w:lang w:eastAsia="cs-CZ"/>
        </w:rPr>
        <w:t>sepsána ve dvou vyhotoveních, z nichž každá smluvní strana obdrží jedno vyhotovení.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037A6901" w:rsidR="00DA1381" w:rsidRPr="00C862B3" w:rsidRDefault="00DA1381" w:rsidP="00367D2A">
      <w:p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</w:p>
    <w:sectPr w:rsidR="00DA1381" w:rsidRPr="00C862B3" w:rsidSect="009D24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811FD" w14:textId="77777777" w:rsidR="00252E7B" w:rsidRDefault="00252E7B" w:rsidP="00D40C40">
      <w:r>
        <w:separator/>
      </w:r>
    </w:p>
  </w:endnote>
  <w:endnote w:type="continuationSeparator" w:id="0">
    <w:p w14:paraId="64263E83" w14:textId="77777777" w:rsidR="00252E7B" w:rsidRDefault="00252E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5D547" w14:textId="1E49B51B" w:rsidR="00137776" w:rsidRPr="00525884" w:rsidRDefault="006D026E" w:rsidP="0013777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16. 12.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2019</w:t>
    </w:r>
    <w:r w:rsidR="00137776">
      <w:rPr>
        <w:rFonts w:ascii="Arial" w:hAnsi="Arial" w:cs="Arial"/>
        <w:i/>
        <w:iCs/>
        <w:sz w:val="20"/>
        <w:szCs w:val="20"/>
      </w:rPr>
      <w:t xml:space="preserve">                                                    Strana</w:t>
    </w:r>
    <w:proofErr w:type="gramEnd"/>
    <w:r w:rsidR="00137776">
      <w:rPr>
        <w:rFonts w:ascii="Arial" w:hAnsi="Arial" w:cs="Arial"/>
        <w:i/>
        <w:iCs/>
        <w:sz w:val="20"/>
        <w:szCs w:val="20"/>
      </w:rPr>
      <w:t xml:space="preserve"> </w:t>
    </w:r>
    <w:r w:rsidR="00137776">
      <w:rPr>
        <w:rFonts w:ascii="Arial" w:hAnsi="Arial" w:cs="Arial"/>
        <w:i/>
        <w:iCs/>
        <w:sz w:val="20"/>
        <w:szCs w:val="20"/>
      </w:rPr>
      <w:fldChar w:fldCharType="begin"/>
    </w:r>
    <w:r w:rsidR="00137776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137776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60</w:t>
    </w:r>
    <w:r w:rsidR="00137776">
      <w:rPr>
        <w:rFonts w:ascii="Arial" w:hAnsi="Arial" w:cs="Arial"/>
        <w:i/>
        <w:iCs/>
        <w:sz w:val="20"/>
        <w:szCs w:val="20"/>
      </w:rPr>
      <w:fldChar w:fldCharType="end"/>
    </w:r>
    <w:r w:rsidR="00137776">
      <w:rPr>
        <w:rFonts w:ascii="Arial" w:hAnsi="Arial" w:cs="Arial"/>
        <w:i/>
        <w:iCs/>
        <w:sz w:val="20"/>
        <w:szCs w:val="20"/>
      </w:rPr>
      <w:t xml:space="preserve"> (celkem </w:t>
    </w:r>
    <w:r w:rsidR="00E160C0">
      <w:rPr>
        <w:rFonts w:ascii="Arial" w:hAnsi="Arial" w:cs="Arial"/>
        <w:i/>
        <w:iCs/>
        <w:sz w:val="20"/>
        <w:szCs w:val="20"/>
      </w:rPr>
      <w:t>9</w:t>
    </w:r>
    <w:r w:rsidR="009D241E">
      <w:rPr>
        <w:rFonts w:ascii="Arial" w:hAnsi="Arial" w:cs="Arial"/>
        <w:i/>
        <w:iCs/>
        <w:sz w:val="20"/>
        <w:szCs w:val="20"/>
      </w:rPr>
      <w:t>7</w:t>
    </w:r>
    <w:r w:rsidR="00137776">
      <w:rPr>
        <w:rFonts w:ascii="Arial" w:hAnsi="Arial" w:cs="Arial"/>
        <w:i/>
        <w:iCs/>
        <w:sz w:val="20"/>
        <w:szCs w:val="20"/>
      </w:rPr>
      <w:t>)</w:t>
    </w:r>
  </w:p>
  <w:p w14:paraId="5993FCAD" w14:textId="2C8B2539" w:rsidR="00137776" w:rsidRDefault="00407801" w:rsidP="0013777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6D026E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137776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2020 – vyhlášení</w:t>
    </w:r>
  </w:p>
  <w:p w14:paraId="2A6F19C7" w14:textId="711FD2B2" w:rsidR="005B6E80" w:rsidRPr="00137776" w:rsidRDefault="00137776" w:rsidP="00137776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6 – </w:t>
    </w:r>
    <w:r w:rsidR="006B1AD8" w:rsidRPr="006B1AD8">
      <w:rPr>
        <w:rFonts w:ascii="Arial" w:eastAsia="Times New Roman" w:hAnsi="Arial" w:cs="Arial"/>
        <w:bCs/>
        <w:i/>
        <w:iCs/>
        <w:sz w:val="20"/>
        <w:szCs w:val="20"/>
        <w:lang w:eastAsia="cs-CZ"/>
      </w:rPr>
      <w:t>Vzor veřejnoprávní smlouvy k titulu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E575" w14:textId="483E7661" w:rsidR="00137776" w:rsidRPr="001662BE" w:rsidRDefault="00137776" w:rsidP="0013777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662B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25. 11. </w:t>
    </w:r>
    <w:proofErr w:type="gramStart"/>
    <w:r w:rsidRPr="001662B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2019  </w:t>
    </w:r>
    <w:r w:rsidRPr="001662BE">
      <w:rPr>
        <w:rFonts w:ascii="Arial" w:hAnsi="Arial" w:cs="Arial"/>
        <w:i/>
        <w:iCs/>
        <w:sz w:val="20"/>
        <w:szCs w:val="20"/>
      </w:rPr>
      <w:t xml:space="preserve">                                                              Strana</w:t>
    </w:r>
    <w:proofErr w:type="gramEnd"/>
    <w:r w:rsidRPr="001662BE">
      <w:rPr>
        <w:rFonts w:ascii="Arial" w:hAnsi="Arial" w:cs="Arial"/>
        <w:i/>
        <w:iCs/>
        <w:sz w:val="20"/>
        <w:szCs w:val="20"/>
      </w:rPr>
      <w:t xml:space="preserve"> </w:t>
    </w:r>
    <w:r w:rsidRPr="001662BE">
      <w:rPr>
        <w:rFonts w:ascii="Arial" w:hAnsi="Arial" w:cs="Arial"/>
        <w:i/>
        <w:iCs/>
        <w:sz w:val="20"/>
        <w:szCs w:val="20"/>
      </w:rPr>
      <w:fldChar w:fldCharType="begin"/>
    </w:r>
    <w:r w:rsidRPr="001662B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Pr="001662BE">
      <w:rPr>
        <w:rFonts w:ascii="Arial" w:hAnsi="Arial" w:cs="Arial"/>
        <w:i/>
        <w:iCs/>
        <w:sz w:val="20"/>
        <w:szCs w:val="20"/>
      </w:rPr>
      <w:fldChar w:fldCharType="separate"/>
    </w:r>
    <w:r w:rsidR="006B1AD8">
      <w:rPr>
        <w:rFonts w:ascii="Arial" w:hAnsi="Arial" w:cs="Arial"/>
        <w:i/>
        <w:iCs/>
        <w:noProof/>
        <w:sz w:val="20"/>
        <w:szCs w:val="20"/>
      </w:rPr>
      <w:t>61</w:t>
    </w:r>
    <w:r w:rsidRPr="001662BE">
      <w:rPr>
        <w:rFonts w:ascii="Arial" w:hAnsi="Arial" w:cs="Arial"/>
        <w:i/>
        <w:iCs/>
        <w:sz w:val="20"/>
        <w:szCs w:val="20"/>
      </w:rPr>
      <w:fldChar w:fldCharType="end"/>
    </w:r>
    <w:r w:rsidRPr="001662BE">
      <w:rPr>
        <w:rFonts w:ascii="Arial" w:hAnsi="Arial" w:cs="Arial"/>
        <w:i/>
        <w:iCs/>
        <w:sz w:val="20"/>
        <w:szCs w:val="20"/>
      </w:rPr>
      <w:t xml:space="preserve"> (celkem</w:t>
    </w:r>
    <w:r w:rsidR="00E160C0">
      <w:rPr>
        <w:rFonts w:ascii="Arial" w:hAnsi="Arial" w:cs="Arial"/>
        <w:i/>
        <w:iCs/>
        <w:sz w:val="20"/>
        <w:szCs w:val="20"/>
      </w:rPr>
      <w:t xml:space="preserve"> 99</w:t>
    </w:r>
    <w:r w:rsidRPr="001662BE">
      <w:rPr>
        <w:rFonts w:ascii="Arial" w:hAnsi="Arial" w:cs="Arial"/>
        <w:i/>
        <w:iCs/>
        <w:sz w:val="20"/>
        <w:szCs w:val="20"/>
      </w:rPr>
      <w:t>)</w:t>
    </w:r>
  </w:p>
  <w:p w14:paraId="4968BAAE" w14:textId="77777777" w:rsidR="00137776" w:rsidRPr="001662BE" w:rsidRDefault="00137776" w:rsidP="0013777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 w:rsidRPr="001662BE">
      <w:rPr>
        <w:rFonts w:ascii="Arial" w:eastAsia="Times New Roman" w:hAnsi="Arial" w:cs="Arial"/>
        <w:i/>
        <w:iCs/>
        <w:sz w:val="20"/>
        <w:szCs w:val="20"/>
        <w:lang w:eastAsia="cs-CZ"/>
      </w:rPr>
      <w:t>X.X. – Program</w:t>
    </w:r>
    <w:proofErr w:type="gramEnd"/>
    <w:r w:rsidRPr="001662B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vzdělávání na vysokých školách v Olomouckém kraji v roce 2020 – vyhlášení</w:t>
    </w:r>
  </w:p>
  <w:p w14:paraId="51CE84BE" w14:textId="3BDCB2D2" w:rsidR="00137776" w:rsidRPr="001662BE" w:rsidRDefault="00137776" w:rsidP="00137776">
    <w:pPr>
      <w:pStyle w:val="Zpat"/>
      <w:rPr>
        <w:i/>
      </w:rPr>
    </w:pPr>
    <w:r w:rsidRPr="001662BE">
      <w:rPr>
        <w:rFonts w:ascii="Arial" w:eastAsia="Times New Roman" w:hAnsi="Arial" w:cs="Arial"/>
        <w:i/>
        <w:iCs/>
        <w:sz w:val="20"/>
        <w:szCs w:val="20"/>
        <w:lang w:eastAsia="cs-CZ"/>
      </w:rPr>
      <w:t>Příloha č. 6 – Vzor veřejnoprávní smlouvy dotačního titulu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BB72" w14:textId="77777777" w:rsidR="00252E7B" w:rsidRDefault="00252E7B" w:rsidP="00D40C40">
      <w:r>
        <w:separator/>
      </w:r>
    </w:p>
  </w:footnote>
  <w:footnote w:type="continuationSeparator" w:id="0">
    <w:p w14:paraId="311FE68B" w14:textId="77777777" w:rsidR="00252E7B" w:rsidRDefault="00252E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6F71" w14:textId="4F13C30B" w:rsidR="0042015B" w:rsidRPr="006B1AD8" w:rsidRDefault="006B1AD8" w:rsidP="006B1AD8">
    <w:pPr>
      <w:pStyle w:val="Zhlav"/>
      <w:tabs>
        <w:tab w:val="clear" w:pos="4536"/>
        <w:tab w:val="clear" w:pos="9072"/>
        <w:tab w:val="left" w:pos="1900"/>
      </w:tabs>
      <w:jc w:val="center"/>
      <w:rPr>
        <w:i/>
        <w:sz w:val="24"/>
      </w:rPr>
    </w:pPr>
    <w:r w:rsidRPr="006B1AD8">
      <w:rPr>
        <w:rFonts w:ascii="Arial" w:hAnsi="Arial" w:cs="Arial"/>
        <w:bCs/>
        <w:i/>
        <w:sz w:val="24"/>
      </w:rPr>
      <w:t>Příloha č. 6 – Vzor veřejnoprávní smlouvy k titulu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0EAC" w14:textId="03011AAD" w:rsidR="00137776" w:rsidRPr="006B1AD8" w:rsidRDefault="006B1AD8" w:rsidP="00137776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i/>
        <w:sz w:val="28"/>
        <w:szCs w:val="24"/>
      </w:rPr>
    </w:pPr>
    <w:r w:rsidRPr="006B1AD8">
      <w:rPr>
        <w:rFonts w:ascii="Arial" w:hAnsi="Arial" w:cs="Arial"/>
        <w:bCs/>
        <w:i/>
        <w:sz w:val="24"/>
      </w:rPr>
      <w:t>Příloha č. 6 – Vzor veřejnoprávní smlouvy k titulu 2</w:t>
    </w:r>
  </w:p>
  <w:p w14:paraId="5996A169" w14:textId="3BA60D39" w:rsidR="0042015B" w:rsidRPr="001662BE" w:rsidRDefault="0042015B" w:rsidP="00137776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E4E76E6"/>
    <w:multiLevelType w:val="multilevel"/>
    <w:tmpl w:val="34EA68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07C8E9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104"/>
        </w:tabs>
        <w:ind w:left="5104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5999"/>
        </w:tabs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19"/>
        </w:tabs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39"/>
        </w:tabs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59"/>
        </w:tabs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39"/>
        </w:tabs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59"/>
        </w:tabs>
        <w:ind w:left="7439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B6542C12"/>
    <w:lvl w:ilvl="0" w:tplc="F9FCE14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6"/>
  </w:num>
  <w:num w:numId="44">
    <w:abstractNumId w:val="22"/>
  </w:num>
  <w:num w:numId="45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5D88"/>
    <w:rsid w:val="000060A2"/>
    <w:rsid w:val="00006AE8"/>
    <w:rsid w:val="00007016"/>
    <w:rsid w:val="0000726C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6D5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1C41"/>
    <w:rsid w:val="000F203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776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2B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4A58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6F6"/>
    <w:rsid w:val="001C2C2C"/>
    <w:rsid w:val="001C33D7"/>
    <w:rsid w:val="001C3E75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393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F7D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51CD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CBF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26DA9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478BB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67D2A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29BF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D735B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801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1EAD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607"/>
    <w:rsid w:val="00611A33"/>
    <w:rsid w:val="00612773"/>
    <w:rsid w:val="006157F4"/>
    <w:rsid w:val="00616AD0"/>
    <w:rsid w:val="00616F2A"/>
    <w:rsid w:val="00621852"/>
    <w:rsid w:val="00621A3A"/>
    <w:rsid w:val="00622303"/>
    <w:rsid w:val="006250D3"/>
    <w:rsid w:val="00625E08"/>
    <w:rsid w:val="006264E0"/>
    <w:rsid w:val="0062793A"/>
    <w:rsid w:val="006304D1"/>
    <w:rsid w:val="0063271F"/>
    <w:rsid w:val="00632D35"/>
    <w:rsid w:val="00644A22"/>
    <w:rsid w:val="00644F18"/>
    <w:rsid w:val="00652DC3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AD8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26E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2F72"/>
    <w:rsid w:val="0071401C"/>
    <w:rsid w:val="00717B5B"/>
    <w:rsid w:val="007207D6"/>
    <w:rsid w:val="00720FB1"/>
    <w:rsid w:val="0072192A"/>
    <w:rsid w:val="00723A35"/>
    <w:rsid w:val="007317C3"/>
    <w:rsid w:val="00735623"/>
    <w:rsid w:val="00735E1F"/>
    <w:rsid w:val="007360D6"/>
    <w:rsid w:val="00736751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1370"/>
    <w:rsid w:val="007D39E5"/>
    <w:rsid w:val="007D5D2B"/>
    <w:rsid w:val="007D6CFA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4169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586A"/>
    <w:rsid w:val="00826334"/>
    <w:rsid w:val="00826C2B"/>
    <w:rsid w:val="00826F10"/>
    <w:rsid w:val="00832011"/>
    <w:rsid w:val="00832ABD"/>
    <w:rsid w:val="00833C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4495"/>
    <w:rsid w:val="008556B1"/>
    <w:rsid w:val="008559FE"/>
    <w:rsid w:val="0085615A"/>
    <w:rsid w:val="00864FBA"/>
    <w:rsid w:val="0086634E"/>
    <w:rsid w:val="00866BBD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49DD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5969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3BD5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2F18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0DBB"/>
    <w:rsid w:val="009D241E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95F"/>
    <w:rsid w:val="00A30F23"/>
    <w:rsid w:val="00A342FF"/>
    <w:rsid w:val="00A35488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3632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1A3E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5F6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4396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7F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160C0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6437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3FFA"/>
    <w:rsid w:val="00F35DEC"/>
    <w:rsid w:val="00F36721"/>
    <w:rsid w:val="00F37102"/>
    <w:rsid w:val="00F41707"/>
    <w:rsid w:val="00F42C49"/>
    <w:rsid w:val="00F4508E"/>
    <w:rsid w:val="00F46633"/>
    <w:rsid w:val="00F47695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4EC8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217D"/>
    <w:rsid w:val="00FB42DD"/>
    <w:rsid w:val="00FB438D"/>
    <w:rsid w:val="00FB4C6F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659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843F-3602-44DE-A17C-37DE4B22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2329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uzivatel</cp:lastModifiedBy>
  <cp:revision>63</cp:revision>
  <cp:lastPrinted>2019-10-25T06:12:00Z</cp:lastPrinted>
  <dcterms:created xsi:type="dcterms:W3CDTF">2019-10-15T06:20:00Z</dcterms:created>
  <dcterms:modified xsi:type="dcterms:W3CDTF">2019-11-27T12:02:00Z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