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AF4002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9F750A" w:rsidRPr="00BE0901" w:rsidRDefault="009F750A" w:rsidP="009F750A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 xml:space="preserve">DODATEK č. </w:t>
      </w:r>
      <w:r>
        <w:rPr>
          <w:rFonts w:ascii="Arial" w:hAnsi="Arial" w:cs="Arial"/>
          <w:spacing w:val="20"/>
          <w:sz w:val="24"/>
          <w:szCs w:val="24"/>
        </w:rPr>
        <w:t>2</w:t>
      </w:r>
    </w:p>
    <w:p w:rsidR="009F750A" w:rsidRPr="00BE0901" w:rsidRDefault="009F750A" w:rsidP="009F75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 s</w:t>
      </w:r>
      <w:r w:rsidRPr="00BE0901">
        <w:rPr>
          <w:rFonts w:ascii="Arial" w:hAnsi="Arial" w:cs="Arial"/>
          <w:b/>
          <w:bCs/>
          <w:sz w:val="24"/>
          <w:szCs w:val="24"/>
        </w:rPr>
        <w:t>mlouvě o</w:t>
      </w:r>
      <w:r>
        <w:rPr>
          <w:rFonts w:ascii="Arial" w:hAnsi="Arial" w:cs="Arial"/>
          <w:b/>
          <w:bCs/>
          <w:sz w:val="24"/>
          <w:szCs w:val="24"/>
        </w:rPr>
        <w:t xml:space="preserve"> úhradě kompenzace na zajištění dopravní obslužnosti Olomouckého kraje  </w:t>
      </w:r>
      <w:r w:rsidRPr="00BE090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750A" w:rsidRPr="00BE0901" w:rsidRDefault="009F750A" w:rsidP="009F75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750A" w:rsidRPr="00BE0901" w:rsidRDefault="009F750A" w:rsidP="009F75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750A" w:rsidRPr="00AC3EF0" w:rsidRDefault="009F750A" w:rsidP="009F750A">
      <w:pPr>
        <w:pStyle w:val="Odstavecseseznamem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5944"/>
      </w:tblGrid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 xml:space="preserve">Jeremenkova </w:t>
            </w:r>
            <w:r>
              <w:rPr>
                <w:rFonts w:ascii="Arial" w:hAnsi="Arial" w:cs="Arial"/>
                <w:sz w:val="24"/>
                <w:szCs w:val="24"/>
              </w:rPr>
              <w:t>1191/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40a, </w:t>
            </w:r>
            <w:r>
              <w:rPr>
                <w:rFonts w:ascii="Arial" w:hAnsi="Arial" w:cs="Arial"/>
                <w:sz w:val="24"/>
                <w:szCs w:val="24"/>
              </w:rPr>
              <w:t xml:space="preserve">Hodolany, 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779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 Olomouc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IČO:</w:t>
            </w:r>
          </w:p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</w:tcPr>
          <w:p w:rsidR="009F750A" w:rsidRPr="001C3BB8" w:rsidRDefault="009F750A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3BB8">
              <w:rPr>
                <w:rFonts w:ascii="Arial" w:hAnsi="Arial" w:cs="Arial"/>
                <w:sz w:val="24"/>
                <w:szCs w:val="24"/>
              </w:rPr>
              <w:t>60609460</w:t>
            </w:r>
          </w:p>
          <w:p w:rsidR="009F750A" w:rsidRPr="00287043" w:rsidRDefault="009F750A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Koordinátor Integrovaného dopravního systému</w:t>
            </w:r>
          </w:p>
          <w:p w:rsidR="009F750A" w:rsidRPr="0075327E" w:rsidRDefault="009F750A" w:rsidP="008E2D40">
            <w:pPr>
              <w:spacing w:before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Olomouckého kraje, příspěvková organizace</w:t>
            </w:r>
            <w:r w:rsidR="00753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327E" w:rsidRPr="0075327E">
              <w:rPr>
                <w:rFonts w:ascii="Arial" w:hAnsi="Arial" w:cs="Arial"/>
                <w:bCs/>
                <w:sz w:val="24"/>
                <w:szCs w:val="24"/>
              </w:rPr>
              <w:t>(dále jen „KIDSOK“)</w:t>
            </w:r>
          </w:p>
          <w:p w:rsidR="00181768" w:rsidRDefault="009F750A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 xml:space="preserve">Jeremenkova </w:t>
            </w:r>
            <w:r>
              <w:rPr>
                <w:rFonts w:ascii="Arial" w:hAnsi="Arial" w:cs="Arial"/>
                <w:b/>
                <w:sz w:val="24"/>
                <w:szCs w:val="24"/>
              </w:rPr>
              <w:t>1211/</w:t>
            </w:r>
            <w:r w:rsidRPr="00287043">
              <w:rPr>
                <w:rFonts w:ascii="Arial" w:hAnsi="Arial" w:cs="Arial"/>
                <w:b/>
                <w:sz w:val="24"/>
                <w:szCs w:val="24"/>
              </w:rPr>
              <w:t>40b,</w:t>
            </w:r>
            <w:r w:rsidR="001817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Hodolany,</w:t>
            </w:r>
          </w:p>
          <w:p w:rsidR="00181768" w:rsidRDefault="00181768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779 00 Olomouc</w:t>
            </w:r>
          </w:p>
          <w:p w:rsidR="009F750A" w:rsidRPr="00287043" w:rsidRDefault="009F750A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Zastoupený:</w:t>
            </w:r>
          </w:p>
          <w:p w:rsidR="009F750A" w:rsidRPr="00287043" w:rsidRDefault="009F750A" w:rsidP="008E2D40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Kateřinou Suchánkovou, MBA, ředitelkou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CZ</w:t>
            </w: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Komerční banka Olomouc</w:t>
            </w:r>
          </w:p>
        </w:tc>
      </w:tr>
      <w:tr w:rsidR="009F750A" w:rsidRPr="00AC3EF0" w:rsidTr="008E2D40">
        <w:trPr>
          <w:trHeight w:val="80"/>
        </w:trPr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107-8577360237/0100</w:t>
            </w:r>
          </w:p>
        </w:tc>
      </w:tr>
    </w:tbl>
    <w:p w:rsidR="009F750A" w:rsidRDefault="009F750A" w:rsidP="009F750A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spacing w:before="60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:rsidR="009F750A" w:rsidRDefault="009F750A" w:rsidP="009F750A">
      <w:pPr>
        <w:spacing w:before="60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spacing w:before="60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pStyle w:val="Odstavecseseznamem"/>
        <w:numPr>
          <w:ilvl w:val="0"/>
          <w:numId w:val="2"/>
        </w:numPr>
        <w:spacing w:before="60"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Statutární město Olomouc</w:t>
      </w:r>
    </w:p>
    <w:p w:rsidR="009F750A" w:rsidRPr="00AC3EF0" w:rsidRDefault="009F750A" w:rsidP="009F750A">
      <w:pPr>
        <w:spacing w:before="6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1"/>
      </w:tblGrid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Horní náměstí 583, 779 11 Olomouc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Zastoupené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9F750A" w:rsidRPr="002E6738" w:rsidRDefault="009F750A" w:rsidP="008E2D40">
            <w:pPr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E67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JUDr. Martinem Majorem, MBA</w:t>
            </w:r>
          </w:p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67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1.náměstkem primátora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ind w:left="-49" w:firstLine="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00299308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CZ00299308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Česká spořitelna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výdajového: </w:t>
            </w:r>
            <w:r w:rsidRPr="00C506DE">
              <w:rPr>
                <w:rFonts w:ascii="Arial" w:hAnsi="Arial" w:cs="Arial"/>
                <w:color w:val="000000" w:themeColor="text1"/>
              </w:rPr>
              <w:t>27-1801731369/0800</w:t>
            </w:r>
          </w:p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příjmového: </w:t>
            </w:r>
            <w:r w:rsidRPr="00C506DE">
              <w:rPr>
                <w:rFonts w:ascii="Arial" w:hAnsi="Arial" w:cs="Arial"/>
                <w:color w:val="000000" w:themeColor="text1"/>
              </w:rPr>
              <w:t>19-1801731369/0800</w:t>
            </w:r>
          </w:p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750A" w:rsidRPr="00AC3EF0" w:rsidTr="008E2D40">
        <w:tc>
          <w:tcPr>
            <w:tcW w:w="9212" w:type="dxa"/>
            <w:gridSpan w:val="2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Za statutární město Olomouc je dále oprávněn jednat:</w:t>
            </w:r>
          </w:p>
        </w:tc>
      </w:tr>
      <w:tr w:rsidR="009F750A" w:rsidRPr="00AC3EF0" w:rsidTr="008E2D40"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JUDr. Martin Major, MBA</w:t>
            </w:r>
          </w:p>
        </w:tc>
      </w:tr>
      <w:tr w:rsidR="009F750A" w:rsidRPr="00AC3EF0" w:rsidTr="008E2D40">
        <w:trPr>
          <w:trHeight w:val="80"/>
        </w:trPr>
        <w:tc>
          <w:tcPr>
            <w:tcW w:w="3168" w:type="dxa"/>
          </w:tcPr>
          <w:p w:rsidR="009F750A" w:rsidRPr="00AC3EF0" w:rsidRDefault="009F750A" w:rsidP="008E2D4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technických:</w:t>
            </w:r>
          </w:p>
        </w:tc>
        <w:tc>
          <w:tcPr>
            <w:tcW w:w="6044" w:type="dxa"/>
          </w:tcPr>
          <w:p w:rsidR="009F750A" w:rsidRPr="00C506DE" w:rsidRDefault="009F750A" w:rsidP="008E2D40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Jana Dokoupilová</w:t>
            </w:r>
          </w:p>
        </w:tc>
      </w:tr>
    </w:tbl>
    <w:p w:rsidR="009F750A" w:rsidRDefault="009F750A" w:rsidP="009F750A">
      <w:pPr>
        <w:spacing w:after="1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F750A" w:rsidRDefault="009F750A" w:rsidP="009F750A">
      <w:pPr>
        <w:spacing w:after="180"/>
        <w:rPr>
          <w:rFonts w:ascii="Arial" w:hAnsi="Arial" w:cs="Arial"/>
          <w:color w:val="000000" w:themeColor="text1"/>
          <w:sz w:val="24"/>
          <w:szCs w:val="24"/>
        </w:rPr>
      </w:pPr>
    </w:p>
    <w:p w:rsidR="009F750A" w:rsidRPr="00BE0901" w:rsidRDefault="009F750A" w:rsidP="009F750A">
      <w:pPr>
        <w:spacing w:before="360"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BE0901">
        <w:rPr>
          <w:rFonts w:ascii="Arial" w:hAnsi="Arial" w:cs="Arial"/>
          <w:b/>
          <w:sz w:val="24"/>
          <w:szCs w:val="24"/>
        </w:rPr>
        <w:t>I.</w:t>
      </w:r>
      <w:r w:rsidRPr="00BE0901">
        <w:rPr>
          <w:rFonts w:ascii="Arial" w:hAnsi="Arial" w:cs="Arial"/>
          <w:b/>
          <w:sz w:val="24"/>
          <w:szCs w:val="24"/>
        </w:rPr>
        <w:br/>
      </w:r>
      <w:r w:rsidRPr="00BE0901">
        <w:rPr>
          <w:rFonts w:ascii="Arial" w:hAnsi="Arial" w:cs="Arial"/>
          <w:b/>
          <w:caps/>
          <w:sz w:val="24"/>
          <w:szCs w:val="24"/>
        </w:rPr>
        <w:t>Základní ustanovení</w:t>
      </w:r>
    </w:p>
    <w:p w:rsidR="009F750A" w:rsidRDefault="009F750A" w:rsidP="009F750A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EA087A">
        <w:rPr>
          <w:rFonts w:ascii="Arial" w:hAnsi="Arial" w:cs="Arial"/>
          <w:sz w:val="24"/>
          <w:szCs w:val="24"/>
        </w:rPr>
        <w:t>Smluvní strany uzavřely dne 10. 10. 2017 Smlouvu o</w:t>
      </w:r>
      <w:r w:rsidRPr="00EA08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87A">
        <w:rPr>
          <w:rFonts w:ascii="Arial" w:hAnsi="Arial" w:cs="Arial"/>
          <w:bCs/>
          <w:sz w:val="24"/>
          <w:szCs w:val="24"/>
        </w:rPr>
        <w:t xml:space="preserve">úhradě kompenzace </w:t>
      </w:r>
      <w:r>
        <w:rPr>
          <w:rFonts w:ascii="Arial" w:hAnsi="Arial" w:cs="Arial"/>
          <w:bCs/>
          <w:sz w:val="24"/>
          <w:szCs w:val="24"/>
        </w:rPr>
        <w:br/>
      </w:r>
      <w:r w:rsidRPr="00744885">
        <w:rPr>
          <w:rFonts w:ascii="Arial" w:hAnsi="Arial" w:cs="Arial"/>
          <w:bCs/>
          <w:color w:val="000000" w:themeColor="text1"/>
          <w:sz w:val="24"/>
          <w:szCs w:val="24"/>
        </w:rPr>
        <w:t xml:space="preserve">na zajištění dopravní obslužnosti Olomouckého kraje </w:t>
      </w:r>
      <w:r w:rsidRPr="00744885">
        <w:rPr>
          <w:rFonts w:ascii="Arial" w:hAnsi="Arial" w:cs="Arial"/>
          <w:color w:val="000000" w:themeColor="text1"/>
          <w:sz w:val="24"/>
          <w:szCs w:val="24"/>
        </w:rPr>
        <w:t xml:space="preserve">(dále jen „Smlouva“), jejímž předmětem je spolupráce statutárního města Olomouc (dále jen „SMOl“) </w:t>
      </w:r>
      <w:r w:rsidR="00513E9C">
        <w:rPr>
          <w:rFonts w:ascii="Arial" w:hAnsi="Arial" w:cs="Arial"/>
          <w:color w:val="000000" w:themeColor="text1"/>
          <w:sz w:val="24"/>
          <w:szCs w:val="24"/>
        </w:rPr>
        <w:br/>
      </w:r>
      <w:r w:rsidRPr="0074488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EA087A">
        <w:rPr>
          <w:rFonts w:ascii="Arial" w:hAnsi="Arial" w:cs="Arial"/>
          <w:sz w:val="24"/>
          <w:szCs w:val="24"/>
        </w:rPr>
        <w:t>Olomouckého kraje za účelem zajištění dopravní obslužnosti na území Olomouckého kraje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F750A" w:rsidRDefault="009F750A" w:rsidP="009F750A">
      <w:pPr>
        <w:spacing w:after="180"/>
        <w:rPr>
          <w:rFonts w:ascii="Arial" w:hAnsi="Arial" w:cs="Arial"/>
          <w:color w:val="000000" w:themeColor="text1"/>
          <w:sz w:val="24"/>
          <w:szCs w:val="24"/>
        </w:rPr>
      </w:pPr>
    </w:p>
    <w:p w:rsidR="009F750A" w:rsidRPr="00540F28" w:rsidRDefault="009F750A" w:rsidP="009F750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BE0901">
        <w:rPr>
          <w:rFonts w:ascii="Arial" w:hAnsi="Arial" w:cs="Arial"/>
          <w:b/>
          <w:sz w:val="24"/>
          <w:szCs w:val="24"/>
        </w:rPr>
        <w:t>I.</w:t>
      </w:r>
      <w:r w:rsidRPr="00BE090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ÚČEL DODATKU</w:t>
      </w:r>
    </w:p>
    <w:p w:rsidR="009F750A" w:rsidRPr="00592D84" w:rsidRDefault="009F750A" w:rsidP="009F750A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č. 2 Smlouvy se uzavírá z důvodu </w:t>
      </w:r>
      <w:r w:rsidRPr="00592D84">
        <w:rPr>
          <w:rFonts w:ascii="Arial" w:hAnsi="Arial" w:cs="Arial"/>
          <w:sz w:val="24"/>
          <w:szCs w:val="24"/>
        </w:rPr>
        <w:t>změny příspěvku obcí na dopravní obslužnost Olomouckému kraji v čl. I bod 3 a čl. III Úhrada kompenzace</w:t>
      </w:r>
      <w:r w:rsidR="00FA4C2D">
        <w:rPr>
          <w:rFonts w:ascii="Arial" w:hAnsi="Arial" w:cs="Arial"/>
          <w:sz w:val="24"/>
          <w:szCs w:val="24"/>
        </w:rPr>
        <w:t xml:space="preserve"> odst. 1 a 2</w:t>
      </w:r>
      <w:r w:rsidRPr="00592D84">
        <w:rPr>
          <w:rFonts w:ascii="Arial" w:hAnsi="Arial" w:cs="Arial"/>
          <w:sz w:val="24"/>
          <w:szCs w:val="24"/>
        </w:rPr>
        <w:t>, s ohledem na změnu ve výši poskytovaných úhrad.</w:t>
      </w:r>
    </w:p>
    <w:p w:rsidR="009F750A" w:rsidRDefault="009F750A" w:rsidP="009F750A">
      <w:pPr>
        <w:spacing w:after="1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750A" w:rsidRPr="00592D84" w:rsidRDefault="009F750A" w:rsidP="009F750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BE0901">
        <w:rPr>
          <w:rFonts w:ascii="Arial" w:hAnsi="Arial" w:cs="Arial"/>
          <w:b/>
          <w:sz w:val="24"/>
          <w:szCs w:val="24"/>
        </w:rPr>
        <w:t>.</w:t>
      </w:r>
      <w:r w:rsidRPr="00BE0901">
        <w:rPr>
          <w:rFonts w:ascii="Arial" w:hAnsi="Arial" w:cs="Arial"/>
          <w:b/>
          <w:sz w:val="24"/>
          <w:szCs w:val="24"/>
        </w:rPr>
        <w:br/>
      </w:r>
      <w:r w:rsidRPr="00592D84">
        <w:rPr>
          <w:rFonts w:ascii="Arial" w:hAnsi="Arial" w:cs="Arial"/>
          <w:b/>
          <w:caps/>
          <w:sz w:val="24"/>
          <w:szCs w:val="24"/>
        </w:rPr>
        <w:t>Změna smlouvy</w:t>
      </w:r>
    </w:p>
    <w:p w:rsidR="009F750A" w:rsidRPr="00592D84" w:rsidRDefault="009F750A" w:rsidP="009F750A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2D84">
        <w:rPr>
          <w:rFonts w:ascii="Arial" w:hAnsi="Arial" w:cs="Arial"/>
          <w:sz w:val="24"/>
          <w:szCs w:val="24"/>
        </w:rPr>
        <w:t>V článku I se tímto dodatkem mění bod 3, který nově zní:</w:t>
      </w:r>
    </w:p>
    <w:p w:rsidR="009F750A" w:rsidRPr="00592D84" w:rsidRDefault="009F750A" w:rsidP="009F750A">
      <w:pPr>
        <w:pStyle w:val="Odstavecseseznamem1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92D84">
        <w:rPr>
          <w:rFonts w:ascii="Arial" w:hAnsi="Arial" w:cs="Arial"/>
          <w:sz w:val="24"/>
          <w:szCs w:val="24"/>
        </w:rPr>
        <w:t>3. Olomoucký kraj bude zajišťovat veřejnou linkovou dopravu v rámci území Olomouckého kraje. Usnesením Zastupitelstva Olomouckého kraje UZ/</w:t>
      </w:r>
      <w:r w:rsidRPr="001544ED">
        <w:rPr>
          <w:rFonts w:ascii="Arial" w:hAnsi="Arial" w:cs="Arial"/>
          <w:sz w:val="24"/>
          <w:szCs w:val="24"/>
        </w:rPr>
        <w:t>17/24/2019, konaného dne 23. 9. 2019</w:t>
      </w:r>
      <w:r w:rsidRPr="00592D84">
        <w:rPr>
          <w:rFonts w:ascii="Arial" w:hAnsi="Arial" w:cs="Arial"/>
          <w:sz w:val="24"/>
          <w:szCs w:val="24"/>
        </w:rPr>
        <w:t xml:space="preserve">, byl schválen příspěvek obcí </w:t>
      </w:r>
      <w:r w:rsidR="00513E9C">
        <w:rPr>
          <w:rFonts w:ascii="Arial" w:hAnsi="Arial" w:cs="Arial"/>
          <w:sz w:val="24"/>
          <w:szCs w:val="24"/>
        </w:rPr>
        <w:br/>
      </w:r>
      <w:r w:rsidRPr="00592D84">
        <w:rPr>
          <w:rFonts w:ascii="Arial" w:hAnsi="Arial" w:cs="Arial"/>
          <w:sz w:val="24"/>
          <w:szCs w:val="24"/>
        </w:rPr>
        <w:t>na dopravní obslužnost Olomouckému kraji</w:t>
      </w:r>
      <w:r w:rsidRPr="00592D84">
        <w:rPr>
          <w:rFonts w:ascii="Arial" w:hAnsi="Arial" w:cs="Arial"/>
          <w:i/>
          <w:sz w:val="24"/>
          <w:szCs w:val="24"/>
        </w:rPr>
        <w:t xml:space="preserve"> </w:t>
      </w:r>
      <w:r w:rsidRPr="00592D84">
        <w:rPr>
          <w:rFonts w:ascii="Arial" w:hAnsi="Arial" w:cs="Arial"/>
          <w:sz w:val="24"/>
          <w:szCs w:val="24"/>
        </w:rPr>
        <w:t xml:space="preserve">od 1. 1. 2020 ve výši 150 Kč </w:t>
      </w:r>
      <w:r w:rsidR="00513E9C">
        <w:rPr>
          <w:rFonts w:ascii="Arial" w:hAnsi="Arial" w:cs="Arial"/>
          <w:sz w:val="24"/>
          <w:szCs w:val="24"/>
        </w:rPr>
        <w:br/>
      </w:r>
      <w:r w:rsidRPr="00592D84">
        <w:rPr>
          <w:rFonts w:ascii="Arial" w:hAnsi="Arial" w:cs="Arial"/>
          <w:sz w:val="24"/>
          <w:szCs w:val="24"/>
        </w:rPr>
        <w:t xml:space="preserve">na </w:t>
      </w:r>
      <w:r w:rsidR="00DD431B">
        <w:rPr>
          <w:rFonts w:ascii="Arial" w:hAnsi="Arial" w:cs="Arial"/>
          <w:sz w:val="24"/>
          <w:szCs w:val="24"/>
        </w:rPr>
        <w:t xml:space="preserve">jednoho </w:t>
      </w:r>
      <w:r w:rsidRPr="00592D84">
        <w:rPr>
          <w:rFonts w:ascii="Arial" w:hAnsi="Arial" w:cs="Arial"/>
          <w:sz w:val="24"/>
          <w:szCs w:val="24"/>
        </w:rPr>
        <w:t>obyvatele.</w:t>
      </w:r>
    </w:p>
    <w:p w:rsidR="009F750A" w:rsidRDefault="009F750A" w:rsidP="009F750A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F750A" w:rsidRPr="00592D84" w:rsidRDefault="009F750A" w:rsidP="009F750A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2D84">
        <w:rPr>
          <w:rFonts w:ascii="Arial" w:hAnsi="Arial" w:cs="Arial"/>
          <w:sz w:val="24"/>
          <w:szCs w:val="24"/>
        </w:rPr>
        <w:t>V článku III se tímto dodatkem mění body 1 a 2, které nově zní:</w:t>
      </w:r>
    </w:p>
    <w:p w:rsidR="009F750A" w:rsidRPr="00592D84" w:rsidRDefault="009F750A" w:rsidP="009F750A">
      <w:pPr>
        <w:pStyle w:val="Odstavecseseznamem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Výše kompenzace za každý jednotlivý kalendářní rok v období od 1. 1. 20</w:t>
      </w:r>
      <w:r>
        <w:rPr>
          <w:rFonts w:ascii="Arial" w:hAnsi="Arial" w:cs="Arial"/>
          <w:sz w:val="24"/>
          <w:szCs w:val="24"/>
        </w:rPr>
        <w:t xml:space="preserve">20 </w:t>
      </w:r>
      <w:r w:rsidR="00513E9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31. 12. 202</w:t>
      </w:r>
      <w:r w:rsidRPr="00AC3EF0">
        <w:rPr>
          <w:rFonts w:ascii="Arial" w:hAnsi="Arial" w:cs="Arial"/>
          <w:sz w:val="24"/>
          <w:szCs w:val="24"/>
        </w:rPr>
        <w:t>7 je dána následujícím vzorcem:</w:t>
      </w:r>
    </w:p>
    <w:p w:rsidR="009F750A" w:rsidRPr="00AC3EF0" w:rsidRDefault="009F750A" w:rsidP="009F750A">
      <w:pPr>
        <w:pStyle w:val="Odstavecseseznamem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K = U - PSm</w:t>
      </w:r>
    </w:p>
    <w:p w:rsidR="009F750A" w:rsidRPr="00AC3EF0" w:rsidRDefault="009F750A" w:rsidP="009F750A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kde</w:t>
      </w:r>
    </w:p>
    <w:p w:rsidR="009F750A" w:rsidRPr="00AC3EF0" w:rsidRDefault="009F750A" w:rsidP="009F750A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 kompenzace.</w:t>
      </w:r>
    </w:p>
    <w:p w:rsidR="009F750A" w:rsidRPr="00592D84" w:rsidRDefault="009F750A" w:rsidP="009F750A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U</w:t>
      </w:r>
      <w:r w:rsidRPr="00AC3E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 úhrada Olomouckého kraje za </w:t>
      </w:r>
      <w:r w:rsidRPr="00AC3EF0">
        <w:rPr>
          <w:rFonts w:ascii="Arial" w:hAnsi="Arial" w:cs="Arial"/>
          <w:sz w:val="24"/>
          <w:szCs w:val="24"/>
        </w:rPr>
        <w:t>dopravní obslužnosti obcí zóny 71 Olomouc</w:t>
      </w:r>
      <w:r>
        <w:rPr>
          <w:rFonts w:ascii="Arial" w:hAnsi="Arial" w:cs="Arial"/>
          <w:sz w:val="24"/>
          <w:szCs w:val="24"/>
        </w:rPr>
        <w:t>, která je</w:t>
      </w:r>
      <w:r w:rsidRPr="00AC3EF0">
        <w:rPr>
          <w:rFonts w:ascii="Arial" w:hAnsi="Arial" w:cs="Arial"/>
          <w:sz w:val="24"/>
          <w:szCs w:val="24"/>
        </w:rPr>
        <w:t xml:space="preserve"> zajišťovaná dopravcem DPMO</w:t>
      </w:r>
      <w:r>
        <w:rPr>
          <w:rFonts w:ascii="Arial" w:hAnsi="Arial" w:cs="Arial"/>
          <w:sz w:val="24"/>
          <w:szCs w:val="24"/>
        </w:rPr>
        <w:t xml:space="preserve"> a hrazena SMOl </w:t>
      </w:r>
      <w:r w:rsidR="00513E9C">
        <w:rPr>
          <w:rFonts w:ascii="Arial" w:hAnsi="Arial" w:cs="Arial"/>
          <w:sz w:val="24"/>
          <w:szCs w:val="24"/>
        </w:rPr>
        <w:br/>
      </w:r>
      <w:r w:rsidRPr="00AC3EF0">
        <w:rPr>
          <w:rFonts w:ascii="Arial" w:hAnsi="Arial" w:cs="Arial"/>
          <w:sz w:val="24"/>
          <w:szCs w:val="24"/>
        </w:rPr>
        <w:t>na základě Smlouvy o závazku veřejné služby a kompenzaci z veřejné přepravy cestujících</w:t>
      </w:r>
      <w:r>
        <w:rPr>
          <w:rFonts w:ascii="Arial" w:hAnsi="Arial" w:cs="Arial"/>
          <w:sz w:val="24"/>
          <w:szCs w:val="24"/>
        </w:rPr>
        <w:t xml:space="preserve">. </w:t>
      </w:r>
      <w:r w:rsidRPr="00AC3EF0">
        <w:rPr>
          <w:rFonts w:ascii="Arial" w:hAnsi="Arial" w:cs="Arial"/>
          <w:sz w:val="24"/>
          <w:szCs w:val="24"/>
        </w:rPr>
        <w:t xml:space="preserve">Podrobná kalkulace kompenzace </w:t>
      </w:r>
      <w:r>
        <w:rPr>
          <w:rFonts w:ascii="Arial" w:hAnsi="Arial" w:cs="Arial"/>
          <w:sz w:val="24"/>
          <w:szCs w:val="24"/>
        </w:rPr>
        <w:t xml:space="preserve">Olomouckého kraje za </w:t>
      </w:r>
      <w:r w:rsidRPr="00AC3EF0">
        <w:rPr>
          <w:rFonts w:ascii="Arial" w:hAnsi="Arial" w:cs="Arial"/>
          <w:sz w:val="24"/>
          <w:szCs w:val="24"/>
        </w:rPr>
        <w:t xml:space="preserve">dopravní obslužnosti obcí zóny 71 je součástí této smlouvy jako příloha č. </w:t>
      </w:r>
      <w:r>
        <w:rPr>
          <w:rFonts w:ascii="Arial" w:hAnsi="Arial" w:cs="Arial"/>
          <w:sz w:val="24"/>
          <w:szCs w:val="24"/>
        </w:rPr>
        <w:t>1</w:t>
      </w:r>
      <w:r w:rsidRPr="00AC3EF0">
        <w:rPr>
          <w:rFonts w:ascii="Arial" w:hAnsi="Arial" w:cs="Arial"/>
          <w:sz w:val="24"/>
          <w:szCs w:val="24"/>
        </w:rPr>
        <w:t>. Výše kompenzace za každý jednotli</w:t>
      </w:r>
      <w:r>
        <w:rPr>
          <w:rFonts w:ascii="Arial" w:hAnsi="Arial" w:cs="Arial"/>
          <w:sz w:val="24"/>
          <w:szCs w:val="24"/>
        </w:rPr>
        <w:t xml:space="preserve">vý kalendářní rok činí </w:t>
      </w:r>
      <w:r w:rsidRPr="00592D84">
        <w:rPr>
          <w:rFonts w:ascii="Arial" w:hAnsi="Arial" w:cs="Arial"/>
          <w:sz w:val="24"/>
          <w:szCs w:val="24"/>
        </w:rPr>
        <w:t>19 958 081 Kč.</w:t>
      </w:r>
    </w:p>
    <w:p w:rsidR="00F31351" w:rsidRDefault="00F31351" w:rsidP="009F750A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</w:p>
    <w:p w:rsidR="009F750A" w:rsidRPr="00AC3EF0" w:rsidRDefault="009F750A" w:rsidP="009F750A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PSm</w:t>
      </w:r>
      <w:r w:rsidRPr="00AC3EF0">
        <w:rPr>
          <w:rFonts w:ascii="Arial" w:hAnsi="Arial" w:cs="Arial"/>
          <w:sz w:val="24"/>
          <w:szCs w:val="24"/>
        </w:rPr>
        <w:tab/>
        <w:t>je příspěvek SMOl Olomouckému kraji</w:t>
      </w:r>
      <w:r w:rsidRPr="00AC3EF0">
        <w:rPr>
          <w:rFonts w:ascii="Arial" w:hAnsi="Arial" w:cs="Arial"/>
          <w:i/>
          <w:sz w:val="24"/>
          <w:szCs w:val="24"/>
        </w:rPr>
        <w:t xml:space="preserve"> </w:t>
      </w:r>
      <w:r w:rsidRPr="00AC3EF0">
        <w:rPr>
          <w:rFonts w:ascii="Arial" w:hAnsi="Arial" w:cs="Arial"/>
          <w:sz w:val="24"/>
          <w:szCs w:val="24"/>
        </w:rPr>
        <w:t xml:space="preserve">vypočtený dle počtu </w:t>
      </w:r>
      <w:r>
        <w:rPr>
          <w:rFonts w:ascii="Arial" w:hAnsi="Arial" w:cs="Arial"/>
          <w:sz w:val="24"/>
          <w:szCs w:val="24"/>
        </w:rPr>
        <w:t xml:space="preserve">trvale žijících </w:t>
      </w:r>
      <w:r w:rsidRPr="00AC3EF0">
        <w:rPr>
          <w:rFonts w:ascii="Arial" w:hAnsi="Arial" w:cs="Arial"/>
          <w:sz w:val="24"/>
          <w:szCs w:val="24"/>
        </w:rPr>
        <w:t>obyvatel k 1.</w:t>
      </w:r>
      <w:r>
        <w:rPr>
          <w:rFonts w:ascii="Arial" w:hAnsi="Arial" w:cs="Arial"/>
          <w:sz w:val="24"/>
          <w:szCs w:val="24"/>
        </w:rPr>
        <w:t xml:space="preserve"> </w:t>
      </w:r>
      <w:r w:rsidRPr="00AC3EF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2019 (100 523) </w:t>
      </w:r>
      <w:r w:rsidRPr="00AC3EF0">
        <w:rPr>
          <w:rFonts w:ascii="Arial" w:hAnsi="Arial" w:cs="Arial"/>
          <w:sz w:val="24"/>
          <w:szCs w:val="24"/>
        </w:rPr>
        <w:t xml:space="preserve">dle </w:t>
      </w:r>
      <w:r>
        <w:rPr>
          <w:rFonts w:ascii="Arial" w:hAnsi="Arial" w:cs="Arial"/>
          <w:sz w:val="24"/>
          <w:szCs w:val="24"/>
        </w:rPr>
        <w:t>údajů zveřejněných Českým statistickým úřadem</w:t>
      </w:r>
      <w:r w:rsidRPr="00AC3EF0">
        <w:rPr>
          <w:rFonts w:ascii="Arial" w:hAnsi="Arial" w:cs="Arial"/>
          <w:i/>
          <w:sz w:val="24"/>
          <w:szCs w:val="24"/>
        </w:rPr>
        <w:t xml:space="preserve"> </w:t>
      </w:r>
      <w:r w:rsidRPr="00592D84">
        <w:rPr>
          <w:rFonts w:ascii="Arial" w:hAnsi="Arial" w:cs="Arial"/>
          <w:sz w:val="24"/>
          <w:szCs w:val="24"/>
        </w:rPr>
        <w:t>v souladu s čl. I. bod 3 (150Kč/</w:t>
      </w:r>
      <w:r w:rsidR="009573EF">
        <w:rPr>
          <w:rFonts w:ascii="Arial" w:hAnsi="Arial" w:cs="Arial"/>
          <w:sz w:val="24"/>
          <w:szCs w:val="24"/>
        </w:rPr>
        <w:t xml:space="preserve">na jednoho </w:t>
      </w:r>
      <w:r w:rsidRPr="00592D84">
        <w:rPr>
          <w:rFonts w:ascii="Arial" w:hAnsi="Arial" w:cs="Arial"/>
          <w:sz w:val="24"/>
          <w:szCs w:val="24"/>
        </w:rPr>
        <w:t>obyvatele). Výše příspěvku SMOl za každý jednotlivý kalendářní rok činí 15 078 450 Kč</w:t>
      </w:r>
      <w:r w:rsidRPr="00AC3EF0">
        <w:rPr>
          <w:rFonts w:ascii="Arial" w:hAnsi="Arial" w:cs="Arial"/>
          <w:sz w:val="24"/>
          <w:szCs w:val="24"/>
        </w:rPr>
        <w:t>.</w:t>
      </w:r>
    </w:p>
    <w:p w:rsidR="009F750A" w:rsidRPr="00AC3EF0" w:rsidRDefault="009F750A" w:rsidP="009F750A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 xml:space="preserve">Olomoucký kraj zaplatí SMOl úhradu kompenzace za každý jednotlivý </w:t>
      </w:r>
      <w:r>
        <w:rPr>
          <w:rFonts w:ascii="Arial" w:hAnsi="Arial" w:cs="Arial"/>
          <w:sz w:val="24"/>
          <w:szCs w:val="24"/>
        </w:rPr>
        <w:t xml:space="preserve">kalendářní </w:t>
      </w:r>
      <w:r w:rsidRPr="00AC3EF0">
        <w:rPr>
          <w:rFonts w:ascii="Arial" w:hAnsi="Arial" w:cs="Arial"/>
          <w:sz w:val="24"/>
          <w:szCs w:val="24"/>
        </w:rPr>
        <w:t xml:space="preserve">rok trvání </w:t>
      </w:r>
      <w:r>
        <w:rPr>
          <w:rFonts w:ascii="Arial" w:hAnsi="Arial" w:cs="Arial"/>
          <w:sz w:val="24"/>
          <w:szCs w:val="24"/>
        </w:rPr>
        <w:t xml:space="preserve">této </w:t>
      </w:r>
      <w:r w:rsidRPr="00AC3EF0">
        <w:rPr>
          <w:rFonts w:ascii="Arial" w:hAnsi="Arial" w:cs="Arial"/>
          <w:sz w:val="24"/>
          <w:szCs w:val="24"/>
        </w:rPr>
        <w:t xml:space="preserve">smlouvy dle odst. 1 tohoto článku částku </w:t>
      </w:r>
      <w:r w:rsidRPr="00592D84">
        <w:rPr>
          <w:rFonts w:ascii="Arial" w:hAnsi="Arial" w:cs="Arial"/>
          <w:sz w:val="24"/>
          <w:szCs w:val="24"/>
        </w:rPr>
        <w:t>ve výši 4 879 631</w:t>
      </w:r>
      <w:r w:rsidRPr="00592D84">
        <w:rPr>
          <w:rFonts w:ascii="Arial" w:hAnsi="Arial" w:cs="Arial"/>
          <w:b/>
          <w:sz w:val="24"/>
          <w:szCs w:val="24"/>
        </w:rPr>
        <w:t xml:space="preserve"> </w:t>
      </w:r>
      <w:r w:rsidRPr="00AC3EF0">
        <w:rPr>
          <w:rFonts w:ascii="Arial" w:hAnsi="Arial" w:cs="Arial"/>
          <w:sz w:val="24"/>
          <w:szCs w:val="24"/>
        </w:rPr>
        <w:t xml:space="preserve">Kč, </w:t>
      </w:r>
      <w:r w:rsidR="00513E9C">
        <w:rPr>
          <w:rFonts w:ascii="Arial" w:hAnsi="Arial" w:cs="Arial"/>
          <w:sz w:val="24"/>
          <w:szCs w:val="24"/>
        </w:rPr>
        <w:br/>
      </w:r>
      <w:r w:rsidRPr="00AC3EF0">
        <w:rPr>
          <w:rFonts w:ascii="Arial" w:hAnsi="Arial" w:cs="Arial"/>
          <w:sz w:val="24"/>
          <w:szCs w:val="24"/>
        </w:rPr>
        <w:t xml:space="preserve">a to do 31. 3. příslušného kalendářního roku, pokud nedojde </w:t>
      </w:r>
      <w:r>
        <w:rPr>
          <w:rFonts w:ascii="Arial" w:hAnsi="Arial" w:cs="Arial"/>
          <w:sz w:val="24"/>
          <w:szCs w:val="24"/>
        </w:rPr>
        <w:t>ke změnám této smlouvy formou dodatku</w:t>
      </w:r>
      <w:r w:rsidRPr="00AC3EF0">
        <w:rPr>
          <w:rFonts w:ascii="Arial" w:hAnsi="Arial" w:cs="Arial"/>
          <w:sz w:val="24"/>
          <w:szCs w:val="24"/>
        </w:rPr>
        <w:t>.</w:t>
      </w:r>
    </w:p>
    <w:p w:rsidR="009F750A" w:rsidRPr="00BE0901" w:rsidRDefault="009F750A" w:rsidP="009F750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</w:p>
    <w:p w:rsidR="009F750A" w:rsidRPr="00BE0901" w:rsidRDefault="009F750A" w:rsidP="009F75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BE0901">
        <w:rPr>
          <w:rFonts w:ascii="Arial" w:hAnsi="Arial" w:cs="Arial"/>
          <w:b/>
          <w:sz w:val="24"/>
          <w:szCs w:val="24"/>
        </w:rPr>
        <w:t>V.</w:t>
      </w:r>
    </w:p>
    <w:p w:rsidR="009F750A" w:rsidRPr="00BE0901" w:rsidRDefault="009F750A" w:rsidP="009F750A">
      <w:pPr>
        <w:jc w:val="center"/>
        <w:rPr>
          <w:rFonts w:ascii="Arial" w:hAnsi="Arial" w:cs="Arial"/>
          <w:b/>
          <w:sz w:val="24"/>
          <w:szCs w:val="24"/>
        </w:rPr>
      </w:pPr>
      <w:r w:rsidRPr="00BE0901">
        <w:rPr>
          <w:rFonts w:ascii="Arial" w:hAnsi="Arial" w:cs="Arial"/>
          <w:b/>
          <w:sz w:val="24"/>
          <w:szCs w:val="24"/>
        </w:rPr>
        <w:t>ZÁVĚREČNÁ USTANOVENÍ</w:t>
      </w:r>
    </w:p>
    <w:p w:rsidR="009F750A" w:rsidRDefault="009F750A" w:rsidP="009F750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9F750A" w:rsidRPr="000B4B93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Ostatní ustanovení Smlouvy zůstávají beze změn.</w:t>
      </w:r>
    </w:p>
    <w:p w:rsidR="009F750A" w:rsidRPr="00C506DE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2</w:t>
      </w:r>
      <w:r w:rsidRPr="000B4B93">
        <w:rPr>
          <w:rFonts w:ascii="Arial" w:hAnsi="Arial" w:cs="Arial"/>
          <w:sz w:val="24"/>
          <w:szCs w:val="24"/>
        </w:rPr>
        <w:t xml:space="preserve"> nabývá platnosti dnem jeho uzavření a účinnosti</w:t>
      </w:r>
      <w:r w:rsidRPr="000B4B93">
        <w:rPr>
          <w:rFonts w:ascii="Arial" w:hAnsi="Arial" w:cs="Arial"/>
          <w:bCs/>
          <w:sz w:val="24"/>
          <w:szCs w:val="24"/>
        </w:rPr>
        <w:t xml:space="preserve"> uveřejněním v registru smluv dle zákona č. 340/2015 Sb., o zvláštních podmínkách účinnosti některých smluv, uveřejňování těchto smluv a o registru s</w:t>
      </w:r>
      <w:r>
        <w:rPr>
          <w:rFonts w:ascii="Arial" w:hAnsi="Arial" w:cs="Arial"/>
          <w:bCs/>
          <w:sz w:val="24"/>
          <w:szCs w:val="24"/>
        </w:rPr>
        <w:t xml:space="preserve">mluv (zákon o registru smluv), </w:t>
      </w:r>
      <w:r w:rsidRPr="000B4B93">
        <w:rPr>
          <w:rFonts w:ascii="Arial" w:hAnsi="Arial" w:cs="Arial"/>
          <w:bCs/>
          <w:sz w:val="24"/>
          <w:szCs w:val="24"/>
        </w:rPr>
        <w:t>ve znění pozdějších předpisů</w:t>
      </w:r>
      <w:r w:rsidRPr="000B4B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06DE">
        <w:rPr>
          <w:rFonts w:ascii="Arial" w:hAnsi="Arial" w:cs="Arial"/>
          <w:color w:val="000000" w:themeColor="text1"/>
          <w:sz w:val="24"/>
          <w:szCs w:val="24"/>
        </w:rPr>
        <w:t>Uveřejnění v registru smluv provede KIDSOK.</w:t>
      </w:r>
    </w:p>
    <w:p w:rsidR="009F750A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Smluvní strany se dohodly, že tímto Dodatkem č. </w:t>
      </w:r>
      <w:r>
        <w:rPr>
          <w:rFonts w:ascii="Arial" w:hAnsi="Arial" w:cs="Arial"/>
          <w:sz w:val="24"/>
          <w:szCs w:val="24"/>
        </w:rPr>
        <w:t>2</w:t>
      </w:r>
      <w:r w:rsidRPr="000B4B93">
        <w:rPr>
          <w:rFonts w:ascii="Arial" w:hAnsi="Arial" w:cs="Arial"/>
          <w:sz w:val="24"/>
          <w:szCs w:val="24"/>
        </w:rPr>
        <w:t xml:space="preserve"> se řídí jejich práva </w:t>
      </w:r>
      <w:r>
        <w:rPr>
          <w:rFonts w:ascii="Arial" w:hAnsi="Arial" w:cs="Arial"/>
          <w:sz w:val="24"/>
          <w:szCs w:val="24"/>
        </w:rPr>
        <w:br/>
      </w:r>
      <w:r w:rsidRPr="000B4B93">
        <w:rPr>
          <w:rFonts w:ascii="Arial" w:hAnsi="Arial" w:cs="Arial"/>
          <w:sz w:val="24"/>
          <w:szCs w:val="24"/>
        </w:rPr>
        <w:t>a povinnosti, které vznikly při plnění Smlouvy od 1. 1. 20</w:t>
      </w:r>
      <w:r>
        <w:rPr>
          <w:rFonts w:ascii="Arial" w:hAnsi="Arial" w:cs="Arial"/>
          <w:sz w:val="24"/>
          <w:szCs w:val="24"/>
        </w:rPr>
        <w:t>20</w:t>
      </w:r>
      <w:r w:rsidRPr="000B4B93">
        <w:rPr>
          <w:rFonts w:ascii="Arial" w:hAnsi="Arial" w:cs="Arial"/>
          <w:sz w:val="24"/>
          <w:szCs w:val="24"/>
        </w:rPr>
        <w:t>.</w:t>
      </w:r>
    </w:p>
    <w:p w:rsidR="009F750A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Dodatek č. </w:t>
      </w:r>
      <w:r>
        <w:rPr>
          <w:rFonts w:ascii="Arial" w:hAnsi="Arial" w:cs="Arial"/>
          <w:sz w:val="24"/>
          <w:szCs w:val="24"/>
        </w:rPr>
        <w:t>2</w:t>
      </w:r>
      <w:r w:rsidRPr="000B4B93">
        <w:rPr>
          <w:rFonts w:ascii="Arial" w:hAnsi="Arial" w:cs="Arial"/>
          <w:sz w:val="24"/>
          <w:szCs w:val="24"/>
        </w:rPr>
        <w:t xml:space="preserve"> se vyhotovuje ve čtyřech stejnopisech, po dvou pro každou smluvní stranu.</w:t>
      </w:r>
    </w:p>
    <w:p w:rsidR="009F750A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Smluvní strany prohlašují, že s Dodatkem č. </w:t>
      </w:r>
      <w:r>
        <w:rPr>
          <w:rFonts w:ascii="Arial" w:hAnsi="Arial" w:cs="Arial"/>
          <w:sz w:val="24"/>
          <w:szCs w:val="24"/>
        </w:rPr>
        <w:t>2</w:t>
      </w:r>
      <w:r w:rsidRPr="000B4B93">
        <w:rPr>
          <w:rFonts w:ascii="Arial" w:hAnsi="Arial" w:cs="Arial"/>
          <w:sz w:val="24"/>
          <w:szCs w:val="24"/>
        </w:rPr>
        <w:t xml:space="preserve"> souhlasí, obsahu řádně porozuměly a na základě souhlasu vlastnoručně podepsaly.</w:t>
      </w:r>
    </w:p>
    <w:p w:rsidR="009F750A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Uzavření tohoto dodatku bylo schváleno usnesením Rady statutárního města Olomouc č. xxxxx  ze dne xxxxx.</w:t>
      </w:r>
    </w:p>
    <w:p w:rsidR="009F750A" w:rsidRPr="000B4B93" w:rsidRDefault="009F750A" w:rsidP="009F750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Tento dodatek byl schválen Zastupitelstvem Olomouckého kraje na xx zasedání, konaném xxxx usnesením č. xxxxxx.</w:t>
      </w:r>
    </w:p>
    <w:p w:rsidR="009F750A" w:rsidRDefault="009F750A" w:rsidP="009F750A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 Olomouci dne ………………………….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BE0901">
        <w:rPr>
          <w:rFonts w:ascii="Arial" w:eastAsia="Calibri" w:hAnsi="Arial" w:cs="Arial"/>
          <w:sz w:val="24"/>
          <w:szCs w:val="24"/>
        </w:rPr>
        <w:t>V Olomouci dne ………………</w:t>
      </w:r>
      <w:r>
        <w:rPr>
          <w:rFonts w:ascii="Arial" w:eastAsia="Calibri" w:hAnsi="Arial" w:cs="Arial"/>
          <w:sz w:val="24"/>
          <w:szCs w:val="24"/>
        </w:rPr>
        <w:t>……..</w:t>
      </w: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</w:p>
    <w:p w:rsidR="009F750A" w:rsidRPr="00BE0901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  <w:r w:rsidRPr="00BE0901">
        <w:rPr>
          <w:rFonts w:ascii="Arial" w:eastAsia="Calibri" w:hAnsi="Arial" w:cs="Arial"/>
          <w:sz w:val="24"/>
          <w:szCs w:val="24"/>
        </w:rPr>
        <w:t>………………………</w:t>
      </w:r>
      <w:r>
        <w:rPr>
          <w:rFonts w:ascii="Arial" w:eastAsia="Calibri" w:hAnsi="Arial" w:cs="Arial"/>
          <w:sz w:val="24"/>
          <w:szCs w:val="24"/>
        </w:rPr>
        <w:t>…….….</w:t>
      </w:r>
      <w:r w:rsidRPr="00BE0901">
        <w:rPr>
          <w:rFonts w:ascii="Arial" w:eastAsia="Calibri" w:hAnsi="Arial" w:cs="Arial"/>
          <w:sz w:val="24"/>
          <w:szCs w:val="24"/>
        </w:rPr>
        <w:t>…….</w:t>
      </w:r>
      <w:r w:rsidRPr="00BE0901">
        <w:rPr>
          <w:rFonts w:ascii="Arial" w:eastAsia="Calibri" w:hAnsi="Arial" w:cs="Arial"/>
          <w:sz w:val="24"/>
          <w:szCs w:val="24"/>
        </w:rPr>
        <w:tab/>
      </w:r>
      <w:r w:rsidRPr="00BE0901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.</w:t>
      </w:r>
      <w:r w:rsidRPr="00BE0901">
        <w:rPr>
          <w:rFonts w:ascii="Arial" w:eastAsia="Calibri" w:hAnsi="Arial" w:cs="Arial"/>
          <w:sz w:val="24"/>
          <w:szCs w:val="24"/>
        </w:rPr>
        <w:t>……………………………………</w:t>
      </w:r>
      <w:r>
        <w:rPr>
          <w:rFonts w:ascii="Arial" w:eastAsia="Calibri" w:hAnsi="Arial" w:cs="Arial"/>
          <w:sz w:val="24"/>
          <w:szCs w:val="24"/>
        </w:rPr>
        <w:t>…..</w:t>
      </w:r>
    </w:p>
    <w:p w:rsidR="009F750A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statutární město Olomouc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Olomoucká kraj</w:t>
      </w:r>
    </w:p>
    <w:p w:rsidR="009F750A" w:rsidRDefault="009F750A" w:rsidP="009F750A">
      <w:pPr>
        <w:jc w:val="both"/>
        <w:rPr>
          <w:rFonts w:ascii="Arial" w:eastAsia="Calibri" w:hAnsi="Arial" w:cs="Arial"/>
          <w:sz w:val="24"/>
          <w:szCs w:val="24"/>
        </w:rPr>
      </w:pPr>
      <w:r w:rsidRPr="001B75C8">
        <w:rPr>
          <w:rFonts w:ascii="Arial" w:eastAsia="Calibri" w:hAnsi="Arial" w:cs="Arial"/>
          <w:color w:val="000000" w:themeColor="text1"/>
          <w:sz w:val="24"/>
          <w:szCs w:val="24"/>
        </w:rPr>
        <w:t xml:space="preserve">    JUDr. Martin Major, MBA</w:t>
      </w:r>
      <w:r w:rsidRPr="001B75C8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Ing. Kateřina Suchánková, MBA</w:t>
      </w:r>
    </w:p>
    <w:p w:rsidR="00805BB6" w:rsidRDefault="009F750A" w:rsidP="009F750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>
        <w:rPr>
          <w:rFonts w:ascii="Arial" w:eastAsia="Calibri" w:hAnsi="Arial" w:cs="Arial"/>
          <w:sz w:val="24"/>
          <w:szCs w:val="24"/>
        </w:rPr>
        <w:tab/>
      </w:r>
      <w:r w:rsidRPr="00BE0901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ředitelka KIDSOK</w:t>
      </w:r>
      <w:r w:rsidR="00357979">
        <w:rPr>
          <w:rFonts w:ascii="Arial" w:hAnsi="Arial" w:cs="Arial"/>
          <w:b/>
          <w:sz w:val="22"/>
          <w:szCs w:val="22"/>
        </w:rPr>
        <w:br w:type="page"/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E100A7" w:rsidRDefault="009006C4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8151957" cy="3144840"/>
            <wp:effectExtent l="793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3924" cy="31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0A7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71" w:rsidRDefault="008B7671" w:rsidP="00DC33F2">
      <w:r>
        <w:separator/>
      </w:r>
    </w:p>
  </w:endnote>
  <w:endnote w:type="continuationSeparator" w:id="0">
    <w:p w:rsidR="008B7671" w:rsidRDefault="008B7671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1D" w:rsidRDefault="00AE46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021DC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 xml:space="preserve">. </w:t>
    </w:r>
    <w:r w:rsidR="00B261C3">
      <w:rPr>
        <w:rFonts w:ascii="Arial" w:hAnsi="Arial" w:cs="Arial"/>
        <w:i/>
      </w:rPr>
      <w:t>1</w:t>
    </w:r>
    <w:r w:rsidR="00AE461D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4B6AAA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021DC1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28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B261C3">
      <w:rPr>
        <w:rFonts w:cs="Arial"/>
        <w:b w:val="0"/>
        <w:i/>
        <w:sz w:val="20"/>
      </w:rPr>
      <w:t>2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>úhradě kompenzace na zajištění dopravní obslužnosti Olomouckého kraje se statutárním městem Olomouc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B261C3">
      <w:rPr>
        <w:rFonts w:cs="Arial"/>
        <w:b w:val="0"/>
        <w:i/>
        <w:sz w:val="20"/>
      </w:rPr>
      <w:t>2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>úhradě kompenzace na zajištění dopravní obslužnosti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1D" w:rsidRDefault="00AE4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71" w:rsidRDefault="008B7671" w:rsidP="00DC33F2">
      <w:r>
        <w:separator/>
      </w:r>
    </w:p>
  </w:footnote>
  <w:footnote w:type="continuationSeparator" w:id="0">
    <w:p w:rsidR="008B7671" w:rsidRDefault="008B7671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1D" w:rsidRDefault="00AE46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3E5E7A">
      <w:rPr>
        <w:rFonts w:ascii="Arial" w:hAnsi="Arial" w:cs="Arial"/>
        <w:i/>
      </w:rPr>
      <w:t>2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Olomouckého kraje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1D" w:rsidRDefault="00AE4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1EF"/>
    <w:multiLevelType w:val="hybridMultilevel"/>
    <w:tmpl w:val="CF58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9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1DC1"/>
    <w:rsid w:val="00022C24"/>
    <w:rsid w:val="00026757"/>
    <w:rsid w:val="000316C6"/>
    <w:rsid w:val="00060B26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618C"/>
    <w:rsid w:val="00181768"/>
    <w:rsid w:val="001842B6"/>
    <w:rsid w:val="001A40E1"/>
    <w:rsid w:val="00211A01"/>
    <w:rsid w:val="002310C8"/>
    <w:rsid w:val="00241BB6"/>
    <w:rsid w:val="00282D88"/>
    <w:rsid w:val="002F1D43"/>
    <w:rsid w:val="002F5094"/>
    <w:rsid w:val="00302B7D"/>
    <w:rsid w:val="00306449"/>
    <w:rsid w:val="00315CA4"/>
    <w:rsid w:val="00326C32"/>
    <w:rsid w:val="00334112"/>
    <w:rsid w:val="00357979"/>
    <w:rsid w:val="003955F8"/>
    <w:rsid w:val="003A2C1A"/>
    <w:rsid w:val="003C0005"/>
    <w:rsid w:val="003D41D3"/>
    <w:rsid w:val="003E1343"/>
    <w:rsid w:val="003E5E7A"/>
    <w:rsid w:val="004158AB"/>
    <w:rsid w:val="00433926"/>
    <w:rsid w:val="004744C4"/>
    <w:rsid w:val="00482547"/>
    <w:rsid w:val="00490EB8"/>
    <w:rsid w:val="0049137D"/>
    <w:rsid w:val="004A09F1"/>
    <w:rsid w:val="004B580E"/>
    <w:rsid w:val="004B6AAA"/>
    <w:rsid w:val="004C1E55"/>
    <w:rsid w:val="004C7D6F"/>
    <w:rsid w:val="004D6FD5"/>
    <w:rsid w:val="004E7D51"/>
    <w:rsid w:val="004F1375"/>
    <w:rsid w:val="004F6EE8"/>
    <w:rsid w:val="004F7464"/>
    <w:rsid w:val="00504809"/>
    <w:rsid w:val="00513E9C"/>
    <w:rsid w:val="00517BEF"/>
    <w:rsid w:val="0052192E"/>
    <w:rsid w:val="00554BB1"/>
    <w:rsid w:val="00567722"/>
    <w:rsid w:val="00583307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92955"/>
    <w:rsid w:val="006B4338"/>
    <w:rsid w:val="006C0A82"/>
    <w:rsid w:val="006C5C19"/>
    <w:rsid w:val="006C6CBE"/>
    <w:rsid w:val="006D0A32"/>
    <w:rsid w:val="006D5382"/>
    <w:rsid w:val="006D7500"/>
    <w:rsid w:val="00714AB1"/>
    <w:rsid w:val="00725598"/>
    <w:rsid w:val="007270EB"/>
    <w:rsid w:val="0075327E"/>
    <w:rsid w:val="0077278C"/>
    <w:rsid w:val="00782BA3"/>
    <w:rsid w:val="007B44C8"/>
    <w:rsid w:val="007C1782"/>
    <w:rsid w:val="007C7E32"/>
    <w:rsid w:val="007F58CB"/>
    <w:rsid w:val="007F7FB9"/>
    <w:rsid w:val="00805BB6"/>
    <w:rsid w:val="00812BB9"/>
    <w:rsid w:val="00865C85"/>
    <w:rsid w:val="008A2538"/>
    <w:rsid w:val="008B57E8"/>
    <w:rsid w:val="008B7671"/>
    <w:rsid w:val="008C1953"/>
    <w:rsid w:val="008E327D"/>
    <w:rsid w:val="008F4851"/>
    <w:rsid w:val="008F6E2B"/>
    <w:rsid w:val="009006C4"/>
    <w:rsid w:val="00945B82"/>
    <w:rsid w:val="009573EF"/>
    <w:rsid w:val="00991AFE"/>
    <w:rsid w:val="009B3B96"/>
    <w:rsid w:val="009B76F5"/>
    <w:rsid w:val="009D1919"/>
    <w:rsid w:val="009E67A1"/>
    <w:rsid w:val="009F5E57"/>
    <w:rsid w:val="009F750A"/>
    <w:rsid w:val="00A13ED5"/>
    <w:rsid w:val="00A151B3"/>
    <w:rsid w:val="00A941F0"/>
    <w:rsid w:val="00A97363"/>
    <w:rsid w:val="00AC2052"/>
    <w:rsid w:val="00AD5469"/>
    <w:rsid w:val="00AE461D"/>
    <w:rsid w:val="00AF4002"/>
    <w:rsid w:val="00B21B4A"/>
    <w:rsid w:val="00B261C3"/>
    <w:rsid w:val="00B33E30"/>
    <w:rsid w:val="00BB1C0B"/>
    <w:rsid w:val="00BB5B17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3BAE"/>
    <w:rsid w:val="00D25945"/>
    <w:rsid w:val="00D26E02"/>
    <w:rsid w:val="00D340F5"/>
    <w:rsid w:val="00D4745E"/>
    <w:rsid w:val="00D5069E"/>
    <w:rsid w:val="00D75420"/>
    <w:rsid w:val="00DA0C6B"/>
    <w:rsid w:val="00DB2090"/>
    <w:rsid w:val="00DC33F2"/>
    <w:rsid w:val="00DD431B"/>
    <w:rsid w:val="00DE7106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33F6"/>
    <w:rsid w:val="00EA6105"/>
    <w:rsid w:val="00ED0A87"/>
    <w:rsid w:val="00ED26C9"/>
    <w:rsid w:val="00EE0119"/>
    <w:rsid w:val="00F16A1B"/>
    <w:rsid w:val="00F20D66"/>
    <w:rsid w:val="00F27B7D"/>
    <w:rsid w:val="00F31351"/>
    <w:rsid w:val="00F429A1"/>
    <w:rsid w:val="00F97CD0"/>
    <w:rsid w:val="00FA4C2D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A1D8C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6F8E-245D-400E-BE63-0A05AC6C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62</cp:revision>
  <cp:lastPrinted>2019-11-15T10:55:00Z</cp:lastPrinted>
  <dcterms:created xsi:type="dcterms:W3CDTF">2019-03-05T10:55:00Z</dcterms:created>
  <dcterms:modified xsi:type="dcterms:W3CDTF">2019-11-27T15:45:00Z</dcterms:modified>
</cp:coreProperties>
</file>