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8B112C" w:rsidTr="003A7C6C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8B112C" w:rsidRDefault="00D373DF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object w:dxaOrig="1440" w:dyaOrig="1440"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36978427" r:id="rId9"/>
              </w:object>
            </w:r>
          </w:p>
        </w:tc>
        <w:tc>
          <w:tcPr>
            <w:tcW w:w="7740" w:type="dxa"/>
            <w:gridSpan w:val="3"/>
          </w:tcPr>
          <w:p w:rsidR="00D333CE" w:rsidRPr="008B112C" w:rsidRDefault="00D333CE" w:rsidP="00120AF5">
            <w:pPr>
              <w:pStyle w:val="Vbornadpis"/>
            </w:pPr>
          </w:p>
          <w:p w:rsidR="00D333CE" w:rsidRPr="008B112C" w:rsidRDefault="004A0997" w:rsidP="00120AF5">
            <w:pPr>
              <w:pStyle w:val="Vbornadpis"/>
            </w:pPr>
            <w:r w:rsidRPr="008B112C">
              <w:t xml:space="preserve">Zápis č. </w:t>
            </w:r>
            <w:r w:rsidR="00000BFD" w:rsidRPr="00BF79D6">
              <w:t>1</w:t>
            </w:r>
            <w:r w:rsidR="00BF79D6" w:rsidRPr="00BF79D6">
              <w:t>6</w:t>
            </w:r>
          </w:p>
          <w:p w:rsidR="00D333CE" w:rsidRPr="008B112C" w:rsidRDefault="00D333CE" w:rsidP="00120AF5">
            <w:pPr>
              <w:pStyle w:val="Vbornadpis"/>
            </w:pPr>
            <w:r w:rsidRPr="008B112C">
              <w:t>ze zasedání Výboru pro rozvoj cestovního ruchu</w:t>
            </w:r>
          </w:p>
          <w:p w:rsidR="00D333CE" w:rsidRPr="008B112C" w:rsidRDefault="00D333CE" w:rsidP="00120AF5">
            <w:pPr>
              <w:pStyle w:val="Vbornadpis"/>
            </w:pPr>
            <w:r w:rsidRPr="008B112C">
              <w:t>Zastupitelstva Olomouckého kraje</w:t>
            </w:r>
          </w:p>
          <w:p w:rsidR="00D333CE" w:rsidRPr="008B112C" w:rsidRDefault="004A0997" w:rsidP="00B856FE">
            <w:pPr>
              <w:pStyle w:val="Vbornadpis"/>
            </w:pPr>
            <w:r w:rsidRPr="008B112C">
              <w:t xml:space="preserve">ze dne </w:t>
            </w:r>
            <w:r w:rsidR="006C230E">
              <w:t>12</w:t>
            </w:r>
            <w:r w:rsidRPr="008B112C">
              <w:t xml:space="preserve">. </w:t>
            </w:r>
            <w:r w:rsidR="006C230E">
              <w:t>11</w:t>
            </w:r>
            <w:r w:rsidR="00D333CE" w:rsidRPr="008B112C">
              <w:t>. 201</w:t>
            </w:r>
            <w:r w:rsidR="00000BFD" w:rsidRPr="008B112C">
              <w:t>9</w:t>
            </w:r>
          </w:p>
          <w:p w:rsidR="000303D6" w:rsidRPr="008B112C" w:rsidRDefault="000303D6" w:rsidP="00B856FE">
            <w:pPr>
              <w:pStyle w:val="Vbornadpis"/>
            </w:pPr>
          </w:p>
        </w:tc>
      </w:tr>
      <w:tr w:rsidR="001C1AF6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1C1AF6" w:rsidRPr="008B112C" w:rsidRDefault="001C1AF6" w:rsidP="00120AF5">
            <w:pPr>
              <w:pStyle w:val="Vborptomni"/>
            </w:pPr>
            <w:r w:rsidRPr="008B112C">
              <w:t>Přítomni:</w:t>
            </w:r>
          </w:p>
        </w:tc>
        <w:tc>
          <w:tcPr>
            <w:tcW w:w="4862" w:type="dxa"/>
          </w:tcPr>
          <w:p w:rsidR="001C1AF6" w:rsidRPr="008B112C" w:rsidRDefault="001C1AF6" w:rsidP="000B6E10">
            <w:pPr>
              <w:pStyle w:val="Vborptomnitext"/>
              <w:rPr>
                <w:b/>
              </w:rPr>
            </w:pPr>
            <w:r w:rsidRPr="008B112C">
              <w:rPr>
                <w:b/>
              </w:rPr>
              <w:t>Omluveni:</w:t>
            </w:r>
          </w:p>
        </w:tc>
      </w:tr>
      <w:tr w:rsidR="00F211C0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8B112C" w:rsidRDefault="00F211C0" w:rsidP="00F211C0">
            <w:pPr>
              <w:pStyle w:val="Vborptomnitext"/>
              <w:rPr>
                <w:iCs/>
              </w:rPr>
            </w:pPr>
            <w:r w:rsidRPr="008B112C">
              <w:rPr>
                <w:iCs/>
              </w:rPr>
              <w:t>Ing. Adam Kalous – předseda</w:t>
            </w:r>
          </w:p>
        </w:tc>
        <w:tc>
          <w:tcPr>
            <w:tcW w:w="4862" w:type="dxa"/>
          </w:tcPr>
          <w:p w:rsidR="00F211C0" w:rsidRPr="00BF79D6" w:rsidRDefault="00BF79D6" w:rsidP="000B6E10">
            <w:pPr>
              <w:pStyle w:val="Vborptomnitext"/>
              <w:rPr>
                <w:bCs/>
                <w:iCs/>
              </w:rPr>
            </w:pPr>
            <w:r w:rsidRPr="00BF79D6">
              <w:rPr>
                <w:bCs/>
                <w:iCs/>
              </w:rPr>
              <w:t>Mgr. Markéta Záleská</w:t>
            </w:r>
          </w:p>
        </w:tc>
      </w:tr>
      <w:tr w:rsidR="00F211C0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8B112C" w:rsidRDefault="0047588F" w:rsidP="00120AF5">
            <w:pPr>
              <w:pStyle w:val="Vborptomnitext"/>
              <w:rPr>
                <w:iCs/>
              </w:rPr>
            </w:pPr>
            <w:r w:rsidRPr="008B112C">
              <w:t xml:space="preserve">Ing. Ján </w:t>
            </w:r>
            <w:proofErr w:type="spellStart"/>
            <w:r w:rsidRPr="008B112C">
              <w:t>Babnič</w:t>
            </w:r>
            <w:proofErr w:type="spellEnd"/>
          </w:p>
        </w:tc>
        <w:tc>
          <w:tcPr>
            <w:tcW w:w="4862" w:type="dxa"/>
          </w:tcPr>
          <w:p w:rsidR="00F211C0" w:rsidRPr="008B112C" w:rsidRDefault="00F211C0" w:rsidP="000B6E10">
            <w:pPr>
              <w:pStyle w:val="Vborptomnitext"/>
              <w:rPr>
                <w:bCs/>
                <w:iCs/>
                <w:color w:val="FF0000"/>
              </w:rPr>
            </w:pP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iCs/>
              </w:rPr>
            </w:pPr>
            <w:r w:rsidRPr="008B112C">
              <w:t>Mgr. Djamila Bekhedda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</w:pPr>
            <w:r w:rsidRPr="008B112C">
              <w:t>Mgr. Svatopluk Binder, Ph.D.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 xml:space="preserve">Radek </w:t>
            </w:r>
            <w:proofErr w:type="spellStart"/>
            <w:r w:rsidRPr="008B112C"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/>
              </w:rPr>
            </w:pPr>
            <w:r w:rsidRPr="008B112C">
              <w:rPr>
                <w:b/>
              </w:rPr>
              <w:t>Tajemník výboru:</w:t>
            </w: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</w:pPr>
            <w:r w:rsidRPr="008B112C">
              <w:t>Bc. Milan Blaho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  <w:rPr>
                <w:b/>
              </w:rPr>
            </w:pPr>
            <w:r w:rsidRPr="008B112C">
              <w:t>Mgr. Radek Stojan</w:t>
            </w: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text"/>
            </w:pPr>
            <w:r w:rsidRPr="008B112C">
              <w:rPr>
                <w:b/>
              </w:rPr>
              <w:t>Hosté:</w:t>
            </w:r>
          </w:p>
        </w:tc>
      </w:tr>
      <w:tr w:rsidR="003A7C6C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3A7C6C" w:rsidRPr="003A7C6C" w:rsidRDefault="003A7C6C" w:rsidP="0047588F">
            <w:pPr>
              <w:pStyle w:val="Vborptomnitext"/>
              <w:rPr>
                <w:iCs/>
              </w:rPr>
            </w:pPr>
            <w:r w:rsidRPr="008B112C">
              <w:rPr>
                <w:iCs/>
              </w:rPr>
              <w:t>Jan Jančí</w:t>
            </w:r>
          </w:p>
        </w:tc>
        <w:tc>
          <w:tcPr>
            <w:tcW w:w="4862" w:type="dxa"/>
          </w:tcPr>
          <w:p w:rsidR="003A7C6C" w:rsidRPr="003A7C6C" w:rsidRDefault="003A7C6C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JUDr. Vladimír Lichnovský</w:t>
            </w:r>
          </w:p>
        </w:tc>
      </w:tr>
      <w:tr w:rsidR="003A7C6C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3A7C6C" w:rsidRPr="008B112C" w:rsidRDefault="003A7C6C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</w:tcPr>
          <w:p w:rsidR="003A7C6C" w:rsidRPr="003A7C6C" w:rsidRDefault="003A7C6C" w:rsidP="0047588F">
            <w:pPr>
              <w:pStyle w:val="Vborptomnitext"/>
              <w:rPr>
                <w:bCs/>
                <w:iCs/>
              </w:rPr>
            </w:pPr>
            <w:r w:rsidRPr="00BF79D6">
              <w:rPr>
                <w:bCs/>
                <w:iCs/>
              </w:rPr>
              <w:t xml:space="preserve">Mgr. Tomáš Rak </w:t>
            </w: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BF79D6" w:rsidRPr="008B112C" w:rsidRDefault="00BF79D6" w:rsidP="0047588F">
            <w:pPr>
              <w:pStyle w:val="Vborptomnitext"/>
              <w:rPr>
                <w:bCs/>
                <w:iCs/>
              </w:rPr>
            </w:pPr>
            <w:r w:rsidRPr="00BF79D6">
              <w:rPr>
                <w:bCs/>
                <w:iCs/>
              </w:rPr>
              <w:t>Ing. Petr Mudra</w:t>
            </w:r>
          </w:p>
        </w:tc>
        <w:tc>
          <w:tcPr>
            <w:tcW w:w="4862" w:type="dxa"/>
          </w:tcPr>
          <w:p w:rsidR="00BF79D6" w:rsidRPr="008B112C" w:rsidRDefault="00BF79D6" w:rsidP="00BF79D6">
            <w:pPr>
              <w:pStyle w:val="Vborptomnitext"/>
              <w:rPr>
                <w:bCs/>
                <w:iCs/>
              </w:rPr>
            </w:pPr>
            <w:r w:rsidRPr="00BF79D6">
              <w:rPr>
                <w:bCs/>
                <w:iCs/>
              </w:rPr>
              <w:t>Bc. Tomáš Weber</w:t>
            </w: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82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</w:tcPr>
          <w:p w:rsidR="0047588F" w:rsidRPr="008B112C" w:rsidRDefault="00BF79D6" w:rsidP="0047588F">
            <w:pPr>
              <w:pStyle w:val="Vborptomnitext"/>
            </w:pPr>
            <w:r>
              <w:t>Mgr. Martina Žalmánková</w:t>
            </w: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Default="0047588F" w:rsidP="0047588F">
            <w:pPr>
              <w:pStyle w:val="Vborptomnitext"/>
              <w:rPr>
                <w:bCs/>
                <w:iCs/>
              </w:rPr>
            </w:pPr>
            <w:r w:rsidRPr="008B112C">
              <w:rPr>
                <w:bCs/>
                <w:iCs/>
              </w:rPr>
              <w:t>Mgr. Michal Stoupa</w:t>
            </w:r>
          </w:p>
          <w:p w:rsidR="00BF79D6" w:rsidRPr="008B112C" w:rsidRDefault="00BF79D6" w:rsidP="0047588F">
            <w:pPr>
              <w:pStyle w:val="Vborptomnitext"/>
              <w:rPr>
                <w:bCs/>
                <w:iCs/>
              </w:rPr>
            </w:pPr>
            <w:r w:rsidRPr="00BF79D6">
              <w:rPr>
                <w:bCs/>
                <w:iCs/>
              </w:rPr>
              <w:t>Ing. Jan Šafařík, MBA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iCs/>
              </w:rPr>
            </w:pPr>
            <w:r w:rsidRPr="008B112C">
              <w:rPr>
                <w:iCs/>
              </w:rPr>
              <w:t>Kamil Veselý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47588F" w:rsidP="0047588F">
            <w:pPr>
              <w:pStyle w:val="Vborptomnitext"/>
              <w:rPr>
                <w:iCs/>
              </w:rPr>
            </w:pPr>
            <w:r w:rsidRPr="008B112C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  <w:tr w:rsidR="0047588F" w:rsidRPr="008B112C" w:rsidTr="003A7C6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47588F" w:rsidRPr="008B112C" w:rsidRDefault="00BF79D6" w:rsidP="0047588F">
            <w:pPr>
              <w:pStyle w:val="Vborptomnitext"/>
              <w:rPr>
                <w:bCs/>
                <w:iCs/>
              </w:rPr>
            </w:pPr>
            <w:r w:rsidRPr="00BF79D6">
              <w:rPr>
                <w:bCs/>
                <w:iCs/>
              </w:rPr>
              <w:t xml:space="preserve">Ing. Lubomír </w:t>
            </w:r>
            <w:proofErr w:type="spellStart"/>
            <w:r w:rsidRPr="00BF79D6">
              <w:rPr>
                <w:bCs/>
                <w:iCs/>
              </w:rPr>
              <w:t>Žmolík</w:t>
            </w:r>
            <w:proofErr w:type="spellEnd"/>
          </w:p>
        </w:tc>
        <w:tc>
          <w:tcPr>
            <w:tcW w:w="4862" w:type="dxa"/>
          </w:tcPr>
          <w:p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</w:tbl>
    <w:p w:rsidR="00000BFD" w:rsidRDefault="00000BFD" w:rsidP="00081F1D">
      <w:pPr>
        <w:pStyle w:val="Vborprogram"/>
        <w:spacing w:before="0" w:after="0"/>
        <w:rPr>
          <w:noProof w:val="0"/>
        </w:rPr>
      </w:pPr>
    </w:p>
    <w:p w:rsidR="004F0F7A" w:rsidRPr="008B112C" w:rsidRDefault="004F0F7A" w:rsidP="00081F1D">
      <w:pPr>
        <w:pStyle w:val="Vborprogram"/>
        <w:spacing w:before="0" w:after="0"/>
        <w:rPr>
          <w:noProof w:val="0"/>
        </w:rPr>
      </w:pPr>
    </w:p>
    <w:p w:rsidR="00D333CE" w:rsidRPr="008B112C" w:rsidRDefault="00D333CE" w:rsidP="00081F1D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:rsidR="00267F96" w:rsidRPr="008B112C" w:rsidRDefault="00267F96" w:rsidP="00081F1D">
      <w:pPr>
        <w:pStyle w:val="Vborprogram"/>
        <w:spacing w:before="0" w:after="0"/>
        <w:rPr>
          <w:noProof w:val="0"/>
        </w:rPr>
      </w:pPr>
    </w:p>
    <w:p w:rsidR="00BF79D6" w:rsidRPr="00BF79D6" w:rsidRDefault="00BF79D6" w:rsidP="00BF79D6">
      <w:pPr>
        <w:widowControl w:val="0"/>
        <w:numPr>
          <w:ilvl w:val="0"/>
          <w:numId w:val="1"/>
        </w:numPr>
        <w:suppressAutoHyphens w:val="0"/>
        <w:spacing w:after="120"/>
        <w:jc w:val="both"/>
        <w:outlineLvl w:val="0"/>
        <w:rPr>
          <w:rFonts w:ascii="Arial" w:hAnsi="Arial"/>
          <w:noProof/>
          <w:szCs w:val="20"/>
          <w:lang w:eastAsia="cs-CZ"/>
        </w:rPr>
      </w:pPr>
      <w:r w:rsidRPr="00BF79D6">
        <w:rPr>
          <w:rFonts w:ascii="Arial" w:hAnsi="Arial"/>
          <w:noProof/>
          <w:szCs w:val="20"/>
          <w:lang w:eastAsia="cs-CZ"/>
        </w:rPr>
        <w:t>Kontrola usnesení</w:t>
      </w:r>
    </w:p>
    <w:p w:rsidR="00BF79D6" w:rsidRPr="00BF79D6" w:rsidRDefault="00BF79D6" w:rsidP="00BF79D6">
      <w:pPr>
        <w:widowControl w:val="0"/>
        <w:numPr>
          <w:ilvl w:val="0"/>
          <w:numId w:val="1"/>
        </w:numPr>
        <w:suppressAutoHyphens w:val="0"/>
        <w:spacing w:after="120"/>
        <w:jc w:val="both"/>
        <w:outlineLvl w:val="0"/>
        <w:rPr>
          <w:rFonts w:ascii="Arial" w:hAnsi="Arial"/>
          <w:noProof/>
          <w:szCs w:val="20"/>
          <w:lang w:eastAsia="cs-CZ"/>
        </w:rPr>
      </w:pPr>
      <w:r w:rsidRPr="00BF79D6">
        <w:rPr>
          <w:rFonts w:ascii="Arial" w:hAnsi="Arial" w:cs="Arial"/>
          <w:noProof/>
          <w:szCs w:val="20"/>
          <w:lang w:eastAsia="cs-CZ"/>
        </w:rPr>
        <w:t xml:space="preserve">Informace k </w:t>
      </w:r>
      <w:r w:rsidRPr="00BF79D6">
        <w:rPr>
          <w:rFonts w:ascii="Arial" w:hAnsi="Arial"/>
          <w:noProof/>
          <w:szCs w:val="20"/>
          <w:lang w:eastAsia="cs-CZ"/>
        </w:rPr>
        <w:t>založení Centrály cestovního ruchu Olomouckého kraje</w:t>
      </w:r>
    </w:p>
    <w:p w:rsidR="00BF79D6" w:rsidRPr="00BF79D6" w:rsidRDefault="00BF79D6" w:rsidP="00BF79D6">
      <w:pPr>
        <w:widowControl w:val="0"/>
        <w:numPr>
          <w:ilvl w:val="0"/>
          <w:numId w:val="1"/>
        </w:numPr>
        <w:suppressAutoHyphens w:val="0"/>
        <w:spacing w:after="120"/>
        <w:jc w:val="both"/>
        <w:outlineLvl w:val="0"/>
        <w:rPr>
          <w:rFonts w:ascii="Arial" w:hAnsi="Arial"/>
          <w:noProof/>
          <w:szCs w:val="20"/>
          <w:lang w:eastAsia="cs-CZ"/>
        </w:rPr>
      </w:pPr>
      <w:r w:rsidRPr="00BF79D6">
        <w:rPr>
          <w:rFonts w:ascii="Arial" w:hAnsi="Arial"/>
          <w:noProof/>
          <w:szCs w:val="20"/>
          <w:lang w:eastAsia="cs-CZ"/>
        </w:rPr>
        <w:t>Dotační tituly Olomouckého kraje za oblast cestovního ruchu v roce 2020</w:t>
      </w:r>
    </w:p>
    <w:p w:rsidR="00BF79D6" w:rsidRPr="00BF79D6" w:rsidRDefault="00BF79D6" w:rsidP="00BF79D6">
      <w:pPr>
        <w:widowControl w:val="0"/>
        <w:numPr>
          <w:ilvl w:val="0"/>
          <w:numId w:val="1"/>
        </w:numPr>
        <w:suppressAutoHyphens w:val="0"/>
        <w:spacing w:after="120"/>
        <w:jc w:val="both"/>
        <w:outlineLvl w:val="0"/>
        <w:rPr>
          <w:rFonts w:ascii="Arial" w:hAnsi="Arial"/>
          <w:noProof/>
          <w:szCs w:val="20"/>
          <w:lang w:eastAsia="cs-CZ"/>
        </w:rPr>
      </w:pPr>
      <w:r w:rsidRPr="00BF79D6">
        <w:rPr>
          <w:rFonts w:ascii="Arial" w:hAnsi="Arial" w:cs="Arial"/>
          <w:noProof/>
          <w:szCs w:val="20"/>
          <w:lang w:eastAsia="cs-CZ"/>
        </w:rPr>
        <w:t>Informace o účasti Olomouckého kraje na veletrzích cestovního ruchu v roce 2020</w:t>
      </w:r>
    </w:p>
    <w:p w:rsidR="00BF79D6" w:rsidRPr="00BF79D6" w:rsidRDefault="00BF79D6" w:rsidP="00BF79D6">
      <w:pPr>
        <w:widowControl w:val="0"/>
        <w:numPr>
          <w:ilvl w:val="0"/>
          <w:numId w:val="1"/>
        </w:numPr>
        <w:suppressAutoHyphens w:val="0"/>
        <w:spacing w:after="120"/>
        <w:jc w:val="both"/>
        <w:outlineLvl w:val="0"/>
        <w:rPr>
          <w:rFonts w:ascii="Arial" w:hAnsi="Arial"/>
          <w:noProof/>
          <w:szCs w:val="20"/>
          <w:lang w:eastAsia="cs-CZ"/>
        </w:rPr>
      </w:pPr>
      <w:r w:rsidRPr="00BF79D6">
        <w:rPr>
          <w:rFonts w:ascii="Arial" w:hAnsi="Arial"/>
          <w:noProof/>
          <w:szCs w:val="20"/>
          <w:lang w:eastAsia="cs-CZ"/>
        </w:rPr>
        <w:t>Různé</w:t>
      </w:r>
    </w:p>
    <w:p w:rsidR="00F55A1D" w:rsidRPr="008B112C" w:rsidRDefault="00F55A1D" w:rsidP="00D333CE">
      <w:pPr>
        <w:pStyle w:val="Vborzpis"/>
      </w:pPr>
    </w:p>
    <w:p w:rsidR="00D333CE" w:rsidRPr="008B112C" w:rsidRDefault="00CA6731" w:rsidP="00D333CE">
      <w:pPr>
        <w:pStyle w:val="Vborzpis"/>
      </w:pPr>
      <w:r w:rsidRPr="008B112C">
        <w:lastRenderedPageBreak/>
        <w:t xml:space="preserve"> </w:t>
      </w:r>
      <w:r w:rsidR="00D333CE" w:rsidRPr="008B112C">
        <w:t>Zápis:</w:t>
      </w:r>
    </w:p>
    <w:p w:rsidR="005C15C7" w:rsidRPr="008B112C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8B112C">
        <w:rPr>
          <w:b w:val="0"/>
          <w:sz w:val="24"/>
          <w:lang w:eastAsia="en-US"/>
        </w:rPr>
        <w:t xml:space="preserve">V úvodu jednání byl jednohlasně schválen program </w:t>
      </w:r>
      <w:r w:rsidR="00000BFD" w:rsidRPr="008B112C">
        <w:rPr>
          <w:b w:val="0"/>
          <w:sz w:val="24"/>
          <w:lang w:eastAsia="en-US"/>
        </w:rPr>
        <w:t>1</w:t>
      </w:r>
      <w:r w:rsidR="00883E1D">
        <w:rPr>
          <w:b w:val="0"/>
          <w:sz w:val="24"/>
          <w:lang w:eastAsia="en-US"/>
        </w:rPr>
        <w:t>6</w:t>
      </w:r>
      <w:r w:rsidRPr="008B112C">
        <w:rPr>
          <w:b w:val="0"/>
          <w:sz w:val="24"/>
          <w:lang w:eastAsia="en-US"/>
        </w:rPr>
        <w:t>. zasedání Výboru pro rozvoj cestovního ruchu Zastupitelstva Olomouckého kraje</w:t>
      </w:r>
      <w:r w:rsidR="00883E1D">
        <w:rPr>
          <w:b w:val="0"/>
          <w:sz w:val="24"/>
          <w:lang w:eastAsia="en-US"/>
        </w:rPr>
        <w:t>.</w:t>
      </w:r>
    </w:p>
    <w:p w:rsidR="005C15C7" w:rsidRPr="008B112C" w:rsidRDefault="005C15C7" w:rsidP="0047588F">
      <w:pPr>
        <w:pStyle w:val="slo1text"/>
        <w:numPr>
          <w:ilvl w:val="0"/>
          <w:numId w:val="0"/>
        </w:numPr>
        <w:suppressAutoHyphens/>
        <w:ind w:left="720"/>
        <w:outlineLvl w:val="9"/>
        <w:rPr>
          <w:b/>
          <w:noProof w:val="0"/>
          <w:lang w:val="cs-CZ"/>
        </w:rPr>
      </w:pPr>
    </w:p>
    <w:p w:rsidR="009D0055" w:rsidRDefault="00883E1D" w:rsidP="0047588F">
      <w:pPr>
        <w:pStyle w:val="slo1text"/>
        <w:numPr>
          <w:ilvl w:val="1"/>
          <w:numId w:val="2"/>
        </w:numPr>
        <w:tabs>
          <w:tab w:val="clear" w:pos="360"/>
        </w:tabs>
        <w:suppressAutoHyphens/>
        <w:ind w:left="720" w:hanging="294"/>
        <w:outlineLvl w:val="9"/>
        <w:rPr>
          <w:b/>
          <w:noProof w:val="0"/>
          <w:lang w:val="cs-CZ"/>
        </w:rPr>
      </w:pPr>
      <w:r>
        <w:rPr>
          <w:b/>
          <w:noProof w:val="0"/>
          <w:lang w:val="cs-CZ"/>
        </w:rPr>
        <w:t>Kontrola usnesení</w:t>
      </w:r>
    </w:p>
    <w:p w:rsidR="00186D37" w:rsidRPr="00186D37" w:rsidRDefault="00186D37" w:rsidP="003A7C6C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/>
        </w:rPr>
      </w:pPr>
      <w:r>
        <w:rPr>
          <w:noProof w:val="0"/>
          <w:lang w:val="cs-CZ"/>
        </w:rPr>
        <w:t xml:space="preserve">Proběhla kontrola usnesení z minulého jednání Výboru. </w:t>
      </w:r>
    </w:p>
    <w:p w:rsidR="00F60E66" w:rsidRPr="008B112C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8B112C">
        <w:rPr>
          <w:b/>
          <w:bCs w:val="0"/>
          <w:noProof w:val="0"/>
          <w:lang w:val="cs-CZ"/>
        </w:rPr>
        <w:t>Výbor bere na vědomí informace k tomuto bodu jednání.</w:t>
      </w:r>
    </w:p>
    <w:p w:rsidR="005C15C7" w:rsidRDefault="00565263" w:rsidP="009507DE">
      <w:pPr>
        <w:pStyle w:val="slo1text"/>
        <w:numPr>
          <w:ilvl w:val="1"/>
          <w:numId w:val="2"/>
        </w:numPr>
        <w:tabs>
          <w:tab w:val="clear" w:pos="360"/>
        </w:tabs>
        <w:suppressAutoHyphens/>
        <w:ind w:left="720" w:hanging="294"/>
        <w:outlineLvl w:val="9"/>
        <w:rPr>
          <w:b/>
          <w:noProof w:val="0"/>
          <w:lang w:val="cs-CZ"/>
        </w:rPr>
      </w:pPr>
      <w:r>
        <w:rPr>
          <w:b/>
          <w:noProof w:val="0"/>
          <w:lang w:val="cs-CZ"/>
        </w:rPr>
        <w:t>Informace k založení Centrály cestovního ruchu Olomouckého kraje</w:t>
      </w:r>
    </w:p>
    <w:p w:rsidR="00565263" w:rsidRDefault="00983051" w:rsidP="00522806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 xml:space="preserve">Mgr. Radek Stojan shrnul vývoj týkající se založení Centrály cestovního ruchu – dne </w:t>
      </w:r>
      <w:r w:rsidR="00BB5A51">
        <w:rPr>
          <w:noProof w:val="0"/>
          <w:lang w:val="cs-CZ"/>
        </w:rPr>
        <w:t xml:space="preserve">23. 9. 2019 svým usnesením </w:t>
      </w:r>
      <w:r w:rsidR="00952CE8">
        <w:rPr>
          <w:noProof w:val="0"/>
          <w:lang w:val="cs-CZ"/>
        </w:rPr>
        <w:t xml:space="preserve">č. </w:t>
      </w:r>
      <w:r w:rsidR="00952CE8" w:rsidRPr="00952CE8">
        <w:rPr>
          <w:noProof w:val="0"/>
          <w:lang w:val="cs-CZ"/>
        </w:rPr>
        <w:t>UZ/17/72/2019</w:t>
      </w:r>
      <w:r w:rsidR="00952CE8">
        <w:rPr>
          <w:noProof w:val="0"/>
          <w:lang w:val="cs-CZ"/>
        </w:rPr>
        <w:t xml:space="preserve"> </w:t>
      </w:r>
      <w:r>
        <w:rPr>
          <w:noProof w:val="0"/>
          <w:lang w:val="cs-CZ"/>
        </w:rPr>
        <w:t xml:space="preserve">Zastupitelstvo Olomouckého kraje schválilo </w:t>
      </w:r>
      <w:r w:rsidR="00BB5A51">
        <w:rPr>
          <w:noProof w:val="0"/>
          <w:lang w:val="cs-CZ"/>
        </w:rPr>
        <w:t xml:space="preserve">záměr založení Centrály cestovního ruchu, s.r.o. se sídlem Jeremenkova 1191/40a, 779 00 Olomouc. Centrála je nyní zapsána v obchodím rejstříku. Důležitou otázkou byl vztah Centrály, Střední Morava – Sdružení cestovního ruchu (SM-SCR) a Jeseníky -  Sdružení cestovního ruchu (J-SCR). Mgr. Stojan uvedl, že </w:t>
      </w:r>
      <w:r w:rsidR="00B75321">
        <w:rPr>
          <w:noProof w:val="0"/>
          <w:lang w:val="cs-CZ"/>
        </w:rPr>
        <w:t xml:space="preserve">se aktuálně prověřují možnosti, jakým způsobem bude zajištěno financování obou sdružení prostřednictvím </w:t>
      </w:r>
      <w:r w:rsidR="00BB5A51">
        <w:rPr>
          <w:noProof w:val="0"/>
          <w:lang w:val="cs-CZ"/>
        </w:rPr>
        <w:t>Centrál</w:t>
      </w:r>
      <w:r w:rsidR="00B75321">
        <w:rPr>
          <w:noProof w:val="0"/>
          <w:lang w:val="cs-CZ"/>
        </w:rPr>
        <w:t>y.</w:t>
      </w:r>
      <w:r w:rsidR="00BB5A51">
        <w:rPr>
          <w:noProof w:val="0"/>
          <w:lang w:val="cs-CZ"/>
        </w:rPr>
        <w:t xml:space="preserve"> </w:t>
      </w:r>
      <w:r w:rsidR="00B75321">
        <w:rPr>
          <w:noProof w:val="0"/>
          <w:lang w:val="cs-CZ"/>
        </w:rPr>
        <w:t xml:space="preserve">Již nyní je dohodnuto, že sdružení obdrží finanční prostředky na realizaci schválených marketingových aktivit na rok 2020, </w:t>
      </w:r>
      <w:r w:rsidR="00BB5A51">
        <w:rPr>
          <w:noProof w:val="0"/>
          <w:lang w:val="cs-CZ"/>
        </w:rPr>
        <w:t xml:space="preserve">konkrétně </w:t>
      </w:r>
      <w:r w:rsidR="00B75321">
        <w:rPr>
          <w:noProof w:val="0"/>
          <w:lang w:val="cs-CZ"/>
        </w:rPr>
        <w:t xml:space="preserve">se jedná o </w:t>
      </w:r>
      <w:r w:rsidR="00BB5A51">
        <w:rPr>
          <w:noProof w:val="0"/>
          <w:lang w:val="cs-CZ"/>
        </w:rPr>
        <w:t>9</w:t>
      </w:r>
      <w:r w:rsidR="00D373DF">
        <w:rPr>
          <w:noProof w:val="0"/>
          <w:lang w:val="cs-CZ"/>
        </w:rPr>
        <w:t>48</w:t>
      </w:r>
      <w:bookmarkStart w:id="0" w:name="_GoBack"/>
      <w:bookmarkEnd w:id="0"/>
      <w:r w:rsidR="00B75321">
        <w:rPr>
          <w:noProof w:val="0"/>
          <w:lang w:val="cs-CZ"/>
        </w:rPr>
        <w:t>.</w:t>
      </w:r>
      <w:r w:rsidR="00BB5A51">
        <w:rPr>
          <w:noProof w:val="0"/>
          <w:lang w:val="cs-CZ"/>
        </w:rPr>
        <w:t>000</w:t>
      </w:r>
      <w:r w:rsidR="00B75321">
        <w:rPr>
          <w:noProof w:val="0"/>
          <w:lang w:val="cs-CZ"/>
        </w:rPr>
        <w:t xml:space="preserve"> </w:t>
      </w:r>
      <w:r w:rsidR="00952CE8">
        <w:rPr>
          <w:noProof w:val="0"/>
          <w:lang w:val="cs-CZ"/>
        </w:rPr>
        <w:t>Kč</w:t>
      </w:r>
      <w:r w:rsidR="00BB5A51">
        <w:rPr>
          <w:noProof w:val="0"/>
          <w:lang w:val="cs-CZ"/>
        </w:rPr>
        <w:t xml:space="preserve"> </w:t>
      </w:r>
      <w:r w:rsidR="00B75321">
        <w:rPr>
          <w:noProof w:val="0"/>
          <w:lang w:val="cs-CZ"/>
        </w:rPr>
        <w:t xml:space="preserve">pro </w:t>
      </w:r>
      <w:r w:rsidR="00BB5A51">
        <w:rPr>
          <w:noProof w:val="0"/>
          <w:lang w:val="cs-CZ"/>
        </w:rPr>
        <w:t>SM-SCR a 929</w:t>
      </w:r>
      <w:r w:rsidR="00B75321">
        <w:rPr>
          <w:noProof w:val="0"/>
          <w:lang w:val="cs-CZ"/>
        </w:rPr>
        <w:t>.</w:t>
      </w:r>
      <w:r w:rsidR="00BB5A51">
        <w:rPr>
          <w:noProof w:val="0"/>
          <w:lang w:val="cs-CZ"/>
        </w:rPr>
        <w:t>000</w:t>
      </w:r>
      <w:r w:rsidR="00B75321">
        <w:rPr>
          <w:noProof w:val="0"/>
          <w:lang w:val="cs-CZ"/>
        </w:rPr>
        <w:t xml:space="preserve"> </w:t>
      </w:r>
      <w:r w:rsidR="00952CE8">
        <w:rPr>
          <w:noProof w:val="0"/>
          <w:lang w:val="cs-CZ"/>
        </w:rPr>
        <w:t>Kč</w:t>
      </w:r>
      <w:r w:rsidR="00BB5A51">
        <w:rPr>
          <w:noProof w:val="0"/>
          <w:lang w:val="cs-CZ"/>
        </w:rPr>
        <w:t xml:space="preserve"> </w:t>
      </w:r>
      <w:r w:rsidR="00B75321">
        <w:rPr>
          <w:noProof w:val="0"/>
          <w:lang w:val="cs-CZ"/>
        </w:rPr>
        <w:t>pro</w:t>
      </w:r>
      <w:r w:rsidR="00BB5A51">
        <w:rPr>
          <w:noProof w:val="0"/>
          <w:lang w:val="cs-CZ"/>
        </w:rPr>
        <w:t xml:space="preserve"> J-SCR. </w:t>
      </w:r>
    </w:p>
    <w:p w:rsidR="00BB5A51" w:rsidRDefault="00BB5A51" w:rsidP="00522806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>JUDr. Vladimír Lichnovský doplnil, že jednatelem Centrály cestovního ruchu se na základě výběrového řízení st</w:t>
      </w:r>
      <w:r w:rsidR="00B75321">
        <w:rPr>
          <w:noProof w:val="0"/>
          <w:lang w:val="cs-CZ"/>
        </w:rPr>
        <w:t>ane</w:t>
      </w:r>
      <w:r>
        <w:rPr>
          <w:noProof w:val="0"/>
          <w:lang w:val="cs-CZ"/>
        </w:rPr>
        <w:t xml:space="preserve"> od 1. 1. 2020 Mgr. Radek Stojan. </w:t>
      </w:r>
    </w:p>
    <w:p w:rsidR="00BB5A51" w:rsidRDefault="00522806" w:rsidP="00522806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 xml:space="preserve">Mgr. Tomáš Rak upozornil na organizační změny v J-SCR, ke kterým dojde z důvodu </w:t>
      </w:r>
      <w:r w:rsidR="00B53519">
        <w:rPr>
          <w:noProof w:val="0"/>
          <w:lang w:val="cs-CZ"/>
        </w:rPr>
        <w:t>změny financování Sdružení, související právě se založením Centrály.</w:t>
      </w:r>
    </w:p>
    <w:p w:rsidR="00952CE8" w:rsidRDefault="00522806" w:rsidP="00522806">
      <w:pPr>
        <w:pStyle w:val="slo1text"/>
        <w:numPr>
          <w:ilvl w:val="0"/>
          <w:numId w:val="0"/>
        </w:numPr>
        <w:suppressAutoHyphens/>
        <w:ind w:left="567"/>
        <w:outlineLvl w:val="9"/>
        <w:rPr>
          <w:b/>
          <w:noProof w:val="0"/>
          <w:lang w:val="cs-CZ"/>
        </w:rPr>
      </w:pPr>
      <w:r w:rsidRPr="00522806">
        <w:rPr>
          <w:b/>
          <w:noProof w:val="0"/>
          <w:lang w:val="cs-CZ"/>
        </w:rPr>
        <w:t>Výbor bere na vědomí informace k tomuto bodu jednání.</w:t>
      </w:r>
    </w:p>
    <w:p w:rsidR="00952CE8" w:rsidRDefault="00952CE8" w:rsidP="00522806">
      <w:pPr>
        <w:pStyle w:val="slo1text"/>
        <w:numPr>
          <w:ilvl w:val="0"/>
          <w:numId w:val="0"/>
        </w:numPr>
        <w:suppressAutoHyphens/>
        <w:ind w:left="567"/>
        <w:outlineLvl w:val="9"/>
        <w:rPr>
          <w:b/>
          <w:noProof w:val="0"/>
          <w:lang w:val="cs-CZ"/>
        </w:rPr>
      </w:pPr>
    </w:p>
    <w:p w:rsidR="00522806" w:rsidRDefault="00952CE8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b/>
          <w:noProof w:val="0"/>
          <w:lang w:val="cs-CZ"/>
        </w:rPr>
      </w:pPr>
      <w:r>
        <w:rPr>
          <w:b/>
          <w:noProof w:val="0"/>
          <w:lang w:val="cs-CZ"/>
        </w:rPr>
        <w:t xml:space="preserve">3. </w:t>
      </w:r>
      <w:r w:rsidRPr="00952CE8">
        <w:rPr>
          <w:b/>
          <w:noProof w:val="0"/>
          <w:lang w:val="cs-CZ"/>
        </w:rPr>
        <w:t>Dotační tituly Olomouckého kraje za oblast cestovního ruchu v roce 2020</w:t>
      </w:r>
    </w:p>
    <w:p w:rsidR="00952CE8" w:rsidRDefault="002E2816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 xml:space="preserve">Ing. Adam Kalous uvedl, že podklady k dotačním titulům na rok 2020 členové Výboru obdrželi předem. Z jeho pohledu jsou dotační tituly v pořádku. </w:t>
      </w:r>
    </w:p>
    <w:p w:rsidR="002E2816" w:rsidRDefault="002E2816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 xml:space="preserve">Mgr. Radek Stojan doplnil, že se jedná již o čtvrtý rok fungování těchto titulů, a nedošlo k nim k žádným zásadním změnám. Zmínil, že nově musejí být hodnotící kritéria v každém dotačním titulu měřitelná, což se nejvíce projevilo v hodnotících kritériích typu A. </w:t>
      </w:r>
      <w:r w:rsidR="00082D2F">
        <w:rPr>
          <w:noProof w:val="0"/>
          <w:lang w:val="cs-CZ"/>
        </w:rPr>
        <w:t xml:space="preserve">Finanční alokace zůstává stejná. </w:t>
      </w:r>
    </w:p>
    <w:p w:rsidR="00082D2F" w:rsidRDefault="009448EF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 xml:space="preserve">Ing. Kalous otevřel k tématu diskusi. </w:t>
      </w:r>
      <w:r w:rsidR="00082D2F">
        <w:rPr>
          <w:noProof w:val="0"/>
          <w:lang w:val="cs-CZ"/>
        </w:rPr>
        <w:t xml:space="preserve">Mgr. Djamila Bekhedda </w:t>
      </w:r>
      <w:r>
        <w:rPr>
          <w:noProof w:val="0"/>
          <w:lang w:val="cs-CZ"/>
        </w:rPr>
        <w:t>se vyjádřila, že by bylo vhodné mezi stávající dotační tituly zařadit zvláštní dotační titul, zaměřený na zážitkový turismus a kempink. Dotační titul tohoto typu zajišťuje sice Ministerstvo pro místní rozvoj, ale jeho administrace ze strany žadatelů je náročná.</w:t>
      </w:r>
    </w:p>
    <w:p w:rsidR="009448EF" w:rsidRDefault="009448EF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 xml:space="preserve">Bc. Tomáš Weber odpověděl, že je problematické hodnotit poměrně neexaktní pojem „zážitkový turismus“, pod nějž spadá mnoho aktivit. Zmínil také zaměření politiky </w:t>
      </w:r>
      <w:r w:rsidR="003A7C6C">
        <w:rPr>
          <w:noProof w:val="0"/>
          <w:lang w:val="cs-CZ"/>
        </w:rPr>
        <w:t>cestovního ruchu</w:t>
      </w:r>
      <w:r>
        <w:rPr>
          <w:noProof w:val="0"/>
          <w:lang w:val="cs-CZ"/>
        </w:rPr>
        <w:t xml:space="preserve"> Olomouckého kraje na podporu kemp</w:t>
      </w:r>
      <w:r w:rsidR="003A7C6C">
        <w:rPr>
          <w:noProof w:val="0"/>
          <w:lang w:val="cs-CZ"/>
        </w:rPr>
        <w:t>ů</w:t>
      </w:r>
      <w:r>
        <w:rPr>
          <w:noProof w:val="0"/>
          <w:lang w:val="cs-CZ"/>
        </w:rPr>
        <w:t xml:space="preserve"> a cykloturistiky, což jsou aktivity, které mají potenciál, a mohou být </w:t>
      </w:r>
      <w:r w:rsidR="00FA0104">
        <w:rPr>
          <w:noProof w:val="0"/>
          <w:lang w:val="cs-CZ"/>
        </w:rPr>
        <w:t xml:space="preserve">chápány jako zážitkový turismus. </w:t>
      </w:r>
      <w:r w:rsidR="003A7C6C">
        <w:rPr>
          <w:noProof w:val="0"/>
          <w:lang w:val="cs-CZ"/>
        </w:rPr>
        <w:br/>
      </w:r>
      <w:r w:rsidR="00FA0104">
        <w:rPr>
          <w:noProof w:val="0"/>
          <w:lang w:val="cs-CZ"/>
        </w:rPr>
        <w:t xml:space="preserve">Bc. Weber také dodal, že každý kvalitní projekt z této oblasti má šanci dotaci získat. </w:t>
      </w:r>
    </w:p>
    <w:p w:rsidR="00FA0104" w:rsidRDefault="00FA0104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 xml:space="preserve">Bc. Weber upozornil na změnu týkající se podávání žádostí o dotace obcemi – nově musejí všechny obce poslat žádost datovou schránkou (již ne fyzicky), s čímž se váže i nutnost elektronického podpisu. </w:t>
      </w:r>
    </w:p>
    <w:p w:rsidR="00FA0104" w:rsidRPr="009E1270" w:rsidRDefault="00FA0104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 w:rsidRPr="009E1270">
        <w:rPr>
          <w:noProof w:val="0"/>
          <w:lang w:val="cs-CZ"/>
        </w:rPr>
        <w:t xml:space="preserve">Mgr. Tomáš Rak požádal, zda by v Dotačním titulu č. 5 – Podpora kinematografie </w:t>
      </w:r>
      <w:r w:rsidRPr="009E1270">
        <w:rPr>
          <w:noProof w:val="0"/>
          <w:lang w:val="cs-CZ"/>
        </w:rPr>
        <w:lastRenderedPageBreak/>
        <w:t xml:space="preserve">v Olomouckém kraji mohla být zavedena možnost náhradníka pro případ, že některý ze žadatelů, který dotací získal, se rozhodne projekt nerealizovat. Mgr. Radek Stojan uvedl, že toto opatření je možno v dotačním titulu zohlednit. </w:t>
      </w:r>
    </w:p>
    <w:p w:rsidR="00952CE8" w:rsidRDefault="001B6791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b/>
          <w:noProof w:val="0"/>
          <w:lang w:val="cs-CZ"/>
        </w:rPr>
      </w:pPr>
      <w:r>
        <w:rPr>
          <w:b/>
          <w:noProof w:val="0"/>
          <w:lang w:val="cs-CZ"/>
        </w:rPr>
        <w:t xml:space="preserve">Výbor bere na vědomí pravidla dotačních titulů pro rok 2020 a doporučuje Zastupitelstvu Olomouckého kraje jejich schválení. </w:t>
      </w:r>
    </w:p>
    <w:p w:rsidR="008A029A" w:rsidRDefault="008A029A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b/>
          <w:noProof w:val="0"/>
          <w:lang w:val="cs-CZ"/>
        </w:rPr>
      </w:pPr>
    </w:p>
    <w:p w:rsidR="001B6791" w:rsidRDefault="008A029A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b/>
          <w:noProof w:val="0"/>
          <w:lang w:val="cs-CZ"/>
        </w:rPr>
      </w:pPr>
      <w:r>
        <w:rPr>
          <w:b/>
          <w:noProof w:val="0"/>
          <w:lang w:val="cs-CZ"/>
        </w:rPr>
        <w:t xml:space="preserve">4. </w:t>
      </w:r>
      <w:r w:rsidRPr="008A029A">
        <w:rPr>
          <w:b/>
          <w:noProof w:val="0"/>
          <w:lang w:val="cs-CZ"/>
        </w:rPr>
        <w:t>Informace o účasti Olomouckého kraje na veletrzích cestovního ruchu v roce 2020</w:t>
      </w:r>
    </w:p>
    <w:p w:rsidR="001B6791" w:rsidRDefault="00B93D17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noProof w:val="0"/>
          <w:lang w:val="cs-CZ"/>
        </w:rPr>
      </w:pPr>
      <w:r w:rsidRPr="00B93D17">
        <w:rPr>
          <w:noProof w:val="0"/>
          <w:lang w:val="cs-CZ"/>
        </w:rPr>
        <w:t>Mgr.</w:t>
      </w:r>
      <w:r>
        <w:rPr>
          <w:noProof w:val="0"/>
          <w:lang w:val="cs-CZ"/>
        </w:rPr>
        <w:t xml:space="preserve"> Radek Stojan informoval o plánu účast</w:t>
      </w:r>
      <w:r w:rsidR="00B75321">
        <w:rPr>
          <w:noProof w:val="0"/>
          <w:lang w:val="cs-CZ"/>
        </w:rPr>
        <w:t>i</w:t>
      </w:r>
      <w:r>
        <w:rPr>
          <w:noProof w:val="0"/>
          <w:lang w:val="cs-CZ"/>
        </w:rPr>
        <w:t xml:space="preserve"> Olomouckého kraje na veletrzích cestovního ruchu v roce 2020.</w:t>
      </w:r>
      <w:r w:rsidR="00B75321">
        <w:rPr>
          <w:noProof w:val="0"/>
          <w:lang w:val="cs-CZ"/>
        </w:rPr>
        <w:t xml:space="preserve"> Plán účasti</w:t>
      </w:r>
      <w:r w:rsidR="006B7039">
        <w:rPr>
          <w:noProof w:val="0"/>
          <w:lang w:val="cs-CZ"/>
        </w:rPr>
        <w:t xml:space="preserve"> obdrželi členové Výboru předem.</w:t>
      </w:r>
      <w:r>
        <w:rPr>
          <w:noProof w:val="0"/>
          <w:lang w:val="cs-CZ"/>
        </w:rPr>
        <w:t xml:space="preserve"> Připomněl, že </w:t>
      </w:r>
      <w:r w:rsidR="00B75321">
        <w:rPr>
          <w:noProof w:val="0"/>
          <w:lang w:val="cs-CZ"/>
        </w:rPr>
        <w:t>plán byl letos zpracován později s ohledem na nejasnosti</w:t>
      </w:r>
      <w:r w:rsidR="001072D4">
        <w:rPr>
          <w:noProof w:val="0"/>
          <w:lang w:val="cs-CZ"/>
        </w:rPr>
        <w:t xml:space="preserve"> </w:t>
      </w:r>
      <w:r w:rsidR="00B75321">
        <w:rPr>
          <w:noProof w:val="0"/>
          <w:lang w:val="cs-CZ"/>
        </w:rPr>
        <w:t>kolem koncepce účasti</w:t>
      </w:r>
      <w:r w:rsidR="001072D4">
        <w:rPr>
          <w:noProof w:val="0"/>
          <w:lang w:val="cs-CZ"/>
        </w:rPr>
        <w:t xml:space="preserve"> agentury </w:t>
      </w:r>
      <w:proofErr w:type="spellStart"/>
      <w:r w:rsidR="001072D4">
        <w:rPr>
          <w:noProof w:val="0"/>
          <w:lang w:val="cs-CZ"/>
        </w:rPr>
        <w:t>CzechTourism</w:t>
      </w:r>
      <w:proofErr w:type="spellEnd"/>
      <w:r w:rsidR="001072D4">
        <w:rPr>
          <w:noProof w:val="0"/>
          <w:lang w:val="cs-CZ"/>
        </w:rPr>
        <w:t xml:space="preserve"> </w:t>
      </w:r>
      <w:r w:rsidR="00B75321">
        <w:rPr>
          <w:noProof w:val="0"/>
          <w:lang w:val="cs-CZ"/>
        </w:rPr>
        <w:t>na veletrzích v roce 2020</w:t>
      </w:r>
      <w:r w:rsidR="001072D4">
        <w:rPr>
          <w:noProof w:val="0"/>
          <w:lang w:val="cs-CZ"/>
        </w:rPr>
        <w:t xml:space="preserve">. Dále Mgr. Stojan uvedl, že </w:t>
      </w:r>
      <w:r w:rsidR="00B75321">
        <w:rPr>
          <w:noProof w:val="0"/>
          <w:lang w:val="cs-CZ"/>
        </w:rPr>
        <w:t xml:space="preserve">stejně jako v letošním roce bude i v roce 2020 </w:t>
      </w:r>
      <w:r w:rsidR="00B75321">
        <w:rPr>
          <w:lang w:val="cs-CZ"/>
        </w:rPr>
        <w:t>v rámci veletrhu Regiontour Brno společná expozice s Moravskoslezským krajem, aby byla zajištěna prezentace Jeseníků jako celku.</w:t>
      </w:r>
      <w:r w:rsidR="001072D4">
        <w:rPr>
          <w:noProof w:val="0"/>
          <w:lang w:val="cs-CZ"/>
        </w:rPr>
        <w:t xml:space="preserve"> Cílovými destinacemi pro příští rok jsou zejména sousední země a veletrhy konající se v České republice. Olomoucký kraj se bude soustředit spíše na menší </w:t>
      </w:r>
      <w:r w:rsidR="00B75321">
        <w:rPr>
          <w:noProof w:val="0"/>
          <w:lang w:val="cs-CZ"/>
        </w:rPr>
        <w:t>regionální veletrhy, které nejsou finančně příliš náročné.</w:t>
      </w:r>
    </w:p>
    <w:p w:rsidR="001072D4" w:rsidRPr="001072D4" w:rsidRDefault="001072D4" w:rsidP="00952CE8">
      <w:pPr>
        <w:pStyle w:val="slo1text"/>
        <w:numPr>
          <w:ilvl w:val="0"/>
          <w:numId w:val="0"/>
        </w:numPr>
        <w:suppressAutoHyphens/>
        <w:ind w:left="567"/>
        <w:outlineLvl w:val="9"/>
        <w:rPr>
          <w:b/>
          <w:noProof w:val="0"/>
          <w:lang w:val="cs-CZ"/>
        </w:rPr>
      </w:pPr>
      <w:r w:rsidRPr="001072D4">
        <w:rPr>
          <w:b/>
          <w:noProof w:val="0"/>
          <w:lang w:val="cs-CZ"/>
        </w:rPr>
        <w:t xml:space="preserve">Výbor souhlasí s návrhem účasti Olomouckého kraje na veletrzích cestovního ruchu v roce 2020. </w:t>
      </w:r>
    </w:p>
    <w:p w:rsidR="00565263" w:rsidRDefault="00565263" w:rsidP="00565263">
      <w:pPr>
        <w:pStyle w:val="slo1text"/>
        <w:numPr>
          <w:ilvl w:val="0"/>
          <w:numId w:val="0"/>
        </w:numPr>
        <w:suppressAutoHyphens/>
        <w:ind w:left="567" w:hanging="567"/>
        <w:outlineLvl w:val="9"/>
        <w:rPr>
          <w:b/>
          <w:noProof w:val="0"/>
          <w:lang w:val="cs-CZ"/>
        </w:rPr>
      </w:pPr>
    </w:p>
    <w:p w:rsidR="00565263" w:rsidRDefault="002419C1" w:rsidP="00565263">
      <w:pPr>
        <w:pStyle w:val="slo1text"/>
        <w:numPr>
          <w:ilvl w:val="0"/>
          <w:numId w:val="0"/>
        </w:numPr>
        <w:suppressAutoHyphens/>
        <w:ind w:left="567" w:hanging="567"/>
        <w:outlineLvl w:val="9"/>
        <w:rPr>
          <w:b/>
          <w:noProof w:val="0"/>
          <w:lang w:val="cs-CZ"/>
        </w:rPr>
      </w:pPr>
      <w:r>
        <w:rPr>
          <w:b/>
          <w:noProof w:val="0"/>
          <w:lang w:val="cs-CZ"/>
        </w:rPr>
        <w:t xml:space="preserve">        5. </w:t>
      </w:r>
      <w:r w:rsidRPr="002419C1">
        <w:rPr>
          <w:b/>
          <w:noProof w:val="0"/>
          <w:lang w:val="cs-CZ"/>
        </w:rPr>
        <w:t>Různé</w:t>
      </w:r>
    </w:p>
    <w:p w:rsidR="00C059C7" w:rsidRDefault="00C059C7" w:rsidP="00565263">
      <w:pPr>
        <w:pStyle w:val="slo1text"/>
        <w:numPr>
          <w:ilvl w:val="0"/>
          <w:numId w:val="0"/>
        </w:numPr>
        <w:suppressAutoHyphens/>
        <w:ind w:left="567" w:hanging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ab/>
        <w:t>Mgr. Djamila Bekhedda představila nový propagační materiál, financovaný z projektu Ministerstva pro místní rozvoj na podporu marketingu cestovního ruchu. Jedná se o katalog pro odbornou veřejnost z oblasti cestovního ruchu, např. pro cestovní kanceláře. Uvedla, že zejména ve Finsku a v Dánsku zaujaly p</w:t>
      </w:r>
      <w:r w:rsidR="00D22838">
        <w:rPr>
          <w:noProof w:val="0"/>
          <w:lang w:val="cs-CZ"/>
        </w:rPr>
        <w:t>říjemce katalogu Formanské vozy</w:t>
      </w:r>
      <w:r>
        <w:rPr>
          <w:noProof w:val="0"/>
          <w:lang w:val="cs-CZ"/>
        </w:rPr>
        <w:t xml:space="preserve"> jakožto produkt zážitkového turismu. </w:t>
      </w:r>
    </w:p>
    <w:p w:rsidR="00C059C7" w:rsidRPr="00C059C7" w:rsidRDefault="00C059C7" w:rsidP="00565263">
      <w:pPr>
        <w:pStyle w:val="slo1text"/>
        <w:numPr>
          <w:ilvl w:val="0"/>
          <w:numId w:val="0"/>
        </w:numPr>
        <w:suppressAutoHyphens/>
        <w:ind w:left="567" w:hanging="567"/>
        <w:outlineLvl w:val="9"/>
        <w:rPr>
          <w:noProof w:val="0"/>
          <w:lang w:val="cs-CZ"/>
        </w:rPr>
      </w:pPr>
      <w:r>
        <w:rPr>
          <w:noProof w:val="0"/>
          <w:lang w:val="cs-CZ"/>
        </w:rPr>
        <w:tab/>
        <w:t xml:space="preserve">Mgr. Tomáš Rak navrhnul zvýšení finančních prostředků pro individuální žadatele upravující běžecké trasy v Jeseníkách. </w:t>
      </w:r>
    </w:p>
    <w:p w:rsidR="00565263" w:rsidRPr="008B112C" w:rsidRDefault="00DF69F0" w:rsidP="00DF69F0">
      <w:pPr>
        <w:pStyle w:val="slo1text"/>
        <w:numPr>
          <w:ilvl w:val="0"/>
          <w:numId w:val="0"/>
        </w:numPr>
        <w:suppressAutoHyphens/>
        <w:ind w:left="567"/>
        <w:outlineLvl w:val="9"/>
        <w:rPr>
          <w:b/>
          <w:noProof w:val="0"/>
          <w:lang w:val="cs-CZ"/>
        </w:rPr>
      </w:pPr>
      <w:r w:rsidRPr="00DF69F0">
        <w:rPr>
          <w:b/>
          <w:noProof w:val="0"/>
          <w:lang w:val="cs-CZ"/>
        </w:rPr>
        <w:t>Výbor bere na vědomí informace k tomuto bodu jednání.</w:t>
      </w:r>
    </w:p>
    <w:p w:rsidR="00EC613C" w:rsidRPr="008B112C" w:rsidRDefault="00EC613C" w:rsidP="003F552F">
      <w:pPr>
        <w:pStyle w:val="slo1text"/>
        <w:numPr>
          <w:ilvl w:val="0"/>
          <w:numId w:val="0"/>
        </w:numPr>
        <w:ind w:left="567"/>
        <w:rPr>
          <w:b/>
          <w:noProof w:val="0"/>
          <w:lang w:val="cs-CZ" w:eastAsia="en-US"/>
        </w:rPr>
      </w:pPr>
    </w:p>
    <w:p w:rsidR="00D333CE" w:rsidRPr="008B112C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8B112C">
        <w:rPr>
          <w:noProof w:val="0"/>
          <w:szCs w:val="24"/>
        </w:rPr>
        <w:t xml:space="preserve">V Olomouci dne </w:t>
      </w:r>
      <w:r w:rsidR="00414A12">
        <w:rPr>
          <w:noProof w:val="0"/>
          <w:szCs w:val="24"/>
        </w:rPr>
        <w:t>2</w:t>
      </w:r>
      <w:r w:rsidR="003A7C6C">
        <w:rPr>
          <w:noProof w:val="0"/>
          <w:szCs w:val="24"/>
        </w:rPr>
        <w:t>5</w:t>
      </w:r>
      <w:r w:rsidRPr="008B112C">
        <w:rPr>
          <w:noProof w:val="0"/>
          <w:szCs w:val="24"/>
        </w:rPr>
        <w:t xml:space="preserve">. </w:t>
      </w:r>
      <w:r w:rsidR="00414A12">
        <w:rPr>
          <w:noProof w:val="0"/>
          <w:szCs w:val="24"/>
        </w:rPr>
        <w:t>11</w:t>
      </w:r>
      <w:r w:rsidR="004A0997" w:rsidRPr="008B112C">
        <w:rPr>
          <w:noProof w:val="0"/>
          <w:szCs w:val="24"/>
        </w:rPr>
        <w:t>.</w:t>
      </w:r>
      <w:r w:rsidRPr="008B112C">
        <w:rPr>
          <w:noProof w:val="0"/>
          <w:szCs w:val="24"/>
        </w:rPr>
        <w:t xml:space="preserve"> 201</w:t>
      </w:r>
      <w:r w:rsidR="00885E3C" w:rsidRPr="008B112C">
        <w:rPr>
          <w:noProof w:val="0"/>
          <w:szCs w:val="24"/>
        </w:rPr>
        <w:t>9</w:t>
      </w:r>
    </w:p>
    <w:p w:rsidR="00D333CE" w:rsidRPr="008B112C" w:rsidRDefault="00D333CE" w:rsidP="00D333CE">
      <w:pPr>
        <w:pStyle w:val="Mstoadatumvlevo"/>
        <w:spacing w:before="0"/>
        <w:rPr>
          <w:noProof w:val="0"/>
          <w:szCs w:val="24"/>
        </w:rPr>
      </w:pPr>
      <w:r w:rsidRPr="008B112C">
        <w:rPr>
          <w:noProof w:val="0"/>
          <w:szCs w:val="24"/>
        </w:rPr>
        <w:t>Zapsal</w:t>
      </w:r>
      <w:r w:rsidR="00414A12">
        <w:rPr>
          <w:noProof w:val="0"/>
          <w:szCs w:val="24"/>
        </w:rPr>
        <w:t>a</w:t>
      </w:r>
      <w:r w:rsidR="00646AA0" w:rsidRPr="008B112C">
        <w:rPr>
          <w:noProof w:val="0"/>
          <w:szCs w:val="24"/>
        </w:rPr>
        <w:t xml:space="preserve">: </w:t>
      </w:r>
      <w:r w:rsidR="00885E3C" w:rsidRPr="008B112C">
        <w:rPr>
          <w:noProof w:val="0"/>
          <w:szCs w:val="24"/>
        </w:rPr>
        <w:t xml:space="preserve">Mgr. </w:t>
      </w:r>
      <w:r w:rsidR="00414A12">
        <w:rPr>
          <w:noProof w:val="0"/>
          <w:szCs w:val="24"/>
        </w:rPr>
        <w:t>Martina Žalmánková</w:t>
      </w:r>
    </w:p>
    <w:p w:rsidR="00D333CE" w:rsidRPr="008B112C" w:rsidRDefault="00D333CE" w:rsidP="00D333CE">
      <w:pPr>
        <w:pStyle w:val="Podpis"/>
        <w:rPr>
          <w:noProof w:val="0"/>
          <w:szCs w:val="24"/>
          <w:lang w:val="cs-CZ"/>
        </w:rPr>
      </w:pPr>
      <w:r w:rsidRPr="008B112C">
        <w:rPr>
          <w:noProof w:val="0"/>
          <w:szCs w:val="24"/>
          <w:lang w:val="cs-CZ"/>
        </w:rPr>
        <w:t>……………………………….</w:t>
      </w:r>
    </w:p>
    <w:p w:rsidR="00D333CE" w:rsidRPr="008B112C" w:rsidRDefault="00D333CE" w:rsidP="00D333CE">
      <w:pPr>
        <w:pStyle w:val="Podpis"/>
        <w:rPr>
          <w:noProof w:val="0"/>
          <w:szCs w:val="24"/>
          <w:lang w:val="cs-CZ"/>
        </w:rPr>
      </w:pPr>
      <w:r w:rsidRPr="008B112C">
        <w:rPr>
          <w:iCs/>
          <w:noProof w:val="0"/>
          <w:lang w:val="cs-CZ"/>
        </w:rPr>
        <w:t xml:space="preserve">Ing. </w:t>
      </w:r>
      <w:r w:rsidR="008D4812" w:rsidRPr="008B112C">
        <w:rPr>
          <w:iCs/>
          <w:noProof w:val="0"/>
          <w:lang w:val="cs-CZ"/>
        </w:rPr>
        <w:t>Adam Kalous</w:t>
      </w:r>
    </w:p>
    <w:p w:rsidR="00D333CE" w:rsidRPr="008B112C" w:rsidRDefault="00D333CE" w:rsidP="00D333CE">
      <w:pPr>
        <w:pStyle w:val="Podpis"/>
        <w:rPr>
          <w:noProof w:val="0"/>
          <w:szCs w:val="24"/>
          <w:lang w:val="cs-CZ"/>
        </w:rPr>
      </w:pPr>
      <w:r w:rsidRPr="008B112C">
        <w:rPr>
          <w:noProof w:val="0"/>
          <w:szCs w:val="24"/>
          <w:lang w:val="cs-CZ"/>
        </w:rPr>
        <w:t>předseda Výboru</w:t>
      </w:r>
    </w:p>
    <w:p w:rsidR="00D333CE" w:rsidRPr="008B112C" w:rsidRDefault="00D333CE" w:rsidP="00D333CE">
      <w:pPr>
        <w:pStyle w:val="Vborplohy"/>
        <w:spacing w:after="0"/>
        <w:rPr>
          <w:sz w:val="24"/>
          <w:szCs w:val="24"/>
        </w:rPr>
      </w:pPr>
    </w:p>
    <w:p w:rsidR="001B39DE" w:rsidRPr="008B112C" w:rsidRDefault="001B39DE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8B112C" w:rsidRDefault="00D333CE" w:rsidP="00450FF4">
      <w:pPr>
        <w:pStyle w:val="Vborplohy"/>
        <w:spacing w:after="0"/>
        <w:rPr>
          <w:sz w:val="24"/>
          <w:szCs w:val="24"/>
        </w:rPr>
      </w:pPr>
      <w:r w:rsidRPr="008B112C">
        <w:rPr>
          <w:sz w:val="24"/>
          <w:szCs w:val="24"/>
        </w:rPr>
        <w:t>Přílohy: Prezenční listina</w:t>
      </w:r>
    </w:p>
    <w:sectPr w:rsidR="00822D2E" w:rsidRPr="008B112C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4E" w:rsidRDefault="00D93C4E">
      <w:r>
        <w:separator/>
      </w:r>
    </w:p>
  </w:endnote>
  <w:endnote w:type="continuationSeparator" w:id="0">
    <w:p w:rsidR="00D93C4E" w:rsidRDefault="00D9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373DF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373DF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4E" w:rsidRDefault="00D93C4E">
      <w:r>
        <w:separator/>
      </w:r>
    </w:p>
  </w:footnote>
  <w:footnote w:type="continuationSeparator" w:id="0">
    <w:p w:rsidR="00D93C4E" w:rsidRDefault="00D9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2"/>
  </w:num>
  <w:num w:numId="5">
    <w:abstractNumId w:val="12"/>
  </w:num>
  <w:num w:numId="6">
    <w:abstractNumId w:val="8"/>
  </w:num>
  <w:num w:numId="7">
    <w:abstractNumId w:val="12"/>
  </w:num>
  <w:num w:numId="8">
    <w:abstractNumId w:val="11"/>
  </w:num>
  <w:num w:numId="9">
    <w:abstractNumId w:val="12"/>
  </w:num>
  <w:num w:numId="10">
    <w:abstractNumId w:val="4"/>
  </w:num>
  <w:num w:numId="11">
    <w:abstractNumId w:val="12"/>
  </w:num>
  <w:num w:numId="12">
    <w:abstractNumId w:val="12"/>
  </w:num>
  <w:num w:numId="13">
    <w:abstractNumId w:val="5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  <w:num w:numId="18">
    <w:abstractNumId w:val="12"/>
  </w:num>
  <w:num w:numId="19">
    <w:abstractNumId w:val="17"/>
  </w:num>
  <w:num w:numId="20">
    <w:abstractNumId w:val="9"/>
  </w:num>
  <w:num w:numId="21">
    <w:abstractNumId w:val="12"/>
  </w:num>
  <w:num w:numId="22">
    <w:abstractNumId w:val="12"/>
  </w:num>
  <w:num w:numId="23">
    <w:abstractNumId w:val="12"/>
  </w:num>
  <w:num w:numId="24">
    <w:abstractNumId w:val="6"/>
  </w:num>
  <w:num w:numId="25">
    <w:abstractNumId w:val="12"/>
  </w:num>
  <w:num w:numId="26">
    <w:abstractNumId w:val="15"/>
  </w:num>
  <w:num w:numId="27">
    <w:abstractNumId w:val="1"/>
  </w:num>
  <w:num w:numId="28">
    <w:abstractNumId w:val="12"/>
  </w:num>
  <w:num w:numId="29">
    <w:abstractNumId w:val="16"/>
  </w:num>
  <w:num w:numId="30">
    <w:abstractNumId w:val="7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1319C"/>
    <w:rsid w:val="000153D7"/>
    <w:rsid w:val="000303D6"/>
    <w:rsid w:val="000339A6"/>
    <w:rsid w:val="00056083"/>
    <w:rsid w:val="0006663B"/>
    <w:rsid w:val="00070188"/>
    <w:rsid w:val="00072AED"/>
    <w:rsid w:val="000769D0"/>
    <w:rsid w:val="00081F1D"/>
    <w:rsid w:val="00082D2F"/>
    <w:rsid w:val="00085320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E0C05"/>
    <w:rsid w:val="000E1031"/>
    <w:rsid w:val="000F5D4B"/>
    <w:rsid w:val="000F6DA5"/>
    <w:rsid w:val="001034FA"/>
    <w:rsid w:val="001057D1"/>
    <w:rsid w:val="001072D4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4C9C"/>
    <w:rsid w:val="00176687"/>
    <w:rsid w:val="001802F6"/>
    <w:rsid w:val="00180396"/>
    <w:rsid w:val="0018656B"/>
    <w:rsid w:val="00186D37"/>
    <w:rsid w:val="00187456"/>
    <w:rsid w:val="00193FB2"/>
    <w:rsid w:val="00195337"/>
    <w:rsid w:val="00197C86"/>
    <w:rsid w:val="001A093C"/>
    <w:rsid w:val="001A2DCD"/>
    <w:rsid w:val="001A427F"/>
    <w:rsid w:val="001B39DE"/>
    <w:rsid w:val="001B6791"/>
    <w:rsid w:val="001C1AF6"/>
    <w:rsid w:val="001C247E"/>
    <w:rsid w:val="001C5BE1"/>
    <w:rsid w:val="001C5DB6"/>
    <w:rsid w:val="001D2086"/>
    <w:rsid w:val="001D3042"/>
    <w:rsid w:val="001E0D5E"/>
    <w:rsid w:val="001F108C"/>
    <w:rsid w:val="001F624B"/>
    <w:rsid w:val="00202A6B"/>
    <w:rsid w:val="00210086"/>
    <w:rsid w:val="00216787"/>
    <w:rsid w:val="00220699"/>
    <w:rsid w:val="00226EB8"/>
    <w:rsid w:val="002304BA"/>
    <w:rsid w:val="00230F1C"/>
    <w:rsid w:val="00231053"/>
    <w:rsid w:val="002359EE"/>
    <w:rsid w:val="002419C1"/>
    <w:rsid w:val="00242654"/>
    <w:rsid w:val="00246CB3"/>
    <w:rsid w:val="002479A6"/>
    <w:rsid w:val="002546B2"/>
    <w:rsid w:val="00260F94"/>
    <w:rsid w:val="00261EF2"/>
    <w:rsid w:val="00267F96"/>
    <w:rsid w:val="00286F66"/>
    <w:rsid w:val="0029485E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2E2816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57B4E"/>
    <w:rsid w:val="003650B7"/>
    <w:rsid w:val="00366461"/>
    <w:rsid w:val="0037337B"/>
    <w:rsid w:val="00375B1C"/>
    <w:rsid w:val="00382111"/>
    <w:rsid w:val="00382788"/>
    <w:rsid w:val="00384A4D"/>
    <w:rsid w:val="00396D97"/>
    <w:rsid w:val="003A33D4"/>
    <w:rsid w:val="003A7C6C"/>
    <w:rsid w:val="003C1ABA"/>
    <w:rsid w:val="003C6A91"/>
    <w:rsid w:val="003E5239"/>
    <w:rsid w:val="003E55A2"/>
    <w:rsid w:val="003F552F"/>
    <w:rsid w:val="003F7DFD"/>
    <w:rsid w:val="00403DE4"/>
    <w:rsid w:val="00405985"/>
    <w:rsid w:val="00407E66"/>
    <w:rsid w:val="00414A12"/>
    <w:rsid w:val="004245BB"/>
    <w:rsid w:val="00424DAA"/>
    <w:rsid w:val="00430B8B"/>
    <w:rsid w:val="004374FD"/>
    <w:rsid w:val="0044258B"/>
    <w:rsid w:val="00442D59"/>
    <w:rsid w:val="00445FD7"/>
    <w:rsid w:val="004474B5"/>
    <w:rsid w:val="00450FF4"/>
    <w:rsid w:val="00451703"/>
    <w:rsid w:val="00451A9A"/>
    <w:rsid w:val="00472472"/>
    <w:rsid w:val="0047588F"/>
    <w:rsid w:val="0047610E"/>
    <w:rsid w:val="0048026F"/>
    <w:rsid w:val="004814BD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F0F7A"/>
    <w:rsid w:val="004F211A"/>
    <w:rsid w:val="00506F53"/>
    <w:rsid w:val="00516F64"/>
    <w:rsid w:val="005208C7"/>
    <w:rsid w:val="00522806"/>
    <w:rsid w:val="0053369B"/>
    <w:rsid w:val="005372E8"/>
    <w:rsid w:val="00544009"/>
    <w:rsid w:val="00546B47"/>
    <w:rsid w:val="00553EE2"/>
    <w:rsid w:val="00556E46"/>
    <w:rsid w:val="00560C8D"/>
    <w:rsid w:val="00560F03"/>
    <w:rsid w:val="005617DA"/>
    <w:rsid w:val="00563B8D"/>
    <w:rsid w:val="00564286"/>
    <w:rsid w:val="00564590"/>
    <w:rsid w:val="00565263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52E"/>
    <w:rsid w:val="005A773D"/>
    <w:rsid w:val="005B2CEF"/>
    <w:rsid w:val="005C15C7"/>
    <w:rsid w:val="005C1A46"/>
    <w:rsid w:val="005D2706"/>
    <w:rsid w:val="005E407A"/>
    <w:rsid w:val="005E61B8"/>
    <w:rsid w:val="005F6513"/>
    <w:rsid w:val="00603AB6"/>
    <w:rsid w:val="006070A6"/>
    <w:rsid w:val="00610F7E"/>
    <w:rsid w:val="00617F47"/>
    <w:rsid w:val="00622BD1"/>
    <w:rsid w:val="0063018A"/>
    <w:rsid w:val="006315CA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76E19"/>
    <w:rsid w:val="00681EEF"/>
    <w:rsid w:val="006834DC"/>
    <w:rsid w:val="00690DEB"/>
    <w:rsid w:val="00697AEC"/>
    <w:rsid w:val="006A078A"/>
    <w:rsid w:val="006A1D23"/>
    <w:rsid w:val="006A53A4"/>
    <w:rsid w:val="006A71AB"/>
    <w:rsid w:val="006B2A29"/>
    <w:rsid w:val="006B7039"/>
    <w:rsid w:val="006C230E"/>
    <w:rsid w:val="006C700D"/>
    <w:rsid w:val="006D1832"/>
    <w:rsid w:val="006D322F"/>
    <w:rsid w:val="006D6F8F"/>
    <w:rsid w:val="006D7C28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D443B"/>
    <w:rsid w:val="007E0B7A"/>
    <w:rsid w:val="007E3350"/>
    <w:rsid w:val="007E6805"/>
    <w:rsid w:val="007E77B4"/>
    <w:rsid w:val="007F525E"/>
    <w:rsid w:val="008030C0"/>
    <w:rsid w:val="00803B15"/>
    <w:rsid w:val="0081002D"/>
    <w:rsid w:val="00814133"/>
    <w:rsid w:val="00821DC1"/>
    <w:rsid w:val="00822D2E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83E1D"/>
    <w:rsid w:val="0088465F"/>
    <w:rsid w:val="00885E3C"/>
    <w:rsid w:val="008868C4"/>
    <w:rsid w:val="00890413"/>
    <w:rsid w:val="00891232"/>
    <w:rsid w:val="008A029A"/>
    <w:rsid w:val="008A2612"/>
    <w:rsid w:val="008A7D6F"/>
    <w:rsid w:val="008B09AD"/>
    <w:rsid w:val="008B112C"/>
    <w:rsid w:val="008B69A4"/>
    <w:rsid w:val="008C221C"/>
    <w:rsid w:val="008C2DD8"/>
    <w:rsid w:val="008C499A"/>
    <w:rsid w:val="008D4812"/>
    <w:rsid w:val="008E5504"/>
    <w:rsid w:val="008E6D45"/>
    <w:rsid w:val="008F0C8A"/>
    <w:rsid w:val="00905D8C"/>
    <w:rsid w:val="0091077B"/>
    <w:rsid w:val="00913DD1"/>
    <w:rsid w:val="009201AB"/>
    <w:rsid w:val="00925087"/>
    <w:rsid w:val="00932273"/>
    <w:rsid w:val="00941EEB"/>
    <w:rsid w:val="009448EF"/>
    <w:rsid w:val="00945ED3"/>
    <w:rsid w:val="0094609D"/>
    <w:rsid w:val="009507DE"/>
    <w:rsid w:val="00952CE8"/>
    <w:rsid w:val="00954E03"/>
    <w:rsid w:val="009577E6"/>
    <w:rsid w:val="00963689"/>
    <w:rsid w:val="00965E51"/>
    <w:rsid w:val="00967D50"/>
    <w:rsid w:val="00970D9B"/>
    <w:rsid w:val="009734E9"/>
    <w:rsid w:val="0097619E"/>
    <w:rsid w:val="00977974"/>
    <w:rsid w:val="00983051"/>
    <w:rsid w:val="00995373"/>
    <w:rsid w:val="009A0567"/>
    <w:rsid w:val="009A55D0"/>
    <w:rsid w:val="009B6CDC"/>
    <w:rsid w:val="009C047F"/>
    <w:rsid w:val="009C2249"/>
    <w:rsid w:val="009C4444"/>
    <w:rsid w:val="009D0055"/>
    <w:rsid w:val="009D05C6"/>
    <w:rsid w:val="009D7471"/>
    <w:rsid w:val="009E092A"/>
    <w:rsid w:val="009E0DC6"/>
    <w:rsid w:val="009E1270"/>
    <w:rsid w:val="009E584D"/>
    <w:rsid w:val="00A023DF"/>
    <w:rsid w:val="00A04D36"/>
    <w:rsid w:val="00A07484"/>
    <w:rsid w:val="00A15885"/>
    <w:rsid w:val="00A31C5D"/>
    <w:rsid w:val="00A32F68"/>
    <w:rsid w:val="00A36AF5"/>
    <w:rsid w:val="00A37BDF"/>
    <w:rsid w:val="00A4311D"/>
    <w:rsid w:val="00A5072E"/>
    <w:rsid w:val="00A6014D"/>
    <w:rsid w:val="00A83B1C"/>
    <w:rsid w:val="00A90D29"/>
    <w:rsid w:val="00A97157"/>
    <w:rsid w:val="00AB1C01"/>
    <w:rsid w:val="00AD0815"/>
    <w:rsid w:val="00AD4038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3519"/>
    <w:rsid w:val="00B54B32"/>
    <w:rsid w:val="00B57C04"/>
    <w:rsid w:val="00B62163"/>
    <w:rsid w:val="00B7157A"/>
    <w:rsid w:val="00B7471F"/>
    <w:rsid w:val="00B75321"/>
    <w:rsid w:val="00B856FE"/>
    <w:rsid w:val="00B87026"/>
    <w:rsid w:val="00B93D17"/>
    <w:rsid w:val="00B94623"/>
    <w:rsid w:val="00B955B8"/>
    <w:rsid w:val="00BA31A5"/>
    <w:rsid w:val="00BB2E3C"/>
    <w:rsid w:val="00BB4B22"/>
    <w:rsid w:val="00BB5304"/>
    <w:rsid w:val="00BB5A51"/>
    <w:rsid w:val="00BC4EF2"/>
    <w:rsid w:val="00BC5531"/>
    <w:rsid w:val="00BC6CFA"/>
    <w:rsid w:val="00BF01F2"/>
    <w:rsid w:val="00BF51D9"/>
    <w:rsid w:val="00BF79D6"/>
    <w:rsid w:val="00C00166"/>
    <w:rsid w:val="00C044AD"/>
    <w:rsid w:val="00C059C7"/>
    <w:rsid w:val="00C11DD3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454E4"/>
    <w:rsid w:val="00C61497"/>
    <w:rsid w:val="00C66039"/>
    <w:rsid w:val="00C6767C"/>
    <w:rsid w:val="00C80A28"/>
    <w:rsid w:val="00C866AA"/>
    <w:rsid w:val="00C9574C"/>
    <w:rsid w:val="00CA4D78"/>
    <w:rsid w:val="00CA6731"/>
    <w:rsid w:val="00CB22FE"/>
    <w:rsid w:val="00CB5A03"/>
    <w:rsid w:val="00CC3D73"/>
    <w:rsid w:val="00CC40BC"/>
    <w:rsid w:val="00CC7A44"/>
    <w:rsid w:val="00CD299F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2838"/>
    <w:rsid w:val="00D2662B"/>
    <w:rsid w:val="00D333CE"/>
    <w:rsid w:val="00D3715E"/>
    <w:rsid w:val="00D373DF"/>
    <w:rsid w:val="00D37996"/>
    <w:rsid w:val="00D439D8"/>
    <w:rsid w:val="00D43CC2"/>
    <w:rsid w:val="00D52154"/>
    <w:rsid w:val="00D6061F"/>
    <w:rsid w:val="00D76BF5"/>
    <w:rsid w:val="00D8662D"/>
    <w:rsid w:val="00D93C4E"/>
    <w:rsid w:val="00D957A6"/>
    <w:rsid w:val="00D95B3A"/>
    <w:rsid w:val="00D97F79"/>
    <w:rsid w:val="00DB2945"/>
    <w:rsid w:val="00DB4AA2"/>
    <w:rsid w:val="00DC05E4"/>
    <w:rsid w:val="00DC2160"/>
    <w:rsid w:val="00DC6D3E"/>
    <w:rsid w:val="00DD489F"/>
    <w:rsid w:val="00DE5E06"/>
    <w:rsid w:val="00DF69F0"/>
    <w:rsid w:val="00E0736D"/>
    <w:rsid w:val="00E07F8A"/>
    <w:rsid w:val="00E10DDC"/>
    <w:rsid w:val="00E13DC9"/>
    <w:rsid w:val="00E2229B"/>
    <w:rsid w:val="00E27194"/>
    <w:rsid w:val="00E306F9"/>
    <w:rsid w:val="00E376E9"/>
    <w:rsid w:val="00E43FE0"/>
    <w:rsid w:val="00E568E4"/>
    <w:rsid w:val="00E90780"/>
    <w:rsid w:val="00E924C2"/>
    <w:rsid w:val="00EB0BA4"/>
    <w:rsid w:val="00EC0126"/>
    <w:rsid w:val="00EC5670"/>
    <w:rsid w:val="00EC613C"/>
    <w:rsid w:val="00ED0AAB"/>
    <w:rsid w:val="00ED5DD0"/>
    <w:rsid w:val="00EE3D3E"/>
    <w:rsid w:val="00EF1CF4"/>
    <w:rsid w:val="00EF7566"/>
    <w:rsid w:val="00F02448"/>
    <w:rsid w:val="00F03B4B"/>
    <w:rsid w:val="00F135E8"/>
    <w:rsid w:val="00F13B4E"/>
    <w:rsid w:val="00F14793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0104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1A8DDA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4ED9-ACA8-468A-9DFB-DBBBA152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3</cp:revision>
  <cp:lastPrinted>2014-10-01T13:30:00Z</cp:lastPrinted>
  <dcterms:created xsi:type="dcterms:W3CDTF">2019-12-03T15:29:00Z</dcterms:created>
  <dcterms:modified xsi:type="dcterms:W3CDTF">2019-12-04T14:27:00Z</dcterms:modified>
</cp:coreProperties>
</file>