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44C3" w14:textId="09A211C2" w:rsidR="0052643B" w:rsidRDefault="0052643B" w:rsidP="0052643B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7F18E43" w14:textId="77777777" w:rsidR="0052643B" w:rsidRDefault="0052643B" w:rsidP="0052643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28EB5444" w14:textId="77777777" w:rsidR="0052643B" w:rsidRDefault="0052643B" w:rsidP="0052643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70C89D2" w14:textId="77777777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67102450" w14:textId="77777777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14E07E5" w14:textId="77777777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991DF8A" w14:textId="77777777" w:rsidR="0052643B" w:rsidRPr="00C1084A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C1084A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4C399B02" w14:textId="77777777" w:rsidR="0052643B" w:rsidRPr="00C1084A" w:rsidRDefault="0052643B" w:rsidP="0052643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 </w:t>
      </w:r>
      <w:proofErr w:type="spell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C1084A">
        <w:rPr>
          <w:rFonts w:ascii="Arial" w:eastAsia="Times New Roman" w:hAnsi="Arial" w:cs="Arial"/>
          <w:sz w:val="24"/>
          <w:szCs w:val="24"/>
          <w:lang w:eastAsia="cs-CZ"/>
        </w:rPr>
        <w:t>.: 27–4228120277/0100</w:t>
      </w:r>
    </w:p>
    <w:p w14:paraId="58FC6874" w14:textId="77777777" w:rsidR="0052643B" w:rsidRDefault="0052643B" w:rsidP="0052643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64003FA" w14:textId="77777777" w:rsidR="0052643B" w:rsidRDefault="0052643B" w:rsidP="0052643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0E585DB" w14:textId="77777777" w:rsidR="0052643B" w:rsidRDefault="0052643B" w:rsidP="0052643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04CFBF3" w14:textId="77777777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46A6780" w14:textId="77777777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118B9D" w14:textId="438F1AD3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925F85F" w14:textId="6AF5BF4D" w:rsidR="0052643B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0B65BC2" w14:textId="77777777" w:rsidR="0052643B" w:rsidRPr="00C1084A" w:rsidRDefault="0052643B" w:rsidP="005264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Údaj o zápisu v Obchodním rejstříku:</w:t>
      </w:r>
    </w:p>
    <w:p w14:paraId="2EEAF612" w14:textId="6E97744A" w:rsidR="0052643B" w:rsidRPr="00C1084A" w:rsidRDefault="0052643B" w:rsidP="0052643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Bankovní spojení příjemce: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………………………………Č. </w:t>
      </w:r>
      <w:proofErr w:type="spell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D17449" w:rsidRPr="00C1084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6EEED27" w14:textId="77777777" w:rsidR="0052643B" w:rsidRPr="00C1084A" w:rsidRDefault="0052643B" w:rsidP="0052643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zřizovatele: 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………………………………Č. </w:t>
      </w:r>
      <w:proofErr w:type="spell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1084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70CB821" w14:textId="77777777" w:rsidR="0052643B" w:rsidRPr="00C1084A" w:rsidRDefault="0052643B" w:rsidP="0052643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1084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E007DFD" w14:textId="77777777" w:rsidR="0052643B" w:rsidRDefault="0052643B" w:rsidP="0052643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3EE2EFF" w14:textId="77777777" w:rsidR="0052643B" w:rsidRDefault="0052643B" w:rsidP="005264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38DCF8A" w14:textId="43D62EC6" w:rsidR="0052643B" w:rsidRPr="00C1084A" w:rsidRDefault="0052643B" w:rsidP="005264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C1084A">
        <w:t xml:space="preserve"> </w:t>
      </w:r>
      <w:r w:rsidR="00C0342D"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</w:t>
      </w:r>
      <w:r w:rsidR="00D17449" w:rsidRPr="00C108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C0342D"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Dotačního programu pro sociální oblast 2022 a dotačního titulu Podpora prorodinných aktivit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5FD859" w14:textId="06FF6F95" w:rsidR="0052643B" w:rsidRPr="00C1084A" w:rsidRDefault="0052643B" w:rsidP="005264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108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projekt, jehož cílem je ………………… (dále také jen „činnost“ nebo „projekt“</w:t>
      </w:r>
      <w:r w:rsidR="00C1084A" w:rsidRPr="00C1084A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51FB8182" w14:textId="19113215" w:rsidR="0052643B" w:rsidRPr="00C1084A" w:rsidRDefault="0052643B" w:rsidP="005264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C1084A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C108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C108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</w:p>
    <w:p w14:paraId="38A43464" w14:textId="43BB0C06" w:rsidR="0052643B" w:rsidRPr="00C1084A" w:rsidRDefault="0052643B" w:rsidP="005264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C1084A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C1084A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………………………do 21 dnů ode dne nabytí účinnosti této smlouvy</w:t>
      </w:r>
      <w:r w:rsidRPr="00C108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</w:p>
    <w:p w14:paraId="5C49B88D" w14:textId="77777777" w:rsidR="00D17449" w:rsidRDefault="0052643B" w:rsidP="00D1744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EC03438" w14:textId="3E018B4C" w:rsidR="0052643B" w:rsidRPr="00D17449" w:rsidRDefault="0052643B" w:rsidP="00D17449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1744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EA01A05" w14:textId="77777777" w:rsidR="0052643B" w:rsidRDefault="0052643B" w:rsidP="005264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7F12E4D7" w14:textId="77777777" w:rsidR="0052643B" w:rsidRDefault="0052643B" w:rsidP="005264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12E200B2" w14:textId="285B966E" w:rsidR="0052643B" w:rsidRDefault="0052643B" w:rsidP="005264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1B56CDA" w14:textId="77777777" w:rsidR="0052643B" w:rsidRPr="00C1084A" w:rsidRDefault="0052643B" w:rsidP="005264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81DA1B8" w14:textId="77777777" w:rsidR="0052643B" w:rsidRPr="00C1084A" w:rsidRDefault="0052643B" w:rsidP="0052643B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084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pro sociální oblast 2022 pro dotační titul Podpora prorodinných aktivit</w:t>
      </w:r>
      <w:r w:rsidRPr="00C1084A" w:rsidDel="000727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13D1D500" w14:textId="7777777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Zásad, Pravidel a této smlouvy mají přednost ustanovení této smlouvy.</w:t>
      </w:r>
    </w:p>
    <w:p w14:paraId="73E525EE" w14:textId="5A8DAE65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</w:t>
      </w:r>
    </w:p>
    <w:p w14:paraId="38ED1FDC" w14:textId="7777777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7BEC1342" w14:textId="7777777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2AABD11A" w14:textId="7777777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C818B52" w14:textId="7777777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0CA7719" w14:textId="08684857" w:rsidR="0052643B" w:rsidRDefault="0052643B" w:rsidP="005264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D17449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 75 ZDPH, vypořádáním odpočtu podle § 76 ZDPH a úpravou odpočtu podle § 78 až 78c ZDPH právo zvýšit ve lhůtě stanovené ZDPH svůj původně uplatněný nárok na odpočet DPH, který se vztahuje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6247B74C" w14:textId="7777777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44FC7CE" w14:textId="1274FFD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3B12AF0" w14:textId="7777777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2EC911D4" w14:textId="7777777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2BDC748" w14:textId="4B6268D8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proofErr w:type="gramStart"/>
      <w:r w:rsidRPr="00C1084A">
        <w:rPr>
          <w:rFonts w:ascii="Arial" w:eastAsia="Times New Roman" w:hAnsi="Arial" w:cs="Arial"/>
          <w:sz w:val="24"/>
          <w:szCs w:val="24"/>
          <w:lang w:eastAsia="cs-CZ"/>
        </w:rPr>
        <w:t>20.</w:t>
      </w:r>
      <w:r w:rsidR="00C1084A" w:rsidRPr="00C1084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1.2023</w:t>
      </w:r>
      <w:proofErr w:type="gramEnd"/>
      <w:r w:rsidRPr="00C108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4F80F92" w14:textId="358FA904" w:rsidR="0052643B" w:rsidRPr="00C1084A" w:rsidRDefault="0052643B" w:rsidP="005264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C1084A"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C1084A"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C10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5B7A1274" w14:textId="77777777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522D1BE" w14:textId="7124CF18" w:rsidR="0052643B" w:rsidRDefault="0052643B" w:rsidP="0052643B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>do 28.</w:t>
      </w:r>
      <w:r w:rsidR="00C1084A" w:rsidRPr="00C1084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C1084A">
        <w:rPr>
          <w:rFonts w:ascii="Arial" w:eastAsia="Times New Roman" w:hAnsi="Arial" w:cs="Arial"/>
          <w:sz w:val="24"/>
          <w:szCs w:val="24"/>
          <w:lang w:eastAsia="cs-CZ"/>
        </w:rPr>
        <w:t xml:space="preserve">2.2023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dotace, vyplněné prostřednictvím systému, v němž příjemce podal žádost o poskytnutí této dotace, a to buď elektronicky zasláním do datové schránky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 (dále jen „vyúčtování“).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53D54B8D" w14:textId="77777777" w:rsidR="0052643B" w:rsidRDefault="0052643B" w:rsidP="0052643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8C03EDC" w14:textId="2DCF7BF6" w:rsidR="0052643B" w:rsidRPr="008A1490" w:rsidRDefault="0052643B" w:rsidP="008A1490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A1490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ve vzoru vyúčtování dotace, který je zveřejněn v systému RAP.</w:t>
      </w:r>
    </w:p>
    <w:p w14:paraId="0505ED98" w14:textId="304CE47A" w:rsidR="00EB40B0" w:rsidRPr="00841130" w:rsidRDefault="00EB40B0" w:rsidP="00EB40B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 (dle Vzoru závěrečné zprávy, která je přílohou Pravidel), a to buď elektronicky zasláním do datové schránky poskytovatele, nebo v listinné podobě doručením na adresu poskytovatele, uvedenou v záhlaví této smlouvy.</w:t>
      </w:r>
    </w:p>
    <w:p w14:paraId="032A6C71" w14:textId="5D16831F" w:rsidR="0052643B" w:rsidRPr="00841130" w:rsidRDefault="00EB40B0" w:rsidP="00EB40B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8411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8411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841130">
        <w:t xml:space="preserve">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84113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D8EEAE5" w14:textId="77777777" w:rsidR="0052643B" w:rsidRDefault="0052643B" w:rsidP="0052643B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ED5FD61" w14:textId="77777777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326646D5" w14:textId="77777777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2643B" w14:paraId="0AF9935A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35FE" w14:textId="77777777" w:rsidR="0052643B" w:rsidRDefault="005264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183A" w14:textId="77777777" w:rsidR="0052643B" w:rsidRDefault="005264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B3A69CB" w14:textId="77777777" w:rsidR="0052643B" w:rsidRDefault="005264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2643B" w14:paraId="3A6458BA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87E3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DF09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643B" w14:paraId="2134E7D4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A619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CE59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643B" w14:paraId="5791D857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6C09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BB5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2643B" w14:paraId="0C0C63FE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542E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22A1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643B" w14:paraId="56D5FB9E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B128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39F9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643B" w14:paraId="0766CEA0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C778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zřizovací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3616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2643B" w14:paraId="03A993F6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816E" w14:textId="77777777" w:rsidR="0052643B" w:rsidRDefault="005264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205E" w14:textId="77777777" w:rsidR="0052643B" w:rsidRDefault="005264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B9E07BB" w14:textId="77777777" w:rsidR="0052643B" w:rsidRPr="00841130" w:rsidRDefault="0052643B" w:rsidP="005264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89B4FBA" w14:textId="7F754967" w:rsidR="0052643B" w:rsidRPr="00841130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841130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841130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  <w:r w:rsidRPr="00841130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194E4E4A" w14:textId="209FCE51" w:rsidR="0052643B" w:rsidRPr="00841130" w:rsidRDefault="0052643B" w:rsidP="0052643B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povinnosti příjemce na zřizovatele. V případě přeměny příjemce, rozhodne zřizovatel, na kterou z nástupnických příspěvkových organizací přejdou povinnosti příjemce. O těchto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skutečnostech je příjemce povinen poskytovatele předem informovat.</w:t>
      </w:r>
    </w:p>
    <w:p w14:paraId="5F35E844" w14:textId="666F67CE" w:rsidR="0052643B" w:rsidRPr="00841130" w:rsidRDefault="0052643B" w:rsidP="0052643B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vydávány), a umístit reklamní panel nebo obdobné zařízení, s logem poskytovatele do místa, ve kterém je prováděna podpořená činnost, po dobu její realizace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809BCF5" w14:textId="77777777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78A2C7B6" w14:textId="77777777" w:rsidR="0052643B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17D4809D" w14:textId="77777777" w:rsidR="0052643B" w:rsidRPr="00841130" w:rsidRDefault="0052643B" w:rsidP="005264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nebo čl. 1 odst. 13 Zásad. </w:t>
      </w:r>
      <w:r w:rsidRPr="0084113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(odkaz na odst. 13 se uvede v případě, že dotace bude poskytována v režimu de minimis, tj. pokud v čl. III budou uvedeny odstavce 2-5)</w:t>
      </w:r>
    </w:p>
    <w:p w14:paraId="4E56C54D" w14:textId="7777777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 Zásad, kterou ve lhůtě stanovené Zásadami neoznámil poskytovateli.</w:t>
      </w:r>
    </w:p>
    <w:p w14:paraId="71DBF2A3" w14:textId="77777777" w:rsidR="0052643B" w:rsidRDefault="0052643B" w:rsidP="005264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DF844FD" w14:textId="77777777" w:rsidR="0052643B" w:rsidRDefault="0052643B" w:rsidP="005264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87B556E" w14:textId="77777777" w:rsidR="0052643B" w:rsidRPr="00841130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územních rozpočtů, ve znění pozdějších právních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14:paraId="0E894DA8" w14:textId="77777777" w:rsidR="0052643B" w:rsidRPr="00841130" w:rsidRDefault="0052643B" w:rsidP="0052643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4474E0B3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52DD157B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68E0374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11271E9C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0BF9E161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F85FBB0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156BC7" w14:textId="77777777" w:rsidR="0052643B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AD466CA" w14:textId="77777777" w:rsidR="0052643B" w:rsidRPr="00841130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84113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4113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17847C0" w14:textId="7D6E5497" w:rsidR="0052643B" w:rsidRPr="00841130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1E65479A" w14:textId="77777777" w:rsidR="0052643B" w:rsidRPr="00841130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2E7890ED" w14:textId="77777777" w:rsidR="0052643B" w:rsidRPr="00841130" w:rsidRDefault="0052643B" w:rsidP="005264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4113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841130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841130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625C8D7E" w14:textId="77777777" w:rsidR="0052643B" w:rsidRDefault="0052643B" w:rsidP="0052643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2643B" w14:paraId="37ED98F0" w14:textId="77777777" w:rsidTr="008A1490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33A7" w14:textId="396BBC07" w:rsidR="0052643B" w:rsidRDefault="00841130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C797E" w14:textId="77777777" w:rsidR="0052643B" w:rsidRDefault="0052643B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2643B" w14:paraId="3B972BFE" w14:textId="77777777" w:rsidTr="008A1490"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0F193" w14:textId="77777777" w:rsidR="0052643B" w:rsidRDefault="0052643B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59EF9FE" w14:textId="77777777" w:rsidR="00841130" w:rsidRDefault="00841130" w:rsidP="0084113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7B005697" w14:textId="2B01245D" w:rsidR="0052643B" w:rsidRPr="00841130" w:rsidRDefault="00841130" w:rsidP="0084113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</w:t>
            </w:r>
            <w:bookmarkStart w:id="0" w:name="_GoBack"/>
            <w:bookmarkEnd w:id="0"/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6D145" w14:textId="77777777" w:rsidR="0052643B" w:rsidRDefault="0052643B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470B63F" w14:textId="77777777" w:rsidR="00CA5418" w:rsidRDefault="00841130" w:rsidP="00841130">
      <w:pPr>
        <w:spacing w:before="240" w:after="720"/>
        <w:ind w:left="0" w:firstLine="0"/>
      </w:pPr>
    </w:p>
    <w:sectPr w:rsidR="00CA5418" w:rsidSect="0084113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B79B" w14:textId="77777777" w:rsidR="00841130" w:rsidRDefault="00841130" w:rsidP="00841130">
      <w:r>
        <w:separator/>
      </w:r>
    </w:p>
  </w:endnote>
  <w:endnote w:type="continuationSeparator" w:id="0">
    <w:p w14:paraId="36BE5885" w14:textId="77777777" w:rsidR="00841130" w:rsidRDefault="00841130" w:rsidP="008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F989" w14:textId="412527CF" w:rsidR="00841130" w:rsidRDefault="00841130" w:rsidP="0084113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2071" w14:textId="77777777" w:rsidR="00841130" w:rsidRDefault="00841130" w:rsidP="00841130">
      <w:r>
        <w:separator/>
      </w:r>
    </w:p>
  </w:footnote>
  <w:footnote w:type="continuationSeparator" w:id="0">
    <w:p w14:paraId="5D8CE59A" w14:textId="77777777" w:rsidR="00841130" w:rsidRDefault="00841130" w:rsidP="0084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3B"/>
    <w:rsid w:val="00001779"/>
    <w:rsid w:val="001149F7"/>
    <w:rsid w:val="0019544F"/>
    <w:rsid w:val="00450A88"/>
    <w:rsid w:val="004558D7"/>
    <w:rsid w:val="0052643B"/>
    <w:rsid w:val="00533D16"/>
    <w:rsid w:val="00703AC4"/>
    <w:rsid w:val="007217D9"/>
    <w:rsid w:val="00814C43"/>
    <w:rsid w:val="00841130"/>
    <w:rsid w:val="008A1490"/>
    <w:rsid w:val="008D38B4"/>
    <w:rsid w:val="008F7031"/>
    <w:rsid w:val="009550B6"/>
    <w:rsid w:val="00A41982"/>
    <w:rsid w:val="00A87A24"/>
    <w:rsid w:val="00BA080A"/>
    <w:rsid w:val="00C0342D"/>
    <w:rsid w:val="00C1084A"/>
    <w:rsid w:val="00C20BF5"/>
    <w:rsid w:val="00C44BC1"/>
    <w:rsid w:val="00C605E0"/>
    <w:rsid w:val="00D14434"/>
    <w:rsid w:val="00D17449"/>
    <w:rsid w:val="00D507CD"/>
    <w:rsid w:val="00D619C2"/>
    <w:rsid w:val="00D766CC"/>
    <w:rsid w:val="00EB40B0"/>
    <w:rsid w:val="00F43F20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0B3C"/>
  <w14:defaultImageDpi w14:val="32767"/>
  <w15:chartTrackingRefBased/>
  <w15:docId w15:val="{706250BE-2BF0-CC4D-A85B-915D5E9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43B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4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643B"/>
    <w:pPr>
      <w:ind w:left="720"/>
      <w:contextualSpacing/>
    </w:pPr>
  </w:style>
  <w:style w:type="paragraph" w:styleId="Revize">
    <w:name w:val="Revision"/>
    <w:hidden/>
    <w:uiPriority w:val="99"/>
    <w:semiHidden/>
    <w:rsid w:val="00450A88"/>
    <w:rPr>
      <w:rFonts w:asciiTheme="minorHAnsi" w:hAnsiTheme="minorHAnsi" w:cstheme="minorBidi"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0A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0A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0A88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A88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841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130"/>
    <w:rPr>
      <w:rFonts w:asciiTheme="minorHAnsi" w:hAnsiTheme="minorHAnsi" w:cstheme="minorBid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841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130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2763</Words>
  <Characters>16306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Kubisová Adéla</cp:lastModifiedBy>
  <cp:revision>3</cp:revision>
  <dcterms:created xsi:type="dcterms:W3CDTF">2021-11-14T14:31:00Z</dcterms:created>
  <dcterms:modified xsi:type="dcterms:W3CDTF">2021-11-15T07:54:00Z</dcterms:modified>
</cp:coreProperties>
</file>