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ABAE" w14:textId="77777777" w:rsidR="00A6383B" w:rsidRDefault="00A6383B" w:rsidP="00A6383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AEEDD25" w14:textId="77777777" w:rsidR="00A6383B" w:rsidRDefault="00A6383B" w:rsidP="00A6383B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18A6B15B" w14:textId="77777777" w:rsidR="00A6383B" w:rsidRDefault="00A6383B" w:rsidP="00A6383B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DEEAC86" w14:textId="77777777" w:rsidR="00A6383B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Jeremenkova 1191/40a, 779 00 Olomouc</w:t>
      </w:r>
    </w:p>
    <w:p w14:paraId="585D80EC" w14:textId="77777777" w:rsidR="00A6383B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1627BB53" w14:textId="77777777" w:rsidR="00A6383B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D4A0D9C" w14:textId="77777777" w:rsidR="00A6383B" w:rsidRPr="0022742E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Mgr. Ivem </w:t>
      </w:r>
      <w:proofErr w:type="spellStart"/>
      <w:r w:rsidRPr="0022742E">
        <w:rPr>
          <w:rFonts w:ascii="Arial" w:eastAsia="Times New Roman" w:hAnsi="Arial" w:cs="Arial"/>
          <w:sz w:val="24"/>
          <w:szCs w:val="24"/>
          <w:lang w:eastAsia="cs-CZ"/>
        </w:rPr>
        <w:t>Slavotínkem</w:t>
      </w:r>
      <w:proofErr w:type="spellEnd"/>
      <w:r w:rsidRPr="0022742E">
        <w:rPr>
          <w:rFonts w:ascii="Arial" w:eastAsia="Times New Roman" w:hAnsi="Arial" w:cs="Arial"/>
          <w:sz w:val="24"/>
          <w:szCs w:val="24"/>
          <w:lang w:eastAsia="cs-CZ"/>
        </w:rPr>
        <w:t>, 1. náměstkem hejtmana, na základě pověření ze dne 30. 10. 2020</w:t>
      </w:r>
    </w:p>
    <w:p w14:paraId="6CF8E4D3" w14:textId="7CD72590" w:rsidR="00A6383B" w:rsidRPr="0022742E" w:rsidRDefault="00A6383B" w:rsidP="00A6383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Komerční banka, a.s., pobočka Olomouc, </w:t>
      </w:r>
      <w:proofErr w:type="spellStart"/>
      <w:r w:rsidR="003C53B8" w:rsidRPr="0022742E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>.ú</w:t>
      </w:r>
      <w:proofErr w:type="spellEnd"/>
      <w:r w:rsidRPr="0022742E">
        <w:rPr>
          <w:rFonts w:ascii="Arial" w:eastAsia="Times New Roman" w:hAnsi="Arial" w:cs="Arial"/>
          <w:sz w:val="24"/>
          <w:szCs w:val="24"/>
          <w:lang w:eastAsia="cs-CZ"/>
        </w:rPr>
        <w:t>.: 27–4228120277/0100</w:t>
      </w:r>
    </w:p>
    <w:p w14:paraId="236F539D" w14:textId="77777777" w:rsidR="00A6383B" w:rsidRDefault="00A6383B" w:rsidP="00A6383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0E76350" w14:textId="77777777" w:rsidR="00A6383B" w:rsidRDefault="00A6383B" w:rsidP="00A6383B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47D9AD28" w14:textId="77777777" w:rsidR="00A6383B" w:rsidRDefault="00A6383B" w:rsidP="00A6383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04D4C11C" w14:textId="77777777" w:rsidR="00A6383B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1010B7D" w14:textId="77777777" w:rsidR="00A6383B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50229CB7" w14:textId="37B6B782" w:rsidR="00A6383B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AE2FE4F" w14:textId="2A4C348B" w:rsidR="00A6383B" w:rsidRDefault="00A6383B" w:rsidP="00A6383B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14:paraId="5142F0C5" w14:textId="77777777" w:rsidR="00A6383B" w:rsidRDefault="00A6383B" w:rsidP="00A6383B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01B87C4" w14:textId="77777777" w:rsidR="00A6383B" w:rsidRDefault="00A6383B" w:rsidP="00A6383B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B3427A6" w14:textId="77777777" w:rsidR="00A6383B" w:rsidRDefault="00A6383B" w:rsidP="00A6383B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6AE1BCAE" w14:textId="77777777" w:rsidR="00A6383B" w:rsidRDefault="00A6383B" w:rsidP="00A6383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11053F2" w14:textId="12EB585A" w:rsidR="00A6383B" w:rsidRPr="0022742E" w:rsidRDefault="00A6383B" w:rsidP="00A6383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podpory sociální </w:t>
      </w:r>
      <w:r w:rsidR="007D54B8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nebo situační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prevence formou </w:t>
      </w:r>
      <w:r w:rsidR="007D54B8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investiční nebo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neinvestiční akce, která směřuje k eliminaci kriminálně rizikových jevů a </w:t>
      </w:r>
      <w:r w:rsidR="007D54B8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k pomoci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>ohrožený</w:t>
      </w:r>
      <w:r w:rsidR="007D54B8" w:rsidRPr="0022742E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skupin</w:t>
      </w:r>
      <w:r w:rsidR="007D54B8" w:rsidRPr="0022742E">
        <w:rPr>
          <w:rFonts w:ascii="Arial" w:eastAsia="Times New Roman" w:hAnsi="Arial" w:cs="Arial"/>
          <w:sz w:val="24"/>
          <w:szCs w:val="24"/>
          <w:lang w:eastAsia="cs-CZ"/>
        </w:rPr>
        <w:t>ám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obyvatel Olomouckého kraje, dle Dotačního programu pro sociální oblast 2022 a dotačního titulu Podpora prevence kriminality </w:t>
      </w:r>
      <w:r w:rsidRPr="002274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NEBO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>za účelem podpory akce z oblasti prorodinné politiky určené k rozvoji partnerských vztahů, rodičovskýc</w:t>
      </w:r>
      <w:r w:rsidR="008F7529" w:rsidRPr="0022742E">
        <w:rPr>
          <w:rFonts w:ascii="Arial" w:eastAsia="Times New Roman" w:hAnsi="Arial" w:cs="Arial"/>
          <w:sz w:val="24"/>
          <w:szCs w:val="24"/>
          <w:lang w:eastAsia="cs-CZ"/>
        </w:rPr>
        <w:t>h kompetencí, stability rodiny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F7529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mezigeneračního soužití,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harmonizaci rodinn</w:t>
      </w:r>
      <w:r w:rsidR="008F7529" w:rsidRPr="0022742E">
        <w:rPr>
          <w:rFonts w:ascii="Arial" w:eastAsia="Times New Roman" w:hAnsi="Arial" w:cs="Arial"/>
          <w:sz w:val="24"/>
          <w:szCs w:val="24"/>
          <w:lang w:eastAsia="cs-CZ"/>
        </w:rPr>
        <w:t>ého a profesního života, výchově k odpovědnosti,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aktivit zaměřených n</w:t>
      </w:r>
      <w:r w:rsidR="008F7529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a podporu náhradní rodinné péče a dobrovolnických aktivit zaměřených na rodinu a všechny </w:t>
      </w:r>
      <w:r w:rsidR="008F7529" w:rsidRPr="0022742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její členy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dle Dotačního programu pro sociální oblast 2022 a dotačního titulu Podpora prorodinných aktivit .</w:t>
      </w:r>
    </w:p>
    <w:p w14:paraId="1A716B1E" w14:textId="7398BC85" w:rsidR="00A6383B" w:rsidRPr="0022742E" w:rsidRDefault="00A6383B" w:rsidP="00A6383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22742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výdajů na projekt „……….........“, jehož cílem je ……… (dále také „akce“). </w:t>
      </w:r>
      <w:r w:rsidRPr="0022742E">
        <w:t xml:space="preserve"> </w:t>
      </w: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Akce bude realizována od … do …..</w:t>
      </w:r>
    </w:p>
    <w:p w14:paraId="0C272FA6" w14:textId="6E1E1F40" w:rsidR="00A6383B" w:rsidRPr="0022742E" w:rsidRDefault="00A6383B" w:rsidP="00A6383B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 </w:t>
      </w: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65BAD4C" w14:textId="77777777" w:rsidR="00A6383B" w:rsidRPr="0022742E" w:rsidRDefault="00A6383B" w:rsidP="00A6383B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 (u DT 1 se ponechá jak investiční tak neinvestiční; u DT 2  se uvede pouze varianta neinvestiční)</w:t>
      </w:r>
    </w:p>
    <w:p w14:paraId="16142D14" w14:textId="77777777" w:rsidR="00A6383B" w:rsidRPr="0022742E" w:rsidRDefault="00A6383B" w:rsidP="00A6383B">
      <w:pPr>
        <w:pStyle w:val="Odstavecseseznamem"/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83823036"/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pouze u DT1:</w:t>
      </w:r>
    </w:p>
    <w:bookmarkEnd w:id="0"/>
    <w:p w14:paraId="160AFF26" w14:textId="14A1C63A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 26 odst. 2 zákona č. 586/1992 Sb., o daních z příjmů, ve znění pozdějších předpisů (dále jen „cit. zákon“), výdajů spojených s pořízením nehmotného majetku nebo výdajů spojených s technickým zhodnocením, rekonstrukcí a modernizací ve smyslu § 33 cit. zákona.</w:t>
      </w:r>
    </w:p>
    <w:p w14:paraId="3EEB2115" w14:textId="77777777" w:rsidR="00A6383B" w:rsidRDefault="00A6383B" w:rsidP="00A6383B">
      <w:pPr>
        <w:spacing w:after="120"/>
        <w:ind w:left="56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se pro účely této smlouvy investiční dotací rozumí dotace, která je použita na úhradu výdajů spojených s pořízením dlouhodobého hmotného a nehmotného majetku s dobou použitelnosti delší než jeden rok a ve výši ocenění určené příjemcem v jeho vnitřním předpisu pro pořízení dlouhodobého hmotného a nehmotného majetku (tj. limitní částka pro pořízení dlouhodobého hmotného a nehmotného majetku je nižší než limit stanovený cit. zákonem). Pokud má příjemce nastavenou hranici pro dlouhodobý hmotný majetek vnitřním předpisem jinak (hranice není totožná s hranicí v zákoně o dani z příjmů) a prokázal tuto skutečnost v rámci podání žádosti o dotaci, bude dotace taktéž považována za dotaci investiční.</w:t>
      </w:r>
    </w:p>
    <w:p w14:paraId="5D60F905" w14:textId="77B19C1D" w:rsidR="00A6383B" w:rsidRPr="0022742E" w:rsidRDefault="00A6383B" w:rsidP="00A6383B">
      <w:pPr>
        <w:spacing w:after="120"/>
        <w:ind w:left="567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Následující text se uvede u DT1 i D</w:t>
      </w:r>
      <w:r w:rsidR="00E21F7B"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</w:t>
      </w: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2:</w:t>
      </w:r>
    </w:p>
    <w:p w14:paraId="26405820" w14:textId="77777777" w:rsidR="00A6383B" w:rsidRPr="0022742E" w:rsidRDefault="00A6383B" w:rsidP="00A6383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D8180B2" w14:textId="77777777" w:rsidR="00A6383B" w:rsidRPr="0022742E" w:rsidRDefault="00A6383B" w:rsidP="00A6383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 26 odst. 2 zákona č. 586/1992 Sb., o daních z příjmů, ve znění pozdějších předpisů (dále jen „cit. zákona“),</w:t>
      </w:r>
    </w:p>
    <w:p w14:paraId="3C32E190" w14:textId="77777777" w:rsidR="00A6383B" w:rsidRPr="0022742E" w:rsidRDefault="00A6383B" w:rsidP="00A6383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0704344C" w14:textId="77777777" w:rsidR="00A6383B" w:rsidRPr="0022742E" w:rsidRDefault="00A6383B" w:rsidP="00A6383B">
      <w:pPr>
        <w:numPr>
          <w:ilvl w:val="0"/>
          <w:numId w:val="2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 33 cit. zákona.</w:t>
      </w:r>
    </w:p>
    <w:p w14:paraId="327BC41A" w14:textId="5384DE81" w:rsidR="00A6383B" w:rsidRPr="0022742E" w:rsidRDefault="00A6383B" w:rsidP="00A6383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bookmarkStart w:id="1" w:name="_Hlk83990141"/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 DT 1 se v případě použití dotace na kamerové systémy bude uvedeno:</w:t>
      </w:r>
    </w:p>
    <w:p w14:paraId="511EDDB4" w14:textId="77777777" w:rsidR="00A6383B" w:rsidRPr="0022742E" w:rsidRDefault="00A6383B" w:rsidP="00A638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dotace je povinen při zřizování, rozšiřování či modernizaci kamerového systému usilovat o nejvyšší míru kompatibility svého k kamerového systému se systémy Krajského ředitelství policie Olomouckého kraje. Dále příjemce bere na vědomí a souhlasí, že bude jeho kamerový systém, v případě nutnosti zvýšené </w:t>
      </w: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ochrany a bezpečnosti (teroristický útok, pátrání po pachatelích zvlášť závažných trestných činů, apod.), vzdáleně ovládán Policií ČR, která po nezbytně nutnou dobu obsluze uzamkne ovládání kamerového systému</w:t>
      </w:r>
    </w:p>
    <w:bookmarkEnd w:id="1"/>
    <w:p w14:paraId="282C2E70" w14:textId="77777777" w:rsidR="00A6383B" w:rsidRDefault="00A6383B" w:rsidP="00A6383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1FE55AE" w14:textId="77777777" w:rsidR="00A6383B" w:rsidRPr="0022742E" w:rsidRDefault="00A6383B" w:rsidP="00A6383B">
      <w:pPr>
        <w:numPr>
          <w:ilvl w:val="0"/>
          <w:numId w:val="3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smlouvě, v souladu se Zásadami pro poskytování finanční podpory z rozpočtu Olomouckého kraje (dále jen „Zásady“) a v souladu s pravidly </w:t>
      </w:r>
      <w:bookmarkStart w:id="2" w:name="_Hlk83990295"/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2022 pro dotační titul Podpora prorodinných aktivit </w:t>
      </w:r>
      <w:r w:rsidRPr="0022742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NEBO</w:t>
      </w:r>
      <w:r w:rsidRPr="0022742E" w:rsidDel="009017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2022 pro dotační titul Podpora prevence kriminality </w:t>
      </w:r>
      <w:bookmarkEnd w:id="2"/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529C9A1" w14:textId="77777777" w:rsidR="00A6383B" w:rsidRDefault="00A6383B" w:rsidP="00A638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Zásadami a Pravidly. </w:t>
      </w: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Zásad, Pravidel a této smlouvy mají přednost ustanovení této smlouvy.</w:t>
      </w:r>
    </w:p>
    <w:p w14:paraId="3F290206" w14:textId="062DA0AC" w:rsidR="00A6383B" w:rsidRDefault="00A6383B" w:rsidP="00A638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</w:p>
    <w:p w14:paraId="233F8689" w14:textId="77777777" w:rsidR="00A6383B" w:rsidRDefault="00A6383B" w:rsidP="00A638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5718EDE4" w14:textId="55577F82" w:rsidR="00A6383B" w:rsidRDefault="00A6383B" w:rsidP="00A638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akce, na kterou byla dotace poskytnuta, a to nárok na odpočet v plné či částečné výši, uvádí na veškerých vyúčtovacích dokladech finanční částky bez DPH odpovídající výši, která mohla být uplatněna v odpočtu daně na základě daňového přiznání k DPH. Příjemce – neplátce DPH uvádí na veškerých vyúčtovacích dokladech finanční částky včetně DPH.</w:t>
      </w:r>
    </w:p>
    <w:p w14:paraId="726B1F8A" w14:textId="77777777" w:rsidR="00A6383B" w:rsidRPr="00856D40" w:rsidRDefault="00A6383B" w:rsidP="00A638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6D4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12A5D790" w14:textId="77777777" w:rsidR="00A6383B" w:rsidRPr="00856D40" w:rsidRDefault="00A6383B" w:rsidP="00A638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6D4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F4B6E79" w14:textId="77777777" w:rsidR="00A6383B" w:rsidRDefault="00A6383B" w:rsidP="00A6383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56D4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4992C692" w14:textId="1F79941E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>. § 22 zákona č. 250/2000 Sb., o rozpočtových pravidlech územních rozpočtů, ve znění pozdějších předpisů.</w:t>
      </w:r>
      <w:r w:rsidRPr="00A6383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</w:p>
    <w:p w14:paraId="1ED898EC" w14:textId="16340E21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>
        <w:rPr>
          <w:rFonts w:ascii="Arial" w:hAnsi="Arial" w:cs="Arial"/>
          <w:bCs/>
          <w:sz w:val="24"/>
          <w:szCs w:val="24"/>
          <w:lang w:eastAsia="cs-CZ"/>
        </w:rPr>
        <w:t>.</w:t>
      </w:r>
      <w:r w:rsidRPr="00A6383B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</w:p>
    <w:p w14:paraId="766F4CF4" w14:textId="77777777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14:paraId="26E827D3" w14:textId="77777777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34C94CE" w14:textId="77777777" w:rsidR="00A6383B" w:rsidRPr="0022742E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……………</w:t>
      </w: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34CDDE3C" w14:textId="3B5DE155" w:rsidR="00A6383B" w:rsidRPr="0022742E" w:rsidRDefault="00A6383B" w:rsidP="00A6383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22742E"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1.</w:t>
      </w:r>
      <w:r w:rsidR="0022742E"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0</w:t>
      </w:r>
      <w:r w:rsidRPr="0022742E">
        <w:rPr>
          <w:rFonts w:ascii="Arial" w:eastAsia="Times New Roman" w:hAnsi="Arial" w:cs="Arial"/>
          <w:iCs/>
          <w:sz w:val="24"/>
          <w:szCs w:val="24"/>
          <w:lang w:eastAsia="cs-CZ"/>
        </w:rPr>
        <w:t>1.2022 do nabytí účinnosti této smlouvy.</w:t>
      </w:r>
    </w:p>
    <w:p w14:paraId="58D37551" w14:textId="77777777" w:rsidR="00A6383B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4348963E" w14:textId="77777777" w:rsidR="00A6383B" w:rsidRDefault="00A6383B" w:rsidP="00A6383B">
      <w:pPr>
        <w:numPr>
          <w:ilvl w:val="0"/>
          <w:numId w:val="3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dotace, vyplněné prostřednictvím systému, v němž příjemce podal žádost o poskytnutí této dotace, a to elektronicky zasláním do datové schránky poskytovatele (dále jen „vyúčtování“). Připadne-li konec lhůty pro předložení vyúčtování na sobotu, neděli nebo svátek, je posledním dnem lhůty nejbližší následující pracovní den.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2B89EFD" w14:textId="77777777" w:rsidR="00A6383B" w:rsidRDefault="00A6383B" w:rsidP="00A6383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FB84148" w14:textId="77777777" w:rsidR="00A6383B" w:rsidRDefault="00A6383B" w:rsidP="00A6383B">
      <w:pPr>
        <w:pStyle w:val="Odstavecseseznamem"/>
        <w:numPr>
          <w:ilvl w:val="1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 ve vzoru vyúčtování dotace, který je zveřejněn v systému RAP.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>
        <w:rPr>
          <w:rFonts w:ascii="Arial" w:hAnsi="Arial" w:cs="Arial"/>
          <w:sz w:val="24"/>
          <w:szCs w:val="24"/>
        </w:rPr>
        <w:t>příjmy uvedené v odst. 10.18 Pravidel.</w:t>
      </w:r>
    </w:p>
    <w:p w14:paraId="5766F250" w14:textId="10466539" w:rsidR="00A6383B" w:rsidRPr="00A6383B" w:rsidRDefault="00A6383B" w:rsidP="00A6383B">
      <w:pPr>
        <w:pStyle w:val="Odstavecseseznamem"/>
        <w:numPr>
          <w:ilvl w:val="1"/>
          <w:numId w:val="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na akci, na jejíž realizaci byla poskytnuta dotace dle této smlouvy, a to v rozsahu uvedeném ve vzoru vyúčtování dotace. </w:t>
      </w:r>
    </w:p>
    <w:p w14:paraId="7A3E6C04" w14:textId="4FFF39D1" w:rsidR="00A6383B" w:rsidRPr="0022742E" w:rsidRDefault="00A6383B" w:rsidP="00A6383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</w:t>
      </w:r>
      <w:r w:rsidR="001475BA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(dle Vzoru závěrečné zprávy, která je přílohou Pravidel), a to buď elektronicky zasláním do datové schránky poskytovatele, nebo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22742E">
        <w:rPr>
          <w:rFonts w:ascii="Arial" w:eastAsia="Times New Roman" w:hAnsi="Arial" w:cs="Arial"/>
          <w:strike/>
          <w:sz w:val="24"/>
          <w:szCs w:val="24"/>
          <w:lang w:eastAsia="cs-CZ"/>
        </w:rPr>
        <w:t>a to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poskytovatele, uvedenou v záhlaví této smlouvy.</w:t>
      </w:r>
    </w:p>
    <w:p w14:paraId="47C2CE50" w14:textId="2AEC0FA8" w:rsidR="00A6383B" w:rsidRPr="0022742E" w:rsidRDefault="00A6383B" w:rsidP="00A6383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Závěrečná zpráva musí</w:t>
      </w:r>
      <w:r w:rsidR="001475BA" w:rsidRPr="0022742E">
        <w:rPr>
          <w:rFonts w:ascii="Arial" w:eastAsia="Times New Roman" w:hAnsi="Arial" w:cs="Arial"/>
          <w:sz w:val="24"/>
          <w:szCs w:val="24"/>
          <w:lang w:eastAsia="cs-CZ"/>
        </w:rPr>
        <w:t>, dle vzoru,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obsahovat</w:t>
      </w: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475BA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popis využití dotace: naplnění cílů projektu, dopady/vliv na cílovou skupinu, zdůvodnění případných rozdílů, dosažené plánované výstupy a plnění projektu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a popis užití loga Olomouckého kraje. Závěrečná zpráva bude dále obsahovat název projektu a specifikaci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</w:t>
      </w:r>
      <w:r w:rsidR="001475BA"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a čestné prohlášení o pravdivosti údajů a informací obsažených v závěrečné zprávě</w:t>
      </w: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22742E">
        <w:t xml:space="preserve">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 průběhu realizace akce (2 ks fotografií) a fotodokumentaci propagace Olomouckého kraje dle čl. II. odst. 10 této smlouvy (1x </w:t>
      </w:r>
      <w:proofErr w:type="spellStart"/>
      <w:r w:rsidRPr="0022742E">
        <w:rPr>
          <w:rFonts w:ascii="Arial" w:eastAsia="Times New Roman" w:hAnsi="Arial" w:cs="Arial"/>
          <w:sz w:val="24"/>
          <w:szCs w:val="24"/>
          <w:lang w:eastAsia="cs-CZ"/>
        </w:rPr>
        <w:t>printscreen</w:t>
      </w:r>
      <w:proofErr w:type="spellEnd"/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 webových stránek nebo sociálních sítí s logem Olomouckého kraje)</w:t>
      </w:r>
      <w:r w:rsidRPr="0022742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771AC74" w14:textId="2849240E" w:rsidR="00A6383B" w:rsidRPr="0029266F" w:rsidRDefault="00A6383B" w:rsidP="0022742E">
      <w:pPr>
        <w:numPr>
          <w:ilvl w:val="0"/>
          <w:numId w:val="3"/>
        </w:numPr>
        <w:shd w:val="clear" w:color="auto" w:fill="FFFFFF" w:themeFill="background1"/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29266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29266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9266F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29266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29266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</w:t>
      </w:r>
      <w:r w:rsidR="00856D40" w:rsidRPr="002926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EF1AC5D" w14:textId="77777777" w:rsidR="00A6383B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</w:t>
      </w:r>
      <w:bookmarkStart w:id="3" w:name="_GoBack"/>
      <w:bookmarkEnd w:id="3"/>
      <w:r>
        <w:rPr>
          <w:rFonts w:ascii="Arial" w:eastAsia="Times New Roman" w:hAnsi="Arial" w:cs="Arial"/>
          <w:sz w:val="24"/>
          <w:szCs w:val="24"/>
          <w:lang w:eastAsia="cs-CZ"/>
        </w:rPr>
        <w:t xml:space="preserve">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a/nebo závěrečnou zprávu ve lhůtě stanovené v čl. II odst. 4 této smlouvy, ale vyúčtování a/nebo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</w:p>
    <w:p w14:paraId="186E5DE7" w14:textId="77777777" w:rsidR="00A6383B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6383B" w14:paraId="5B3B6A14" w14:textId="77777777" w:rsidTr="00E05BF6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532F8" w14:textId="77777777" w:rsidR="00A6383B" w:rsidRDefault="00A6383B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13BF3" w14:textId="77777777" w:rsidR="00A6383B" w:rsidRDefault="00A6383B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475834F" w14:textId="77777777" w:rsidR="00A6383B" w:rsidRDefault="00A6383B" w:rsidP="00E05BF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6383B" w14:paraId="4D63DEC5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16F30" w14:textId="77777777" w:rsidR="00A6383B" w:rsidRDefault="00A638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349D2" w14:textId="77777777" w:rsidR="00A6383B" w:rsidRDefault="00A638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383B" w14:paraId="05CD2BEE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1179" w14:textId="77777777" w:rsidR="00A6383B" w:rsidRDefault="00A638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uplynutí lhůty pro použití dotace uvedené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903A1" w14:textId="77777777" w:rsidR="00A6383B" w:rsidRDefault="00A638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383B" w14:paraId="73C76A38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0747" w14:textId="77777777" w:rsidR="00A6383B" w:rsidRDefault="00A638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0303" w14:textId="77777777" w:rsidR="00A6383B" w:rsidRDefault="00A638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6383B" w14:paraId="795E3005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2E845" w14:textId="77777777" w:rsidR="00A6383B" w:rsidRDefault="00A638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77B5" w14:textId="77777777" w:rsidR="00A6383B" w:rsidRDefault="00A638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383B" w14:paraId="7E36C611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24C8" w14:textId="77777777" w:rsidR="00A6383B" w:rsidRDefault="00A638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0D4F7" w14:textId="77777777" w:rsidR="00A6383B" w:rsidRDefault="00A638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383B" w14:paraId="366B98E8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97F2D" w14:textId="77777777" w:rsidR="00A6383B" w:rsidRDefault="00A638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A4B6" w14:textId="77777777" w:rsidR="00A6383B" w:rsidRDefault="00A638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6383B" w14:paraId="36A3867C" w14:textId="77777777" w:rsidTr="00E05BF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DE5D" w14:textId="77777777" w:rsidR="00A6383B" w:rsidRDefault="00A6383B" w:rsidP="00E05BF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7DB7" w14:textId="77777777" w:rsidR="00A6383B" w:rsidRDefault="00A6383B" w:rsidP="00E05BF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A6B14F2" w14:textId="77777777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90F4FD9" w14:textId="42C88C49" w:rsidR="00A6383B" w:rsidRPr="0022742E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</w:t>
      </w:r>
      <w:r w:rsidRPr="0022742E">
        <w:t xml:space="preserve">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27– 4228120277/0100. </w:t>
      </w:r>
      <w:r w:rsidRPr="0022742E">
        <w:rPr>
          <w:rFonts w:ascii="Arial" w:hAnsi="Arial" w:cs="Arial"/>
          <w:sz w:val="24"/>
          <w:szCs w:val="24"/>
        </w:rPr>
        <w:t>Případný odvod či penále se hradí na účet poskytovatele č. 27-4228320287/0100 na základě vystavené faktur</w:t>
      </w:r>
      <w:r w:rsidR="00856D40" w:rsidRPr="0022742E">
        <w:rPr>
          <w:rFonts w:ascii="Arial" w:hAnsi="Arial" w:cs="Arial"/>
          <w:sz w:val="24"/>
          <w:szCs w:val="24"/>
        </w:rPr>
        <w:t>.</w:t>
      </w:r>
    </w:p>
    <w:p w14:paraId="1B76F9B2" w14:textId="77777777" w:rsidR="00A6383B" w:rsidRPr="0022742E" w:rsidRDefault="00A6383B" w:rsidP="00A6383B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1AD0BEA" w14:textId="77777777" w:rsidR="00A6383B" w:rsidRPr="0022742E" w:rsidRDefault="00A6383B" w:rsidP="00A6383B">
      <w:pPr>
        <w:numPr>
          <w:ilvl w:val="0"/>
          <w:numId w:val="3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nejméně do konce kalendářního roku, v němž mu byla poskytnuta dotace, dále je příjemce povinen označit propagační materiály, vztahující se k účelu dotace, logem poskytovatele (jsou-li vydávány), a umístit reklamní panel nebo obdobné zařízení, s logem poskytovatele do místa, ve kterém je realizována podpořená akce, po dobu její realizace</w:t>
      </w:r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406F08B" w14:textId="77777777" w:rsidR="00A6383B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946CF50" w14:textId="77777777" w:rsidR="00A6383B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zadávání veřejných zakázek, je povinen při její realizaci postupovat dle tohoto zákona.</w:t>
      </w:r>
    </w:p>
    <w:p w14:paraId="6C8C04D7" w14:textId="77777777" w:rsidR="00A6383B" w:rsidRDefault="00A6383B" w:rsidP="00A6383B">
      <w:pPr>
        <w:numPr>
          <w:ilvl w:val="0"/>
          <w:numId w:val="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</w:t>
      </w:r>
      <w:r w:rsidRPr="0022742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poskytnout dotaci dle čl. 1 odst. 6 nebo čl. 1 odst. 13 Zásad. </w:t>
      </w:r>
      <w:r w:rsidRPr="0022742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(odkaz na odst. 13 se uvede v případě, že dotace bude poskytována v režimu de </w:t>
      </w:r>
      <w:proofErr w:type="spellStart"/>
      <w:r w:rsidRPr="0022742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Pr="0022742E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2-5)</w:t>
      </w:r>
    </w:p>
    <w:p w14:paraId="52A2AD48" w14:textId="77777777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 čl. 1 odst. 6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Zásad, kterou ve lhůtě stanovené Zásadami neoznámil poskytovateli.</w:t>
      </w:r>
    </w:p>
    <w:p w14:paraId="45DE82B1" w14:textId="77777777" w:rsidR="00A6383B" w:rsidRDefault="00A6383B" w:rsidP="00A6383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V případě nepravdivosti některého z těchto prohlášení se jedná o porušení rozpočtové kázně ve smyslu </w:t>
      </w:r>
      <w:proofErr w:type="spellStart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04488A7C" w14:textId="77777777" w:rsidR="00A6383B" w:rsidRDefault="00A6383B" w:rsidP="00A6383B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DF563C7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7A01B3FD" w14:textId="77777777" w:rsidR="00A6383B" w:rsidRPr="0022742E" w:rsidRDefault="00A6383B" w:rsidP="00A6383B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22742E">
        <w:rPr>
          <w:rFonts w:ascii="Arial" w:eastAsia="Times New Roman" w:hAnsi="Arial" w:cs="Arial"/>
          <w:i/>
          <w:sz w:val="24"/>
          <w:szCs w:val="24"/>
          <w:lang w:eastAsia="cs-CZ"/>
        </w:rPr>
        <w:t>. V takovém případě se uvedou následující odst. 2-5:</w:t>
      </w:r>
    </w:p>
    <w:p w14:paraId="2E62E3ED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22CECE0C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72C358C1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4B30DF5F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712308E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79015C0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D9F4767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628346C2" w14:textId="77777777" w:rsidR="00A6383B" w:rsidRPr="0022742E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způsobech zpracování a právech příjemce při zpracování osobních údajů jsou </w:t>
      </w:r>
      <w:r w:rsidRPr="0022742E">
        <w:rPr>
          <w:rFonts w:ascii="Arial" w:eastAsia="Times New Roman" w:hAnsi="Arial" w:cs="Arial"/>
          <w:sz w:val="24"/>
          <w:szCs w:val="24"/>
          <w:lang w:eastAsia="cs-CZ"/>
        </w:rPr>
        <w:t xml:space="preserve">zveřejněny na webových stránkách Olomouckého kraje </w:t>
      </w:r>
      <w:hyperlink r:id="rId7" w:history="1">
        <w:r w:rsidRPr="0022742E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22742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3E628E" w14:textId="2129AB6F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157D8DF" w14:textId="77777777" w:rsidR="00A6383B" w:rsidRDefault="00A6383B" w:rsidP="00A6383B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</w:p>
    <w:p w14:paraId="1227C373" w14:textId="77777777" w:rsidR="00A6383B" w:rsidRDefault="00A6383B" w:rsidP="00A6383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sectPr w:rsidR="00A6383B" w:rsidSect="0022742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D81D2" w14:textId="77777777" w:rsidR="0022742E" w:rsidRDefault="0022742E" w:rsidP="0022742E">
      <w:r>
        <w:separator/>
      </w:r>
    </w:p>
  </w:endnote>
  <w:endnote w:type="continuationSeparator" w:id="0">
    <w:p w14:paraId="14D4FDE2" w14:textId="77777777" w:rsidR="0022742E" w:rsidRDefault="0022742E" w:rsidP="0022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7F43" w14:textId="1487A8FB" w:rsidR="0022742E" w:rsidRDefault="0022742E" w:rsidP="0022742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9266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69036" w14:textId="77777777" w:rsidR="0022742E" w:rsidRDefault="0022742E" w:rsidP="0022742E">
      <w:r>
        <w:separator/>
      </w:r>
    </w:p>
  </w:footnote>
  <w:footnote w:type="continuationSeparator" w:id="0">
    <w:p w14:paraId="4A77AD51" w14:textId="77777777" w:rsidR="0022742E" w:rsidRDefault="0022742E" w:rsidP="00227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3B"/>
    <w:rsid w:val="00001779"/>
    <w:rsid w:val="000158CD"/>
    <w:rsid w:val="001149F7"/>
    <w:rsid w:val="001475BA"/>
    <w:rsid w:val="00191476"/>
    <w:rsid w:val="0019544F"/>
    <w:rsid w:val="0022742E"/>
    <w:rsid w:val="0029266F"/>
    <w:rsid w:val="003C53B8"/>
    <w:rsid w:val="004558D7"/>
    <w:rsid w:val="00533D16"/>
    <w:rsid w:val="006921CC"/>
    <w:rsid w:val="006B61FE"/>
    <w:rsid w:val="00703AC4"/>
    <w:rsid w:val="007217D9"/>
    <w:rsid w:val="007D0B99"/>
    <w:rsid w:val="007D54B8"/>
    <w:rsid w:val="00814C43"/>
    <w:rsid w:val="00856D40"/>
    <w:rsid w:val="008F7031"/>
    <w:rsid w:val="008F7529"/>
    <w:rsid w:val="009550B6"/>
    <w:rsid w:val="00A41982"/>
    <w:rsid w:val="00A6383B"/>
    <w:rsid w:val="00A87A24"/>
    <w:rsid w:val="00BA080A"/>
    <w:rsid w:val="00C20BF5"/>
    <w:rsid w:val="00C44BC1"/>
    <w:rsid w:val="00C605E0"/>
    <w:rsid w:val="00D14434"/>
    <w:rsid w:val="00D619C2"/>
    <w:rsid w:val="00DD0EFC"/>
    <w:rsid w:val="00E21F7B"/>
    <w:rsid w:val="00E400FE"/>
    <w:rsid w:val="00E5416E"/>
    <w:rsid w:val="00F5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7815"/>
  <w14:defaultImageDpi w14:val="32767"/>
  <w15:chartTrackingRefBased/>
  <w15:docId w15:val="{87F48505-BEA3-A646-A79C-EA85B258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="Times New Roman"/>
        <w:sz w:val="21"/>
        <w:szCs w:val="21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83B"/>
    <w:pPr>
      <w:ind w:left="851" w:hanging="851"/>
      <w:jc w:val="both"/>
    </w:pPr>
    <w:rPr>
      <w:rFonts w:asciiTheme="minorHAnsi" w:hAnsiTheme="minorHAnsi" w:cstheme="minorBidi"/>
      <w:sz w:val="22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6383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638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53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3B8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C5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53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53B8"/>
    <w:rPr>
      <w:rFonts w:asciiTheme="minorHAnsi" w:hAnsiTheme="minorHAnsi" w:cstheme="minorBidi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3B8"/>
    <w:rPr>
      <w:rFonts w:asciiTheme="minorHAnsi" w:hAnsiTheme="minorHAnsi" w:cstheme="minorBidi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E400FE"/>
    <w:rPr>
      <w:rFonts w:asciiTheme="minorHAnsi" w:hAnsiTheme="minorHAnsi" w:cstheme="minorBidi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2274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42E"/>
    <w:rPr>
      <w:rFonts w:asciiTheme="minorHAnsi" w:hAnsiTheme="minorHAnsi" w:cstheme="minorBidi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2274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42E"/>
    <w:rPr>
      <w:rFonts w:asciiTheme="minorHAnsi" w:hAnsiTheme="minorHAnsi" w:cstheme="minorBid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2911</Words>
  <Characters>17175</Characters>
  <Application>Microsoft Office Word</Application>
  <DocSecurity>0</DocSecurity>
  <Lines>143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AKMN</dc:creator>
  <cp:keywords/>
  <dc:description/>
  <cp:lastModifiedBy>Brlková Lucie</cp:lastModifiedBy>
  <cp:revision>7</cp:revision>
  <dcterms:created xsi:type="dcterms:W3CDTF">2021-11-14T12:50:00Z</dcterms:created>
  <dcterms:modified xsi:type="dcterms:W3CDTF">2021-11-15T10:58:00Z</dcterms:modified>
</cp:coreProperties>
</file>