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64" w:rsidRPr="002A6534" w:rsidRDefault="008D2464" w:rsidP="008D2464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8D2464" w:rsidRPr="002A6534" w:rsidRDefault="008D2464" w:rsidP="008D2464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8D2464" w:rsidRPr="002A6534" w:rsidRDefault="008D2464" w:rsidP="008D246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8D2464" w:rsidRPr="002A6534" w:rsidRDefault="008D2464" w:rsidP="008D246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8D2464" w:rsidRPr="002A6534" w:rsidRDefault="008D2464" w:rsidP="008D246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8D2464" w:rsidRPr="002A6534" w:rsidRDefault="008D2464" w:rsidP="008D246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8D2464" w:rsidRPr="002A6534" w:rsidRDefault="008D2464" w:rsidP="008D246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Michalem Záchou, DiS., náměstkem hejtmana na základě pověření hejtmana ze 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dne 30. 10. 2020</w:t>
      </w:r>
    </w:p>
    <w:p w:rsidR="008D2464" w:rsidRPr="002A6534" w:rsidRDefault="008D2464" w:rsidP="008D246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8D2464" w:rsidRPr="002A6534" w:rsidRDefault="008D2464" w:rsidP="008D246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D2464" w:rsidRPr="002A6534" w:rsidRDefault="008D2464" w:rsidP="008D246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8D2464" w:rsidRPr="00281051" w:rsidRDefault="008D2464" w:rsidP="008D246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:rsidR="008D2464" w:rsidRPr="002A6534" w:rsidRDefault="008D2464" w:rsidP="008D246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:rsidR="008D2464" w:rsidRDefault="008D2464" w:rsidP="008D246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00301825</w:t>
      </w:r>
    </w:p>
    <w:p w:rsidR="008D2464" w:rsidRPr="002A6534" w:rsidRDefault="008D2464" w:rsidP="008D246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CZ00301825</w:t>
      </w:r>
    </w:p>
    <w:p w:rsidR="008D2464" w:rsidRPr="002A6534" w:rsidRDefault="008D2464" w:rsidP="008D246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Petrem Měřínským, primátorem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 základě usnesení Zastupitelstva města Přerova č. 4/1/4/2018 ze dne 5. 11. 2018</w:t>
      </w:r>
    </w:p>
    <w:p w:rsidR="008D2464" w:rsidRDefault="008D2464" w:rsidP="008D246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00A44">
        <w:rPr>
          <w:rFonts w:ascii="Arial" w:eastAsia="Times New Roman" w:hAnsi="Arial" w:cs="Arial"/>
          <w:sz w:val="24"/>
          <w:szCs w:val="24"/>
          <w:lang w:eastAsia="cs-CZ"/>
        </w:rPr>
        <w:t>94-926831</w:t>
      </w:r>
      <w:r>
        <w:rPr>
          <w:rFonts w:ascii="Arial" w:eastAsia="Times New Roman" w:hAnsi="Arial" w:cs="Arial"/>
          <w:sz w:val="24"/>
          <w:szCs w:val="24"/>
          <w:lang w:eastAsia="cs-CZ"/>
        </w:rPr>
        <w:t>/0710</w:t>
      </w:r>
      <w:r w:rsidRPr="00074C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D2464" w:rsidRPr="002A6534" w:rsidRDefault="008D2464" w:rsidP="008D246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8D2464" w:rsidRPr="002A6534" w:rsidRDefault="008D2464" w:rsidP="008D2464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8D2464" w:rsidRPr="002A6534" w:rsidRDefault="008D2464" w:rsidP="008D246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8D2464" w:rsidRPr="002A6534" w:rsidRDefault="008D2464" w:rsidP="008D246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2 448 335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81051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dva miliony čtyři sta čtyřicet osm tisíc tři sta třicet pět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 w:rsidRPr="002A6534">
        <w:rPr>
          <w:rFonts w:ascii="Arial" w:hAnsi="Arial" w:cs="Arial"/>
          <w:sz w:val="24"/>
          <w:szCs w:val="24"/>
        </w:rPr>
        <w:t xml:space="preserve"> za účelem zvyšování bezpečnosti cyklistické dopravy na území </w:t>
      </w:r>
      <w:bookmarkStart w:id="0" w:name="_GoBack"/>
      <w:bookmarkEnd w:id="0"/>
      <w:r w:rsidRPr="002A6534">
        <w:rPr>
          <w:rFonts w:ascii="Arial" w:hAnsi="Arial" w:cs="Arial"/>
          <w:sz w:val="24"/>
          <w:szCs w:val="24"/>
        </w:rPr>
        <w:t>Olomouckého kraje a</w:t>
      </w:r>
      <w:r>
        <w:rPr>
          <w:rFonts w:ascii="Arial" w:hAnsi="Arial" w:cs="Arial"/>
          <w:sz w:val="24"/>
          <w:szCs w:val="24"/>
        </w:rPr>
        <w:t> </w:t>
      </w:r>
      <w:r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B11 (polní, lesní cesty) přispívat ke zlepšení ekologicky šetrné dopravy při cestě občanů kraje do zaměstnání, škol a na úřady, v rámci dopravní obslužnosti území. </w:t>
      </w:r>
    </w:p>
    <w:p w:rsidR="008D2464" w:rsidRPr="002A6534" w:rsidRDefault="008D2464" w:rsidP="008D2464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ástečná úhrada výdajů 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„Propojení cyklostezky Velká Dlážka - Hranická“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8D2464" w:rsidRPr="002A6534" w:rsidRDefault="008D2464" w:rsidP="008D2464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</w:p>
    <w:p w:rsidR="008D2464" w:rsidRPr="002A6534" w:rsidRDefault="008D2464" w:rsidP="008D2464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:rsidR="008D2464" w:rsidRPr="002A6534" w:rsidRDefault="008D2464" w:rsidP="008D246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8D2464" w:rsidRPr="002A6534" w:rsidRDefault="008D2464" w:rsidP="008D2464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Podpora výstavby a oprav cyklostezek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8D2464" w:rsidRPr="002A6534" w:rsidRDefault="008D2464" w:rsidP="008D246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8D2464" w:rsidRPr="00461C8D" w:rsidRDefault="008D2464" w:rsidP="008D246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stavební a ostatní práce související s realizací akce „Propojení cyklostezky Velká Dlážka - Hranická“</w:t>
      </w:r>
      <w:r w:rsidRPr="00461C8D">
        <w:rPr>
          <w:rFonts w:ascii="Arial" w:hAnsi="Arial" w:cs="Arial"/>
          <w:b/>
          <w:sz w:val="24"/>
          <w:szCs w:val="24"/>
        </w:rPr>
        <w:t>.</w:t>
      </w:r>
    </w:p>
    <w:p w:rsidR="008D2464" w:rsidRPr="002A6534" w:rsidRDefault="008D2464" w:rsidP="008D246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8D2464" w:rsidRPr="002A6534" w:rsidRDefault="008D2464" w:rsidP="008D246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8D2464" w:rsidRPr="002A6534" w:rsidRDefault="008D2464" w:rsidP="008D246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 jeho právo uplatnit odpočet DPH při registraci podle § 79 ZDPH se vztahuje na zdanitelná plnění hrazená včetně příslušné DPH z dotace, je příjemce povinen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 79 ZDPH uplatnit v prvním daňovém přiznání po registraci k DPH.</w:t>
      </w:r>
    </w:p>
    <w:p w:rsidR="008D2464" w:rsidRPr="002A6534" w:rsidRDefault="008D2464" w:rsidP="008D246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8D2464" w:rsidRPr="002A6534" w:rsidRDefault="008D2464" w:rsidP="008D246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 22 zákona č. 250/2000 Sb., o rozpočtových pravidlech územních rozpočtů, ve znění pozdějších předpisů. 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:rsidR="008D2464" w:rsidRPr="002A6534" w:rsidRDefault="008D2464" w:rsidP="008D2464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11 128 797,12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jedenáct milionů jedno sto dvacet osm tisíc sedm set devadesát sedm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dvanáct haléřů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nejméně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78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>
        <w:rPr>
          <w:rFonts w:ascii="Arial" w:hAnsi="Arial" w:cs="Arial"/>
          <w:b/>
          <w:sz w:val="24"/>
          <w:szCs w:val="24"/>
        </w:rPr>
        <w:t>22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:rsidR="008D2464" w:rsidRPr="002A6534" w:rsidRDefault="008D2464" w:rsidP="008D2464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8D2464" w:rsidRPr="002A6534" w:rsidRDefault="008D2464" w:rsidP="008D2464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a to v listinné podobě v jednom vyhotovení na adresu poskytovatele (dále jen „vyúčtování“).</w:t>
      </w:r>
    </w:p>
    <w:p w:rsidR="008D2464" w:rsidRPr="002A6534" w:rsidRDefault="008D2464" w:rsidP="008D246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8D2464" w:rsidRPr="002A6534" w:rsidRDefault="008D2464" w:rsidP="008D2464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2A6534">
        <w:rPr>
          <w:rFonts w:ascii="Arial" w:hAnsi="Arial" w:cs="Arial"/>
          <w:sz w:val="24"/>
          <w:szCs w:val="24"/>
        </w:rPr>
        <w:t>příjmy uvedené v odst. 11.24</w:t>
      </w:r>
      <w:r>
        <w:rPr>
          <w:rFonts w:ascii="Arial" w:hAnsi="Arial" w:cs="Arial"/>
          <w:sz w:val="24"/>
          <w:szCs w:val="24"/>
        </w:rPr>
        <w:t>.</w:t>
      </w:r>
      <w:r w:rsidRPr="002A6534">
        <w:rPr>
          <w:rFonts w:ascii="Arial" w:hAnsi="Arial" w:cs="Arial"/>
          <w:sz w:val="24"/>
          <w:szCs w:val="24"/>
        </w:rPr>
        <w:t xml:space="preserve"> Pravidel.</w:t>
      </w:r>
    </w:p>
    <w:p w:rsidR="008D2464" w:rsidRPr="002A6534" w:rsidRDefault="008D2464" w:rsidP="008D2464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akci.</w:t>
      </w:r>
    </w:p>
    <w:p w:rsidR="008D2464" w:rsidRPr="002A6534" w:rsidRDefault="008D2464" w:rsidP="008D2464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8D2464" w:rsidRPr="002A6534" w:rsidRDefault="008D2464" w:rsidP="008D246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rozpisem dodávky (případně dodacím listem), popřípadě jiných účetních dokladů včetně příloh, prokazujících vynaložení výdajů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8D2464" w:rsidRPr="002A6534" w:rsidRDefault="008D2464" w:rsidP="008D246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8D2464" w:rsidRPr="002A6534" w:rsidRDefault="008D2464" w:rsidP="008D246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8D2464" w:rsidRPr="002A6534" w:rsidRDefault="008D2464" w:rsidP="008D246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působnosti,</w:t>
      </w:r>
    </w:p>
    <w:p w:rsidR="008D2464" w:rsidRPr="002A6534" w:rsidRDefault="008D2464" w:rsidP="008D2464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dílo.</w:t>
      </w:r>
    </w:p>
    <w:p w:rsidR="008D2464" w:rsidRPr="002A6534" w:rsidRDefault="008D2464" w:rsidP="008D2464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věcně popsané vyhodnocení dosažených cílů a harmonogram průběhu realizace akce.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8D2464" w:rsidRPr="002A6534" w:rsidRDefault="008D2464" w:rsidP="008D2464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:rsidR="008D2464" w:rsidRPr="002A6534" w:rsidRDefault="008D2464" w:rsidP="008D2464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 chybějícího kolaudačního souhlasu/rozhodnutí čestné prohlášení s řádným odůvodněním, proč nebyl kolaudační souhlas/rozhodnutí vydán. </w:t>
      </w:r>
      <w:r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8D2464" w:rsidRPr="002A6534" w:rsidRDefault="008D2464" w:rsidP="008D2464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:rsidR="008D2464" w:rsidRPr="002A6534" w:rsidRDefault="008D2464" w:rsidP="008D2464">
      <w:pPr>
        <w:numPr>
          <w:ilvl w:val="0"/>
          <w:numId w:val="16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 rozpočtových pravidlech územních rozpočtů, ve znění pozdějších předpisů. 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D2464" w:rsidRPr="002A6534" w:rsidTr="0024407E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D2464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D2464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D2464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D2464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D2464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D2464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64" w:rsidRPr="002A6534" w:rsidRDefault="008D2464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D2464" w:rsidRPr="002A6534" w:rsidTr="0024407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464" w:rsidRPr="002A6534" w:rsidRDefault="008D2464" w:rsidP="0024407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464" w:rsidRPr="002A6534" w:rsidRDefault="008D2464" w:rsidP="0024407E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  <w:r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:rsidR="008D2464" w:rsidRPr="002A6534" w:rsidRDefault="008D2464" w:rsidP="008D2464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 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D2464" w:rsidRPr="002A6534" w:rsidRDefault="008D2464" w:rsidP="008D2464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 (jsou-li zřízeny) po dobu realizace akce a v celém kalendářním roce následujícím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 za splnění následujících podmínek: </w:t>
      </w:r>
    </w:p>
    <w:p w:rsidR="008D2464" w:rsidRPr="002A6534" w:rsidRDefault="008D2464" w:rsidP="008D2464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8D2464" w:rsidRPr="002A6534" w:rsidRDefault="008D2464" w:rsidP="008D2464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se musí po celou dobu realizace akce a po dobu minimálně následujících 5 let nacházet na dobře viditelném veřejně přístupném místě v prostoru akce,</w:t>
      </w:r>
    </w:p>
    <w:p w:rsidR="008D2464" w:rsidRPr="002A6534" w:rsidRDefault="008D2464" w:rsidP="008D2464">
      <w:pPr>
        <w:pStyle w:val="Odstavecseseznamem"/>
        <w:numPr>
          <w:ilvl w:val="0"/>
          <w:numId w:val="17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přístupném místě)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předložena společně se závěrečnou zprávou.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:rsidR="008D2464" w:rsidRPr="002A6534" w:rsidRDefault="008D2464" w:rsidP="008D2464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:rsidR="008D2464" w:rsidRPr="002A6534" w:rsidRDefault="008D2464" w:rsidP="008D2464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8D2464" w:rsidRPr="002A6534" w:rsidRDefault="008D2464" w:rsidP="008D2464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8D2464" w:rsidRPr="002A6534" w:rsidRDefault="008D2464" w:rsidP="008D2464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:rsidR="008D2464" w:rsidRPr="002A6534" w:rsidRDefault="008D2464" w:rsidP="008D246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:rsidR="008D2464" w:rsidRPr="00C260B2" w:rsidRDefault="008D2464" w:rsidP="008D2464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dnem jejího uzavření.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260B2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:rsidR="008D2464" w:rsidRPr="002A6534" w:rsidRDefault="008D2464" w:rsidP="008D2464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8D2464" w:rsidRPr="002A6534" w:rsidRDefault="008D2464" w:rsidP="008D2464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8D2464" w:rsidRPr="002A6534" w:rsidRDefault="008D2464" w:rsidP="008D2464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způsobech zpracování a právech příjemce při zpracování osobních údajů jsou zveřejněny na webových stránkách Olomouckého kraje </w:t>
      </w:r>
      <w:hyperlink r:id="rId7" w:history="1">
        <w:r w:rsidRPr="002A653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D2464" w:rsidRPr="002A6534" w:rsidRDefault="008D2464" w:rsidP="008D2464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>
        <w:rPr>
          <w:rFonts w:ascii="Arial" w:eastAsia="Times New Roman" w:hAnsi="Arial" w:cs="Arial"/>
          <w:sz w:val="24"/>
          <w:szCs w:val="24"/>
          <w:lang w:eastAsia="cs-CZ"/>
        </w:rPr>
        <w:t>. UZ/xx/xx/2021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D2464" w:rsidRPr="002A6534" w:rsidRDefault="008D2464" w:rsidP="008D2464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:rsidR="008D2464" w:rsidRPr="002A6534" w:rsidRDefault="008D2464" w:rsidP="008D2464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:rsidR="008D2464" w:rsidRPr="002A6534" w:rsidRDefault="008D2464" w:rsidP="008D2464">
      <w:pPr>
        <w:ind w:left="0" w:firstLine="0"/>
        <w:rPr>
          <w:rFonts w:ascii="Arial" w:hAnsi="Arial" w:cs="Arial"/>
          <w:bCs/>
        </w:rPr>
      </w:pPr>
    </w:p>
    <w:p w:rsidR="00C567E5" w:rsidRPr="008D2464" w:rsidRDefault="00C567E5" w:rsidP="008D2464"/>
    <w:sectPr w:rsidR="00C567E5" w:rsidRPr="008D2464" w:rsidSect="00EC3F1A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4C" w:rsidRDefault="00933F4C" w:rsidP="00291FA0">
      <w:r>
        <w:separator/>
      </w:r>
    </w:p>
  </w:endnote>
  <w:endnote w:type="continuationSeparator" w:id="0">
    <w:p w:rsidR="00933F4C" w:rsidRDefault="00933F4C" w:rsidP="002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Pr="006E4B00" w:rsidRDefault="00EC3F1A" w:rsidP="006E4B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E4B00" w:rsidRPr="006E4B0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</w:t>
    </w:r>
    <w:r w:rsidR="006E4B00" w:rsidRPr="006E4B00">
      <w:rPr>
        <w:rFonts w:ascii="Arial" w:hAnsi="Arial" w:cs="Arial"/>
        <w:i/>
        <w:sz w:val="20"/>
        <w:szCs w:val="20"/>
      </w:rPr>
      <w:t xml:space="preserve">. </w:t>
    </w:r>
    <w:r w:rsidR="0078554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6E4B00" w:rsidRPr="006E4B00">
      <w:rPr>
        <w:rFonts w:ascii="Arial" w:hAnsi="Arial" w:cs="Arial"/>
        <w:i/>
        <w:sz w:val="20"/>
        <w:szCs w:val="20"/>
      </w:rPr>
      <w:t xml:space="preserve">. 2021      </w:t>
    </w:r>
    <w:r>
      <w:rPr>
        <w:rFonts w:ascii="Arial" w:hAnsi="Arial" w:cs="Arial"/>
        <w:i/>
        <w:sz w:val="20"/>
        <w:szCs w:val="20"/>
      </w:rPr>
      <w:t xml:space="preserve">     </w:t>
    </w:r>
    <w:r w:rsidR="006E4B00" w:rsidRPr="006E4B00">
      <w:rPr>
        <w:rFonts w:ascii="Arial" w:hAnsi="Arial" w:cs="Arial"/>
        <w:i/>
        <w:sz w:val="20"/>
        <w:szCs w:val="20"/>
      </w:rPr>
      <w:t xml:space="preserve">                                        Strana </w:t>
    </w:r>
    <w:r w:rsidR="006E4B00" w:rsidRPr="006E4B00">
      <w:rPr>
        <w:rFonts w:ascii="Arial" w:hAnsi="Arial" w:cs="Arial"/>
        <w:i/>
        <w:sz w:val="20"/>
        <w:szCs w:val="20"/>
      </w:rPr>
      <w:fldChar w:fldCharType="begin"/>
    </w:r>
    <w:r w:rsidR="006E4B00" w:rsidRPr="006E4B00">
      <w:rPr>
        <w:rFonts w:ascii="Arial" w:hAnsi="Arial" w:cs="Arial"/>
        <w:i/>
        <w:sz w:val="20"/>
        <w:szCs w:val="20"/>
      </w:rPr>
      <w:instrText xml:space="preserve"> PAGE   \* MERGEFORMAT </w:instrText>
    </w:r>
    <w:r w:rsidR="006E4B00" w:rsidRPr="006E4B00">
      <w:rPr>
        <w:rFonts w:ascii="Arial" w:hAnsi="Arial" w:cs="Arial"/>
        <w:i/>
        <w:sz w:val="20"/>
        <w:szCs w:val="20"/>
      </w:rPr>
      <w:fldChar w:fldCharType="separate"/>
    </w:r>
    <w:r w:rsidR="008429EC">
      <w:rPr>
        <w:rFonts w:ascii="Arial" w:hAnsi="Arial" w:cs="Arial"/>
        <w:i/>
        <w:noProof/>
        <w:sz w:val="20"/>
        <w:szCs w:val="20"/>
      </w:rPr>
      <w:t>20</w:t>
    </w:r>
    <w:r w:rsidR="006E4B00" w:rsidRPr="006E4B00">
      <w:rPr>
        <w:rFonts w:ascii="Arial" w:hAnsi="Arial" w:cs="Arial"/>
        <w:i/>
        <w:sz w:val="20"/>
        <w:szCs w:val="20"/>
      </w:rPr>
      <w:fldChar w:fldCharType="end"/>
    </w:r>
    <w:r w:rsidR="006E4B00" w:rsidRPr="006E4B00">
      <w:rPr>
        <w:rFonts w:ascii="Arial" w:hAnsi="Arial" w:cs="Arial"/>
        <w:i/>
        <w:sz w:val="20"/>
        <w:szCs w:val="20"/>
      </w:rPr>
      <w:t xml:space="preserve"> (celkem </w:t>
    </w:r>
    <w:r w:rsidR="0078554F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4</w:t>
    </w:r>
    <w:r w:rsidR="006E4B00" w:rsidRPr="006E4B00">
      <w:rPr>
        <w:rFonts w:ascii="Arial" w:hAnsi="Arial" w:cs="Arial"/>
        <w:i/>
        <w:sz w:val="20"/>
        <w:szCs w:val="20"/>
      </w:rPr>
      <w:t>)</w:t>
    </w:r>
  </w:p>
  <w:p w:rsidR="006E4B00" w:rsidRDefault="008429EC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6E4B00" w:rsidRPr="006E4B00">
      <w:rPr>
        <w:rFonts w:ascii="Arial" w:hAnsi="Arial" w:cs="Arial"/>
        <w:i/>
        <w:sz w:val="20"/>
        <w:szCs w:val="20"/>
      </w:rPr>
      <w:t xml:space="preserve"> – Dotační program</w:t>
    </w:r>
    <w:r w:rsidR="0078554F">
      <w:rPr>
        <w:rFonts w:ascii="Arial" w:hAnsi="Arial" w:cs="Arial"/>
        <w:i/>
        <w:sz w:val="20"/>
        <w:szCs w:val="20"/>
      </w:rPr>
      <w:t xml:space="preserve"> Podpora výstavby a oprav cyklostezek</w:t>
    </w:r>
    <w:r w:rsidR="00091FB6">
      <w:rPr>
        <w:rFonts w:ascii="Arial" w:hAnsi="Arial" w:cs="Arial"/>
        <w:i/>
        <w:sz w:val="20"/>
        <w:szCs w:val="20"/>
      </w:rPr>
      <w:t xml:space="preserve"> 2021 </w:t>
    </w:r>
    <w:r w:rsidR="006E4B00" w:rsidRPr="006E4B00">
      <w:rPr>
        <w:rFonts w:ascii="Arial" w:hAnsi="Arial" w:cs="Arial"/>
        <w:i/>
        <w:sz w:val="20"/>
        <w:szCs w:val="20"/>
      </w:rPr>
      <w:t>– dodatk</w:t>
    </w:r>
    <w:r w:rsidR="00091FB6">
      <w:rPr>
        <w:rFonts w:ascii="Arial" w:hAnsi="Arial" w:cs="Arial"/>
        <w:i/>
        <w:sz w:val="20"/>
        <w:szCs w:val="20"/>
      </w:rPr>
      <w:t>y</w:t>
    </w:r>
    <w:r w:rsidR="006E4B00" w:rsidRPr="006E4B00">
      <w:rPr>
        <w:rFonts w:ascii="Arial" w:hAnsi="Arial" w:cs="Arial"/>
        <w:i/>
        <w:sz w:val="20"/>
        <w:szCs w:val="20"/>
      </w:rPr>
      <w:t xml:space="preserve"> ke smlouv</w:t>
    </w:r>
    <w:r w:rsidR="00091FB6">
      <w:rPr>
        <w:rFonts w:ascii="Arial" w:hAnsi="Arial" w:cs="Arial"/>
        <w:i/>
        <w:sz w:val="20"/>
        <w:szCs w:val="20"/>
      </w:rPr>
      <w:t>ám</w:t>
    </w:r>
    <w:r w:rsidR="006E4B00" w:rsidRPr="006E4B00">
      <w:rPr>
        <w:rFonts w:ascii="Arial" w:hAnsi="Arial" w:cs="Arial"/>
        <w:i/>
        <w:sz w:val="20"/>
        <w:szCs w:val="20"/>
      </w:rPr>
      <w:t xml:space="preserve"> o poskytnutí dotace s</w:t>
    </w:r>
    <w:r w:rsidR="0078554F">
      <w:rPr>
        <w:rFonts w:ascii="Arial" w:hAnsi="Arial" w:cs="Arial"/>
        <w:i/>
        <w:sz w:val="20"/>
        <w:szCs w:val="20"/>
      </w:rPr>
      <w:t>e statutárním městem Olomouc a Přerov</w:t>
    </w:r>
  </w:p>
  <w:p w:rsidR="00C034F1" w:rsidRPr="006E4B00" w:rsidRDefault="00C034F1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 DZ – příloha č. </w:t>
    </w:r>
    <w:r w:rsidR="008D246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: Smlouva o poskytnutí dotace s</w:t>
    </w:r>
    <w:r w:rsidR="0078554F">
      <w:rPr>
        <w:rFonts w:ascii="Arial" w:hAnsi="Arial" w:cs="Arial"/>
        <w:i/>
        <w:sz w:val="20"/>
        <w:szCs w:val="20"/>
      </w:rPr>
      <w:t>e statutárním</w:t>
    </w:r>
    <w:r>
      <w:rPr>
        <w:rFonts w:ascii="Arial" w:hAnsi="Arial" w:cs="Arial"/>
        <w:i/>
        <w:sz w:val="20"/>
        <w:szCs w:val="20"/>
      </w:rPr>
      <w:t xml:space="preserve"> městem </w:t>
    </w:r>
    <w:r w:rsidR="008D2464">
      <w:rPr>
        <w:rFonts w:ascii="Arial" w:hAnsi="Arial" w:cs="Arial"/>
        <w:i/>
        <w:sz w:val="20"/>
        <w:szCs w:val="20"/>
      </w:rPr>
      <w:t>Přerov na akci „Propojení cyklostezky Velká Dlážka – Hranická“</w:t>
    </w:r>
  </w:p>
  <w:p w:rsidR="006E4B00" w:rsidRDefault="006E4B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EC2140" w:rsidRDefault="00291F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140" w:rsidRPr="00CA24A0" w:rsidRDefault="008429EC" w:rsidP="00442CDB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4C" w:rsidRDefault="00933F4C" w:rsidP="00291FA0">
      <w:r>
        <w:separator/>
      </w:r>
    </w:p>
  </w:footnote>
  <w:footnote w:type="continuationSeparator" w:id="0">
    <w:p w:rsidR="00933F4C" w:rsidRDefault="00933F4C" w:rsidP="0029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Default="001F027A" w:rsidP="006E4B00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8D2464">
      <w:rPr>
        <w:rFonts w:ascii="Arial" w:hAnsi="Arial" w:cs="Arial"/>
        <w:i/>
        <w:sz w:val="24"/>
        <w:szCs w:val="24"/>
      </w:rPr>
      <w:t>2</w:t>
    </w:r>
  </w:p>
  <w:p w:rsidR="006E4B00" w:rsidRPr="006E4B00" w:rsidRDefault="006E4B00" w:rsidP="006E4B0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</w:t>
    </w:r>
    <w:r w:rsidR="0078554F">
      <w:rPr>
        <w:rFonts w:ascii="Arial" w:hAnsi="Arial" w:cs="Arial"/>
        <w:i/>
        <w:sz w:val="24"/>
        <w:szCs w:val="24"/>
      </w:rPr>
      <w:t>e statutárním</w:t>
    </w:r>
    <w:r>
      <w:rPr>
        <w:rFonts w:ascii="Arial" w:hAnsi="Arial" w:cs="Arial"/>
        <w:i/>
        <w:sz w:val="24"/>
        <w:szCs w:val="24"/>
      </w:rPr>
      <w:t xml:space="preserve"> městem </w:t>
    </w:r>
    <w:r w:rsidR="008D2464">
      <w:rPr>
        <w:rFonts w:ascii="Arial" w:hAnsi="Arial" w:cs="Arial"/>
        <w:i/>
        <w:sz w:val="24"/>
        <w:szCs w:val="24"/>
      </w:rPr>
      <w:t>Přerov na akci „Propojení cyklostezky Velká Dlážka – Hranická“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C7E"/>
    <w:multiLevelType w:val="hybridMultilevel"/>
    <w:tmpl w:val="715AFD08"/>
    <w:lvl w:ilvl="0" w:tplc="6B7841D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0"/>
    <w:rsid w:val="00091FB6"/>
    <w:rsid w:val="001F027A"/>
    <w:rsid w:val="00291FA0"/>
    <w:rsid w:val="0030612D"/>
    <w:rsid w:val="00491675"/>
    <w:rsid w:val="006D7287"/>
    <w:rsid w:val="006E4B00"/>
    <w:rsid w:val="00753891"/>
    <w:rsid w:val="0078554F"/>
    <w:rsid w:val="008429EC"/>
    <w:rsid w:val="008D2464"/>
    <w:rsid w:val="00933F4C"/>
    <w:rsid w:val="009604C1"/>
    <w:rsid w:val="009A2426"/>
    <w:rsid w:val="00B16F48"/>
    <w:rsid w:val="00BB0959"/>
    <w:rsid w:val="00C034F1"/>
    <w:rsid w:val="00C567E5"/>
    <w:rsid w:val="00E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31FBD2"/>
  <w15:chartTrackingRefBased/>
  <w15:docId w15:val="{14B20D2F-A050-4638-A1FE-9284C56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FA0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F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FA0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FA0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291FA0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91FA0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2668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2021-11-16T13:52:00Z</dcterms:created>
  <dcterms:modified xsi:type="dcterms:W3CDTF">2021-11-23T08:49:00Z</dcterms:modified>
</cp:coreProperties>
</file>