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20A8722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E067A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61541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15418">
        <w:rPr>
          <w:rFonts w:ascii="Arial" w:eastAsia="Times New Roman" w:hAnsi="Arial" w:cs="Arial"/>
          <w:lang w:eastAsia="cs-CZ"/>
        </w:rPr>
        <w:t>/Vzor 9/</w:t>
      </w:r>
      <w:r w:rsidR="00E067A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(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</w:t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696803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6728FB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7DD97EE" w:rsidR="00E62519" w:rsidRPr="00E62519" w:rsidRDefault="00732FE6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3FF58D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4C0C5AC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A3B9A5B" w14:textId="5CA93B8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0B9D7F3C" w14:textId="281FE2D5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2B5D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ABD652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D125DF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00565FEF" w14:textId="07DD1839" w:rsidR="00D125DF" w:rsidRPr="00285125" w:rsidRDefault="00D125DF" w:rsidP="00D125D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……….........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</w:t>
      </w:r>
      <w:proofErr w:type="spellStart"/>
      <w:proofErr w:type="gram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;neprovádí</w:t>
      </w:r>
      <w:proofErr w:type="spellEnd"/>
      <w:proofErr w:type="gramEnd"/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</w:t>
      </w:r>
      <w:r w:rsidR="002E566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akce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obsahu sloupce</w:t>
      </w:r>
      <w:r w:rsidR="002E566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Název akce/činnosti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F94768F" w:rsidR="009A3DA5" w:rsidRDefault="00633344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3334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A3D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 xml:space="preserve"> uvedeného v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>záhlaví této smlouvy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2578E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D257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D257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43C7F08" w14:textId="2E20392B" w:rsidR="000559FC" w:rsidRDefault="000559FC" w:rsidP="000559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A16B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2578E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D257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D257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5AA5AB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7B322410" w14:textId="77777777" w:rsidR="002E5669" w:rsidRPr="002E5669" w:rsidRDefault="002E5669" w:rsidP="002E5669">
      <w:pPr>
        <w:ind w:left="567" w:firstLine="0"/>
      </w:pPr>
      <w:r w:rsidRPr="002E5669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2E5669">
        <w:rPr>
          <w:rFonts w:ascii="Arial" w:hAnsi="Arial" w:cs="Arial"/>
          <w:sz w:val="24"/>
          <w:szCs w:val="24"/>
        </w:rPr>
        <w:t>zákonem</w:t>
      </w:r>
      <w:proofErr w:type="gramEnd"/>
      <w:r w:rsidRPr="002E5669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příjmů)a prokázal tuto skutečnost v rámci podání žádosti o dotaci, bude dotace taktéž považována za investiční.</w:t>
      </w:r>
    </w:p>
    <w:p w14:paraId="0A037F09" w14:textId="77777777" w:rsidR="00C65FCD" w:rsidRDefault="00C65FCD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10FE6208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88CC416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768B33FF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1203362" w14:textId="77777777" w:rsidR="00D125DF" w:rsidRPr="002E5669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7D26035" w14:textId="6452BA83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2E566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4719A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C1500F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80F4B77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77777777" w:rsidR="002E5669" w:rsidRPr="002E5669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není oprávněn převést dotaci nebo její část na jiného nositele projektu nebo jinou osobu. Toto se netýká úhrady výdajů na akci příjemcem. Změna příjemce je možná pouze  v </w:t>
      </w:r>
      <w:proofErr w:type="spell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6E3E5C6A" w14:textId="69561E67" w:rsidR="00D125DF" w:rsidRPr="00B6510E" w:rsidRDefault="00D125DF" w:rsidP="00D125D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F26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2E5669"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0871421D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</w:t>
      </w:r>
      <w:r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úhradu </w:t>
      </w:r>
      <w:r w:rsidR="003D1870"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7C27BE3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10725393" w14:textId="4396B59F" w:rsidR="00473051" w:rsidRPr="00841ADB" w:rsidRDefault="00473051" w:rsidP="0047305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4719A8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4E4ECFB" w14:textId="4A5965F9" w:rsidR="00D125DF" w:rsidRPr="00841ADB" w:rsidRDefault="00D125DF" w:rsidP="00D125D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pro použití dotace, je nutné, 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aby tato možnost byla v souladu a současně musí lhůta pro vynaložení těchto výdajů předcházet lhůtě pro</w:t>
      </w:r>
      <w:r w:rsid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06E8CBBF" w14:textId="0EFD49C8" w:rsidR="00CA336B" w:rsidRDefault="00CA336B" w:rsidP="00CA336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B8033D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272320A5" w14:textId="77777777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A80FD2" w14:textId="77777777" w:rsidR="00473051" w:rsidRPr="009D0F79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738F68" w14:textId="78255894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5F515163" w14:textId="09DE93FB" w:rsidR="00473051" w:rsidRPr="002A2634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</w:t>
      </w:r>
      <w:proofErr w:type="gramStart"/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</w:t>
      </w:r>
      <w:proofErr w:type="gramEnd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fyzickou nebo právnickou osobou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4DAC1D2E" w14:textId="77777777" w:rsidR="00473051" w:rsidRPr="00841ADB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5EE83BDC" w:rsidR="00CB5336" w:rsidRPr="00696A9F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8CFDA78" w14:textId="09846C62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 němž příjemce podal žádost o poskytnutí této dotace, a to buď elektronicky zasláním do datové schránky </w:t>
      </w:r>
      <w:proofErr w:type="gram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EEA66FD" w14:textId="454F7495" w:rsidR="00935449" w:rsidRPr="00D05376" w:rsidRDefault="00935449" w:rsidP="0093544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2E5669">
        <w:rPr>
          <w:rFonts w:ascii="Arial" w:hAnsi="Arial" w:cs="Arial"/>
          <w:color w:val="0000FF"/>
          <w:sz w:val="24"/>
          <w:szCs w:val="24"/>
        </w:rPr>
        <w:t xml:space="preserve"> </w:t>
      </w:r>
      <w:r w:rsidR="002E5669">
        <w:rPr>
          <w:rFonts w:ascii="Arial" w:hAnsi="Arial" w:cs="Arial"/>
          <w:color w:val="0000FF"/>
          <w:sz w:val="24"/>
          <w:szCs w:val="24"/>
        </w:rPr>
        <w:t>příjmy z pronájmu prostor na akci</w:t>
      </w:r>
      <w:r w:rsidR="002E5669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61848BD5" w:rsidR="00A9730D" w:rsidRPr="00320F5A" w:rsidRDefault="00935449" w:rsidP="00935449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391D7C00" w14:textId="5BD4E9F8" w:rsidR="00935449" w:rsidRPr="00822CBA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je zveřejněn v systému RAP</w:t>
      </w:r>
      <w:r w:rsidR="002E566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32F494B" w14:textId="7B129E88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8A229DC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17F1B7C2" w14:textId="2FD7705E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2E5669" w:rsidRPr="002E566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33FCB940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</w:t>
      </w:r>
      <w:r w:rsid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0" w:name="_Hlk62669607"/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bookmarkEnd w:id="0"/>
      <w:r w:rsidR="00B649D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8B0C2AB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014FA9AB" w14:textId="0DD27682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předloží vyúčtování a/nebo závěrečnou zprávu ve </w:t>
      </w:r>
      <w:proofErr w:type="gram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01EA269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4C9546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C4CAFE7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D80690E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C072831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6C9EB73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0C2BB1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B649D6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D73B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35449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9A69AFB" w14:textId="77777777" w:rsidR="00935449" w:rsidRPr="002E5669" w:rsidRDefault="00935449" w:rsidP="00935449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poskytnuté dotace, údaje uvedené v žádosti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23F4351D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nebo čl. 1 odst. 13 Zásad</w:t>
      </w:r>
      <w:r w:rsid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="002E5669" w:rsidRPr="002E566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1545C69D" w:rsidR="004514E3" w:rsidRPr="00CC0204" w:rsidRDefault="00D73BE2" w:rsidP="00AF207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53DA542" w:rsidR="00170EC7" w:rsidRPr="00170EC7" w:rsidRDefault="004C4536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27973FF" w:rsidR="00170EC7" w:rsidRPr="00AA5967" w:rsidRDefault="004C4536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8DDE1B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C453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32460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DC80AC7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4F9B318A" w14:textId="4F34DC1D" w:rsidR="00F9155D" w:rsidRPr="007A2FA4" w:rsidRDefault="00F9155D" w:rsidP="007A2FA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</w:t>
      </w:r>
      <w:r w:rsid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 zřizovatele s přijetím dotace.</w:t>
      </w:r>
      <w:r w:rsidR="007A2FA4" w:rsidRP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bude smlouva uzavírána elektronicky, bude toto ustanovení znít: </w:t>
      </w:r>
      <w:r w:rsidR="007A2FA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</w:p>
    <w:p w14:paraId="3C925923" w14:textId="64588C7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7A2FA4" w:rsidRP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354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</w:t>
      </w:r>
      <w:r w:rsidR="0093544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elektronicky (viz čl. 3 část A </w:t>
      </w:r>
      <w:proofErr w:type="gramStart"/>
      <w:r w:rsidR="0093544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4  písm.</w:t>
      </w:r>
      <w:proofErr w:type="gramEnd"/>
      <w:r w:rsidR="0093544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b) Zásad). V tomto případě bude ze smlouvy vypuštěna i následující podpisová část, místo které bude uveden text </w:t>
      </w:r>
      <w:r w:rsidR="00935449"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3C925924" w14:textId="03F3BF07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5512083E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D2578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D2578E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5AF0D137" w14:textId="300A9F6C" w:rsidR="00935449" w:rsidRPr="006A566F" w:rsidRDefault="00935449" w:rsidP="00935449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1647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2E5669"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2928D93C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1FD800E3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369ED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154E938" w14:textId="130D3575" w:rsidR="007369ED" w:rsidRPr="00320F5A" w:rsidRDefault="00FE3DFD" w:rsidP="002E566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935449" w:rsidRPr="00803A2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3544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to buď elektronicky zasláním do datové schránky </w:t>
      </w:r>
      <w:proofErr w:type="gramStart"/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935449"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BB3F1ED" w:rsidR="00FE3DFD" w:rsidRPr="00320F5A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0F5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EF840ED" w14:textId="6B6F52A5" w:rsidR="00935449" w:rsidRPr="00D571FB" w:rsidRDefault="00935449" w:rsidP="00935449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2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2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70DE8090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3544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93544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935449"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3" w:name="_Hlk62670912"/>
      <w:r w:rsidR="0093544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</w:t>
      </w:r>
      <w:r w:rsidR="009354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3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0DD6BE25" w14:textId="15B5D936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15192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5F5CF718" w14:textId="243618A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poskytovateli...</w:t>
      </w:r>
      <w:bookmarkStart w:id="4" w:name="_GoBack"/>
      <w:bookmarkEnd w:id="4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5" w:name="_Hlk62675352"/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bookmarkEnd w:id="5"/>
      <w:r w:rsidR="007369E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A7DE06A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F392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4E1425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BCB7" w14:textId="77777777" w:rsidR="0077268D" w:rsidRDefault="0077268D" w:rsidP="00D40C40">
      <w:r>
        <w:separator/>
      </w:r>
    </w:p>
  </w:endnote>
  <w:endnote w:type="continuationSeparator" w:id="0">
    <w:p w14:paraId="375BFE09" w14:textId="77777777" w:rsidR="0077268D" w:rsidRDefault="007726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1987" w14:textId="61E1195F" w:rsidR="0022208E" w:rsidRDefault="008C5DAF" w:rsidP="0022208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8C5DAF">
      <w:rPr>
        <w:rFonts w:ascii="Arial" w:hAnsi="Arial" w:cs="Arial"/>
        <w:i/>
        <w:sz w:val="20"/>
        <w:szCs w:val="20"/>
      </w:rPr>
      <w:t>Zastupitelstvo Olomouckého kraje 13. 12. 2021</w:t>
    </w:r>
    <w:r w:rsidR="0022208E" w:rsidRPr="003D5F9A">
      <w:rPr>
        <w:rFonts w:ascii="Arial" w:hAnsi="Arial" w:cs="Arial"/>
        <w:i/>
        <w:sz w:val="20"/>
        <w:szCs w:val="20"/>
      </w:rPr>
      <w:tab/>
    </w:r>
    <w:r w:rsidR="0022208E">
      <w:rPr>
        <w:rFonts w:ascii="Arial" w:hAnsi="Arial" w:cs="Arial"/>
        <w:i/>
        <w:sz w:val="20"/>
        <w:szCs w:val="20"/>
      </w:rPr>
      <w:tab/>
      <w:t xml:space="preserve">Strana </w:t>
    </w:r>
    <w:r w:rsidR="0022208E" w:rsidRPr="005F35C5">
      <w:rPr>
        <w:rFonts w:ascii="Arial" w:hAnsi="Arial" w:cs="Arial"/>
        <w:i/>
        <w:sz w:val="20"/>
        <w:szCs w:val="20"/>
      </w:rPr>
      <w:fldChar w:fldCharType="begin"/>
    </w:r>
    <w:r w:rsidR="0022208E" w:rsidRPr="005F35C5">
      <w:rPr>
        <w:rFonts w:ascii="Arial" w:hAnsi="Arial" w:cs="Arial"/>
        <w:i/>
        <w:sz w:val="20"/>
        <w:szCs w:val="20"/>
      </w:rPr>
      <w:instrText>PAGE   \* MERGEFORMAT</w:instrText>
    </w:r>
    <w:r w:rsidR="0022208E" w:rsidRPr="005F35C5">
      <w:rPr>
        <w:rFonts w:ascii="Arial" w:hAnsi="Arial" w:cs="Arial"/>
        <w:i/>
        <w:sz w:val="20"/>
        <w:szCs w:val="20"/>
      </w:rPr>
      <w:fldChar w:fldCharType="separate"/>
    </w:r>
    <w:r w:rsidR="00151926">
      <w:rPr>
        <w:rFonts w:ascii="Arial" w:hAnsi="Arial" w:cs="Arial"/>
        <w:i/>
        <w:noProof/>
        <w:sz w:val="20"/>
        <w:szCs w:val="20"/>
      </w:rPr>
      <w:t>122</w:t>
    </w:r>
    <w:r w:rsidR="0022208E" w:rsidRPr="005F35C5">
      <w:rPr>
        <w:rFonts w:ascii="Arial" w:hAnsi="Arial" w:cs="Arial"/>
        <w:i/>
        <w:sz w:val="20"/>
        <w:szCs w:val="20"/>
      </w:rPr>
      <w:fldChar w:fldCharType="end"/>
    </w:r>
    <w:r w:rsidR="00AB2154">
      <w:rPr>
        <w:rFonts w:ascii="Arial" w:hAnsi="Arial" w:cs="Arial"/>
        <w:i/>
        <w:sz w:val="20"/>
        <w:szCs w:val="20"/>
      </w:rPr>
      <w:t xml:space="preserve"> (celkem 171</w:t>
    </w:r>
    <w:r w:rsidR="003019ED">
      <w:rPr>
        <w:rFonts w:ascii="Arial" w:hAnsi="Arial" w:cs="Arial"/>
        <w:i/>
        <w:sz w:val="20"/>
        <w:szCs w:val="20"/>
      </w:rPr>
      <w:t>)</w:t>
    </w:r>
  </w:p>
  <w:p w14:paraId="635242AE" w14:textId="16A201B6" w:rsidR="0022208E" w:rsidRPr="00B378BC" w:rsidRDefault="00E4646C" w:rsidP="0022208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83DFA" w:rsidRPr="009374FD">
      <w:rPr>
        <w:rFonts w:ascii="Arial" w:hAnsi="Arial" w:cs="Arial"/>
        <w:i/>
        <w:sz w:val="20"/>
        <w:szCs w:val="20"/>
      </w:rPr>
      <w:t>. – Poskytování finanční podpory z rozpočtu Olomouck</w:t>
    </w:r>
    <w:r w:rsidR="00283DFA" w:rsidRPr="009374FD">
      <w:rPr>
        <w:rFonts w:ascii="Arial" w:hAnsi="Arial" w:cs="Arial"/>
        <w:i/>
        <w:sz w:val="20"/>
      </w:rPr>
      <w:t>ého kraje – doplňující dokumenty</w:t>
    </w:r>
    <w:r w:rsidR="0022208E" w:rsidRPr="003D5F9A">
      <w:rPr>
        <w:rFonts w:ascii="Arial" w:hAnsi="Arial" w:cs="Arial"/>
        <w:i/>
        <w:sz w:val="20"/>
        <w:szCs w:val="20"/>
      </w:rPr>
      <w:tab/>
    </w:r>
    <w:r w:rsidR="0022208E">
      <w:rPr>
        <w:rFonts w:ascii="Arial" w:hAnsi="Arial" w:cs="Arial"/>
        <w:i/>
        <w:sz w:val="20"/>
        <w:szCs w:val="20"/>
      </w:rPr>
      <w:t xml:space="preserve"> </w:t>
    </w:r>
  </w:p>
  <w:p w14:paraId="37BA5330" w14:textId="3F02E33C" w:rsidR="00D20B9A" w:rsidRPr="00BD19E1" w:rsidRDefault="0022208E" w:rsidP="0022208E">
    <w:r w:rsidRPr="008469AD">
      <w:rPr>
        <w:rFonts w:ascii="Arial" w:hAnsi="Arial" w:cs="Arial"/>
        <w:bCs/>
        <w:i/>
        <w:sz w:val="20"/>
        <w:szCs w:val="20"/>
      </w:rPr>
      <w:t>Příloha</w:t>
    </w:r>
    <w:r>
      <w:rPr>
        <w:rFonts w:ascii="Arial" w:hAnsi="Arial" w:cs="Arial"/>
        <w:bCs/>
        <w:i/>
        <w:sz w:val="20"/>
        <w:szCs w:val="20"/>
      </w:rPr>
      <w:t xml:space="preserve"> č. 10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22208E">
      <w:rPr>
        <w:rFonts w:ascii="Arial" w:hAnsi="Arial" w:cs="Arial"/>
        <w:bCs/>
        <w:i/>
        <w:sz w:val="20"/>
        <w:szCs w:val="20"/>
      </w:rPr>
      <w:t>Vzorová veřejnoprávní smlouva o poskytnutí individuální dotace na akci příspěvkovým organizacím (jiných zřizovatelů)</w:t>
    </w:r>
    <w:r>
      <w:rPr>
        <w:rFonts w:ascii="Arial" w:hAnsi="Arial" w:cs="Arial"/>
        <w:bCs/>
        <w:sz w:val="24"/>
        <w:szCs w:val="24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CA79" w14:textId="77777777" w:rsidR="0077268D" w:rsidRDefault="0077268D" w:rsidP="00D40C40">
      <w:r>
        <w:separator/>
      </w:r>
    </w:p>
  </w:footnote>
  <w:footnote w:type="continuationSeparator" w:id="0">
    <w:p w14:paraId="19367975" w14:textId="77777777" w:rsidR="0077268D" w:rsidRDefault="0077268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32767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268D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559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07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66EB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F1B4-3AC1-4B6D-ABA5-AD30F5E6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5020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Balabuchová Jana</cp:lastModifiedBy>
  <cp:revision>37</cp:revision>
  <cp:lastPrinted>2021-01-28T09:49:00Z</cp:lastPrinted>
  <dcterms:created xsi:type="dcterms:W3CDTF">2019-09-02T13:25:00Z</dcterms:created>
  <dcterms:modified xsi:type="dcterms:W3CDTF">2021-11-24T13:38:00Z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