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4164F6" w:rsidRDefault="00904B6B" w:rsidP="00951C64">
      <w:pPr>
        <w:spacing w:line="264" w:lineRule="auto"/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:rsidR="00226BF6" w:rsidRDefault="00AB5609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 w:rsidRPr="003A5648">
        <w:rPr>
          <w:b/>
          <w:szCs w:val="24"/>
        </w:rPr>
        <w:t>V této důvodové zprávě předkládá Rada Olomouckého kraje Zastupitelstvu Olomouckého kraje k projednání návrh na</w:t>
      </w:r>
      <w:r w:rsidR="00226BF6">
        <w:rPr>
          <w:rFonts w:eastAsia="Calibri"/>
          <w:b/>
          <w:bCs/>
        </w:rPr>
        <w:t xml:space="preserve"> </w:t>
      </w:r>
      <w:r w:rsidR="00226BF6" w:rsidRPr="001731BB">
        <w:rPr>
          <w:rFonts w:eastAsia="Calibri"/>
          <w:b/>
          <w:bCs/>
        </w:rPr>
        <w:t xml:space="preserve">rozdělení </w:t>
      </w:r>
      <w:r w:rsidR="00126653">
        <w:rPr>
          <w:rFonts w:eastAsia="Calibri"/>
          <w:b/>
          <w:bCs/>
        </w:rPr>
        <w:t xml:space="preserve">vrácených finančních prostředků z </w:t>
      </w:r>
      <w:r w:rsidR="00226BF6" w:rsidRPr="001731BB">
        <w:rPr>
          <w:rFonts w:eastAsia="Calibri"/>
          <w:b/>
          <w:bCs/>
        </w:rPr>
        <w:t xml:space="preserve">účelové dotace </w:t>
      </w:r>
      <w:r w:rsidR="00226BF6">
        <w:rPr>
          <w:rFonts w:eastAsia="Calibri"/>
          <w:b/>
          <w:bCs/>
        </w:rPr>
        <w:t xml:space="preserve">ze státního rozpočtu </w:t>
      </w:r>
      <w:r w:rsidR="00226BF6" w:rsidRPr="001731BB">
        <w:rPr>
          <w:rFonts w:eastAsia="Calibri"/>
          <w:b/>
          <w:bCs/>
        </w:rPr>
        <w:t xml:space="preserve">určené na financování běžných výdajů souvisejících s poskytováním základních druhů a forem sociálních služeb v roce </w:t>
      </w:r>
      <w:r w:rsidR="007C4D51">
        <w:rPr>
          <w:rFonts w:eastAsia="Calibri"/>
          <w:b/>
          <w:bCs/>
        </w:rPr>
        <w:t>2022</w:t>
      </w:r>
      <w:r w:rsidR="00917E83">
        <w:rPr>
          <w:rFonts w:eastAsia="Calibri"/>
          <w:b/>
          <w:bCs/>
        </w:rPr>
        <w:t xml:space="preserve"> </w:t>
      </w:r>
      <w:r w:rsidR="00226BF6" w:rsidRPr="00226BF6">
        <w:rPr>
          <w:rFonts w:eastAsia="Calibri"/>
          <w:b/>
          <w:bCs/>
        </w:rPr>
        <w:t>(dále jen „dotace</w:t>
      </w:r>
      <w:r w:rsidR="002B4B98">
        <w:rPr>
          <w:rFonts w:eastAsia="Calibri"/>
          <w:b/>
          <w:bCs/>
        </w:rPr>
        <w:t xml:space="preserve"> MPSV</w:t>
      </w:r>
      <w:r w:rsidR="00226BF6" w:rsidRPr="00226BF6">
        <w:rPr>
          <w:rFonts w:eastAsia="Calibri"/>
          <w:b/>
          <w:bCs/>
        </w:rPr>
        <w:t>“)</w:t>
      </w:r>
      <w:r w:rsidR="00226BF6">
        <w:rPr>
          <w:rFonts w:eastAsia="Calibri"/>
          <w:b/>
          <w:bCs/>
        </w:rPr>
        <w:t xml:space="preserve">, </w:t>
      </w:r>
      <w:r w:rsidR="00126653">
        <w:rPr>
          <w:rFonts w:eastAsia="Calibri"/>
          <w:b/>
          <w:bCs/>
        </w:rPr>
        <w:t xml:space="preserve">administrované v rámci </w:t>
      </w:r>
      <w:r w:rsidR="00226BF6" w:rsidRPr="001731BB">
        <w:rPr>
          <w:rFonts w:eastAsia="Calibri"/>
          <w:b/>
          <w:bCs/>
        </w:rPr>
        <w:t>Programu finanční podpory poskytování sociálních služeb v Olomouckém kraji</w:t>
      </w:r>
      <w:r w:rsidR="00986327">
        <w:rPr>
          <w:rFonts w:eastAsia="Calibri"/>
          <w:b/>
          <w:bCs/>
        </w:rPr>
        <w:t xml:space="preserve"> (dále jen „Program“)</w:t>
      </w:r>
      <w:r w:rsidR="00226BF6" w:rsidRPr="001731BB">
        <w:rPr>
          <w:rFonts w:eastAsia="Calibri"/>
          <w:b/>
          <w:bCs/>
        </w:rPr>
        <w:t xml:space="preserve">, Podprogramu </w:t>
      </w:r>
      <w:r w:rsidR="00226BF6">
        <w:rPr>
          <w:rFonts w:eastAsia="Calibri"/>
          <w:b/>
          <w:bCs/>
        </w:rPr>
        <w:t>č. 1.</w:t>
      </w:r>
    </w:p>
    <w:p w:rsidR="00126653" w:rsidRDefault="009F14AA" w:rsidP="00951C64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V</w:t>
      </w:r>
      <w:r w:rsidR="00126653">
        <w:rPr>
          <w:rFonts w:eastAsia="Calibri"/>
          <w:b/>
          <w:bCs/>
        </w:rPr>
        <w:t>rácené finanční prostředky zahrnují</w:t>
      </w:r>
    </w:p>
    <w:p w:rsidR="00126653" w:rsidRPr="00126653" w:rsidRDefault="00126653" w:rsidP="00126653">
      <w:pPr>
        <w:pStyle w:val="Odstavecseseznamem"/>
        <w:numPr>
          <w:ilvl w:val="0"/>
          <w:numId w:val="19"/>
        </w:numPr>
        <w:tabs>
          <w:tab w:val="left" w:pos="425"/>
          <w:tab w:val="left" w:leader="dot" w:pos="8931"/>
        </w:tabs>
        <w:spacing w:line="264" w:lineRule="auto"/>
        <w:ind w:left="714" w:hanging="357"/>
        <w:contextualSpacing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Finanční prostředky </w:t>
      </w:r>
      <w:r w:rsidR="003A5C57">
        <w:rPr>
          <w:rFonts w:eastAsia="Calibri"/>
          <w:b/>
          <w:bCs/>
        </w:rPr>
        <w:t>dotace MPSV</w:t>
      </w:r>
      <w:r>
        <w:rPr>
          <w:rFonts w:eastAsia="Calibri"/>
          <w:b/>
          <w:bCs/>
        </w:rPr>
        <w:t xml:space="preserve">, které byly nahrazeny dotací Ministerstva zdravotnictví </w:t>
      </w:r>
      <w:r w:rsidR="00E90273">
        <w:rPr>
          <w:rFonts w:eastAsia="Calibri"/>
          <w:b/>
          <w:bCs/>
        </w:rPr>
        <w:t xml:space="preserve">poskytnuté </w:t>
      </w:r>
      <w:r>
        <w:rPr>
          <w:rFonts w:eastAsia="Calibri"/>
          <w:b/>
          <w:bCs/>
        </w:rPr>
        <w:t xml:space="preserve">Olomouckému kraji určené na </w:t>
      </w:r>
      <w:r w:rsidRPr="00B05D95">
        <w:rPr>
          <w:rFonts w:eastAsia="Calibri"/>
          <w:b/>
        </w:rPr>
        <w:t>financování sociální části center duševního zdraví a multidisciplinárních týmů pro cílové skupiny dětí, lidí s demencí, lidí s problematikou závislosti a lidí s nařízeným ochranným léčením pro rok 2022</w:t>
      </w:r>
      <w:r>
        <w:rPr>
          <w:rFonts w:eastAsia="Calibri"/>
          <w:b/>
        </w:rPr>
        <w:t xml:space="preserve"> (dále také „dotace MZ“) </w:t>
      </w:r>
      <w:r w:rsidR="003A5C57">
        <w:rPr>
          <w:rFonts w:eastAsia="Calibri"/>
          <w:b/>
        </w:rPr>
        <w:t xml:space="preserve">o jejichž podmíněném přiznání v rámci Podprogramu č. 4 již bylo ZOK rozhodnuto dne </w:t>
      </w:r>
      <w:proofErr w:type="gramStart"/>
      <w:r w:rsidR="003A5C57">
        <w:rPr>
          <w:rFonts w:eastAsia="Calibri"/>
          <w:b/>
        </w:rPr>
        <w:t>27.06.2022</w:t>
      </w:r>
      <w:proofErr w:type="gramEnd"/>
      <w:r w:rsidR="003A5C57">
        <w:rPr>
          <w:rFonts w:eastAsia="Calibri"/>
          <w:b/>
        </w:rPr>
        <w:t xml:space="preserve"> usnesením č. </w:t>
      </w:r>
      <w:r w:rsidR="003A5C57" w:rsidRPr="00712E09">
        <w:rPr>
          <w:rFonts w:eastAsia="Calibri"/>
          <w:b/>
        </w:rPr>
        <w:t>UZ/10/50/2022</w:t>
      </w:r>
      <w:r w:rsidR="003A5C57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a </w:t>
      </w:r>
    </w:p>
    <w:p w:rsidR="00126653" w:rsidRDefault="009F14AA" w:rsidP="00126653">
      <w:pPr>
        <w:pStyle w:val="Odstavecseseznamem"/>
        <w:numPr>
          <w:ilvl w:val="0"/>
          <w:numId w:val="19"/>
        </w:numPr>
        <w:tabs>
          <w:tab w:val="left" w:pos="425"/>
          <w:tab w:val="left" w:leader="dot" w:pos="8931"/>
        </w:tabs>
        <w:spacing w:line="264" w:lineRule="auto"/>
        <w:ind w:left="714" w:hanging="357"/>
        <w:contextualSpacing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nevyužité </w:t>
      </w:r>
      <w:r w:rsidR="00126653">
        <w:rPr>
          <w:rFonts w:eastAsia="Calibri"/>
          <w:b/>
          <w:bCs/>
        </w:rPr>
        <w:t xml:space="preserve">finanční prostředky </w:t>
      </w:r>
      <w:r w:rsidR="003A5C57">
        <w:rPr>
          <w:rFonts w:eastAsia="Calibri"/>
          <w:b/>
          <w:bCs/>
        </w:rPr>
        <w:t>z dotace MPSV</w:t>
      </w:r>
      <w:r w:rsidR="00986327">
        <w:rPr>
          <w:rFonts w:eastAsia="Calibri"/>
          <w:b/>
          <w:bCs/>
        </w:rPr>
        <w:t>, vrácené poskytovateli sociálních služeb na účet Olomouckého kraje.</w:t>
      </w:r>
    </w:p>
    <w:p w:rsidR="003A5C57" w:rsidRDefault="003A5C57" w:rsidP="003A5C57">
      <w:pPr>
        <w:tabs>
          <w:tab w:val="left" w:pos="425"/>
          <w:tab w:val="left" w:leader="dot" w:pos="8931"/>
        </w:tabs>
        <w:spacing w:line="264" w:lineRule="auto"/>
        <w:rPr>
          <w:rFonts w:eastAsia="Calibri"/>
          <w:b/>
        </w:rPr>
      </w:pPr>
      <w:r>
        <w:rPr>
          <w:rFonts w:eastAsia="Calibri"/>
          <w:b/>
        </w:rPr>
        <w:t>Rámcové informace k dotaci MZ a k</w:t>
      </w:r>
      <w:r w:rsidR="009F14AA">
        <w:rPr>
          <w:rFonts w:eastAsia="Calibri"/>
          <w:b/>
        </w:rPr>
        <w:t xml:space="preserve"> nevyužitým </w:t>
      </w:r>
      <w:r>
        <w:rPr>
          <w:rFonts w:eastAsia="Calibri"/>
          <w:b/>
        </w:rPr>
        <w:t xml:space="preserve">finančním prostředkům z dotace </w:t>
      </w:r>
      <w:r w:rsidR="00546E09">
        <w:rPr>
          <w:rFonts w:eastAsia="Calibri"/>
          <w:b/>
        </w:rPr>
        <w:t>MPSV</w:t>
      </w:r>
      <w:r>
        <w:rPr>
          <w:rFonts w:eastAsia="Calibri"/>
          <w:b/>
        </w:rPr>
        <w:t xml:space="preserve"> jsou podrobněji rozpracovány níže.</w:t>
      </w:r>
    </w:p>
    <w:p w:rsidR="00E07396" w:rsidRPr="00536052" w:rsidRDefault="00E07396" w:rsidP="007F5D95">
      <w:pPr>
        <w:pStyle w:val="DZnadpis"/>
      </w:pPr>
      <w:r w:rsidRPr="00454182">
        <w:t>Rámcové informace k</w:t>
      </w:r>
      <w:r>
        <w:t> </w:t>
      </w:r>
      <w:r w:rsidRPr="00454182">
        <w:t>dotaci</w:t>
      </w:r>
      <w:r>
        <w:t xml:space="preserve"> </w:t>
      </w:r>
      <w:r w:rsidR="00FA2362">
        <w:t xml:space="preserve">MZ </w:t>
      </w:r>
    </w:p>
    <w:p w:rsidR="00E07396" w:rsidRPr="00EF4E4D" w:rsidRDefault="00FA2362" w:rsidP="00E07396">
      <w:pPr>
        <w:spacing w:line="264" w:lineRule="auto"/>
        <w:rPr>
          <w:rFonts w:eastAsia="Calibri"/>
        </w:rPr>
      </w:pPr>
      <w:r>
        <w:rPr>
          <w:rFonts w:eastAsia="Calibri"/>
        </w:rPr>
        <w:t xml:space="preserve">MZ </w:t>
      </w:r>
      <w:r w:rsidRPr="00EF4E4D">
        <w:rPr>
          <w:rFonts w:eastAsia="Calibri"/>
        </w:rPr>
        <w:t xml:space="preserve">zveřejnilo </w:t>
      </w:r>
      <w:r w:rsidR="00E07396" w:rsidRPr="00EF4E4D">
        <w:rPr>
          <w:rFonts w:eastAsia="Calibri"/>
        </w:rPr>
        <w:t xml:space="preserve">dne </w:t>
      </w:r>
      <w:proofErr w:type="gramStart"/>
      <w:r w:rsidR="00E07396" w:rsidRPr="00EF4E4D">
        <w:rPr>
          <w:rFonts w:eastAsia="Calibri"/>
        </w:rPr>
        <w:t>23.10.2021</w:t>
      </w:r>
      <w:proofErr w:type="gramEnd"/>
      <w:r w:rsidR="00E07396" w:rsidRPr="00EF4E4D">
        <w:rPr>
          <w:rFonts w:eastAsia="Calibri"/>
        </w:rPr>
        <w:t xml:space="preserve"> výzvu k podání žádostí na financování sociální části CDZ a MDT a Metodiku pro financování sociální části CDZ a MDT. Výzva byla určená pro kraje, které v jejím rámci mohly získat finanční prostředky na finanční zajištění sociálních služeb poskytovaných Centry duševního zdraví; dotační řízení se týkalo dvou konkrétních sociálních služeb, které jediné spadaly do definice oprávněných žadatelů. </w:t>
      </w:r>
    </w:p>
    <w:p w:rsidR="00E07396" w:rsidRDefault="00E07396" w:rsidP="00E07396">
      <w:pPr>
        <w:spacing w:line="264" w:lineRule="auto"/>
        <w:rPr>
          <w:rFonts w:eastAsia="Calibri"/>
        </w:rPr>
      </w:pPr>
      <w:r w:rsidRPr="00B05D95">
        <w:rPr>
          <w:rFonts w:eastAsia="Calibri"/>
        </w:rPr>
        <w:t>Jsou poskytovány organizacemi:</w:t>
      </w:r>
    </w:p>
    <w:p w:rsidR="00E07396" w:rsidRPr="00B05D95" w:rsidRDefault="00E07396" w:rsidP="00E07396">
      <w:pPr>
        <w:numPr>
          <w:ilvl w:val="0"/>
          <w:numId w:val="13"/>
        </w:numPr>
        <w:spacing w:line="264" w:lineRule="auto"/>
        <w:ind w:left="714" w:hanging="357"/>
        <w:rPr>
          <w:rFonts w:eastAsia="Calibri"/>
        </w:rPr>
      </w:pPr>
      <w:r w:rsidRPr="00B05D95">
        <w:rPr>
          <w:rFonts w:eastAsia="Calibri"/>
        </w:rPr>
        <w:t>Duševní zdraví, o. p. s., IČO 27836886</w:t>
      </w:r>
    </w:p>
    <w:p w:rsidR="00E07396" w:rsidRDefault="00E07396" w:rsidP="00E07396">
      <w:pPr>
        <w:numPr>
          <w:ilvl w:val="0"/>
          <w:numId w:val="13"/>
        </w:numPr>
        <w:spacing w:line="264" w:lineRule="auto"/>
        <w:ind w:left="714" w:hanging="357"/>
        <w:rPr>
          <w:rFonts w:eastAsia="Calibri"/>
        </w:rPr>
      </w:pPr>
      <w:r w:rsidRPr="00B05D95">
        <w:rPr>
          <w:rFonts w:eastAsia="Calibri"/>
        </w:rPr>
        <w:t>Společnost Mana, o. p. s, IČO 26660571</w:t>
      </w:r>
    </w:p>
    <w:p w:rsidR="00E07396" w:rsidRPr="00B26900" w:rsidRDefault="00E07396" w:rsidP="008846BA">
      <w:pPr>
        <w:spacing w:line="264" w:lineRule="auto"/>
        <w:rPr>
          <w:rFonts w:eastAsia="Calibri"/>
        </w:rPr>
      </w:pPr>
      <w:r w:rsidRPr="00B05D95">
        <w:rPr>
          <w:rFonts w:eastAsia="Calibri"/>
        </w:rPr>
        <w:t xml:space="preserve">Kraj </w:t>
      </w:r>
      <w:r w:rsidRPr="00B26900">
        <w:rPr>
          <w:rFonts w:eastAsia="Calibri"/>
        </w:rPr>
        <w:t xml:space="preserve">vyhlásil dotační řízení pro poskytovatele sociálních služeb; lhůta pro podávání žádostí byla stanovena od </w:t>
      </w:r>
      <w:proofErr w:type="gramStart"/>
      <w:r w:rsidRPr="00B26900">
        <w:rPr>
          <w:rFonts w:eastAsia="Calibri"/>
        </w:rPr>
        <w:t>27.12.2021</w:t>
      </w:r>
      <w:proofErr w:type="gramEnd"/>
      <w:r w:rsidRPr="00B26900">
        <w:rPr>
          <w:rFonts w:eastAsia="Calibri"/>
        </w:rPr>
        <w:t xml:space="preserve"> do 06.01.2022 do 12:00 hod. Ve stanovené lhůtě byly podány dvě žádosti o dotaci oprávněných žadatelů v celkové výši </w:t>
      </w:r>
      <w:r w:rsidRPr="008846BA">
        <w:rPr>
          <w:rFonts w:eastAsia="Calibri"/>
          <w:b/>
        </w:rPr>
        <w:t>9 460 000 Kč.</w:t>
      </w:r>
      <w:r w:rsidRPr="00B26900">
        <w:rPr>
          <w:rFonts w:eastAsia="Calibri"/>
        </w:rPr>
        <w:t xml:space="preserve"> Požadavky na dotaci oprávněných žadatelů jsou uvedeny v tabulce </w:t>
      </w:r>
      <w:r w:rsidR="00E95D58">
        <w:rPr>
          <w:rFonts w:eastAsia="Calibri"/>
        </w:rPr>
        <w:t xml:space="preserve">č. </w:t>
      </w:r>
      <w:r w:rsidR="00443919">
        <w:rPr>
          <w:rFonts w:eastAsia="Calibri"/>
        </w:rPr>
        <w:t>1</w:t>
      </w:r>
      <w:r>
        <w:rPr>
          <w:rFonts w:eastAsia="Calibri"/>
        </w:rPr>
        <w:t>.</w:t>
      </w:r>
    </w:p>
    <w:p w:rsidR="00443919" w:rsidRPr="00443919" w:rsidRDefault="00443919" w:rsidP="004A03D4">
      <w:pPr>
        <w:pStyle w:val="titulek0"/>
      </w:pPr>
      <w:r w:rsidRPr="00443919">
        <w:t xml:space="preserve">Tabulka </w:t>
      </w:r>
      <w:r w:rsidR="00E95D58">
        <w:t xml:space="preserve">č. 1 </w:t>
      </w:r>
      <w:r w:rsidR="00284E94">
        <w:t>- Požadavky v rámci Podprogramu č. 4 (v Kč)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171"/>
        <w:gridCol w:w="1721"/>
        <w:gridCol w:w="2072"/>
        <w:gridCol w:w="941"/>
        <w:gridCol w:w="882"/>
        <w:gridCol w:w="1071"/>
        <w:gridCol w:w="1341"/>
      </w:tblGrid>
      <w:tr w:rsidR="00E07396" w:rsidRPr="00AD2005" w:rsidTr="004F4B2B">
        <w:trPr>
          <w:trHeight w:val="454"/>
          <w:jc w:val="right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§</w:t>
            </w:r>
          </w:p>
        </w:tc>
        <w:tc>
          <w:tcPr>
            <w:tcW w:w="601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Identifikátor služby</w:t>
            </w:r>
          </w:p>
        </w:tc>
        <w:tc>
          <w:tcPr>
            <w:tcW w:w="8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Druh</w:t>
            </w:r>
          </w:p>
        </w:tc>
        <w:tc>
          <w:tcPr>
            <w:tcW w:w="106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1147BB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Poskytovatel</w:t>
            </w:r>
            <w:r w:rsidR="001147BB">
              <w:rPr>
                <w:b/>
                <w:sz w:val="18"/>
              </w:rPr>
              <w:t xml:space="preserve"> (žadatel)</w:t>
            </w:r>
          </w:p>
        </w:tc>
        <w:tc>
          <w:tcPr>
            <w:tcW w:w="483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sz w:val="18"/>
              </w:rPr>
            </w:pPr>
            <w:r w:rsidRPr="00ED4EA5">
              <w:rPr>
                <w:b/>
                <w:sz w:val="18"/>
              </w:rPr>
              <w:t>IČO</w:t>
            </w:r>
          </w:p>
        </w:tc>
        <w:tc>
          <w:tcPr>
            <w:tcW w:w="452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bCs/>
                <w:sz w:val="18"/>
              </w:rPr>
            </w:pPr>
            <w:r w:rsidRPr="00ED4EA5">
              <w:rPr>
                <w:b/>
                <w:bCs/>
                <w:sz w:val="18"/>
              </w:rPr>
              <w:t xml:space="preserve">Počet jednotek </w:t>
            </w:r>
          </w:p>
        </w:tc>
        <w:tc>
          <w:tcPr>
            <w:tcW w:w="550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Požadavek kraje</w:t>
            </w:r>
          </w:p>
        </w:tc>
        <w:tc>
          <w:tcPr>
            <w:tcW w:w="688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ED4EA5" w:rsidRDefault="00E07396" w:rsidP="00BA2F23">
            <w:pPr>
              <w:spacing w:before="0"/>
              <w:jc w:val="center"/>
              <w:rPr>
                <w:b/>
                <w:bCs/>
                <w:sz w:val="18"/>
              </w:rPr>
            </w:pPr>
            <w:r w:rsidRPr="00ED4EA5">
              <w:rPr>
                <w:b/>
                <w:bCs/>
                <w:sz w:val="18"/>
              </w:rPr>
              <w:t>Požadavek poskytovatele</w:t>
            </w:r>
            <w:r w:rsidR="001147BB">
              <w:rPr>
                <w:b/>
                <w:bCs/>
                <w:sz w:val="18"/>
              </w:rPr>
              <w:t xml:space="preserve"> (žadatele)</w:t>
            </w:r>
          </w:p>
        </w:tc>
      </w:tr>
      <w:tr w:rsidR="00E07396" w:rsidRPr="00AD2005" w:rsidTr="004F4B2B">
        <w:trPr>
          <w:trHeight w:val="454"/>
          <w:jc w:val="right"/>
        </w:trPr>
        <w:tc>
          <w:tcPr>
            <w:tcW w:w="2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70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4183576</w:t>
            </w:r>
          </w:p>
        </w:tc>
        <w:tc>
          <w:tcPr>
            <w:tcW w:w="8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sociální rehabilitace</w:t>
            </w:r>
          </w:p>
        </w:tc>
        <w:tc>
          <w:tcPr>
            <w:tcW w:w="106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Duševní zdraví, o.p.s.</w:t>
            </w:r>
          </w:p>
        </w:tc>
        <w:tc>
          <w:tcPr>
            <w:tcW w:w="4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27836886</w:t>
            </w:r>
          </w:p>
        </w:tc>
        <w:tc>
          <w:tcPr>
            <w:tcW w:w="452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284E94" w:rsidP="00BA2F23">
            <w:pPr>
              <w:spacing w:befor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7</w:t>
            </w:r>
            <w:r w:rsidR="00E07396">
              <w:rPr>
                <w:b/>
                <w:bCs/>
                <w:color w:val="000000"/>
                <w:sz w:val="18"/>
              </w:rPr>
              <w:t>,0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7 140 000</w:t>
            </w:r>
          </w:p>
        </w:tc>
        <w:tc>
          <w:tcPr>
            <w:tcW w:w="68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6 060 000</w:t>
            </w:r>
          </w:p>
        </w:tc>
      </w:tr>
      <w:tr w:rsidR="00E07396" w:rsidRPr="00AD2005" w:rsidTr="004F4B2B">
        <w:trPr>
          <w:trHeight w:val="454"/>
          <w:jc w:val="right"/>
        </w:trPr>
        <w:tc>
          <w:tcPr>
            <w:tcW w:w="27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70</w:t>
            </w:r>
          </w:p>
        </w:tc>
        <w:tc>
          <w:tcPr>
            <w:tcW w:w="60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7227642</w:t>
            </w:r>
          </w:p>
        </w:tc>
        <w:tc>
          <w:tcPr>
            <w:tcW w:w="8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sociální rehabilitace</w:t>
            </w:r>
          </w:p>
        </w:tc>
        <w:tc>
          <w:tcPr>
            <w:tcW w:w="106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Společnost Mana, o.p.s.</w:t>
            </w:r>
          </w:p>
        </w:tc>
        <w:tc>
          <w:tcPr>
            <w:tcW w:w="483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26660571</w:t>
            </w:r>
          </w:p>
        </w:tc>
        <w:tc>
          <w:tcPr>
            <w:tcW w:w="452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4,0</w:t>
            </w:r>
            <w:r w:rsidRPr="00AD2005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color w:val="000000"/>
                <w:sz w:val="18"/>
              </w:rPr>
            </w:pPr>
            <w:r w:rsidRPr="00AD2005">
              <w:rPr>
                <w:color w:val="000000"/>
                <w:sz w:val="18"/>
              </w:rPr>
              <w:t>3 400 000</w:t>
            </w:r>
          </w:p>
        </w:tc>
        <w:tc>
          <w:tcPr>
            <w:tcW w:w="68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3 400 000</w:t>
            </w:r>
          </w:p>
        </w:tc>
      </w:tr>
      <w:tr w:rsidR="00E07396" w:rsidRPr="00AD2005" w:rsidTr="004F4B2B">
        <w:trPr>
          <w:trHeight w:val="454"/>
          <w:jc w:val="right"/>
        </w:trPr>
        <w:tc>
          <w:tcPr>
            <w:tcW w:w="3762" w:type="pct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rPr>
                <w:b/>
                <w:sz w:val="18"/>
                <w:szCs w:val="20"/>
              </w:rPr>
            </w:pPr>
            <w:r w:rsidRPr="00AD2005">
              <w:rPr>
                <w:b/>
                <w:sz w:val="18"/>
                <w:lang w:eastAsia="en-US"/>
              </w:rPr>
              <w:t>CELKEM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10 540 000</w:t>
            </w:r>
          </w:p>
        </w:tc>
        <w:tc>
          <w:tcPr>
            <w:tcW w:w="68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396" w:rsidRPr="00AD2005" w:rsidRDefault="00E07396" w:rsidP="00BA2F23">
            <w:pPr>
              <w:spacing w:before="0"/>
              <w:jc w:val="right"/>
              <w:rPr>
                <w:b/>
                <w:bCs/>
                <w:color w:val="000000"/>
                <w:sz w:val="18"/>
              </w:rPr>
            </w:pPr>
            <w:r w:rsidRPr="00AD2005">
              <w:rPr>
                <w:b/>
                <w:bCs/>
                <w:color w:val="000000"/>
                <w:sz w:val="18"/>
              </w:rPr>
              <w:t>9 460 000</w:t>
            </w:r>
          </w:p>
        </w:tc>
      </w:tr>
    </w:tbl>
    <w:p w:rsidR="00E07396" w:rsidRPr="00443919" w:rsidRDefault="00443919" w:rsidP="00EE2F30">
      <w:pPr>
        <w:spacing w:before="240" w:line="264" w:lineRule="auto"/>
        <w:rPr>
          <w:rFonts w:eastAsia="Calibri"/>
          <w:b/>
        </w:rPr>
      </w:pPr>
      <w:r w:rsidRPr="00443919">
        <w:rPr>
          <w:rFonts w:eastAsia="Calibri"/>
          <w:b/>
        </w:rPr>
        <w:lastRenderedPageBreak/>
        <w:t xml:space="preserve">S poskytnutím dotace MZ </w:t>
      </w:r>
      <w:r w:rsidR="00E07396" w:rsidRPr="00443919">
        <w:rPr>
          <w:rFonts w:eastAsia="Calibri"/>
          <w:b/>
        </w:rPr>
        <w:t xml:space="preserve">v době realizace výše uvedených úkonů počítal návrh státního rozpočtu ČR pro rok 2022, který však v té době nebyl schválen. </w:t>
      </w:r>
    </w:p>
    <w:p w:rsidR="00E07396" w:rsidRPr="00B26900" w:rsidRDefault="00E07396" w:rsidP="00E07396">
      <w:pPr>
        <w:spacing w:line="264" w:lineRule="auto"/>
        <w:rPr>
          <w:rFonts w:eastAsia="Calibri"/>
        </w:rPr>
      </w:pPr>
      <w:r w:rsidRPr="00B26900">
        <w:rPr>
          <w:rFonts w:eastAsia="Calibri"/>
        </w:rPr>
        <w:t xml:space="preserve">O vyčlenění finančních prostředků na příslušný dotační program Ministerstva zdravotnictví rozhodla vláda na své schůzi dne </w:t>
      </w:r>
      <w:proofErr w:type="gramStart"/>
      <w:r w:rsidRPr="00B26900">
        <w:rPr>
          <w:rFonts w:eastAsia="Calibri"/>
        </w:rPr>
        <w:t>04.05.2022</w:t>
      </w:r>
      <w:proofErr w:type="gramEnd"/>
      <w:r w:rsidRPr="00B26900">
        <w:rPr>
          <w:rFonts w:eastAsia="Calibri"/>
        </w:rPr>
        <w:t>.</w:t>
      </w:r>
    </w:p>
    <w:p w:rsidR="00E07396" w:rsidRDefault="00E07396" w:rsidP="00E07396">
      <w:pPr>
        <w:spacing w:line="264" w:lineRule="auto"/>
        <w:rPr>
          <w:rFonts w:eastAsia="Calibri"/>
        </w:rPr>
      </w:pPr>
      <w:r w:rsidRPr="00B26900">
        <w:rPr>
          <w:rFonts w:eastAsia="Calibri"/>
        </w:rPr>
        <w:t xml:space="preserve">Dne </w:t>
      </w:r>
      <w:proofErr w:type="gramStart"/>
      <w:r w:rsidRPr="00B26900">
        <w:rPr>
          <w:rFonts w:eastAsia="Calibri"/>
        </w:rPr>
        <w:t>06.06.2022</w:t>
      </w:r>
      <w:proofErr w:type="gramEnd"/>
      <w:r w:rsidRPr="00B26900">
        <w:rPr>
          <w:rFonts w:eastAsia="Calibri"/>
        </w:rPr>
        <w:t xml:space="preserve"> kraj obdržel informativní dopis ze strany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č. j. MZDR 41436/2021-2/ORDZ, ve kterém je uvedeno, že ministr zdravotnictví prof. MUDr. Vlastimil Válek, CSc., MBA, EBIR, dne 20.05.2022 podmíněně schválil vydat rozhodnutí o poskytnutí dotace krajům, a to po uvolnění finančních prostředků do rozpočtové kapitoly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ze strany MF ČR. </w:t>
      </w:r>
      <w:r w:rsidR="004A03D4">
        <w:rPr>
          <w:rFonts w:eastAsia="Calibri"/>
        </w:rPr>
        <w:t>MZ</w:t>
      </w:r>
      <w:r w:rsidRPr="00B26900">
        <w:rPr>
          <w:rFonts w:eastAsia="Calibri"/>
        </w:rPr>
        <w:t xml:space="preserve"> dále </w:t>
      </w:r>
      <w:r w:rsidR="009A27A4">
        <w:rPr>
          <w:rFonts w:eastAsia="Calibri"/>
        </w:rPr>
        <w:t>sdělilo</w:t>
      </w:r>
      <w:r w:rsidRPr="00B26900">
        <w:rPr>
          <w:rFonts w:eastAsia="Calibri"/>
        </w:rPr>
        <w:t xml:space="preserve">, že je připraveno vydat rozhodnutí o poskytnutí dotace ve výši 10 540 000 Kč; tato výše dotace odpovídá výši dotace, kterou kraj požadoval na financování sociální části CDZ a MDT. </w:t>
      </w:r>
      <w:r w:rsidR="00960DE8">
        <w:rPr>
          <w:rFonts w:eastAsia="Calibri"/>
        </w:rPr>
        <w:t xml:space="preserve">Vydání rozhodnutí o dotaci však bylo MZ vázáno na zákon, jímž se novelizuje zákon o státním rozpočtu ČR na rok 2022. Ten byl vyhlášen ve Sbírce zákonů až dne </w:t>
      </w:r>
      <w:proofErr w:type="gramStart"/>
      <w:r w:rsidR="00960DE8">
        <w:rPr>
          <w:rFonts w:eastAsia="Calibri"/>
        </w:rPr>
        <w:t>18.11.2022</w:t>
      </w:r>
      <w:proofErr w:type="gramEnd"/>
      <w:r w:rsidR="00960DE8">
        <w:rPr>
          <w:rFonts w:eastAsia="Calibri"/>
        </w:rPr>
        <w:t xml:space="preserve"> pod č. 344/2022 (zákon, </w:t>
      </w:r>
      <w:r w:rsidR="00960DE8" w:rsidRPr="00960DE8">
        <w:rPr>
          <w:rFonts w:eastAsia="Calibri"/>
        </w:rPr>
        <w:t>kterým se mění zákon č. 57/2022 Sb., o státním rozpo</w:t>
      </w:r>
      <w:r w:rsidR="00960DE8">
        <w:rPr>
          <w:rFonts w:eastAsia="Calibri"/>
        </w:rPr>
        <w:t>čtu České republiky na rok 2022).</w:t>
      </w:r>
    </w:p>
    <w:p w:rsidR="00723547" w:rsidRDefault="00E07396" w:rsidP="00E07396">
      <w:pPr>
        <w:spacing w:line="264" w:lineRule="auto"/>
        <w:rPr>
          <w:rFonts w:eastAsia="Calibri"/>
        </w:rPr>
      </w:pPr>
      <w:r w:rsidRPr="0025648B">
        <w:rPr>
          <w:rFonts w:eastAsia="Calibri"/>
        </w:rPr>
        <w:t xml:space="preserve">Zastupitelstvo Olomouckého </w:t>
      </w:r>
      <w:r w:rsidRPr="00366F32">
        <w:rPr>
          <w:rFonts w:eastAsia="Calibri"/>
        </w:rPr>
        <w:t xml:space="preserve">kraje svým usnesením č. UZ/10/50/2022 ze dne </w:t>
      </w:r>
      <w:proofErr w:type="gramStart"/>
      <w:r w:rsidRPr="00366F32">
        <w:rPr>
          <w:rFonts w:eastAsia="Calibri"/>
        </w:rPr>
        <w:t>27.06.2022</w:t>
      </w:r>
      <w:proofErr w:type="gramEnd"/>
      <w:r w:rsidRPr="00366F32">
        <w:rPr>
          <w:rFonts w:eastAsia="Calibri"/>
        </w:rPr>
        <w:t xml:space="preserve"> </w:t>
      </w:r>
      <w:r w:rsidRPr="00443919">
        <w:rPr>
          <w:rFonts w:eastAsia="Calibri"/>
        </w:rPr>
        <w:t xml:space="preserve">rozhodlo o poskytnutí účelově určené dotace ze státního rozpočtu v rámci Podprogramu č. 4 Programu jednotlivým sociálním službám. </w:t>
      </w:r>
    </w:p>
    <w:p w:rsidR="00FD6D31" w:rsidRPr="00101320" w:rsidRDefault="00FD6D31" w:rsidP="00E07396">
      <w:pPr>
        <w:spacing w:line="264" w:lineRule="auto"/>
        <w:rPr>
          <w:rFonts w:eastAsia="Calibri"/>
        </w:rPr>
      </w:pPr>
      <w:r w:rsidRPr="00101320">
        <w:rPr>
          <w:rFonts w:eastAsia="Calibri"/>
        </w:rPr>
        <w:t xml:space="preserve">Dne </w:t>
      </w:r>
      <w:proofErr w:type="gramStart"/>
      <w:r w:rsidR="007D5BB3" w:rsidRPr="00101320">
        <w:rPr>
          <w:rFonts w:eastAsia="Calibri"/>
        </w:rPr>
        <w:t>25.11.2022</w:t>
      </w:r>
      <w:proofErr w:type="gramEnd"/>
      <w:r w:rsidR="007D5BB3" w:rsidRPr="00101320">
        <w:rPr>
          <w:rFonts w:eastAsia="Calibri"/>
        </w:rPr>
        <w:t xml:space="preserve"> </w:t>
      </w:r>
      <w:r w:rsidRPr="00101320">
        <w:rPr>
          <w:rFonts w:eastAsia="Calibri"/>
        </w:rPr>
        <w:t>obdržel Olomoucký kra</w:t>
      </w:r>
      <w:r w:rsidR="007D5BB3" w:rsidRPr="00101320">
        <w:rPr>
          <w:rFonts w:eastAsia="Calibri"/>
        </w:rPr>
        <w:t>j rozhodnutí o poskytnutí neinvestiční dotace ze státního rozpočtu ČR na rok 2022 č. 1/ORDZ/2022 ve výši 10 540 000 Kč.</w:t>
      </w:r>
    </w:p>
    <w:p w:rsidR="00FD6D31" w:rsidRPr="00101320" w:rsidRDefault="00FD6D31" w:rsidP="00E07396">
      <w:pPr>
        <w:spacing w:line="264" w:lineRule="auto"/>
        <w:rPr>
          <w:rFonts w:eastAsia="Calibri"/>
        </w:rPr>
      </w:pPr>
      <w:r w:rsidRPr="00101320">
        <w:rPr>
          <w:rFonts w:eastAsia="Calibri"/>
        </w:rPr>
        <w:t>Rozhodnutí je přílohou č. 01 důvodové zprávy.</w:t>
      </w:r>
    </w:p>
    <w:p w:rsidR="00FD6D31" w:rsidRDefault="00FD6D31" w:rsidP="00FD6D31">
      <w:r w:rsidRPr="00101320">
        <w:t>Dotace MZ nahrazuje finanční prostředky na zajištění</w:t>
      </w:r>
      <w:r>
        <w:t xml:space="preserve"> sociálních služeb z rozpočtu Olomouckého kraje poskytované v rámci Podprogramu č. 1 Programu (či jejich část) a vrácené finanční prostředky dotace MPSV budou dále přerozděleny sociálním službám</w:t>
      </w:r>
      <w:r w:rsidR="00101320">
        <w:t xml:space="preserve"> v rámci Podprogramu č. 1 </w:t>
      </w:r>
      <w:r w:rsidR="006014FF">
        <w:t>Programu</w:t>
      </w:r>
      <w:r>
        <w:t>.</w:t>
      </w:r>
    </w:p>
    <w:p w:rsidR="00443919" w:rsidRPr="007F5D95" w:rsidRDefault="00443919" w:rsidP="004C0AA3">
      <w:pPr>
        <w:pStyle w:val="DZnadpis"/>
      </w:pPr>
      <w:r w:rsidRPr="00443919">
        <w:t>Informace k účelově určené dotaci z MPSV na poskytování sociálních služeb</w:t>
      </w:r>
    </w:p>
    <w:p w:rsidR="00D16980" w:rsidRDefault="00D16980" w:rsidP="00D16980">
      <w:pPr>
        <w:spacing w:line="264" w:lineRule="auto"/>
        <w:rPr>
          <w:bCs/>
          <w:szCs w:val="24"/>
        </w:rPr>
      </w:pPr>
      <w:r w:rsidRPr="00D05502">
        <w:rPr>
          <w:bCs/>
          <w:szCs w:val="24"/>
        </w:rPr>
        <w:t xml:space="preserve">Na základě </w:t>
      </w:r>
      <w:r w:rsidR="003201AE">
        <w:rPr>
          <w:bCs/>
          <w:szCs w:val="24"/>
        </w:rPr>
        <w:t xml:space="preserve">Dodatku č. 1 k </w:t>
      </w:r>
      <w:r w:rsidR="003201AE" w:rsidRPr="009854B1">
        <w:rPr>
          <w:bCs/>
        </w:rPr>
        <w:t>ROZHODNUTÍ č. 1 o poskytnutí dotace z kapitoly 313 – MPSV státního rozpočtu na rok 202</w:t>
      </w:r>
      <w:r w:rsidR="003201AE">
        <w:rPr>
          <w:bCs/>
        </w:rPr>
        <w:t xml:space="preserve">2 (č. j. MPSV-2022/159152-227 ze dne </w:t>
      </w:r>
      <w:proofErr w:type="gramStart"/>
      <w:r w:rsidR="003201AE">
        <w:rPr>
          <w:bCs/>
        </w:rPr>
        <w:t>08.08.2022</w:t>
      </w:r>
      <w:proofErr w:type="gramEnd"/>
      <w:r w:rsidR="003201AE">
        <w:rPr>
          <w:bCs/>
        </w:rPr>
        <w:t xml:space="preserve">) </w:t>
      </w:r>
      <w:r w:rsidRPr="00D05502">
        <w:rPr>
          <w:bCs/>
          <w:szCs w:val="24"/>
        </w:rPr>
        <w:t xml:space="preserve">byla Olomouckému kraji navýšena účelově určená dotace na financování běžných výdajů souvisejících s poskytováním základních druhů a forem sociálních služeb v rozsahu stanoveném základními činnostmi u jednotlivých druhů sociálních služeb o částku </w:t>
      </w:r>
      <w:r w:rsidRPr="00D16980">
        <w:rPr>
          <w:b/>
          <w:bCs/>
          <w:szCs w:val="24"/>
        </w:rPr>
        <w:t>221 804 000 Kč</w:t>
      </w:r>
      <w:r>
        <w:rPr>
          <w:bCs/>
          <w:szCs w:val="24"/>
        </w:rPr>
        <w:t xml:space="preserve"> </w:t>
      </w:r>
      <w:r w:rsidRPr="00D05502">
        <w:rPr>
          <w:bCs/>
          <w:szCs w:val="24"/>
        </w:rPr>
        <w:t xml:space="preserve">na celkových </w:t>
      </w:r>
      <w:r w:rsidRPr="00D16980">
        <w:rPr>
          <w:b/>
          <w:bCs/>
          <w:szCs w:val="24"/>
        </w:rPr>
        <w:t>1 729 737 983 Kč.</w:t>
      </w:r>
      <w:r w:rsidRPr="00D16980">
        <w:rPr>
          <w:bCs/>
          <w:szCs w:val="24"/>
        </w:rPr>
        <w:t xml:space="preserve"> </w:t>
      </w:r>
    </w:p>
    <w:p w:rsidR="00A40229" w:rsidRDefault="00A40229" w:rsidP="00A40229">
      <w:pPr>
        <w:spacing w:line="264" w:lineRule="auto"/>
      </w:pPr>
      <w:r>
        <w:rPr>
          <w:bCs/>
          <w:szCs w:val="24"/>
        </w:rPr>
        <w:t xml:space="preserve">O přerozdělení navýšených finančních prostředků z dotace MPSV ČR a vratek </w:t>
      </w:r>
      <w:r w:rsidR="009F14AA">
        <w:rPr>
          <w:bCs/>
          <w:szCs w:val="24"/>
        </w:rPr>
        <w:t xml:space="preserve">nevyužitých </w:t>
      </w:r>
      <w:r>
        <w:rPr>
          <w:bCs/>
          <w:szCs w:val="24"/>
        </w:rPr>
        <w:t xml:space="preserve">finančních prostředků v celkové výši </w:t>
      </w:r>
      <w:r w:rsidRPr="004028DE">
        <w:rPr>
          <w:b/>
          <w:bCs/>
          <w:szCs w:val="24"/>
        </w:rPr>
        <w:t>222 994 000 Kč</w:t>
      </w:r>
      <w:r>
        <w:rPr>
          <w:bCs/>
          <w:szCs w:val="24"/>
        </w:rPr>
        <w:t xml:space="preserve"> b</w:t>
      </w:r>
      <w:r w:rsidR="00211045">
        <w:rPr>
          <w:bCs/>
          <w:szCs w:val="24"/>
        </w:rPr>
        <w:t>ylo rozhodnuto usnesením ZOK č. </w:t>
      </w:r>
      <w:r>
        <w:t>UZ/11/63/2022</w:t>
      </w:r>
      <w:r w:rsidRPr="00555CC4">
        <w:t xml:space="preserve"> ze dne </w:t>
      </w:r>
      <w:proofErr w:type="gramStart"/>
      <w:r w:rsidRPr="00555CC4">
        <w:t>26.09.2022</w:t>
      </w:r>
      <w:proofErr w:type="gramEnd"/>
      <w:r>
        <w:t>.</w:t>
      </w:r>
    </w:p>
    <w:p w:rsidR="004028DE" w:rsidRDefault="004028DE" w:rsidP="004028DE">
      <w:pPr>
        <w:spacing w:line="264" w:lineRule="auto"/>
      </w:pPr>
      <w:r>
        <w:t xml:space="preserve">Podrobný přehled je uveden v tabulce </w:t>
      </w:r>
      <w:r w:rsidR="00E95D58">
        <w:t xml:space="preserve">č. </w:t>
      </w:r>
      <w:r>
        <w:t>2.</w:t>
      </w:r>
    </w:p>
    <w:p w:rsidR="004028DE" w:rsidRDefault="004028DE" w:rsidP="004028DE">
      <w:pPr>
        <w:pStyle w:val="titulek0"/>
      </w:pPr>
      <w:r>
        <w:t xml:space="preserve">Tabulka </w:t>
      </w:r>
      <w:r w:rsidR="00E95D58">
        <w:t xml:space="preserve">č. </w:t>
      </w:r>
      <w:r>
        <w:t>2 – Finanční prostředky určené k přerozdělení (v Kč)</w:t>
      </w:r>
      <w:r w:rsidR="00A40229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028DE" w:rsidRPr="00951C64" w:rsidTr="003E2814">
        <w:trPr>
          <w:trHeight w:val="340"/>
          <w:tblHeader/>
        </w:trPr>
        <w:tc>
          <w:tcPr>
            <w:tcW w:w="3247" w:type="dxa"/>
            <w:shd w:val="clear" w:color="auto" w:fill="D9D9D9" w:themeFill="background1" w:themeFillShade="D9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 w:rsidRPr="00951C64">
              <w:rPr>
                <w:sz w:val="20"/>
              </w:rPr>
              <w:t xml:space="preserve">Zdroj 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 w:rsidRPr="00951C64">
              <w:rPr>
                <w:sz w:val="20"/>
              </w:rPr>
              <w:t>Subjekt</w:t>
            </w:r>
          </w:p>
        </w:tc>
        <w:tc>
          <w:tcPr>
            <w:tcW w:w="3248" w:type="dxa"/>
            <w:shd w:val="clear" w:color="auto" w:fill="D9D9D9" w:themeFill="background1" w:themeFillShade="D9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center"/>
              <w:rPr>
                <w:sz w:val="20"/>
              </w:rPr>
            </w:pPr>
            <w:r w:rsidRPr="00951C64">
              <w:rPr>
                <w:sz w:val="20"/>
              </w:rPr>
              <w:t>Výše finančních prostředků</w:t>
            </w:r>
          </w:p>
        </w:tc>
      </w:tr>
      <w:tr w:rsidR="004028DE" w:rsidRPr="00951C64" w:rsidTr="003E2814">
        <w:trPr>
          <w:trHeight w:val="340"/>
        </w:trPr>
        <w:tc>
          <w:tcPr>
            <w:tcW w:w="3247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Pr="00951C64">
              <w:rPr>
                <w:sz w:val="20"/>
              </w:rPr>
              <w:t xml:space="preserve">avýšení dotace </w:t>
            </w:r>
          </w:p>
        </w:tc>
        <w:tc>
          <w:tcPr>
            <w:tcW w:w="3247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MPSV</w:t>
            </w:r>
          </w:p>
        </w:tc>
        <w:tc>
          <w:tcPr>
            <w:tcW w:w="3248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221 804 000</w:t>
            </w:r>
          </w:p>
        </w:tc>
      </w:tr>
      <w:tr w:rsidR="004028DE" w:rsidRPr="00951C64" w:rsidTr="003E2814">
        <w:trPr>
          <w:trHeight w:val="340"/>
        </w:trPr>
        <w:tc>
          <w:tcPr>
            <w:tcW w:w="3247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51C64">
              <w:rPr>
                <w:sz w:val="20"/>
              </w:rPr>
              <w:t>ratka</w:t>
            </w:r>
          </w:p>
        </w:tc>
        <w:tc>
          <w:tcPr>
            <w:tcW w:w="3247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Domov Hrubá Voda, příspěvková organizace</w:t>
            </w:r>
          </w:p>
        </w:tc>
        <w:tc>
          <w:tcPr>
            <w:tcW w:w="3248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1 190 000</w:t>
            </w:r>
          </w:p>
        </w:tc>
      </w:tr>
      <w:tr w:rsidR="004028DE" w:rsidRPr="00951C64" w:rsidTr="003E2814">
        <w:trPr>
          <w:trHeight w:val="340"/>
        </w:trPr>
        <w:tc>
          <w:tcPr>
            <w:tcW w:w="6494" w:type="dxa"/>
            <w:gridSpan w:val="2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left"/>
              <w:rPr>
                <w:sz w:val="20"/>
              </w:rPr>
            </w:pPr>
            <w:r>
              <w:rPr>
                <w:sz w:val="20"/>
              </w:rPr>
              <w:t>K přerozdělení CELKEM</w:t>
            </w:r>
          </w:p>
        </w:tc>
        <w:tc>
          <w:tcPr>
            <w:tcW w:w="3248" w:type="dxa"/>
            <w:vAlign w:val="center"/>
          </w:tcPr>
          <w:p w:rsidR="004028DE" w:rsidRPr="00951C64" w:rsidRDefault="004028DE" w:rsidP="005B3BE9">
            <w:pPr>
              <w:spacing w:before="0" w:line="264" w:lineRule="auto"/>
              <w:jc w:val="right"/>
              <w:rPr>
                <w:sz w:val="20"/>
              </w:rPr>
            </w:pPr>
            <w:r>
              <w:rPr>
                <w:sz w:val="20"/>
              </w:rPr>
              <w:t>222 994 000</w:t>
            </w:r>
          </w:p>
        </w:tc>
      </w:tr>
    </w:tbl>
    <w:p w:rsidR="00C97E2C" w:rsidRDefault="00A40229" w:rsidP="00EE2F30">
      <w:pPr>
        <w:spacing w:before="240" w:line="264" w:lineRule="auto"/>
        <w:rPr>
          <w:b/>
          <w:szCs w:val="24"/>
        </w:rPr>
      </w:pPr>
      <w:r>
        <w:rPr>
          <w:b/>
          <w:szCs w:val="24"/>
        </w:rPr>
        <w:lastRenderedPageBreak/>
        <w:t>Finanční prostředky byly přerozděleny na základě těchto principů:</w:t>
      </w:r>
    </w:p>
    <w:p w:rsidR="00D85611" w:rsidRDefault="00E90273" w:rsidP="00607F57">
      <w:pPr>
        <w:spacing w:line="264" w:lineRule="auto"/>
        <w:rPr>
          <w:szCs w:val="24"/>
        </w:rPr>
      </w:pPr>
      <w:r>
        <w:rPr>
          <w:szCs w:val="24"/>
        </w:rPr>
        <w:t xml:space="preserve">Dotační řízení MPSV zahrnuje pojmy maximální, optimální a reálný návrh dotace. </w:t>
      </w:r>
      <w:r w:rsidR="00DC5DB3">
        <w:rPr>
          <w:szCs w:val="24"/>
        </w:rPr>
        <w:t xml:space="preserve">Východiskem pro stanovení maximálního návrhu dotace byl požadavek na dotaci snížený </w:t>
      </w:r>
      <w:r w:rsidR="00574CE7">
        <w:rPr>
          <w:szCs w:val="24"/>
        </w:rPr>
        <w:t>o nadhodnocené a neuznatelné náklady</w:t>
      </w:r>
      <w:r w:rsidR="00716570">
        <w:rPr>
          <w:szCs w:val="24"/>
        </w:rPr>
        <w:t xml:space="preserve"> v souladu s Podprogramem č. 1</w:t>
      </w:r>
      <w:r w:rsidR="00BE7FE6">
        <w:rPr>
          <w:szCs w:val="24"/>
        </w:rPr>
        <w:t xml:space="preserve">. Maximální návrh dotace </w:t>
      </w:r>
      <w:r w:rsidR="00574CE7">
        <w:rPr>
          <w:szCs w:val="24"/>
        </w:rPr>
        <w:t>byl zaokrouhlen na stovky dolů a tím byl stanoven optimální návrh dotace.</w:t>
      </w:r>
      <w:r>
        <w:rPr>
          <w:szCs w:val="24"/>
        </w:rPr>
        <w:t xml:space="preserve"> </w:t>
      </w:r>
    </w:p>
    <w:p w:rsidR="00D85611" w:rsidRDefault="00E90273" w:rsidP="00F109C8">
      <w:pPr>
        <w:spacing w:line="264" w:lineRule="auto"/>
        <w:rPr>
          <w:szCs w:val="24"/>
        </w:rPr>
      </w:pPr>
      <w:r>
        <w:rPr>
          <w:szCs w:val="24"/>
        </w:rPr>
        <w:t>Reá</w:t>
      </w:r>
      <w:r w:rsidR="00D85611">
        <w:rPr>
          <w:szCs w:val="24"/>
        </w:rPr>
        <w:t>lný návrh dotace (tzn. úprava optimálních návrhů na výši disponibilních zdrojů) byl stanoven p</w:t>
      </w:r>
      <w:r w:rsidR="00716570" w:rsidRPr="0057270F">
        <w:rPr>
          <w:szCs w:val="24"/>
        </w:rPr>
        <w:t xml:space="preserve">oskytovatelům sociálních služeb nezřizovaným </w:t>
      </w:r>
      <w:r w:rsidR="00664FA7" w:rsidRPr="0057270F">
        <w:rPr>
          <w:szCs w:val="24"/>
        </w:rPr>
        <w:t xml:space="preserve">Olomouckým krajem </w:t>
      </w:r>
      <w:r w:rsidR="00DF3B37" w:rsidRPr="0057270F">
        <w:rPr>
          <w:szCs w:val="24"/>
        </w:rPr>
        <w:t>(dále jen „nezřizované OK“)</w:t>
      </w:r>
      <w:r w:rsidR="00664FA7" w:rsidRPr="0057270F">
        <w:rPr>
          <w:szCs w:val="24"/>
        </w:rPr>
        <w:t xml:space="preserve"> ve výši optimálního návrhu dotace</w:t>
      </w:r>
      <w:r w:rsidR="00F109C8" w:rsidRPr="0057270F">
        <w:rPr>
          <w:szCs w:val="24"/>
        </w:rPr>
        <w:t xml:space="preserve"> a </w:t>
      </w:r>
      <w:r w:rsidR="00664FA7" w:rsidRPr="0057270F">
        <w:rPr>
          <w:szCs w:val="24"/>
        </w:rPr>
        <w:t xml:space="preserve">zbývající finanční prostředky byly poměrně přerozděleny mezi </w:t>
      </w:r>
      <w:r w:rsidR="00D85611">
        <w:rPr>
          <w:szCs w:val="24"/>
        </w:rPr>
        <w:t>příspěvkové organizace zřízené Olomouckým kraje (dále také „PO OK“).</w:t>
      </w:r>
    </w:p>
    <w:p w:rsidR="00F109C8" w:rsidRPr="004841E5" w:rsidRDefault="004841E5" w:rsidP="00F109C8">
      <w:pPr>
        <w:spacing w:line="264" w:lineRule="auto"/>
        <w:rPr>
          <w:b/>
        </w:rPr>
      </w:pPr>
      <w:r w:rsidRPr="00C97E2C">
        <w:rPr>
          <w:b/>
        </w:rPr>
        <w:t xml:space="preserve">Zásadní část finančních prostředků </w:t>
      </w:r>
      <w:r w:rsidRPr="004841E5">
        <w:rPr>
          <w:b/>
        </w:rPr>
        <w:t xml:space="preserve">ze státního rozpočtu byla směřována sociálním službám nezřizovaným Olomouckým krajem; tyto služby </w:t>
      </w:r>
      <w:r w:rsidR="00F109C8" w:rsidRPr="004841E5">
        <w:rPr>
          <w:b/>
        </w:rPr>
        <w:t xml:space="preserve">byly </w:t>
      </w:r>
      <w:r w:rsidR="00D85611">
        <w:rPr>
          <w:b/>
        </w:rPr>
        <w:t xml:space="preserve">(ve výši optimálního návrhu) </w:t>
      </w:r>
      <w:r w:rsidR="00F109C8" w:rsidRPr="004841E5">
        <w:rPr>
          <w:b/>
        </w:rPr>
        <w:t>plně dofinancovány</w:t>
      </w:r>
      <w:r w:rsidR="00D85611">
        <w:rPr>
          <w:b/>
        </w:rPr>
        <w:t>.</w:t>
      </w:r>
    </w:p>
    <w:p w:rsidR="005A37C4" w:rsidRPr="00CB7663" w:rsidRDefault="00F109C8" w:rsidP="007F5D95">
      <w:pPr>
        <w:pStyle w:val="DZnadpis"/>
      </w:pPr>
      <w:r>
        <w:t>Návrh na přerozdělení vrácených finančních prostředků</w:t>
      </w:r>
    </w:p>
    <w:p w:rsidR="00CF3A26" w:rsidRDefault="00F109C8" w:rsidP="005A37C4">
      <w:pPr>
        <w:spacing w:line="264" w:lineRule="auto"/>
      </w:pPr>
      <w:r>
        <w:t xml:space="preserve">Jak již bylo uvedeno, </w:t>
      </w:r>
      <w:r w:rsidR="00960DE8">
        <w:t>aktu</w:t>
      </w:r>
      <w:r w:rsidR="000C3A0E">
        <w:t xml:space="preserve">álně </w:t>
      </w:r>
      <w:r w:rsidR="00960DE8">
        <w:t xml:space="preserve">jsou </w:t>
      </w:r>
      <w:r>
        <w:t xml:space="preserve">k přerozdělení </w:t>
      </w:r>
      <w:r w:rsidR="00CF3A26">
        <w:t>určeny finanční prostředky</w:t>
      </w:r>
      <w:r w:rsidR="00C9200C">
        <w:t xml:space="preserve"> (dále jen „vrácené FP“)</w:t>
      </w:r>
    </w:p>
    <w:p w:rsidR="00CF3A26" w:rsidRDefault="00CF3A26" w:rsidP="00CF3A26">
      <w:pPr>
        <w:pStyle w:val="Odstavecseseznamem"/>
        <w:numPr>
          <w:ilvl w:val="0"/>
          <w:numId w:val="20"/>
        </w:numPr>
        <w:spacing w:line="264" w:lineRule="auto"/>
        <w:ind w:left="714" w:hanging="357"/>
        <w:contextualSpacing w:val="0"/>
      </w:pPr>
      <w:r>
        <w:t>vrácené z dotace MPSV, na které příjemcům dotace z MZ zanikl nárok, jelikož do</w:t>
      </w:r>
      <w:r w:rsidR="005A37C4">
        <w:t>tace</w:t>
      </w:r>
      <w:r>
        <w:t xml:space="preserve"> </w:t>
      </w:r>
      <w:r w:rsidR="005A37C4">
        <w:t>z </w:t>
      </w:r>
      <w:r w:rsidR="004A03D4">
        <w:t>MZ</w:t>
      </w:r>
      <w:r w:rsidR="005A37C4">
        <w:t xml:space="preserve"> nahrazuje finanční prostředky z dotace </w:t>
      </w:r>
      <w:r w:rsidR="004A03D4">
        <w:t>MPSV</w:t>
      </w:r>
      <w:r>
        <w:t xml:space="preserve"> a</w:t>
      </w:r>
    </w:p>
    <w:p w:rsidR="00CF3A26" w:rsidRDefault="00CF3A26" w:rsidP="00CF3A26">
      <w:pPr>
        <w:pStyle w:val="Odstavecseseznamem"/>
        <w:numPr>
          <w:ilvl w:val="0"/>
          <w:numId w:val="20"/>
        </w:numPr>
        <w:spacing w:line="264" w:lineRule="auto"/>
        <w:ind w:left="714" w:hanging="357"/>
        <w:contextualSpacing w:val="0"/>
      </w:pPr>
      <w:r>
        <w:t>vratky dotace MPSV (</w:t>
      </w:r>
      <w:r w:rsidR="009F14AA">
        <w:t xml:space="preserve">nevyužité </w:t>
      </w:r>
      <w:r>
        <w:t>finanční prostředky)</w:t>
      </w:r>
      <w:r w:rsidR="00986327">
        <w:t xml:space="preserve"> od poskytovatelů sociálních služeb</w:t>
      </w:r>
      <w:r w:rsidR="0063561D">
        <w:t>.</w:t>
      </w:r>
    </w:p>
    <w:p w:rsidR="00BA2F23" w:rsidRDefault="00BA2F23" w:rsidP="00BA2F23">
      <w:pPr>
        <w:spacing w:line="264" w:lineRule="auto"/>
      </w:pPr>
      <w:r>
        <w:t xml:space="preserve">Podrobný přehled je uveden v tabulce </w:t>
      </w:r>
      <w:r w:rsidR="00C57968">
        <w:t xml:space="preserve">č. </w:t>
      </w:r>
      <w:r w:rsidR="00CF3A26">
        <w:t>3</w:t>
      </w:r>
      <w:r>
        <w:t>.</w:t>
      </w:r>
    </w:p>
    <w:p w:rsidR="00BA2F23" w:rsidRDefault="005A37C4" w:rsidP="00BA2F23">
      <w:pPr>
        <w:pStyle w:val="titulek0"/>
      </w:pPr>
      <w:r w:rsidRPr="006F5BB7">
        <w:t xml:space="preserve">Tabulka </w:t>
      </w:r>
      <w:r w:rsidR="00C57968">
        <w:t xml:space="preserve">č. </w:t>
      </w:r>
      <w:r w:rsidR="00CF3A26">
        <w:t>3</w:t>
      </w:r>
      <w:r w:rsidR="00BA2F23">
        <w:t xml:space="preserve"> – Finanční prostředky určené k přerozdělení (v Kč)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7"/>
        <w:gridCol w:w="2268"/>
        <w:gridCol w:w="1418"/>
        <w:gridCol w:w="3509"/>
      </w:tblGrid>
      <w:tr w:rsidR="006845EA" w:rsidRPr="00951C64" w:rsidTr="0071451B">
        <w:trPr>
          <w:trHeight w:val="454"/>
        </w:trPr>
        <w:tc>
          <w:tcPr>
            <w:tcW w:w="1307" w:type="pct"/>
            <w:shd w:val="clear" w:color="auto" w:fill="D9D9D9" w:themeFill="background1" w:themeFillShade="D9"/>
            <w:vAlign w:val="center"/>
          </w:tcPr>
          <w:p w:rsidR="006845EA" w:rsidRPr="00951C64" w:rsidRDefault="006845E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951C64">
              <w:rPr>
                <w:sz w:val="20"/>
              </w:rPr>
              <w:t>Subjekt</w:t>
            </w:r>
          </w:p>
        </w:tc>
        <w:tc>
          <w:tcPr>
            <w:tcW w:w="1164" w:type="pct"/>
            <w:shd w:val="clear" w:color="auto" w:fill="D9D9D9" w:themeFill="background1" w:themeFillShade="D9"/>
            <w:vAlign w:val="center"/>
          </w:tcPr>
          <w:p w:rsidR="006845EA" w:rsidRPr="00951C64" w:rsidRDefault="006845EA" w:rsidP="0063561D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Druh služby, identifikátor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6845EA" w:rsidRPr="00951C64" w:rsidRDefault="000D10F1" w:rsidP="0063561D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Vrácené FP</w:t>
            </w:r>
            <w:r w:rsidR="006845EA">
              <w:rPr>
                <w:sz w:val="20"/>
              </w:rPr>
              <w:t xml:space="preserve"> 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6845EA" w:rsidRPr="00951C64" w:rsidRDefault="006845EA" w:rsidP="0063561D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Komentář</w:t>
            </w:r>
          </w:p>
        </w:tc>
      </w:tr>
      <w:tr w:rsidR="006845EA" w:rsidRPr="00951C64" w:rsidTr="0071451B">
        <w:trPr>
          <w:trHeight w:val="454"/>
        </w:trPr>
        <w:tc>
          <w:tcPr>
            <w:tcW w:w="1307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Společnost Mana, o. p. s.</w:t>
            </w:r>
          </w:p>
        </w:tc>
        <w:tc>
          <w:tcPr>
            <w:tcW w:w="1164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Sociální rehabilitace, </w:t>
            </w:r>
            <w:r w:rsidR="004D43C0">
              <w:rPr>
                <w:sz w:val="20"/>
              </w:rPr>
              <w:t>722</w:t>
            </w:r>
            <w:r>
              <w:rPr>
                <w:sz w:val="20"/>
              </w:rPr>
              <w:t>7642</w:t>
            </w:r>
          </w:p>
        </w:tc>
        <w:tc>
          <w:tcPr>
            <w:tcW w:w="728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3 056 800</w:t>
            </w:r>
          </w:p>
        </w:tc>
        <w:tc>
          <w:tcPr>
            <w:tcW w:w="1801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Vratka je vyčíslena ve výši přiznaných prostředků z dotace MPSV</w:t>
            </w:r>
          </w:p>
        </w:tc>
      </w:tr>
      <w:tr w:rsidR="006845EA" w:rsidRPr="00951C64" w:rsidTr="0071451B">
        <w:trPr>
          <w:trHeight w:val="454"/>
        </w:trPr>
        <w:tc>
          <w:tcPr>
            <w:tcW w:w="1307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Duševní zdraví, o. p. s.</w:t>
            </w:r>
          </w:p>
        </w:tc>
        <w:tc>
          <w:tcPr>
            <w:tcW w:w="1164" w:type="pct"/>
            <w:vAlign w:val="center"/>
          </w:tcPr>
          <w:p w:rsidR="004D43C0" w:rsidRDefault="006845E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Sociální rehabilitace, </w:t>
            </w:r>
          </w:p>
          <w:p w:rsidR="006845EA" w:rsidRDefault="004D43C0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4D43C0">
              <w:rPr>
                <w:sz w:val="20"/>
              </w:rPr>
              <w:t>4183576</w:t>
            </w:r>
          </w:p>
        </w:tc>
        <w:tc>
          <w:tcPr>
            <w:tcW w:w="728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 w:rsidRPr="00284016">
              <w:rPr>
                <w:sz w:val="20"/>
              </w:rPr>
              <w:t>5 421 800</w:t>
            </w:r>
          </w:p>
        </w:tc>
        <w:tc>
          <w:tcPr>
            <w:tcW w:w="1801" w:type="pct"/>
            <w:vAlign w:val="center"/>
          </w:tcPr>
          <w:p w:rsidR="006845EA" w:rsidRDefault="006845EA" w:rsidP="0063561D">
            <w:pPr>
              <w:spacing w:before="0" w:line="240" w:lineRule="auto"/>
              <w:contextualSpacing/>
              <w:jc w:val="left"/>
              <w:rPr>
                <w:rFonts w:ascii="Inter" w:hAnsi="Inter" w:cs="Calibri"/>
                <w:b/>
                <w:bCs/>
                <w:color w:val="000000"/>
                <w:sz w:val="22"/>
              </w:rPr>
            </w:pPr>
            <w:r w:rsidRPr="00BA2F23">
              <w:rPr>
                <w:sz w:val="20"/>
              </w:rPr>
              <w:t>Vratka je vyčíslena ve výši části přiznaných prostředků z dotace MPSV; částí kapacity je tato sociální služba financována z dotace MPSV</w:t>
            </w:r>
            <w:r>
              <w:rPr>
                <w:sz w:val="20"/>
              </w:rPr>
              <w:t xml:space="preserve"> </w:t>
            </w:r>
          </w:p>
        </w:tc>
      </w:tr>
      <w:tr w:rsidR="002976E7" w:rsidRPr="00951C64" w:rsidTr="0071451B">
        <w:trPr>
          <w:trHeight w:val="454"/>
        </w:trPr>
        <w:tc>
          <w:tcPr>
            <w:tcW w:w="1307" w:type="pct"/>
            <w:vAlign w:val="center"/>
          </w:tcPr>
          <w:p w:rsidR="002976E7" w:rsidRPr="00951C64" w:rsidRDefault="009F14A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Charita Valašské Meziříčí</w:t>
            </w:r>
          </w:p>
        </w:tc>
        <w:tc>
          <w:tcPr>
            <w:tcW w:w="1164" w:type="pct"/>
            <w:vAlign w:val="center"/>
          </w:tcPr>
          <w:p w:rsidR="002976E7" w:rsidRPr="00951C64" w:rsidRDefault="009F14A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Sociálně aktivizační služby pro rodiny s dětmi, 8253969</w:t>
            </w:r>
          </w:p>
        </w:tc>
        <w:tc>
          <w:tcPr>
            <w:tcW w:w="728" w:type="pct"/>
            <w:vAlign w:val="center"/>
          </w:tcPr>
          <w:p w:rsidR="002976E7" w:rsidRPr="00951C64" w:rsidRDefault="009F14AA" w:rsidP="0063561D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380 000</w:t>
            </w:r>
          </w:p>
        </w:tc>
        <w:tc>
          <w:tcPr>
            <w:tcW w:w="1801" w:type="pct"/>
            <w:vAlign w:val="center"/>
          </w:tcPr>
          <w:p w:rsidR="002976E7" w:rsidRDefault="009F14AA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Vratka nevyužitých finančních prostředků </w:t>
            </w:r>
          </w:p>
        </w:tc>
      </w:tr>
      <w:tr w:rsidR="0071451B" w:rsidRPr="00951C64" w:rsidTr="0071451B">
        <w:trPr>
          <w:trHeight w:val="454"/>
        </w:trPr>
        <w:tc>
          <w:tcPr>
            <w:tcW w:w="1307" w:type="pct"/>
            <w:vAlign w:val="center"/>
          </w:tcPr>
          <w:p w:rsidR="0071451B" w:rsidRDefault="0071451B" w:rsidP="0071451B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71451B">
              <w:rPr>
                <w:sz w:val="20"/>
              </w:rPr>
              <w:t>Domov Větrný mlýn Skalička, příspěvková organizace</w:t>
            </w:r>
          </w:p>
        </w:tc>
        <w:tc>
          <w:tcPr>
            <w:tcW w:w="1164" w:type="pct"/>
            <w:vAlign w:val="center"/>
          </w:tcPr>
          <w:p w:rsidR="0071451B" w:rsidRPr="0071451B" w:rsidRDefault="0071451B" w:rsidP="0071451B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71451B">
              <w:rPr>
                <w:sz w:val="20"/>
              </w:rPr>
              <w:t>omovy pro osoby se zdravotním postižením</w:t>
            </w:r>
            <w:r>
              <w:rPr>
                <w:sz w:val="20"/>
              </w:rPr>
              <w:t xml:space="preserve">, </w:t>
            </w:r>
          </w:p>
          <w:p w:rsidR="0071451B" w:rsidRDefault="0071451B" w:rsidP="0071451B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71451B">
              <w:rPr>
                <w:sz w:val="20"/>
              </w:rPr>
              <w:t>5471162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71451B" w:rsidRDefault="00134525" w:rsidP="0063561D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1 100 000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71451B" w:rsidRDefault="0071451B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Vratka nevyužitých finančních prostředků</w:t>
            </w:r>
          </w:p>
        </w:tc>
      </w:tr>
      <w:tr w:rsidR="00BC1387" w:rsidRPr="00951C64" w:rsidTr="0071451B">
        <w:trPr>
          <w:trHeight w:val="454"/>
        </w:trPr>
        <w:tc>
          <w:tcPr>
            <w:tcW w:w="1307" w:type="pct"/>
            <w:vAlign w:val="center"/>
          </w:tcPr>
          <w:p w:rsidR="00BC1387" w:rsidRPr="0071451B" w:rsidRDefault="00BC1387" w:rsidP="0071451B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BC1387">
              <w:rPr>
                <w:sz w:val="20"/>
              </w:rPr>
              <w:t>Domov Na zámečku Rokytnice, příspěvková organizace</w:t>
            </w:r>
          </w:p>
        </w:tc>
        <w:tc>
          <w:tcPr>
            <w:tcW w:w="1164" w:type="pct"/>
            <w:vAlign w:val="center"/>
          </w:tcPr>
          <w:p w:rsidR="00BC1387" w:rsidRPr="0071451B" w:rsidRDefault="00BC1387" w:rsidP="00BC138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71451B">
              <w:rPr>
                <w:sz w:val="20"/>
              </w:rPr>
              <w:t>omovy pro osoby se zdravotním postižením</w:t>
            </w:r>
            <w:r>
              <w:rPr>
                <w:sz w:val="20"/>
              </w:rPr>
              <w:t xml:space="preserve">, </w:t>
            </w:r>
          </w:p>
          <w:p w:rsidR="00BC1387" w:rsidRDefault="00BC1387" w:rsidP="00BC138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BC1387">
              <w:rPr>
                <w:sz w:val="20"/>
              </w:rPr>
              <w:t>8979469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BC1387" w:rsidRDefault="00BC1387" w:rsidP="0063561D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2 200 000</w:t>
            </w:r>
          </w:p>
        </w:tc>
        <w:tc>
          <w:tcPr>
            <w:tcW w:w="1801" w:type="pct"/>
            <w:tcBorders>
              <w:bottom w:val="single" w:sz="4" w:space="0" w:color="auto"/>
            </w:tcBorders>
            <w:vAlign w:val="center"/>
          </w:tcPr>
          <w:p w:rsidR="00BC1387" w:rsidRDefault="00BC1387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Vratka nevyužitých finančních prostředků</w:t>
            </w:r>
          </w:p>
        </w:tc>
      </w:tr>
      <w:tr w:rsidR="0071451B" w:rsidRPr="00951C64" w:rsidTr="0071451B">
        <w:trPr>
          <w:trHeight w:val="454"/>
        </w:trPr>
        <w:tc>
          <w:tcPr>
            <w:tcW w:w="2471" w:type="pct"/>
            <w:gridSpan w:val="2"/>
            <w:tcBorders>
              <w:right w:val="single" w:sz="4" w:space="0" w:color="auto"/>
            </w:tcBorders>
            <w:vAlign w:val="center"/>
          </w:tcPr>
          <w:p w:rsidR="0071451B" w:rsidRDefault="0071451B" w:rsidP="0071451B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K přerozdělení CELKEM: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51B" w:rsidRPr="0071451B" w:rsidRDefault="00BC1387" w:rsidP="0063561D">
            <w:pPr>
              <w:spacing w:before="0" w:line="240" w:lineRule="auto"/>
              <w:contextualSpacing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12 158 600</w:t>
            </w:r>
          </w:p>
        </w:tc>
        <w:tc>
          <w:tcPr>
            <w:tcW w:w="1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1B" w:rsidRDefault="0071451B" w:rsidP="0063561D">
            <w:pPr>
              <w:spacing w:before="0" w:line="240" w:lineRule="auto"/>
              <w:contextualSpacing/>
              <w:jc w:val="left"/>
              <w:rPr>
                <w:sz w:val="20"/>
              </w:rPr>
            </w:pPr>
          </w:p>
        </w:tc>
      </w:tr>
    </w:tbl>
    <w:p w:rsidR="00DC4DA4" w:rsidRPr="007C64CD" w:rsidRDefault="00DC4DA4" w:rsidP="00DC4DA4">
      <w:pPr>
        <w:spacing w:line="264" w:lineRule="auto"/>
        <w:rPr>
          <w:b/>
          <w:szCs w:val="24"/>
        </w:rPr>
      </w:pPr>
      <w:r w:rsidRPr="007C64CD">
        <w:rPr>
          <w:b/>
          <w:szCs w:val="24"/>
        </w:rPr>
        <w:t xml:space="preserve">Vzhledem ke skutečnosti, že organizace nezřizované OK byly plně dofinancovány ve výši optimálního návrhu dotace, je návrh na přerozdělení vrácených FP </w:t>
      </w:r>
      <w:r w:rsidR="007C64CD">
        <w:rPr>
          <w:b/>
          <w:szCs w:val="24"/>
        </w:rPr>
        <w:t>směřován</w:t>
      </w:r>
      <w:r w:rsidRPr="007C64CD">
        <w:rPr>
          <w:b/>
          <w:szCs w:val="24"/>
        </w:rPr>
        <w:t xml:space="preserve"> na dofinancování </w:t>
      </w:r>
      <w:r w:rsidR="00687A45" w:rsidRPr="007C64CD">
        <w:rPr>
          <w:b/>
          <w:szCs w:val="24"/>
        </w:rPr>
        <w:t>PO OK.</w:t>
      </w:r>
      <w:r w:rsidR="00960DE8">
        <w:rPr>
          <w:b/>
          <w:szCs w:val="24"/>
        </w:rPr>
        <w:t xml:space="preserve"> Tento princip byl již vyjádřen v materiálu projednávaném ZOK </w:t>
      </w:r>
      <w:r w:rsidR="00960DE8">
        <w:rPr>
          <w:b/>
          <w:szCs w:val="24"/>
        </w:rPr>
        <w:lastRenderedPageBreak/>
        <w:t>dne</w:t>
      </w:r>
      <w:r w:rsidR="004D6455">
        <w:rPr>
          <w:b/>
          <w:szCs w:val="24"/>
        </w:rPr>
        <w:t xml:space="preserve"> </w:t>
      </w:r>
      <w:proofErr w:type="gramStart"/>
      <w:r w:rsidR="004D6455">
        <w:rPr>
          <w:b/>
          <w:szCs w:val="24"/>
        </w:rPr>
        <w:t>26.09.2022</w:t>
      </w:r>
      <w:proofErr w:type="gramEnd"/>
      <w:r w:rsidR="004D6455">
        <w:rPr>
          <w:b/>
          <w:szCs w:val="24"/>
        </w:rPr>
        <w:t xml:space="preserve"> </w:t>
      </w:r>
      <w:r w:rsidR="00960DE8">
        <w:rPr>
          <w:b/>
          <w:szCs w:val="24"/>
        </w:rPr>
        <w:t xml:space="preserve">(varianta </w:t>
      </w:r>
      <w:r w:rsidR="004D6455">
        <w:rPr>
          <w:b/>
          <w:szCs w:val="24"/>
        </w:rPr>
        <w:t>B materiálu); uvedený princip byl upraven tak, aby sociálním službám nebyla poskytnuta dotace nižší než 50 000 Kč.</w:t>
      </w:r>
    </w:p>
    <w:p w:rsidR="003A4758" w:rsidRDefault="009E4518" w:rsidP="003A4758">
      <w:pPr>
        <w:spacing w:line="264" w:lineRule="auto"/>
        <w:rPr>
          <w:rFonts w:eastAsia="Arial Unicode MS"/>
          <w:szCs w:val="24"/>
        </w:rPr>
      </w:pPr>
      <w:r w:rsidRPr="009E4518">
        <w:rPr>
          <w:bCs/>
          <w:szCs w:val="24"/>
        </w:rPr>
        <w:t xml:space="preserve">Dotace bude vyplácena </w:t>
      </w:r>
      <w:r w:rsidRPr="009E4518">
        <w:rPr>
          <w:rFonts w:eastAsia="Arial Unicode MS"/>
          <w:szCs w:val="24"/>
        </w:rPr>
        <w:t>formou finančního transferu na základě vztahu mezi zřizovatelem a příspěvkovou organizací, v souladu se zákonem o rozpočtových pravidlech na účet příjemce.</w:t>
      </w:r>
    </w:p>
    <w:p w:rsidR="00C57968" w:rsidRDefault="00BE7306" w:rsidP="00C57968">
      <w:pPr>
        <w:pStyle w:val="DZnadpis"/>
      </w:pPr>
      <w:r>
        <w:t xml:space="preserve">Doplňující </w:t>
      </w:r>
      <w:r w:rsidR="00C57968">
        <w:t>informace</w:t>
      </w:r>
    </w:p>
    <w:p w:rsidR="00C57968" w:rsidRDefault="00C57968" w:rsidP="00C57968">
      <w:r>
        <w:t>Dotace MZ rovněž nahrazuje finanční prostředky na zajištění sociálních služeb z rozpočtu Olomouckého kraje (či jejich část) poskytované v rámci Podprogramu č. 2 Programu.</w:t>
      </w:r>
    </w:p>
    <w:p w:rsidR="00C57968" w:rsidRDefault="00D36125" w:rsidP="00C57968">
      <w:r>
        <w:t xml:space="preserve">Souhrnné informace, včetně vyčíslených vratek </w:t>
      </w:r>
      <w:r w:rsidR="00C57968">
        <w:t>do rozpočtu Olomouckého kraje z Podprogramu č. 2 jsou uvedeny v tabulce č. 4.</w:t>
      </w:r>
    </w:p>
    <w:p w:rsidR="00B30335" w:rsidRDefault="00B30335" w:rsidP="00B30335">
      <w:pPr>
        <w:pStyle w:val="titulek0"/>
      </w:pPr>
      <w:r w:rsidRPr="006F5BB7">
        <w:t xml:space="preserve">Tabulka </w:t>
      </w:r>
      <w:r>
        <w:t xml:space="preserve">č. </w:t>
      </w:r>
      <w:r w:rsidR="00D36125">
        <w:t>4</w:t>
      </w:r>
      <w:r>
        <w:t xml:space="preserve"> – </w:t>
      </w:r>
      <w:r w:rsidR="00D36125">
        <w:t>Podprogram č. 2 (P2)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06"/>
        <w:gridCol w:w="1295"/>
        <w:gridCol w:w="1006"/>
        <w:gridCol w:w="1025"/>
        <w:gridCol w:w="1274"/>
        <w:gridCol w:w="3936"/>
      </w:tblGrid>
      <w:tr w:rsidR="00D36125" w:rsidRPr="00951C64" w:rsidTr="00D36125">
        <w:trPr>
          <w:trHeight w:val="454"/>
        </w:trPr>
        <w:tc>
          <w:tcPr>
            <w:tcW w:w="619" w:type="pct"/>
            <w:shd w:val="clear" w:color="auto" w:fill="D9D9D9" w:themeFill="background1" w:themeFillShade="D9"/>
            <w:vAlign w:val="center"/>
          </w:tcPr>
          <w:p w:rsidR="00D36125" w:rsidRPr="00951C64" w:rsidRDefault="00D36125" w:rsidP="002E1F3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951C64">
              <w:rPr>
                <w:sz w:val="20"/>
              </w:rPr>
              <w:t>Subjekt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D36125" w:rsidRPr="00951C64" w:rsidRDefault="00D36125" w:rsidP="002E1F37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Druh služby, identifikátor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D36125" w:rsidRPr="00951C64" w:rsidRDefault="00D36125" w:rsidP="002E1F37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Přiznáno P2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125" w:rsidRDefault="00D36125" w:rsidP="00D36125">
            <w:pPr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Vratka P2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D36125" w:rsidRDefault="00D36125" w:rsidP="00D36125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Konečná výše dotace P2</w:t>
            </w:r>
          </w:p>
        </w:tc>
        <w:tc>
          <w:tcPr>
            <w:tcW w:w="2020" w:type="pct"/>
            <w:shd w:val="clear" w:color="auto" w:fill="D9D9D9" w:themeFill="background1" w:themeFillShade="D9"/>
            <w:vAlign w:val="center"/>
          </w:tcPr>
          <w:p w:rsidR="00D36125" w:rsidRPr="00951C64" w:rsidRDefault="00D36125" w:rsidP="002E1F37">
            <w:pPr>
              <w:spacing w:before="0" w:line="240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Komentář</w:t>
            </w:r>
          </w:p>
        </w:tc>
      </w:tr>
      <w:tr w:rsidR="00D36125" w:rsidRPr="00951C64" w:rsidTr="00D36125">
        <w:trPr>
          <w:trHeight w:val="454"/>
        </w:trPr>
        <w:tc>
          <w:tcPr>
            <w:tcW w:w="619" w:type="pct"/>
            <w:vAlign w:val="center"/>
          </w:tcPr>
          <w:p w:rsidR="00D36125" w:rsidRDefault="00D36125" w:rsidP="002E1F3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Společnost Mana, o. p. s.</w:t>
            </w:r>
          </w:p>
        </w:tc>
        <w:tc>
          <w:tcPr>
            <w:tcW w:w="665" w:type="pct"/>
            <w:vAlign w:val="center"/>
          </w:tcPr>
          <w:p w:rsidR="00D36125" w:rsidRDefault="00D36125" w:rsidP="002E1F3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Sociální rehabilitace, 7227642</w:t>
            </w:r>
          </w:p>
        </w:tc>
        <w:tc>
          <w:tcPr>
            <w:tcW w:w="516" w:type="pct"/>
            <w:vAlign w:val="center"/>
          </w:tcPr>
          <w:p w:rsidR="00D36125" w:rsidRDefault="00D36125" w:rsidP="002E1F37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275 300</w:t>
            </w:r>
          </w:p>
        </w:tc>
        <w:tc>
          <w:tcPr>
            <w:tcW w:w="526" w:type="pct"/>
            <w:vAlign w:val="center"/>
          </w:tcPr>
          <w:p w:rsidR="00D36125" w:rsidRDefault="00D36125" w:rsidP="00D36125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275 300</w:t>
            </w:r>
          </w:p>
        </w:tc>
        <w:tc>
          <w:tcPr>
            <w:tcW w:w="654" w:type="pct"/>
            <w:vAlign w:val="center"/>
          </w:tcPr>
          <w:p w:rsidR="00D36125" w:rsidRDefault="00D36125" w:rsidP="00D36125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20" w:type="pct"/>
            <w:vAlign w:val="center"/>
          </w:tcPr>
          <w:p w:rsidR="00D36125" w:rsidRDefault="00D36125" w:rsidP="00D36125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Vratka je vyčíslena ve výši přiznaných prostředků </w:t>
            </w:r>
          </w:p>
        </w:tc>
      </w:tr>
      <w:tr w:rsidR="00D36125" w:rsidRPr="00951C64" w:rsidTr="00D36125">
        <w:trPr>
          <w:trHeight w:val="454"/>
        </w:trPr>
        <w:tc>
          <w:tcPr>
            <w:tcW w:w="619" w:type="pct"/>
            <w:vAlign w:val="center"/>
          </w:tcPr>
          <w:p w:rsidR="00D36125" w:rsidRDefault="00D36125" w:rsidP="002E1F3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Duševní zdraví, o. p. s.</w:t>
            </w:r>
          </w:p>
        </w:tc>
        <w:tc>
          <w:tcPr>
            <w:tcW w:w="665" w:type="pct"/>
            <w:vAlign w:val="center"/>
          </w:tcPr>
          <w:p w:rsidR="00D36125" w:rsidRDefault="00D36125" w:rsidP="002E1F3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Sociální rehabilitace, </w:t>
            </w:r>
          </w:p>
          <w:p w:rsidR="00D36125" w:rsidRDefault="00D36125" w:rsidP="002E1F37">
            <w:pPr>
              <w:spacing w:before="0" w:line="240" w:lineRule="auto"/>
              <w:contextualSpacing/>
              <w:jc w:val="left"/>
              <w:rPr>
                <w:sz w:val="20"/>
              </w:rPr>
            </w:pPr>
            <w:r w:rsidRPr="004D43C0">
              <w:rPr>
                <w:sz w:val="20"/>
              </w:rPr>
              <w:t>4183576</w:t>
            </w:r>
          </w:p>
        </w:tc>
        <w:tc>
          <w:tcPr>
            <w:tcW w:w="516" w:type="pct"/>
            <w:vAlign w:val="center"/>
          </w:tcPr>
          <w:p w:rsidR="00D36125" w:rsidRDefault="00D36125" w:rsidP="002E1F37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600 000</w:t>
            </w:r>
          </w:p>
        </w:tc>
        <w:tc>
          <w:tcPr>
            <w:tcW w:w="526" w:type="pct"/>
            <w:vAlign w:val="center"/>
          </w:tcPr>
          <w:p w:rsidR="00D36125" w:rsidRPr="00BA2F23" w:rsidRDefault="00D36125" w:rsidP="00D36125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466 666</w:t>
            </w:r>
          </w:p>
        </w:tc>
        <w:tc>
          <w:tcPr>
            <w:tcW w:w="654" w:type="pct"/>
            <w:vAlign w:val="center"/>
          </w:tcPr>
          <w:p w:rsidR="00D36125" w:rsidRPr="00BA2F23" w:rsidRDefault="00D36125" w:rsidP="00D36125">
            <w:pPr>
              <w:spacing w:before="0" w:line="240" w:lineRule="auto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133 334</w:t>
            </w:r>
          </w:p>
        </w:tc>
        <w:tc>
          <w:tcPr>
            <w:tcW w:w="2020" w:type="pct"/>
            <w:vAlign w:val="center"/>
          </w:tcPr>
          <w:p w:rsidR="00D36125" w:rsidRDefault="00D36125" w:rsidP="00B517E6">
            <w:pPr>
              <w:spacing w:before="0" w:line="240" w:lineRule="auto"/>
              <w:contextualSpacing/>
              <w:jc w:val="left"/>
              <w:rPr>
                <w:rFonts w:ascii="Inter" w:hAnsi="Inter" w:cs="Calibri"/>
                <w:b/>
                <w:bCs/>
                <w:color w:val="000000"/>
                <w:sz w:val="22"/>
              </w:rPr>
            </w:pPr>
            <w:r w:rsidRPr="00BA2F23">
              <w:rPr>
                <w:sz w:val="20"/>
              </w:rPr>
              <w:t xml:space="preserve">Vratka je vyčíslena ve výši části přiznaných prostředků; částí kapacity je tato sociální služba </w:t>
            </w:r>
            <w:r>
              <w:rPr>
                <w:sz w:val="20"/>
              </w:rPr>
              <w:t>oprávněným příjemcem z P2</w:t>
            </w:r>
          </w:p>
        </w:tc>
      </w:tr>
    </w:tbl>
    <w:p w:rsidR="00607656" w:rsidRPr="00186E8E" w:rsidRDefault="005C7DC5" w:rsidP="00C57968">
      <w:r>
        <w:t>V</w:t>
      </w:r>
      <w:r w:rsidR="00607656">
        <w:t xml:space="preserve">rácené finanční prostředky budou </w:t>
      </w:r>
      <w:r>
        <w:t xml:space="preserve">zapojeny </w:t>
      </w:r>
      <w:r w:rsidR="00607656">
        <w:t>do rozpočtu Olomouckého kraje.</w:t>
      </w:r>
    </w:p>
    <w:p w:rsidR="001F482F" w:rsidRPr="0039040D" w:rsidRDefault="001F482F" w:rsidP="007F5D95">
      <w:pPr>
        <w:pStyle w:val="DZnadpis"/>
      </w:pPr>
      <w:r w:rsidRPr="0039040D">
        <w:t>Schvalovací proces</w:t>
      </w:r>
    </w:p>
    <w:p w:rsidR="001F482F" w:rsidRDefault="001F482F" w:rsidP="0057433D">
      <w:pPr>
        <w:spacing w:before="0" w:line="120" w:lineRule="auto"/>
        <w:rPr>
          <w:rFonts w:eastAsia="Calibri"/>
          <w:i/>
        </w:rPr>
      </w:pPr>
    </w:p>
    <w:p w:rsidR="00276423" w:rsidRPr="00A13F85" w:rsidRDefault="001F482F" w:rsidP="003201AE">
      <w:pPr>
        <w:spacing w:line="264" w:lineRule="auto"/>
        <w:rPr>
          <w:lang w:eastAsia="en-US"/>
        </w:rPr>
      </w:pPr>
      <w:r w:rsidRPr="00A13F85">
        <w:t xml:space="preserve">Materiál byl </w:t>
      </w:r>
      <w:r w:rsidRPr="00A13F85">
        <w:rPr>
          <w:lang w:eastAsia="en-US"/>
        </w:rPr>
        <w:t xml:space="preserve">předložen na jednání Komise pro rodinu a sociální záležitosti Rady Olomouckého kraje </w:t>
      </w:r>
      <w:r w:rsidR="00276423" w:rsidRPr="00A13F85">
        <w:rPr>
          <w:lang w:eastAsia="en-US"/>
        </w:rPr>
        <w:t xml:space="preserve">(dále jen „KRSZ“) </w:t>
      </w:r>
      <w:r w:rsidRPr="00A13F85">
        <w:rPr>
          <w:lang w:eastAsia="en-US"/>
        </w:rPr>
        <w:t xml:space="preserve">dne </w:t>
      </w:r>
      <w:proofErr w:type="gramStart"/>
      <w:r w:rsidR="00276423" w:rsidRPr="00A13F85">
        <w:rPr>
          <w:lang w:eastAsia="en-US"/>
        </w:rPr>
        <w:t>10.11.2022</w:t>
      </w:r>
      <w:proofErr w:type="gramEnd"/>
      <w:r w:rsidR="00276423" w:rsidRPr="00A13F85">
        <w:rPr>
          <w:lang w:eastAsia="en-US"/>
        </w:rPr>
        <w:t xml:space="preserve">. </w:t>
      </w:r>
    </w:p>
    <w:p w:rsidR="007E5602" w:rsidRPr="00A13F85" w:rsidRDefault="00276423" w:rsidP="003201AE">
      <w:pPr>
        <w:spacing w:line="264" w:lineRule="auto"/>
        <w:rPr>
          <w:lang w:eastAsia="en-US"/>
        </w:rPr>
      </w:pPr>
      <w:r w:rsidRPr="00A13F85">
        <w:rPr>
          <w:lang w:eastAsia="en-US"/>
        </w:rPr>
        <w:t>KRSZ svým usnesením č. UK-RS/17/4/2022 doporučila Radě Olomouckého kraje</w:t>
      </w:r>
    </w:p>
    <w:p w:rsidR="00276423" w:rsidRDefault="00276423" w:rsidP="00276423">
      <w:pPr>
        <w:widowControl w:val="0"/>
        <w:spacing w:after="120"/>
        <w:ind w:left="567" w:hanging="567"/>
      </w:pPr>
      <w:r w:rsidRPr="008F2102">
        <w:rPr>
          <w:bCs/>
          <w:noProof/>
          <w:lang w:eastAsia="en-US"/>
        </w:rPr>
        <w:t xml:space="preserve">a) </w:t>
      </w:r>
      <w:r>
        <w:rPr>
          <w:bCs/>
          <w:noProof/>
          <w:lang w:eastAsia="en-US"/>
        </w:rPr>
        <w:tab/>
      </w:r>
      <w:r w:rsidRPr="00BD6C31">
        <w:rPr>
          <w:bCs/>
          <w:noProof/>
          <w:lang w:eastAsia="en-US"/>
        </w:rPr>
        <w:t>souhlasit s</w:t>
      </w:r>
      <w:r>
        <w:rPr>
          <w:bCs/>
          <w:noProof/>
          <w:lang w:eastAsia="en-US"/>
        </w:rPr>
        <w:t xml:space="preserve"> rozdělením </w:t>
      </w:r>
      <w:r>
        <w:t xml:space="preserve">nevyužitých finančních prostředků z účelově určené dotace na poskytování sociálních služeb ze státního rozpočtu (Podprogram č. 1), vrácených do rozpočtu Olomouckého kraje, příspěvkovým organizacím Olomouckého kraje </w:t>
      </w:r>
    </w:p>
    <w:p w:rsidR="00276423" w:rsidRDefault="00276423" w:rsidP="00276423">
      <w:pPr>
        <w:widowControl w:val="0"/>
        <w:spacing w:after="120"/>
        <w:ind w:left="567" w:hanging="567"/>
      </w:pPr>
      <w:r>
        <w:rPr>
          <w:bCs/>
          <w:noProof/>
          <w:lang w:eastAsia="en-US"/>
        </w:rPr>
        <w:t xml:space="preserve">b) </w:t>
      </w:r>
      <w:r>
        <w:rPr>
          <w:bCs/>
          <w:noProof/>
          <w:lang w:eastAsia="en-US"/>
        </w:rPr>
        <w:tab/>
      </w:r>
      <w:r w:rsidRPr="00BD6C31">
        <w:rPr>
          <w:bCs/>
          <w:noProof/>
          <w:lang w:eastAsia="en-US"/>
        </w:rPr>
        <w:t xml:space="preserve">předložit Zastupitelstvu Olomouckého kraje návrh na </w:t>
      </w:r>
      <w:r>
        <w:rPr>
          <w:bCs/>
          <w:noProof/>
          <w:lang w:eastAsia="en-US"/>
        </w:rPr>
        <w:t>rozdělení</w:t>
      </w:r>
      <w:r w:rsidRPr="00BD6C31">
        <w:rPr>
          <w:bCs/>
          <w:noProof/>
          <w:lang w:eastAsia="en-US"/>
        </w:rPr>
        <w:t xml:space="preserve"> </w:t>
      </w:r>
      <w:r>
        <w:t xml:space="preserve">nevyužitých finančních prostředků z účelově určené dotace na poskytování sociálních služeb ze státního rozpočtu (Podprogram č. 1), vrácených do rozpočtu Olomouckého kraje, příspěvkovým organizacím Olomouckého kraje </w:t>
      </w:r>
      <w:r w:rsidRPr="00BD6C31">
        <w:rPr>
          <w:bCs/>
          <w:noProof/>
          <w:lang w:eastAsia="en-US"/>
        </w:rPr>
        <w:t>k projednání.</w:t>
      </w:r>
    </w:p>
    <w:p w:rsidR="007A77A6" w:rsidRPr="00935CFB" w:rsidRDefault="007A77A6" w:rsidP="007F5D95">
      <w:pPr>
        <w:pStyle w:val="DZnadpis"/>
      </w:pPr>
      <w:r w:rsidRPr="00935CFB">
        <w:t>Návrh usnesení</w:t>
      </w:r>
    </w:p>
    <w:p w:rsidR="007A77A6" w:rsidRPr="00935CFB" w:rsidRDefault="007A77A6" w:rsidP="007A77A6">
      <w:pPr>
        <w:spacing w:before="0" w:line="120" w:lineRule="auto"/>
        <w:rPr>
          <w:rFonts w:eastAsia="Calibri"/>
          <w:i/>
        </w:rPr>
      </w:pPr>
    </w:p>
    <w:p w:rsidR="00AB5609" w:rsidRPr="003F0E49" w:rsidRDefault="00AB5609" w:rsidP="00AB5609">
      <w:pPr>
        <w:pStyle w:val="Zkladntextodsazendek"/>
        <w:spacing w:after="0" w:line="264" w:lineRule="auto"/>
        <w:ind w:firstLine="0"/>
        <w:rPr>
          <w:b/>
          <w:bCs/>
          <w:u w:val="single"/>
        </w:rPr>
      </w:pPr>
      <w:r w:rsidRPr="008364E8">
        <w:rPr>
          <w:b/>
          <w:bCs/>
          <w:u w:val="single"/>
        </w:rPr>
        <w:t xml:space="preserve">Rada </w:t>
      </w:r>
      <w:r w:rsidRPr="003F0E49">
        <w:rPr>
          <w:b/>
          <w:bCs/>
          <w:u w:val="single"/>
        </w:rPr>
        <w:t xml:space="preserve">Olomouckého kraje </w:t>
      </w:r>
      <w:r>
        <w:rPr>
          <w:b/>
          <w:bCs/>
          <w:u w:val="single"/>
        </w:rPr>
        <w:t xml:space="preserve">na svém jednání dne </w:t>
      </w:r>
      <w:proofErr w:type="gramStart"/>
      <w:r>
        <w:rPr>
          <w:b/>
          <w:bCs/>
          <w:u w:val="single"/>
        </w:rPr>
        <w:t>05.12.2022</w:t>
      </w:r>
      <w:proofErr w:type="gramEnd"/>
      <w:r>
        <w:rPr>
          <w:b/>
          <w:bCs/>
          <w:u w:val="single"/>
        </w:rPr>
        <w:t xml:space="preserve"> </w:t>
      </w:r>
      <w:r w:rsidRPr="003A5648">
        <w:rPr>
          <w:b/>
          <w:bCs/>
          <w:u w:val="single"/>
        </w:rPr>
        <w:t xml:space="preserve">projednala uvedené dokumenty a svým usnesením č. </w:t>
      </w:r>
      <w:r w:rsidR="008364E8" w:rsidRPr="008364E8">
        <w:rPr>
          <w:b/>
          <w:bCs/>
          <w:u w:val="single"/>
        </w:rPr>
        <w:t xml:space="preserve">UR/68/56/2022 </w:t>
      </w:r>
      <w:r w:rsidRPr="003F0E49">
        <w:rPr>
          <w:b/>
          <w:bCs/>
          <w:u w:val="single"/>
        </w:rPr>
        <w:t>doporučuje Zastupitelstvu Olomouckého kraje přijmout usnesení v tomto znění:</w:t>
      </w:r>
    </w:p>
    <w:p w:rsidR="004505CE" w:rsidRPr="00935CFB" w:rsidRDefault="004505CE" w:rsidP="004505CE">
      <w:pPr>
        <w:widowControl w:val="0"/>
        <w:spacing w:line="264" w:lineRule="auto"/>
        <w:rPr>
          <w:b/>
        </w:rPr>
      </w:pPr>
    </w:p>
    <w:p w:rsidR="00E8735B" w:rsidRDefault="00AB5609" w:rsidP="00082A31">
      <w:pPr>
        <w:spacing w:line="264" w:lineRule="auto"/>
        <w:rPr>
          <w:rFonts w:eastAsia="Calibri"/>
          <w:bCs/>
        </w:rPr>
      </w:pPr>
      <w:r>
        <w:rPr>
          <w:rFonts w:eastAsia="Calibri"/>
          <w:bCs/>
        </w:rPr>
        <w:t xml:space="preserve">Zastupitelstvo </w:t>
      </w:r>
      <w:r w:rsidR="00082A31" w:rsidRPr="00935CFB">
        <w:rPr>
          <w:rFonts w:eastAsia="Calibri"/>
          <w:bCs/>
        </w:rPr>
        <w:t xml:space="preserve">Olomouckého kraje po projednání: 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AB5609" w:rsidTr="00AB5609">
        <w:tc>
          <w:tcPr>
            <w:tcW w:w="609" w:type="dxa"/>
          </w:tcPr>
          <w:p w:rsidR="00AB5609" w:rsidRPr="009D6721" w:rsidRDefault="00AB5609" w:rsidP="009C52ED">
            <w:r>
              <w:lastRenderedPageBreak/>
              <w:t>1.</w:t>
            </w:r>
          </w:p>
        </w:tc>
        <w:tc>
          <w:tcPr>
            <w:tcW w:w="8505" w:type="dxa"/>
          </w:tcPr>
          <w:p w:rsidR="00AB5609" w:rsidRPr="00B63C75" w:rsidRDefault="00AB5609" w:rsidP="00D953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rozhoduje</w:t>
            </w:r>
            <w:r>
              <w:rPr>
                <w:szCs w:val="24"/>
              </w:rPr>
              <w:t xml:space="preserve"> </w:t>
            </w:r>
            <w:r w:rsidRPr="00B63C75">
              <w:rPr>
                <w:szCs w:val="24"/>
              </w:rPr>
              <w:t xml:space="preserve">o </w:t>
            </w:r>
            <w:r w:rsidR="00D953EF">
              <w:rPr>
                <w:szCs w:val="24"/>
              </w:rPr>
              <w:t xml:space="preserve">poskytnutí </w:t>
            </w:r>
            <w:bookmarkStart w:id="0" w:name="_GoBack"/>
            <w:bookmarkEnd w:id="0"/>
            <w:r w:rsidRPr="00B63C75">
              <w:rPr>
                <w:szCs w:val="24"/>
              </w:rPr>
              <w:t>vrácených finančních prostředků z účelově určené dotace ze státního rozpočtu v rámci Podprogramu č. 1 Programu finanční podpory poskytování sociálních služeb v Olomouckém kraji jednotlivým sociálním službám, dle přílohy usnesení č. 01</w:t>
            </w:r>
          </w:p>
        </w:tc>
      </w:tr>
    </w:tbl>
    <w:p w:rsidR="009E3D6C" w:rsidRPr="004C6C06" w:rsidRDefault="009E3D6C" w:rsidP="007F5D95">
      <w:pPr>
        <w:pStyle w:val="DZnadpis"/>
      </w:pPr>
      <w:r w:rsidRPr="004C6C06">
        <w:t>Přílohy</w:t>
      </w:r>
      <w:r w:rsidR="00514C2C" w:rsidRPr="004C6C06">
        <w:t xml:space="preserve"> usnesení</w:t>
      </w:r>
    </w:p>
    <w:p w:rsidR="00B053A9" w:rsidRDefault="0052487F" w:rsidP="004C6C06">
      <w:pPr>
        <w:spacing w:line="264" w:lineRule="auto"/>
        <w:rPr>
          <w:szCs w:val="24"/>
        </w:rPr>
      </w:pPr>
      <w:proofErr w:type="spellStart"/>
      <w:r w:rsidRPr="004C6C06">
        <w:rPr>
          <w:szCs w:val="24"/>
        </w:rPr>
        <w:t>Usnesení_příloha</w:t>
      </w:r>
      <w:proofErr w:type="spellEnd"/>
      <w:r w:rsidRPr="004C6C06">
        <w:rPr>
          <w:szCs w:val="24"/>
        </w:rPr>
        <w:t xml:space="preserve"> č. 01</w:t>
      </w:r>
      <w:r w:rsidR="000E5715" w:rsidRPr="004C6C06">
        <w:rPr>
          <w:szCs w:val="24"/>
        </w:rPr>
        <w:t xml:space="preserve"> -</w:t>
      </w:r>
      <w:r w:rsidRPr="004C6C06">
        <w:rPr>
          <w:szCs w:val="24"/>
        </w:rPr>
        <w:t xml:space="preserve"> </w:t>
      </w:r>
      <w:r w:rsidR="009E3D6C" w:rsidRPr="004C6C06">
        <w:rPr>
          <w:szCs w:val="24"/>
        </w:rPr>
        <w:t xml:space="preserve">Návrh na </w:t>
      </w:r>
      <w:r w:rsidR="00D87337" w:rsidRPr="004C6C06">
        <w:rPr>
          <w:szCs w:val="24"/>
        </w:rPr>
        <w:t xml:space="preserve">navýšení </w:t>
      </w:r>
      <w:r w:rsidR="009E3D6C" w:rsidRPr="004C6C06">
        <w:rPr>
          <w:szCs w:val="24"/>
        </w:rPr>
        <w:t>dotace</w:t>
      </w:r>
      <w:r w:rsidR="00B053A9" w:rsidRPr="004C6C06">
        <w:rPr>
          <w:szCs w:val="24"/>
        </w:rPr>
        <w:t xml:space="preserve"> </w:t>
      </w:r>
    </w:p>
    <w:p w:rsidR="00D24D3B" w:rsidRPr="004C6C06" w:rsidRDefault="00D24D3B" w:rsidP="007F5D95">
      <w:pPr>
        <w:pStyle w:val="DZnadpis"/>
      </w:pPr>
      <w:r w:rsidRPr="004C6C06">
        <w:t>Přílohy důvodové zprávy</w:t>
      </w:r>
    </w:p>
    <w:p w:rsidR="00152A8E" w:rsidRPr="00127958" w:rsidRDefault="00F36B61" w:rsidP="00341200">
      <w:pPr>
        <w:spacing w:line="264" w:lineRule="auto"/>
        <w:rPr>
          <w:noProof/>
          <w:u w:val="single"/>
        </w:rPr>
      </w:pPr>
      <w:r w:rsidRPr="00E03391">
        <w:rPr>
          <w:szCs w:val="24"/>
        </w:rPr>
        <w:t>Zpráva k</w:t>
      </w:r>
      <w:r w:rsidR="00901F4E" w:rsidRPr="00E03391">
        <w:rPr>
          <w:szCs w:val="24"/>
        </w:rPr>
        <w:t> </w:t>
      </w:r>
      <w:proofErr w:type="spellStart"/>
      <w:r w:rsidRPr="00E03391">
        <w:rPr>
          <w:szCs w:val="24"/>
        </w:rPr>
        <w:t>DZ</w:t>
      </w:r>
      <w:r w:rsidR="00901F4E" w:rsidRPr="00E03391">
        <w:rPr>
          <w:szCs w:val="24"/>
        </w:rPr>
        <w:t>_příloha</w:t>
      </w:r>
      <w:proofErr w:type="spellEnd"/>
      <w:r w:rsidR="00901F4E" w:rsidRPr="00E03391">
        <w:rPr>
          <w:szCs w:val="24"/>
        </w:rPr>
        <w:t xml:space="preserve"> č. 01</w:t>
      </w:r>
      <w:r w:rsidR="000E5715" w:rsidRPr="00E03391">
        <w:rPr>
          <w:szCs w:val="24"/>
        </w:rPr>
        <w:t xml:space="preserve"> -</w:t>
      </w:r>
      <w:r w:rsidR="00901F4E" w:rsidRPr="00E03391">
        <w:rPr>
          <w:szCs w:val="24"/>
        </w:rPr>
        <w:t xml:space="preserve"> </w:t>
      </w:r>
      <w:r w:rsidR="00E21998" w:rsidRPr="00E03391">
        <w:rPr>
          <w:rFonts w:eastAsia="Calibri"/>
        </w:rPr>
        <w:t>Rozhodnutí o poskytnutí dotace ze SR ČR na rok 2022</w:t>
      </w:r>
    </w:p>
    <w:sectPr w:rsidR="00152A8E" w:rsidRPr="00127958" w:rsidSect="00383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EC" w:rsidRDefault="00EB6BEC" w:rsidP="00E21A8D">
      <w:r>
        <w:separator/>
      </w:r>
    </w:p>
  </w:endnote>
  <w:endnote w:type="continuationSeparator" w:id="0">
    <w:p w:rsidR="00EB6BEC" w:rsidRDefault="00EB6BEC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2A" w:rsidRDefault="004555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3" w:rsidRDefault="00D953EF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41FEE575">
        <v:rect id="_x0000_i1025" style="width:0;height:1.5pt" o:hralign="center" o:hrstd="t" o:hr="t" fillcolor="gray" stroked="f"/>
      </w:pict>
    </w:r>
  </w:p>
  <w:p w:rsidR="00BA2F23" w:rsidRPr="00C533FF" w:rsidRDefault="0045552A" w:rsidP="00C533FF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BA2F23" w:rsidRPr="00C533FF">
      <w:rPr>
        <w:rFonts w:eastAsia="Times New Roman"/>
        <w:i/>
        <w:sz w:val="20"/>
        <w:szCs w:val="20"/>
      </w:rPr>
      <w:t xml:space="preserve">Olomouckého kraje </w:t>
    </w:r>
    <w:r>
      <w:rPr>
        <w:rFonts w:eastAsia="Times New Roman"/>
        <w:i/>
        <w:sz w:val="20"/>
        <w:szCs w:val="20"/>
      </w:rPr>
      <w:t>12</w:t>
    </w:r>
    <w:r w:rsidR="00BF09E7">
      <w:rPr>
        <w:rFonts w:eastAsia="Times New Roman"/>
        <w:i/>
        <w:sz w:val="20"/>
        <w:szCs w:val="20"/>
      </w:rPr>
      <w:t>.12.</w:t>
    </w:r>
    <w:r w:rsidR="00D10270">
      <w:rPr>
        <w:rFonts w:eastAsia="Times New Roman"/>
        <w:i/>
        <w:sz w:val="20"/>
        <w:szCs w:val="20"/>
      </w:rPr>
      <w:t>2022</w:t>
    </w:r>
    <w:r w:rsidR="00BA2F23" w:rsidRPr="00C533FF">
      <w:rPr>
        <w:rFonts w:eastAsia="Times New Roman"/>
        <w:i/>
        <w:sz w:val="20"/>
        <w:szCs w:val="20"/>
      </w:rPr>
      <w:tab/>
    </w:r>
    <w:r w:rsidR="00BA2F23" w:rsidRPr="00C533FF">
      <w:rPr>
        <w:rFonts w:eastAsia="Times New Roman"/>
        <w:i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D953EF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BA2F23" w:rsidRPr="00C533FF">
              <w:rPr>
                <w:rFonts w:eastAsia="Times New Roman"/>
                <w:i/>
                <w:sz w:val="20"/>
                <w:szCs w:val="20"/>
              </w:rPr>
              <w:t xml:space="preserve"> z 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instrText>NUMPAGES</w:instrTex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D953EF">
              <w:rPr>
                <w:rFonts w:eastAsia="Times New Roman"/>
                <w:bCs/>
                <w:i/>
                <w:noProof/>
                <w:sz w:val="20"/>
                <w:szCs w:val="20"/>
              </w:rPr>
              <w:t>5</w:t>
            </w:r>
            <w:r w:rsidR="00BA2F23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:rsidR="00BA2F23" w:rsidRPr="003830EC" w:rsidRDefault="0045552A" w:rsidP="00C533FF">
    <w:pPr>
      <w:tabs>
        <w:tab w:val="center" w:pos="4536"/>
        <w:tab w:val="right" w:pos="9072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62. </w:t>
    </w:r>
    <w:r w:rsidR="00BA2F23" w:rsidRPr="00C533FF">
      <w:rPr>
        <w:rFonts w:eastAsia="Times New Roman"/>
        <w:i/>
        <w:sz w:val="20"/>
        <w:szCs w:val="20"/>
      </w:rPr>
      <w:t xml:space="preserve">Program finanční podpory poskytování sociálních služeb v Olomouckém kraji, Podprogram č. </w:t>
    </w:r>
    <w:r w:rsidR="00BA2F23">
      <w:rPr>
        <w:rFonts w:eastAsia="Times New Roman"/>
        <w:i/>
        <w:sz w:val="20"/>
        <w:szCs w:val="20"/>
      </w:rPr>
      <w:t>1</w:t>
    </w:r>
    <w:r w:rsidR="00BA2F23" w:rsidRPr="00C533FF">
      <w:rPr>
        <w:rFonts w:eastAsia="Times New Roman"/>
        <w:i/>
        <w:sz w:val="20"/>
        <w:szCs w:val="20"/>
      </w:rPr>
      <w:t xml:space="preserve"> – </w:t>
    </w:r>
    <w:r w:rsidR="00D10270">
      <w:rPr>
        <w:rFonts w:eastAsia="Times New Roman"/>
        <w:i/>
        <w:sz w:val="20"/>
        <w:szCs w:val="20"/>
      </w:rPr>
      <w:t>přerozdělení vratek</w:t>
    </w:r>
    <w:r w:rsidR="00BA2F23" w:rsidRPr="00C533FF">
      <w:rPr>
        <w:rFonts w:eastAsia="Times New Roman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2A" w:rsidRDefault="00455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EC" w:rsidRDefault="00EB6BEC" w:rsidP="00E21A8D">
      <w:r>
        <w:separator/>
      </w:r>
    </w:p>
  </w:footnote>
  <w:footnote w:type="continuationSeparator" w:id="0">
    <w:p w:rsidR="00EB6BEC" w:rsidRDefault="00EB6BEC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2A" w:rsidRDefault="004555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3" w:rsidRDefault="00BA2F23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2A" w:rsidRDefault="004555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F718F"/>
    <w:multiLevelType w:val="hybridMultilevel"/>
    <w:tmpl w:val="BA864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A2A"/>
    <w:multiLevelType w:val="hybridMultilevel"/>
    <w:tmpl w:val="4442E444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57FB"/>
    <w:multiLevelType w:val="hybridMultilevel"/>
    <w:tmpl w:val="86FE244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002551"/>
    <w:multiLevelType w:val="hybridMultilevel"/>
    <w:tmpl w:val="9A9E1066"/>
    <w:lvl w:ilvl="0" w:tplc="90DE2BF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5F9D"/>
    <w:multiLevelType w:val="hybridMultilevel"/>
    <w:tmpl w:val="8EBA0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E964863"/>
    <w:multiLevelType w:val="hybridMultilevel"/>
    <w:tmpl w:val="956865C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51C88"/>
    <w:multiLevelType w:val="hybridMultilevel"/>
    <w:tmpl w:val="AD9CB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D102D"/>
    <w:multiLevelType w:val="hybridMultilevel"/>
    <w:tmpl w:val="0E949B88"/>
    <w:lvl w:ilvl="0" w:tplc="CDBC402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8571D8"/>
    <w:multiLevelType w:val="hybridMultilevel"/>
    <w:tmpl w:val="A138820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3258CF"/>
    <w:multiLevelType w:val="hybridMultilevel"/>
    <w:tmpl w:val="55CCD9DA"/>
    <w:lvl w:ilvl="0" w:tplc="04050015">
      <w:start w:val="1"/>
      <w:numFmt w:val="upp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0"/>
  </w:num>
  <w:num w:numId="11">
    <w:abstractNumId w:val="18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19"/>
  </w:num>
  <w:num w:numId="17">
    <w:abstractNumId w:val="1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15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14E4"/>
    <w:rsid w:val="00001C5B"/>
    <w:rsid w:val="00002F83"/>
    <w:rsid w:val="00005BA6"/>
    <w:rsid w:val="00007ECD"/>
    <w:rsid w:val="000104A7"/>
    <w:rsid w:val="00011838"/>
    <w:rsid w:val="00011C79"/>
    <w:rsid w:val="0001505C"/>
    <w:rsid w:val="000157BA"/>
    <w:rsid w:val="00016FCB"/>
    <w:rsid w:val="000203F3"/>
    <w:rsid w:val="00022E4B"/>
    <w:rsid w:val="00027C3F"/>
    <w:rsid w:val="00031A24"/>
    <w:rsid w:val="00031C37"/>
    <w:rsid w:val="0003200E"/>
    <w:rsid w:val="00033E0E"/>
    <w:rsid w:val="000353C3"/>
    <w:rsid w:val="00035970"/>
    <w:rsid w:val="00036F88"/>
    <w:rsid w:val="00037412"/>
    <w:rsid w:val="00041AC8"/>
    <w:rsid w:val="000436EC"/>
    <w:rsid w:val="00043CDE"/>
    <w:rsid w:val="00043D71"/>
    <w:rsid w:val="0004414C"/>
    <w:rsid w:val="00044648"/>
    <w:rsid w:val="00044E2F"/>
    <w:rsid w:val="0004510C"/>
    <w:rsid w:val="000451B5"/>
    <w:rsid w:val="00045675"/>
    <w:rsid w:val="00045D48"/>
    <w:rsid w:val="00046492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61B5"/>
    <w:rsid w:val="00066AA9"/>
    <w:rsid w:val="00067145"/>
    <w:rsid w:val="00071452"/>
    <w:rsid w:val="000715BF"/>
    <w:rsid w:val="000716E0"/>
    <w:rsid w:val="000730E9"/>
    <w:rsid w:val="00073CB1"/>
    <w:rsid w:val="000743F1"/>
    <w:rsid w:val="0007477D"/>
    <w:rsid w:val="000747D4"/>
    <w:rsid w:val="000753B4"/>
    <w:rsid w:val="000754D1"/>
    <w:rsid w:val="000759B9"/>
    <w:rsid w:val="000775F0"/>
    <w:rsid w:val="0008024A"/>
    <w:rsid w:val="000804D9"/>
    <w:rsid w:val="00082736"/>
    <w:rsid w:val="00082A31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A84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45A"/>
    <w:rsid w:val="000C2568"/>
    <w:rsid w:val="000C2BF1"/>
    <w:rsid w:val="000C307C"/>
    <w:rsid w:val="000C3A0E"/>
    <w:rsid w:val="000C3D6A"/>
    <w:rsid w:val="000C40DE"/>
    <w:rsid w:val="000C5EC9"/>
    <w:rsid w:val="000C73F9"/>
    <w:rsid w:val="000C7888"/>
    <w:rsid w:val="000D0048"/>
    <w:rsid w:val="000D0E16"/>
    <w:rsid w:val="000D10F1"/>
    <w:rsid w:val="000D1E6F"/>
    <w:rsid w:val="000D23FA"/>
    <w:rsid w:val="000D294A"/>
    <w:rsid w:val="000D527C"/>
    <w:rsid w:val="000D5E0D"/>
    <w:rsid w:val="000D60F1"/>
    <w:rsid w:val="000E391B"/>
    <w:rsid w:val="000E5715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320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147BB"/>
    <w:rsid w:val="00114C2A"/>
    <w:rsid w:val="00121235"/>
    <w:rsid w:val="00121C76"/>
    <w:rsid w:val="00124211"/>
    <w:rsid w:val="00126653"/>
    <w:rsid w:val="00127958"/>
    <w:rsid w:val="00132C5D"/>
    <w:rsid w:val="00133113"/>
    <w:rsid w:val="00134525"/>
    <w:rsid w:val="00136239"/>
    <w:rsid w:val="00136496"/>
    <w:rsid w:val="0013715D"/>
    <w:rsid w:val="00141958"/>
    <w:rsid w:val="001426D4"/>
    <w:rsid w:val="00142B20"/>
    <w:rsid w:val="00142DF2"/>
    <w:rsid w:val="00142F50"/>
    <w:rsid w:val="0014310C"/>
    <w:rsid w:val="001438B5"/>
    <w:rsid w:val="0014799E"/>
    <w:rsid w:val="00150663"/>
    <w:rsid w:val="00150A3B"/>
    <w:rsid w:val="00152A8E"/>
    <w:rsid w:val="00154431"/>
    <w:rsid w:val="0015479D"/>
    <w:rsid w:val="001602B2"/>
    <w:rsid w:val="00161097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B38"/>
    <w:rsid w:val="00175E90"/>
    <w:rsid w:val="0017758E"/>
    <w:rsid w:val="00181211"/>
    <w:rsid w:val="001812A8"/>
    <w:rsid w:val="00182357"/>
    <w:rsid w:val="001838E8"/>
    <w:rsid w:val="001860BF"/>
    <w:rsid w:val="00186E8E"/>
    <w:rsid w:val="00191813"/>
    <w:rsid w:val="00191E36"/>
    <w:rsid w:val="001922E8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A780C"/>
    <w:rsid w:val="001A7B42"/>
    <w:rsid w:val="001B04DE"/>
    <w:rsid w:val="001B04FE"/>
    <w:rsid w:val="001B1266"/>
    <w:rsid w:val="001B2435"/>
    <w:rsid w:val="001B3741"/>
    <w:rsid w:val="001B48D4"/>
    <w:rsid w:val="001B4C35"/>
    <w:rsid w:val="001B592B"/>
    <w:rsid w:val="001B6635"/>
    <w:rsid w:val="001C17BC"/>
    <w:rsid w:val="001C28CF"/>
    <w:rsid w:val="001C3ADD"/>
    <w:rsid w:val="001C3E7E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482F"/>
    <w:rsid w:val="001F6318"/>
    <w:rsid w:val="002001BB"/>
    <w:rsid w:val="00200AAC"/>
    <w:rsid w:val="00204072"/>
    <w:rsid w:val="0020542E"/>
    <w:rsid w:val="00205D1A"/>
    <w:rsid w:val="0020789E"/>
    <w:rsid w:val="00207FC6"/>
    <w:rsid w:val="0021004C"/>
    <w:rsid w:val="00210306"/>
    <w:rsid w:val="0021071A"/>
    <w:rsid w:val="00210755"/>
    <w:rsid w:val="00211045"/>
    <w:rsid w:val="00211DE3"/>
    <w:rsid w:val="00213A90"/>
    <w:rsid w:val="00215860"/>
    <w:rsid w:val="00216661"/>
    <w:rsid w:val="00216F3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26BF6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5648B"/>
    <w:rsid w:val="00260716"/>
    <w:rsid w:val="00260ACA"/>
    <w:rsid w:val="002618C1"/>
    <w:rsid w:val="00261A11"/>
    <w:rsid w:val="00262234"/>
    <w:rsid w:val="00262B1C"/>
    <w:rsid w:val="00264B25"/>
    <w:rsid w:val="002667D5"/>
    <w:rsid w:val="0027411F"/>
    <w:rsid w:val="002745C8"/>
    <w:rsid w:val="00275543"/>
    <w:rsid w:val="00276423"/>
    <w:rsid w:val="0027668B"/>
    <w:rsid w:val="00276E45"/>
    <w:rsid w:val="00277352"/>
    <w:rsid w:val="00277F54"/>
    <w:rsid w:val="00281260"/>
    <w:rsid w:val="002823FB"/>
    <w:rsid w:val="00282BB2"/>
    <w:rsid w:val="00284016"/>
    <w:rsid w:val="00284E94"/>
    <w:rsid w:val="00293FBE"/>
    <w:rsid w:val="002942D0"/>
    <w:rsid w:val="002976E7"/>
    <w:rsid w:val="00297875"/>
    <w:rsid w:val="002A0D81"/>
    <w:rsid w:val="002A25B0"/>
    <w:rsid w:val="002A2B28"/>
    <w:rsid w:val="002A40E2"/>
    <w:rsid w:val="002A458E"/>
    <w:rsid w:val="002A5FF4"/>
    <w:rsid w:val="002A6E04"/>
    <w:rsid w:val="002A77DC"/>
    <w:rsid w:val="002A7C1A"/>
    <w:rsid w:val="002B14CC"/>
    <w:rsid w:val="002B1775"/>
    <w:rsid w:val="002B2515"/>
    <w:rsid w:val="002B3261"/>
    <w:rsid w:val="002B3A44"/>
    <w:rsid w:val="002B4B98"/>
    <w:rsid w:val="002B5FD6"/>
    <w:rsid w:val="002B61B6"/>
    <w:rsid w:val="002C23F6"/>
    <w:rsid w:val="002C3D4F"/>
    <w:rsid w:val="002C4728"/>
    <w:rsid w:val="002C5973"/>
    <w:rsid w:val="002C5EF0"/>
    <w:rsid w:val="002C60F8"/>
    <w:rsid w:val="002C611C"/>
    <w:rsid w:val="002C79FB"/>
    <w:rsid w:val="002D0597"/>
    <w:rsid w:val="002D095C"/>
    <w:rsid w:val="002D1D19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365E"/>
    <w:rsid w:val="002F6468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5671"/>
    <w:rsid w:val="0031759B"/>
    <w:rsid w:val="003201AE"/>
    <w:rsid w:val="0032041E"/>
    <w:rsid w:val="003229FA"/>
    <w:rsid w:val="00322BE1"/>
    <w:rsid w:val="00324FEB"/>
    <w:rsid w:val="00330AE1"/>
    <w:rsid w:val="003321EC"/>
    <w:rsid w:val="003346E7"/>
    <w:rsid w:val="00337C0D"/>
    <w:rsid w:val="00340A0F"/>
    <w:rsid w:val="00341200"/>
    <w:rsid w:val="003444C4"/>
    <w:rsid w:val="003445DD"/>
    <w:rsid w:val="003454E3"/>
    <w:rsid w:val="00347030"/>
    <w:rsid w:val="00351C44"/>
    <w:rsid w:val="00352067"/>
    <w:rsid w:val="00352F24"/>
    <w:rsid w:val="00352F88"/>
    <w:rsid w:val="003531A4"/>
    <w:rsid w:val="00353613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A37"/>
    <w:rsid w:val="00364F86"/>
    <w:rsid w:val="0036586D"/>
    <w:rsid w:val="00365D0F"/>
    <w:rsid w:val="00366173"/>
    <w:rsid w:val="00366F32"/>
    <w:rsid w:val="00367AD4"/>
    <w:rsid w:val="003739EC"/>
    <w:rsid w:val="00374F10"/>
    <w:rsid w:val="003756B4"/>
    <w:rsid w:val="003772A6"/>
    <w:rsid w:val="00381DAB"/>
    <w:rsid w:val="003830EC"/>
    <w:rsid w:val="00383A5B"/>
    <w:rsid w:val="00385529"/>
    <w:rsid w:val="00386498"/>
    <w:rsid w:val="003868E9"/>
    <w:rsid w:val="0039040D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4758"/>
    <w:rsid w:val="003A56E4"/>
    <w:rsid w:val="003A5C57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0B89"/>
    <w:rsid w:val="003C21F4"/>
    <w:rsid w:val="003C34D1"/>
    <w:rsid w:val="003C486A"/>
    <w:rsid w:val="003C5EA5"/>
    <w:rsid w:val="003C6C0B"/>
    <w:rsid w:val="003C7533"/>
    <w:rsid w:val="003D3D98"/>
    <w:rsid w:val="003D4101"/>
    <w:rsid w:val="003D4323"/>
    <w:rsid w:val="003D524E"/>
    <w:rsid w:val="003D7BB3"/>
    <w:rsid w:val="003E0653"/>
    <w:rsid w:val="003E0868"/>
    <w:rsid w:val="003E2814"/>
    <w:rsid w:val="003E44C3"/>
    <w:rsid w:val="003E5199"/>
    <w:rsid w:val="003E5641"/>
    <w:rsid w:val="003E5FA6"/>
    <w:rsid w:val="003F0236"/>
    <w:rsid w:val="003F54F4"/>
    <w:rsid w:val="003F5784"/>
    <w:rsid w:val="00400AF3"/>
    <w:rsid w:val="0040195A"/>
    <w:rsid w:val="00402551"/>
    <w:rsid w:val="004028DE"/>
    <w:rsid w:val="004049F0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463D"/>
    <w:rsid w:val="0042525A"/>
    <w:rsid w:val="0042534F"/>
    <w:rsid w:val="00430087"/>
    <w:rsid w:val="00431ED7"/>
    <w:rsid w:val="00436CB7"/>
    <w:rsid w:val="00440921"/>
    <w:rsid w:val="00440D75"/>
    <w:rsid w:val="00442394"/>
    <w:rsid w:val="00442811"/>
    <w:rsid w:val="00443919"/>
    <w:rsid w:val="00445085"/>
    <w:rsid w:val="0044597B"/>
    <w:rsid w:val="00446D2F"/>
    <w:rsid w:val="00446E8D"/>
    <w:rsid w:val="00447C83"/>
    <w:rsid w:val="004505CE"/>
    <w:rsid w:val="004538C4"/>
    <w:rsid w:val="00453B4B"/>
    <w:rsid w:val="00454182"/>
    <w:rsid w:val="004551BA"/>
    <w:rsid w:val="0045552A"/>
    <w:rsid w:val="00455AB1"/>
    <w:rsid w:val="004567E7"/>
    <w:rsid w:val="00457A81"/>
    <w:rsid w:val="00461DFA"/>
    <w:rsid w:val="00462234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7769A"/>
    <w:rsid w:val="004800F1"/>
    <w:rsid w:val="004807D0"/>
    <w:rsid w:val="00482643"/>
    <w:rsid w:val="00482F02"/>
    <w:rsid w:val="004832C8"/>
    <w:rsid w:val="004841E5"/>
    <w:rsid w:val="0048461E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03D4"/>
    <w:rsid w:val="004A096A"/>
    <w:rsid w:val="004A194E"/>
    <w:rsid w:val="004A2275"/>
    <w:rsid w:val="004A3D8E"/>
    <w:rsid w:val="004A4D59"/>
    <w:rsid w:val="004A5F19"/>
    <w:rsid w:val="004A64C3"/>
    <w:rsid w:val="004A7E1A"/>
    <w:rsid w:val="004B10AC"/>
    <w:rsid w:val="004B4752"/>
    <w:rsid w:val="004B76FD"/>
    <w:rsid w:val="004C0AA3"/>
    <w:rsid w:val="004C15F8"/>
    <w:rsid w:val="004C1D4D"/>
    <w:rsid w:val="004C2B77"/>
    <w:rsid w:val="004C3487"/>
    <w:rsid w:val="004C3555"/>
    <w:rsid w:val="004C634B"/>
    <w:rsid w:val="004C6BEA"/>
    <w:rsid w:val="004C6C06"/>
    <w:rsid w:val="004C6E52"/>
    <w:rsid w:val="004C70C2"/>
    <w:rsid w:val="004C71FF"/>
    <w:rsid w:val="004C7438"/>
    <w:rsid w:val="004D096F"/>
    <w:rsid w:val="004D114E"/>
    <w:rsid w:val="004D43C0"/>
    <w:rsid w:val="004D4762"/>
    <w:rsid w:val="004D6455"/>
    <w:rsid w:val="004D69B1"/>
    <w:rsid w:val="004E073D"/>
    <w:rsid w:val="004E124B"/>
    <w:rsid w:val="004E1CD5"/>
    <w:rsid w:val="004E33FF"/>
    <w:rsid w:val="004E5182"/>
    <w:rsid w:val="004E5409"/>
    <w:rsid w:val="004E5B83"/>
    <w:rsid w:val="004E6C6A"/>
    <w:rsid w:val="004E77CA"/>
    <w:rsid w:val="004F0BDD"/>
    <w:rsid w:val="004F2588"/>
    <w:rsid w:val="004F2F12"/>
    <w:rsid w:val="004F2FFB"/>
    <w:rsid w:val="004F41DA"/>
    <w:rsid w:val="004F4B2B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0B0"/>
    <w:rsid w:val="00511F4B"/>
    <w:rsid w:val="00513875"/>
    <w:rsid w:val="005138A0"/>
    <w:rsid w:val="005144D0"/>
    <w:rsid w:val="00514C2C"/>
    <w:rsid w:val="005172F6"/>
    <w:rsid w:val="00521071"/>
    <w:rsid w:val="0052280D"/>
    <w:rsid w:val="00523DF9"/>
    <w:rsid w:val="0052487F"/>
    <w:rsid w:val="00525EB9"/>
    <w:rsid w:val="00526350"/>
    <w:rsid w:val="00526777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36052"/>
    <w:rsid w:val="00541B90"/>
    <w:rsid w:val="0054237C"/>
    <w:rsid w:val="00545CFE"/>
    <w:rsid w:val="005469FB"/>
    <w:rsid w:val="00546E09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270F"/>
    <w:rsid w:val="0057433D"/>
    <w:rsid w:val="00574CE7"/>
    <w:rsid w:val="00575374"/>
    <w:rsid w:val="00576275"/>
    <w:rsid w:val="00577CC4"/>
    <w:rsid w:val="0058131E"/>
    <w:rsid w:val="005839CD"/>
    <w:rsid w:val="00584164"/>
    <w:rsid w:val="00584890"/>
    <w:rsid w:val="0058513E"/>
    <w:rsid w:val="0058533F"/>
    <w:rsid w:val="00585815"/>
    <w:rsid w:val="005860D7"/>
    <w:rsid w:val="0058647E"/>
    <w:rsid w:val="005872F0"/>
    <w:rsid w:val="0058748B"/>
    <w:rsid w:val="00591197"/>
    <w:rsid w:val="00591821"/>
    <w:rsid w:val="00591825"/>
    <w:rsid w:val="0059389D"/>
    <w:rsid w:val="0059401A"/>
    <w:rsid w:val="005943C0"/>
    <w:rsid w:val="00596544"/>
    <w:rsid w:val="0059655A"/>
    <w:rsid w:val="00597A51"/>
    <w:rsid w:val="00597C68"/>
    <w:rsid w:val="005A10D8"/>
    <w:rsid w:val="005A24DE"/>
    <w:rsid w:val="005A339F"/>
    <w:rsid w:val="005A37C4"/>
    <w:rsid w:val="005A4430"/>
    <w:rsid w:val="005A48B6"/>
    <w:rsid w:val="005A6FCD"/>
    <w:rsid w:val="005A7269"/>
    <w:rsid w:val="005A7599"/>
    <w:rsid w:val="005B0C4D"/>
    <w:rsid w:val="005B4239"/>
    <w:rsid w:val="005B45D0"/>
    <w:rsid w:val="005B4BFA"/>
    <w:rsid w:val="005B6017"/>
    <w:rsid w:val="005C0609"/>
    <w:rsid w:val="005C09D8"/>
    <w:rsid w:val="005C10B6"/>
    <w:rsid w:val="005C26EE"/>
    <w:rsid w:val="005C2924"/>
    <w:rsid w:val="005C376E"/>
    <w:rsid w:val="005C53FC"/>
    <w:rsid w:val="005C548C"/>
    <w:rsid w:val="005C6E9E"/>
    <w:rsid w:val="005C7094"/>
    <w:rsid w:val="005C7DC5"/>
    <w:rsid w:val="005D008C"/>
    <w:rsid w:val="005D179C"/>
    <w:rsid w:val="005D37F6"/>
    <w:rsid w:val="005D40F0"/>
    <w:rsid w:val="005D41AC"/>
    <w:rsid w:val="005D727E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1378"/>
    <w:rsid w:val="006014FF"/>
    <w:rsid w:val="00605775"/>
    <w:rsid w:val="00607656"/>
    <w:rsid w:val="00607F57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99C"/>
    <w:rsid w:val="00623E08"/>
    <w:rsid w:val="006245FC"/>
    <w:rsid w:val="006247EE"/>
    <w:rsid w:val="00625F82"/>
    <w:rsid w:val="00626393"/>
    <w:rsid w:val="00631B63"/>
    <w:rsid w:val="00633192"/>
    <w:rsid w:val="00633C3F"/>
    <w:rsid w:val="00634EED"/>
    <w:rsid w:val="0063561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1D34"/>
    <w:rsid w:val="006539B2"/>
    <w:rsid w:val="00653DAF"/>
    <w:rsid w:val="006558B0"/>
    <w:rsid w:val="00655D8E"/>
    <w:rsid w:val="00655FCE"/>
    <w:rsid w:val="0065718D"/>
    <w:rsid w:val="00661E0E"/>
    <w:rsid w:val="00663243"/>
    <w:rsid w:val="0066425F"/>
    <w:rsid w:val="00664FA7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0D37"/>
    <w:rsid w:val="00681598"/>
    <w:rsid w:val="00682E75"/>
    <w:rsid w:val="006836EE"/>
    <w:rsid w:val="00683806"/>
    <w:rsid w:val="00683851"/>
    <w:rsid w:val="006845EA"/>
    <w:rsid w:val="00686940"/>
    <w:rsid w:val="00687A45"/>
    <w:rsid w:val="0069141F"/>
    <w:rsid w:val="00691598"/>
    <w:rsid w:val="00692430"/>
    <w:rsid w:val="006925EC"/>
    <w:rsid w:val="006938C3"/>
    <w:rsid w:val="00696685"/>
    <w:rsid w:val="006A0E45"/>
    <w:rsid w:val="006A2EB5"/>
    <w:rsid w:val="006A35C0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B67"/>
    <w:rsid w:val="006D2F42"/>
    <w:rsid w:val="006D2F9C"/>
    <w:rsid w:val="006D3506"/>
    <w:rsid w:val="006D4322"/>
    <w:rsid w:val="006D45DD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5BB7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2E09"/>
    <w:rsid w:val="0071451B"/>
    <w:rsid w:val="00714D07"/>
    <w:rsid w:val="00716273"/>
    <w:rsid w:val="00716570"/>
    <w:rsid w:val="00723275"/>
    <w:rsid w:val="00723547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032"/>
    <w:rsid w:val="00737B7F"/>
    <w:rsid w:val="00740DCF"/>
    <w:rsid w:val="007419AC"/>
    <w:rsid w:val="00741A2F"/>
    <w:rsid w:val="00741A38"/>
    <w:rsid w:val="007422B5"/>
    <w:rsid w:val="00745374"/>
    <w:rsid w:val="00745B5F"/>
    <w:rsid w:val="00746804"/>
    <w:rsid w:val="0074681B"/>
    <w:rsid w:val="00746C08"/>
    <w:rsid w:val="00751C7B"/>
    <w:rsid w:val="00752AFF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C23"/>
    <w:rsid w:val="00766F24"/>
    <w:rsid w:val="00767ACD"/>
    <w:rsid w:val="00770B64"/>
    <w:rsid w:val="00772602"/>
    <w:rsid w:val="00772D38"/>
    <w:rsid w:val="00773450"/>
    <w:rsid w:val="0077349B"/>
    <w:rsid w:val="00773E32"/>
    <w:rsid w:val="00775381"/>
    <w:rsid w:val="00777B31"/>
    <w:rsid w:val="0078054D"/>
    <w:rsid w:val="00780920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A0443"/>
    <w:rsid w:val="007A1F87"/>
    <w:rsid w:val="007A63D6"/>
    <w:rsid w:val="007A6433"/>
    <w:rsid w:val="007A70E7"/>
    <w:rsid w:val="007A77A6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229"/>
    <w:rsid w:val="007C347F"/>
    <w:rsid w:val="007C3549"/>
    <w:rsid w:val="007C4D51"/>
    <w:rsid w:val="007C5931"/>
    <w:rsid w:val="007C64CD"/>
    <w:rsid w:val="007C7ED3"/>
    <w:rsid w:val="007D1293"/>
    <w:rsid w:val="007D2609"/>
    <w:rsid w:val="007D32CA"/>
    <w:rsid w:val="007D5BB3"/>
    <w:rsid w:val="007D7C9D"/>
    <w:rsid w:val="007E07CF"/>
    <w:rsid w:val="007E1057"/>
    <w:rsid w:val="007E2934"/>
    <w:rsid w:val="007E2FD7"/>
    <w:rsid w:val="007E488D"/>
    <w:rsid w:val="007E4D86"/>
    <w:rsid w:val="007E5602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7F5D95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364E8"/>
    <w:rsid w:val="00837BAC"/>
    <w:rsid w:val="00841B0C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572A7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D68"/>
    <w:rsid w:val="00883F9C"/>
    <w:rsid w:val="008846BA"/>
    <w:rsid w:val="00886164"/>
    <w:rsid w:val="00887D69"/>
    <w:rsid w:val="00890481"/>
    <w:rsid w:val="008905B2"/>
    <w:rsid w:val="00890EB2"/>
    <w:rsid w:val="008920EB"/>
    <w:rsid w:val="008939FE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2C16"/>
    <w:rsid w:val="008D7AE8"/>
    <w:rsid w:val="008E1A23"/>
    <w:rsid w:val="008E3415"/>
    <w:rsid w:val="008E44F2"/>
    <w:rsid w:val="008E59B6"/>
    <w:rsid w:val="008E7280"/>
    <w:rsid w:val="008E7A9E"/>
    <w:rsid w:val="008E7FDD"/>
    <w:rsid w:val="008F0987"/>
    <w:rsid w:val="008F2E40"/>
    <w:rsid w:val="008F69DB"/>
    <w:rsid w:val="00900482"/>
    <w:rsid w:val="00900552"/>
    <w:rsid w:val="00900BC1"/>
    <w:rsid w:val="00901210"/>
    <w:rsid w:val="00901F4E"/>
    <w:rsid w:val="00902E9F"/>
    <w:rsid w:val="0090357D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17E83"/>
    <w:rsid w:val="00920EF5"/>
    <w:rsid w:val="009223F8"/>
    <w:rsid w:val="009234CF"/>
    <w:rsid w:val="00923D9B"/>
    <w:rsid w:val="009240F8"/>
    <w:rsid w:val="009242A7"/>
    <w:rsid w:val="009248F3"/>
    <w:rsid w:val="00925E8A"/>
    <w:rsid w:val="009262C8"/>
    <w:rsid w:val="00935CCF"/>
    <w:rsid w:val="00935CFB"/>
    <w:rsid w:val="009366A9"/>
    <w:rsid w:val="0093671E"/>
    <w:rsid w:val="00937DFD"/>
    <w:rsid w:val="00940926"/>
    <w:rsid w:val="00940B17"/>
    <w:rsid w:val="009410C0"/>
    <w:rsid w:val="00941E64"/>
    <w:rsid w:val="009422AA"/>
    <w:rsid w:val="00944501"/>
    <w:rsid w:val="009451D0"/>
    <w:rsid w:val="00945C5B"/>
    <w:rsid w:val="00946BE1"/>
    <w:rsid w:val="00950520"/>
    <w:rsid w:val="00951C64"/>
    <w:rsid w:val="00952A18"/>
    <w:rsid w:val="00953916"/>
    <w:rsid w:val="009556CC"/>
    <w:rsid w:val="00957F12"/>
    <w:rsid w:val="00957F64"/>
    <w:rsid w:val="00960704"/>
    <w:rsid w:val="00960DE8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0BB7"/>
    <w:rsid w:val="0098100A"/>
    <w:rsid w:val="00981223"/>
    <w:rsid w:val="009824E3"/>
    <w:rsid w:val="00983378"/>
    <w:rsid w:val="0098340E"/>
    <w:rsid w:val="00983A28"/>
    <w:rsid w:val="00984B32"/>
    <w:rsid w:val="00984FA7"/>
    <w:rsid w:val="00985851"/>
    <w:rsid w:val="00986327"/>
    <w:rsid w:val="009873AE"/>
    <w:rsid w:val="00992D4B"/>
    <w:rsid w:val="00995DDD"/>
    <w:rsid w:val="009A1777"/>
    <w:rsid w:val="009A27A4"/>
    <w:rsid w:val="009A5CED"/>
    <w:rsid w:val="009A7C73"/>
    <w:rsid w:val="009B5CF5"/>
    <w:rsid w:val="009B66EA"/>
    <w:rsid w:val="009B681D"/>
    <w:rsid w:val="009B6F95"/>
    <w:rsid w:val="009B709B"/>
    <w:rsid w:val="009C03D1"/>
    <w:rsid w:val="009C10AC"/>
    <w:rsid w:val="009C1D01"/>
    <w:rsid w:val="009C26CA"/>
    <w:rsid w:val="009C28B2"/>
    <w:rsid w:val="009C2B54"/>
    <w:rsid w:val="009C49BD"/>
    <w:rsid w:val="009C4A10"/>
    <w:rsid w:val="009C517E"/>
    <w:rsid w:val="009C5501"/>
    <w:rsid w:val="009C6AF9"/>
    <w:rsid w:val="009D05AB"/>
    <w:rsid w:val="009D1928"/>
    <w:rsid w:val="009D2E9D"/>
    <w:rsid w:val="009D47F5"/>
    <w:rsid w:val="009D4DC5"/>
    <w:rsid w:val="009D58AB"/>
    <w:rsid w:val="009D5CB8"/>
    <w:rsid w:val="009D62FF"/>
    <w:rsid w:val="009D79A3"/>
    <w:rsid w:val="009D7B7C"/>
    <w:rsid w:val="009E1C38"/>
    <w:rsid w:val="009E3D6C"/>
    <w:rsid w:val="009E4518"/>
    <w:rsid w:val="009E4BE0"/>
    <w:rsid w:val="009E5164"/>
    <w:rsid w:val="009E5E9F"/>
    <w:rsid w:val="009E7AF7"/>
    <w:rsid w:val="009F0906"/>
    <w:rsid w:val="009F14A6"/>
    <w:rsid w:val="009F14AA"/>
    <w:rsid w:val="009F1EFD"/>
    <w:rsid w:val="009F335E"/>
    <w:rsid w:val="009F7F0F"/>
    <w:rsid w:val="00A01874"/>
    <w:rsid w:val="00A01DC8"/>
    <w:rsid w:val="00A02140"/>
    <w:rsid w:val="00A03D8B"/>
    <w:rsid w:val="00A05843"/>
    <w:rsid w:val="00A065D2"/>
    <w:rsid w:val="00A100E2"/>
    <w:rsid w:val="00A106BF"/>
    <w:rsid w:val="00A11E9F"/>
    <w:rsid w:val="00A13CE0"/>
    <w:rsid w:val="00A13F85"/>
    <w:rsid w:val="00A151AA"/>
    <w:rsid w:val="00A16FC3"/>
    <w:rsid w:val="00A20BAF"/>
    <w:rsid w:val="00A21A2C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0229"/>
    <w:rsid w:val="00A43E3F"/>
    <w:rsid w:val="00A43FBD"/>
    <w:rsid w:val="00A44181"/>
    <w:rsid w:val="00A443C0"/>
    <w:rsid w:val="00A450B1"/>
    <w:rsid w:val="00A45916"/>
    <w:rsid w:val="00A465C1"/>
    <w:rsid w:val="00A46CF5"/>
    <w:rsid w:val="00A474E9"/>
    <w:rsid w:val="00A52D3D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12D"/>
    <w:rsid w:val="00A717A0"/>
    <w:rsid w:val="00A71EF7"/>
    <w:rsid w:val="00A74DFF"/>
    <w:rsid w:val="00A760D4"/>
    <w:rsid w:val="00A76709"/>
    <w:rsid w:val="00A80B8B"/>
    <w:rsid w:val="00A824CD"/>
    <w:rsid w:val="00A82A8E"/>
    <w:rsid w:val="00A8328F"/>
    <w:rsid w:val="00A840BB"/>
    <w:rsid w:val="00A8417D"/>
    <w:rsid w:val="00A85461"/>
    <w:rsid w:val="00A85DB9"/>
    <w:rsid w:val="00A865C3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41C6"/>
    <w:rsid w:val="00AA5231"/>
    <w:rsid w:val="00AA7311"/>
    <w:rsid w:val="00AA7751"/>
    <w:rsid w:val="00AB0EE4"/>
    <w:rsid w:val="00AB188A"/>
    <w:rsid w:val="00AB46C0"/>
    <w:rsid w:val="00AB5609"/>
    <w:rsid w:val="00AB62F8"/>
    <w:rsid w:val="00AB6515"/>
    <w:rsid w:val="00AB70A5"/>
    <w:rsid w:val="00AB7807"/>
    <w:rsid w:val="00AC0CF8"/>
    <w:rsid w:val="00AC120B"/>
    <w:rsid w:val="00AC20C0"/>
    <w:rsid w:val="00AC41EA"/>
    <w:rsid w:val="00AD14D3"/>
    <w:rsid w:val="00AD1580"/>
    <w:rsid w:val="00AD2A5B"/>
    <w:rsid w:val="00AD5596"/>
    <w:rsid w:val="00AD7517"/>
    <w:rsid w:val="00AE18C7"/>
    <w:rsid w:val="00AE36AC"/>
    <w:rsid w:val="00AE3AB2"/>
    <w:rsid w:val="00AE56CA"/>
    <w:rsid w:val="00AF020A"/>
    <w:rsid w:val="00AF04EA"/>
    <w:rsid w:val="00AF121E"/>
    <w:rsid w:val="00AF1568"/>
    <w:rsid w:val="00AF3D81"/>
    <w:rsid w:val="00AF5357"/>
    <w:rsid w:val="00AF73F5"/>
    <w:rsid w:val="00B000B6"/>
    <w:rsid w:val="00B027F6"/>
    <w:rsid w:val="00B03D74"/>
    <w:rsid w:val="00B0404F"/>
    <w:rsid w:val="00B04ABA"/>
    <w:rsid w:val="00B053A9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770"/>
    <w:rsid w:val="00B26900"/>
    <w:rsid w:val="00B270B7"/>
    <w:rsid w:val="00B30335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7E6"/>
    <w:rsid w:val="00B5190A"/>
    <w:rsid w:val="00B51CA2"/>
    <w:rsid w:val="00B51F76"/>
    <w:rsid w:val="00B52B47"/>
    <w:rsid w:val="00B537B8"/>
    <w:rsid w:val="00B53924"/>
    <w:rsid w:val="00B5394E"/>
    <w:rsid w:val="00B54D69"/>
    <w:rsid w:val="00B57CFF"/>
    <w:rsid w:val="00B60B04"/>
    <w:rsid w:val="00B61952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21F"/>
    <w:rsid w:val="00B753EA"/>
    <w:rsid w:val="00B755C7"/>
    <w:rsid w:val="00B75780"/>
    <w:rsid w:val="00B80DDC"/>
    <w:rsid w:val="00B81A4A"/>
    <w:rsid w:val="00B8244B"/>
    <w:rsid w:val="00B82D56"/>
    <w:rsid w:val="00B832BA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960C3"/>
    <w:rsid w:val="00BA01B3"/>
    <w:rsid w:val="00BA04C4"/>
    <w:rsid w:val="00BA2F23"/>
    <w:rsid w:val="00BA4B62"/>
    <w:rsid w:val="00BA5192"/>
    <w:rsid w:val="00BB1428"/>
    <w:rsid w:val="00BB44A8"/>
    <w:rsid w:val="00BB67D2"/>
    <w:rsid w:val="00BB6B20"/>
    <w:rsid w:val="00BB6F09"/>
    <w:rsid w:val="00BB7527"/>
    <w:rsid w:val="00BC1387"/>
    <w:rsid w:val="00BC2739"/>
    <w:rsid w:val="00BC3365"/>
    <w:rsid w:val="00BC3BDD"/>
    <w:rsid w:val="00BC6F3E"/>
    <w:rsid w:val="00BD0EBC"/>
    <w:rsid w:val="00BD1C7E"/>
    <w:rsid w:val="00BD7CF5"/>
    <w:rsid w:val="00BE106A"/>
    <w:rsid w:val="00BE1B79"/>
    <w:rsid w:val="00BE274D"/>
    <w:rsid w:val="00BE45A2"/>
    <w:rsid w:val="00BE463F"/>
    <w:rsid w:val="00BE4B7A"/>
    <w:rsid w:val="00BE68D2"/>
    <w:rsid w:val="00BE7093"/>
    <w:rsid w:val="00BE7306"/>
    <w:rsid w:val="00BE7FE6"/>
    <w:rsid w:val="00BF04E3"/>
    <w:rsid w:val="00BF09E7"/>
    <w:rsid w:val="00BF0EA6"/>
    <w:rsid w:val="00BF17D0"/>
    <w:rsid w:val="00BF2976"/>
    <w:rsid w:val="00BF4835"/>
    <w:rsid w:val="00BF4B95"/>
    <w:rsid w:val="00BF5633"/>
    <w:rsid w:val="00BF5A48"/>
    <w:rsid w:val="00C00318"/>
    <w:rsid w:val="00C00826"/>
    <w:rsid w:val="00C010D9"/>
    <w:rsid w:val="00C01788"/>
    <w:rsid w:val="00C01CB9"/>
    <w:rsid w:val="00C03CFB"/>
    <w:rsid w:val="00C05890"/>
    <w:rsid w:val="00C065FF"/>
    <w:rsid w:val="00C07733"/>
    <w:rsid w:val="00C10DD5"/>
    <w:rsid w:val="00C12426"/>
    <w:rsid w:val="00C1372A"/>
    <w:rsid w:val="00C1533D"/>
    <w:rsid w:val="00C17053"/>
    <w:rsid w:val="00C20DF6"/>
    <w:rsid w:val="00C20EC8"/>
    <w:rsid w:val="00C2121D"/>
    <w:rsid w:val="00C2265F"/>
    <w:rsid w:val="00C23010"/>
    <w:rsid w:val="00C2343B"/>
    <w:rsid w:val="00C2365D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278"/>
    <w:rsid w:val="00C474A4"/>
    <w:rsid w:val="00C47E90"/>
    <w:rsid w:val="00C510B7"/>
    <w:rsid w:val="00C51CAD"/>
    <w:rsid w:val="00C51FAD"/>
    <w:rsid w:val="00C52EB6"/>
    <w:rsid w:val="00C533FF"/>
    <w:rsid w:val="00C54354"/>
    <w:rsid w:val="00C54619"/>
    <w:rsid w:val="00C57968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7712E"/>
    <w:rsid w:val="00C8223C"/>
    <w:rsid w:val="00C8746B"/>
    <w:rsid w:val="00C87A0F"/>
    <w:rsid w:val="00C90F51"/>
    <w:rsid w:val="00C91C1D"/>
    <w:rsid w:val="00C9200C"/>
    <w:rsid w:val="00C95142"/>
    <w:rsid w:val="00C965D0"/>
    <w:rsid w:val="00C9775D"/>
    <w:rsid w:val="00C97E2C"/>
    <w:rsid w:val="00CA135C"/>
    <w:rsid w:val="00CA15B2"/>
    <w:rsid w:val="00CA285C"/>
    <w:rsid w:val="00CA3487"/>
    <w:rsid w:val="00CA454C"/>
    <w:rsid w:val="00CA5CDD"/>
    <w:rsid w:val="00CA7405"/>
    <w:rsid w:val="00CA75A0"/>
    <w:rsid w:val="00CB01D0"/>
    <w:rsid w:val="00CB0504"/>
    <w:rsid w:val="00CB2ED6"/>
    <w:rsid w:val="00CB3033"/>
    <w:rsid w:val="00CB72D3"/>
    <w:rsid w:val="00CB766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38FF"/>
    <w:rsid w:val="00CE51CD"/>
    <w:rsid w:val="00CE58CD"/>
    <w:rsid w:val="00CE5A51"/>
    <w:rsid w:val="00CF05AA"/>
    <w:rsid w:val="00CF3A26"/>
    <w:rsid w:val="00CF5093"/>
    <w:rsid w:val="00CF5B31"/>
    <w:rsid w:val="00CF5E5B"/>
    <w:rsid w:val="00CF6373"/>
    <w:rsid w:val="00CF6C12"/>
    <w:rsid w:val="00D01A6B"/>
    <w:rsid w:val="00D025E7"/>
    <w:rsid w:val="00D041CF"/>
    <w:rsid w:val="00D04B6B"/>
    <w:rsid w:val="00D04CF9"/>
    <w:rsid w:val="00D10270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6980"/>
    <w:rsid w:val="00D179F9"/>
    <w:rsid w:val="00D20B64"/>
    <w:rsid w:val="00D21BC2"/>
    <w:rsid w:val="00D21F05"/>
    <w:rsid w:val="00D22989"/>
    <w:rsid w:val="00D23AA4"/>
    <w:rsid w:val="00D24203"/>
    <w:rsid w:val="00D24D3B"/>
    <w:rsid w:val="00D25AB1"/>
    <w:rsid w:val="00D26845"/>
    <w:rsid w:val="00D26DAC"/>
    <w:rsid w:val="00D270A9"/>
    <w:rsid w:val="00D31671"/>
    <w:rsid w:val="00D32225"/>
    <w:rsid w:val="00D35A0D"/>
    <w:rsid w:val="00D3607B"/>
    <w:rsid w:val="00D36125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57CA1"/>
    <w:rsid w:val="00D625D9"/>
    <w:rsid w:val="00D63195"/>
    <w:rsid w:val="00D65028"/>
    <w:rsid w:val="00D65B10"/>
    <w:rsid w:val="00D70C45"/>
    <w:rsid w:val="00D7158B"/>
    <w:rsid w:val="00D758DA"/>
    <w:rsid w:val="00D75D0F"/>
    <w:rsid w:val="00D775E3"/>
    <w:rsid w:val="00D77C2C"/>
    <w:rsid w:val="00D80D60"/>
    <w:rsid w:val="00D8199B"/>
    <w:rsid w:val="00D821DE"/>
    <w:rsid w:val="00D84FD6"/>
    <w:rsid w:val="00D850A6"/>
    <w:rsid w:val="00D855F3"/>
    <w:rsid w:val="00D85611"/>
    <w:rsid w:val="00D87337"/>
    <w:rsid w:val="00D91821"/>
    <w:rsid w:val="00D919B0"/>
    <w:rsid w:val="00D934BD"/>
    <w:rsid w:val="00D937D1"/>
    <w:rsid w:val="00D953EF"/>
    <w:rsid w:val="00D95C28"/>
    <w:rsid w:val="00D96695"/>
    <w:rsid w:val="00D97EE7"/>
    <w:rsid w:val="00DA24C1"/>
    <w:rsid w:val="00DA3288"/>
    <w:rsid w:val="00DA3536"/>
    <w:rsid w:val="00DA416B"/>
    <w:rsid w:val="00DA46C2"/>
    <w:rsid w:val="00DA5076"/>
    <w:rsid w:val="00DA7AB4"/>
    <w:rsid w:val="00DA7D54"/>
    <w:rsid w:val="00DB4EA5"/>
    <w:rsid w:val="00DC0F97"/>
    <w:rsid w:val="00DC127C"/>
    <w:rsid w:val="00DC1556"/>
    <w:rsid w:val="00DC1CDF"/>
    <w:rsid w:val="00DC3848"/>
    <w:rsid w:val="00DC4DA4"/>
    <w:rsid w:val="00DC5DB3"/>
    <w:rsid w:val="00DC6DE5"/>
    <w:rsid w:val="00DC7352"/>
    <w:rsid w:val="00DC791C"/>
    <w:rsid w:val="00DD0E76"/>
    <w:rsid w:val="00DD4515"/>
    <w:rsid w:val="00DD579E"/>
    <w:rsid w:val="00DD5B79"/>
    <w:rsid w:val="00DD7331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B37"/>
    <w:rsid w:val="00DF3D26"/>
    <w:rsid w:val="00DF69E7"/>
    <w:rsid w:val="00E01F18"/>
    <w:rsid w:val="00E03391"/>
    <w:rsid w:val="00E04931"/>
    <w:rsid w:val="00E05411"/>
    <w:rsid w:val="00E0635D"/>
    <w:rsid w:val="00E07396"/>
    <w:rsid w:val="00E10CF7"/>
    <w:rsid w:val="00E12F96"/>
    <w:rsid w:val="00E14773"/>
    <w:rsid w:val="00E17756"/>
    <w:rsid w:val="00E17778"/>
    <w:rsid w:val="00E17F49"/>
    <w:rsid w:val="00E21998"/>
    <w:rsid w:val="00E21A8D"/>
    <w:rsid w:val="00E21B1E"/>
    <w:rsid w:val="00E258AC"/>
    <w:rsid w:val="00E26484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2B7F"/>
    <w:rsid w:val="00E544D9"/>
    <w:rsid w:val="00E55763"/>
    <w:rsid w:val="00E602B0"/>
    <w:rsid w:val="00E618F5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5075"/>
    <w:rsid w:val="00E77AC5"/>
    <w:rsid w:val="00E80208"/>
    <w:rsid w:val="00E84911"/>
    <w:rsid w:val="00E85952"/>
    <w:rsid w:val="00E86118"/>
    <w:rsid w:val="00E8735B"/>
    <w:rsid w:val="00E8744D"/>
    <w:rsid w:val="00E87DBB"/>
    <w:rsid w:val="00E90273"/>
    <w:rsid w:val="00E92A5E"/>
    <w:rsid w:val="00E936B3"/>
    <w:rsid w:val="00E9401B"/>
    <w:rsid w:val="00E95D58"/>
    <w:rsid w:val="00E960D9"/>
    <w:rsid w:val="00E96B0D"/>
    <w:rsid w:val="00E96CF4"/>
    <w:rsid w:val="00E979B4"/>
    <w:rsid w:val="00EA0F94"/>
    <w:rsid w:val="00EA1E28"/>
    <w:rsid w:val="00EA3CA8"/>
    <w:rsid w:val="00EA5E27"/>
    <w:rsid w:val="00EB20C6"/>
    <w:rsid w:val="00EB2D5D"/>
    <w:rsid w:val="00EB491E"/>
    <w:rsid w:val="00EB646D"/>
    <w:rsid w:val="00EB6BEC"/>
    <w:rsid w:val="00EB79A6"/>
    <w:rsid w:val="00EC1B4D"/>
    <w:rsid w:val="00EC2695"/>
    <w:rsid w:val="00EC73B5"/>
    <w:rsid w:val="00ED175C"/>
    <w:rsid w:val="00ED2C5F"/>
    <w:rsid w:val="00ED316C"/>
    <w:rsid w:val="00ED489A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30"/>
    <w:rsid w:val="00EE2F51"/>
    <w:rsid w:val="00EE423A"/>
    <w:rsid w:val="00EE6190"/>
    <w:rsid w:val="00EE7B7A"/>
    <w:rsid w:val="00EF01C0"/>
    <w:rsid w:val="00EF04E5"/>
    <w:rsid w:val="00EF07D6"/>
    <w:rsid w:val="00EF35AD"/>
    <w:rsid w:val="00EF494B"/>
    <w:rsid w:val="00EF4B77"/>
    <w:rsid w:val="00EF4E4D"/>
    <w:rsid w:val="00EF5994"/>
    <w:rsid w:val="00EF7901"/>
    <w:rsid w:val="00F00442"/>
    <w:rsid w:val="00F010DB"/>
    <w:rsid w:val="00F01AB2"/>
    <w:rsid w:val="00F033FC"/>
    <w:rsid w:val="00F05D39"/>
    <w:rsid w:val="00F06CB0"/>
    <w:rsid w:val="00F06D4C"/>
    <w:rsid w:val="00F07342"/>
    <w:rsid w:val="00F109C8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D75"/>
    <w:rsid w:val="00F33E99"/>
    <w:rsid w:val="00F34D40"/>
    <w:rsid w:val="00F354D9"/>
    <w:rsid w:val="00F35DFF"/>
    <w:rsid w:val="00F36B61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2FB0"/>
    <w:rsid w:val="00F57BA2"/>
    <w:rsid w:val="00F6177F"/>
    <w:rsid w:val="00F61AC3"/>
    <w:rsid w:val="00F61BD8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074C"/>
    <w:rsid w:val="00F907CB"/>
    <w:rsid w:val="00F91A1F"/>
    <w:rsid w:val="00F93360"/>
    <w:rsid w:val="00F934BE"/>
    <w:rsid w:val="00FA0A8C"/>
    <w:rsid w:val="00FA0F0C"/>
    <w:rsid w:val="00FA2362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B6F08"/>
    <w:rsid w:val="00FC13FA"/>
    <w:rsid w:val="00FC14CF"/>
    <w:rsid w:val="00FC163A"/>
    <w:rsid w:val="00FC1DA5"/>
    <w:rsid w:val="00FC23A2"/>
    <w:rsid w:val="00FC2B88"/>
    <w:rsid w:val="00FC4475"/>
    <w:rsid w:val="00FC6682"/>
    <w:rsid w:val="00FC6A53"/>
    <w:rsid w:val="00FC7E43"/>
    <w:rsid w:val="00FD02A1"/>
    <w:rsid w:val="00FD1AE0"/>
    <w:rsid w:val="00FD2A75"/>
    <w:rsid w:val="00FD3CF8"/>
    <w:rsid w:val="00FD64A9"/>
    <w:rsid w:val="00FD65DB"/>
    <w:rsid w:val="00FD6D31"/>
    <w:rsid w:val="00FE25A0"/>
    <w:rsid w:val="00FE25C7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30E0FDDD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7CB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11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A475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Z-nadpis">
    <w:name w:val="DZ - nadpis"/>
    <w:basedOn w:val="Odstavecseseznamem"/>
    <w:link w:val="DZ-nadpisChar"/>
    <w:qFormat/>
    <w:rsid w:val="00DA3536"/>
    <w:pPr>
      <w:spacing w:line="264" w:lineRule="auto"/>
      <w:ind w:left="0"/>
      <w:contextualSpacing w:val="0"/>
    </w:pPr>
    <w:rPr>
      <w:b/>
      <w:bCs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A3536"/>
    <w:rPr>
      <w:rFonts w:ascii="Arial" w:hAnsi="Arial" w:cs="Arial"/>
      <w:sz w:val="24"/>
    </w:rPr>
  </w:style>
  <w:style w:type="character" w:customStyle="1" w:styleId="DZ-nadpisChar">
    <w:name w:val="DZ - nadpis Char"/>
    <w:basedOn w:val="OdstavecseseznamemChar"/>
    <w:link w:val="DZ-nadpis"/>
    <w:rsid w:val="00DA3536"/>
    <w:rPr>
      <w:rFonts w:ascii="Arial" w:hAnsi="Arial" w:cs="Arial"/>
      <w:b/>
      <w:bCs/>
      <w:sz w:val="24"/>
      <w:szCs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324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324FEB"/>
    <w:rPr>
      <w:rFonts w:ascii="Arial" w:eastAsia="Times New Roman" w:hAnsi="Arial" w:cs="Arial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07F5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itulek0">
    <w:name w:val="titulek"/>
    <w:basedOn w:val="Titulek"/>
    <w:link w:val="titulekChar0"/>
    <w:qFormat/>
    <w:rsid w:val="004A03D4"/>
    <w:pPr>
      <w:keepNext/>
      <w:spacing w:before="120" w:after="60"/>
    </w:pPr>
    <w:rPr>
      <w:color w:val="auto"/>
    </w:rPr>
  </w:style>
  <w:style w:type="character" w:customStyle="1" w:styleId="TitulekChar">
    <w:name w:val="Titulek Char"/>
    <w:basedOn w:val="Standardnpsmoodstavce"/>
    <w:link w:val="Titulek"/>
    <w:uiPriority w:val="35"/>
    <w:rsid w:val="00443919"/>
    <w:rPr>
      <w:rFonts w:ascii="Arial" w:hAnsi="Arial" w:cs="Arial"/>
      <w:i/>
      <w:iCs/>
      <w:color w:val="1F497D" w:themeColor="text2"/>
      <w:sz w:val="18"/>
      <w:szCs w:val="18"/>
    </w:rPr>
  </w:style>
  <w:style w:type="character" w:customStyle="1" w:styleId="titulekChar0">
    <w:name w:val="titulek Char"/>
    <w:basedOn w:val="TitulekChar"/>
    <w:link w:val="titulek0"/>
    <w:rsid w:val="004A03D4"/>
    <w:rPr>
      <w:rFonts w:ascii="Arial" w:hAnsi="Arial" w:cs="Arial"/>
      <w:i/>
      <w:iCs/>
      <w:color w:val="1F497D" w:themeColor="text2"/>
      <w:sz w:val="18"/>
      <w:szCs w:val="18"/>
    </w:rPr>
  </w:style>
  <w:style w:type="paragraph" w:customStyle="1" w:styleId="DZnadpis">
    <w:name w:val="DZ nadpis"/>
    <w:basedOn w:val="Normln"/>
    <w:link w:val="DZnadpisChar"/>
    <w:qFormat/>
    <w:rsid w:val="007F5D95"/>
    <w:pPr>
      <w:pBdr>
        <w:bottom w:val="single" w:sz="4" w:space="1" w:color="auto"/>
      </w:pBdr>
      <w:spacing w:before="360" w:line="264" w:lineRule="auto"/>
    </w:pPr>
    <w:rPr>
      <w:b/>
    </w:rPr>
  </w:style>
  <w:style w:type="character" w:customStyle="1" w:styleId="DZnadpisChar">
    <w:name w:val="DZ nadpis Char"/>
    <w:basedOn w:val="Standardnpsmoodstavce"/>
    <w:link w:val="DZnadpis"/>
    <w:rsid w:val="007F5D9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4F966C-E89C-42FF-81FD-72AB1AF8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1518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26</cp:revision>
  <cp:lastPrinted>2014-08-19T06:51:00Z</cp:lastPrinted>
  <dcterms:created xsi:type="dcterms:W3CDTF">2022-11-22T06:38:00Z</dcterms:created>
  <dcterms:modified xsi:type="dcterms:W3CDTF">2022-12-06T06:13:00Z</dcterms:modified>
</cp:coreProperties>
</file>