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979" w:rsidRDefault="001D2979" w:rsidP="00A34764">
      <w:bookmarkStart w:id="0" w:name="_Toc14167572"/>
      <w:bookmarkStart w:id="1" w:name="_Toc22896336"/>
      <w:r w:rsidRPr="001D2979">
        <w:rPr>
          <w:noProof/>
          <w:lang w:eastAsia="cs-CZ"/>
        </w:rPr>
        <w:drawing>
          <wp:anchor distT="0" distB="0" distL="114300" distR="114300" simplePos="0" relativeHeight="251677696" behindDoc="1" locked="0" layoutInCell="1" allowOverlap="1" wp14:anchorId="58043A96" wp14:editId="35487252">
            <wp:simplePos x="0" y="0"/>
            <wp:positionH relativeFrom="column">
              <wp:posOffset>3425825</wp:posOffset>
            </wp:positionH>
            <wp:positionV relativeFrom="paragraph">
              <wp:posOffset>0</wp:posOffset>
            </wp:positionV>
            <wp:extent cx="2706370" cy="817245"/>
            <wp:effectExtent l="0" t="0" r="0" b="1905"/>
            <wp:wrapTight wrapText="bothSides">
              <wp:wrapPolygon edited="0">
                <wp:start x="5473" y="0"/>
                <wp:lineTo x="2281" y="503"/>
                <wp:lineTo x="152" y="4028"/>
                <wp:lineTo x="0" y="8559"/>
                <wp:lineTo x="0" y="10070"/>
                <wp:lineTo x="1977" y="16112"/>
                <wp:lineTo x="1977" y="20643"/>
                <wp:lineTo x="3345" y="21147"/>
                <wp:lineTo x="15964" y="21147"/>
                <wp:lineTo x="21438" y="21147"/>
                <wp:lineTo x="21438" y="13091"/>
                <wp:lineTo x="7906" y="8056"/>
                <wp:lineTo x="6690" y="0"/>
                <wp:lineTo x="5473" y="0"/>
              </wp:wrapPolygon>
            </wp:wrapTight>
            <wp:docPr id="12" name="Obrázek 12" descr="https://www.kr-olomoucky.cz/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r-olomoucky.cz/image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637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BA7">
        <w:t xml:space="preserve"> </w:t>
      </w:r>
    </w:p>
    <w:p w:rsidR="001D2979" w:rsidRDefault="001D2979" w:rsidP="00A34764"/>
    <w:p w:rsidR="001D2979" w:rsidRDefault="001D2979" w:rsidP="00A34764"/>
    <w:p w:rsidR="001D2979" w:rsidRDefault="001D2979" w:rsidP="00A34764"/>
    <w:p w:rsidR="00694447" w:rsidRDefault="00694447" w:rsidP="00A34764"/>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071706" w:rsidRPr="00103E16" w:rsidRDefault="00071706" w:rsidP="00A34764">
      <w:pPr>
        <w:rPr>
          <w:lang w:eastAsia="cs-CZ"/>
        </w:rPr>
      </w:pPr>
    </w:p>
    <w:p w:rsidR="00071706" w:rsidRPr="003B362B" w:rsidRDefault="00071706" w:rsidP="003B362B">
      <w:pPr>
        <w:spacing w:before="0" w:after="160" w:line="259" w:lineRule="auto"/>
        <w:jc w:val="center"/>
        <w:rPr>
          <w:rFonts w:ascii="Arial" w:eastAsiaTheme="minorHAnsi" w:hAnsi="Arial" w:cs="Arial"/>
          <w:b/>
          <w:i/>
          <w:color w:val="4472C4" w:themeColor="accent5"/>
          <w:sz w:val="40"/>
          <w:szCs w:val="40"/>
          <w:lang w:eastAsia="cs-CZ"/>
        </w:rPr>
      </w:pPr>
      <w:r w:rsidRPr="003B362B">
        <w:rPr>
          <w:rFonts w:ascii="Arial" w:eastAsiaTheme="minorHAnsi" w:hAnsi="Arial" w:cs="Arial"/>
          <w:b/>
          <w:i/>
          <w:color w:val="4472C4" w:themeColor="accent5"/>
          <w:sz w:val="40"/>
          <w:szCs w:val="40"/>
          <w:lang w:eastAsia="cs-CZ"/>
        </w:rPr>
        <w:t>Střednědobý plán rozvoje sociálních služeb v Olomouckém kraji</w:t>
      </w:r>
    </w:p>
    <w:p w:rsidR="00071706" w:rsidRPr="003B362B" w:rsidRDefault="000F775F" w:rsidP="003B362B">
      <w:pPr>
        <w:spacing w:before="0" w:after="160" w:line="259" w:lineRule="auto"/>
        <w:jc w:val="center"/>
        <w:rPr>
          <w:rFonts w:ascii="Arial" w:eastAsiaTheme="minorHAnsi" w:hAnsi="Arial" w:cs="Arial"/>
          <w:b/>
          <w:i/>
          <w:color w:val="4472C4" w:themeColor="accent5"/>
          <w:sz w:val="40"/>
          <w:szCs w:val="40"/>
          <w:lang w:eastAsia="cs-CZ"/>
        </w:rPr>
      </w:pPr>
      <w:r w:rsidRPr="003B362B">
        <w:rPr>
          <w:rFonts w:ascii="Arial" w:eastAsiaTheme="minorHAnsi" w:hAnsi="Arial" w:cs="Arial"/>
          <w:b/>
          <w:i/>
          <w:color w:val="4472C4" w:themeColor="accent5"/>
          <w:sz w:val="40"/>
          <w:szCs w:val="40"/>
          <w:lang w:eastAsia="cs-CZ"/>
        </w:rPr>
        <w:t>pro roky 2024</w:t>
      </w:r>
      <w:r w:rsidR="00300B1B" w:rsidRPr="003B362B">
        <w:rPr>
          <w:rFonts w:ascii="Arial" w:eastAsiaTheme="minorHAnsi" w:hAnsi="Arial" w:cs="Arial"/>
          <w:b/>
          <w:i/>
          <w:color w:val="4472C4" w:themeColor="accent5"/>
          <w:sz w:val="40"/>
          <w:szCs w:val="40"/>
          <w:lang w:eastAsia="cs-CZ"/>
        </w:rPr>
        <w:t>–</w:t>
      </w:r>
      <w:r w:rsidR="00380786" w:rsidRPr="003B362B">
        <w:rPr>
          <w:rFonts w:ascii="Arial" w:eastAsiaTheme="minorHAnsi" w:hAnsi="Arial" w:cs="Arial"/>
          <w:b/>
          <w:i/>
          <w:color w:val="4472C4" w:themeColor="accent5"/>
          <w:sz w:val="40"/>
          <w:szCs w:val="40"/>
          <w:lang w:eastAsia="cs-CZ"/>
        </w:rPr>
        <w:t>2026</w:t>
      </w:r>
    </w:p>
    <w:p w:rsidR="00071706" w:rsidRPr="00103E16" w:rsidRDefault="00071706" w:rsidP="00A34764">
      <w:pPr>
        <w:rPr>
          <w:lang w:eastAsia="cs-CZ"/>
        </w:rPr>
      </w:pPr>
    </w:p>
    <w:p w:rsidR="0081589F" w:rsidRDefault="0081589F" w:rsidP="00A34764">
      <w:pPr>
        <w:rPr>
          <w:rFonts w:eastAsia="Arial Unicode MS"/>
          <w:lang w:eastAsia="cs-CZ"/>
        </w:rPr>
      </w:pPr>
      <w:r>
        <w:rPr>
          <w:rFonts w:eastAsia="Arial Unicode MS"/>
          <w:lang w:eastAsia="cs-CZ"/>
        </w:rPr>
        <w:br w:type="page"/>
      </w:r>
    </w:p>
    <w:p w:rsidR="00896B45" w:rsidRDefault="00896B45" w:rsidP="00A34764">
      <w:pPr>
        <w:rPr>
          <w:rFonts w:eastAsia="Arial Unicode MS"/>
          <w:lang w:eastAsia="cs-CZ"/>
        </w:rPr>
      </w:pPr>
    </w:p>
    <w:p w:rsidR="0086794C" w:rsidRDefault="0086794C" w:rsidP="00A34764">
      <w:pPr>
        <w:rPr>
          <w:u w:val="single"/>
        </w:rPr>
      </w:pPr>
      <w:r>
        <w:rPr>
          <w:u w:val="single"/>
        </w:rPr>
        <w:t>Garant:</w:t>
      </w:r>
      <w:r>
        <w:t xml:space="preserve"> </w:t>
      </w:r>
      <w:r w:rsidRPr="0086794C">
        <w:t>Odbor sociálních věcí Krajského úřadu Olomouckého kraje</w:t>
      </w:r>
    </w:p>
    <w:p w:rsidR="0086794C" w:rsidRDefault="0086794C" w:rsidP="00A34764"/>
    <w:p w:rsidR="001D2979" w:rsidRDefault="001D2979" w:rsidP="00A34764">
      <w:r w:rsidRPr="00EA2FA8">
        <w:rPr>
          <w:u w:val="single"/>
        </w:rPr>
        <w:t>Zpracovatel</w:t>
      </w:r>
      <w:r w:rsidRPr="001D2979">
        <w:t>: Odbor sociálních věcí Krajského úřadu Olomouckého kraje ve spolupráci s</w:t>
      </w:r>
      <w:r>
        <w:t> </w:t>
      </w:r>
      <w:r w:rsidRPr="001D2979">
        <w:t>pracovními skupinami zapojenými v procesu střednědobého plánování rozvoje sociálních služeb v Olomouckém kraji</w:t>
      </w:r>
    </w:p>
    <w:p w:rsidR="0086794C" w:rsidRDefault="0086794C" w:rsidP="00A34764"/>
    <w:p w:rsidR="00EA2FA8" w:rsidRPr="0086794C" w:rsidRDefault="00EA2FA8" w:rsidP="00A34764">
      <w:r w:rsidRPr="0086794C">
        <w:t>Proces schvalování</w:t>
      </w:r>
      <w:r w:rsidR="0086794C">
        <w:t>:</w:t>
      </w:r>
    </w:p>
    <w:p w:rsidR="0086794C" w:rsidRPr="001D2979" w:rsidRDefault="0086794C" w:rsidP="00A34764">
      <w:r>
        <w:t>Zastupitelstvo Olomouckého kraje</w:t>
      </w:r>
      <w:r w:rsidR="00EB3AF0">
        <w:t>,</w:t>
      </w:r>
      <w:r>
        <w:t xml:space="preserve"> č. usnesení</w:t>
      </w:r>
      <w:r w:rsidR="008F5721">
        <w:t xml:space="preserve"> </w:t>
      </w:r>
      <w:r w:rsidR="00C606B1" w:rsidRPr="00106364">
        <w:t>UZ/</w:t>
      </w:r>
      <w:proofErr w:type="spellStart"/>
      <w:r w:rsidR="00C606B1" w:rsidRPr="00106364">
        <w:t>xx</w:t>
      </w:r>
      <w:proofErr w:type="spellEnd"/>
      <w:r w:rsidR="00C606B1" w:rsidRPr="00106364">
        <w:t>/</w:t>
      </w:r>
      <w:proofErr w:type="spellStart"/>
      <w:r w:rsidR="00C606B1" w:rsidRPr="00106364">
        <w:t>xx</w:t>
      </w:r>
      <w:proofErr w:type="spellEnd"/>
      <w:r w:rsidR="00C606B1" w:rsidRPr="00106364">
        <w:t>/2022 ze dne 12. 12. 2022</w:t>
      </w:r>
    </w:p>
    <w:p w:rsidR="0081589F" w:rsidRDefault="0081589F" w:rsidP="00A34764">
      <w:pPr>
        <w:rPr>
          <w:rFonts w:eastAsia="Arial Unicode MS"/>
          <w:lang w:eastAsia="cs-CZ"/>
        </w:rPr>
      </w:pPr>
    </w:p>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071706" w:rsidRPr="00FB7DCA" w:rsidRDefault="00071706" w:rsidP="00A34764">
      <w:pPr>
        <w:rPr>
          <w:rFonts w:eastAsia="Arial Unicode MS"/>
          <w:lang w:eastAsia="cs-CZ"/>
        </w:rPr>
      </w:pPr>
    </w:p>
    <w:p w:rsidR="00702CF1" w:rsidRDefault="00702CF1" w:rsidP="00A34764">
      <w:pPr>
        <w:rPr>
          <w:rFonts w:eastAsia="Arial Unicode MS"/>
          <w:lang w:eastAsia="cs-CZ"/>
        </w:rPr>
      </w:pPr>
    </w:p>
    <w:p w:rsidR="0099437D" w:rsidRDefault="0099437D" w:rsidP="00A34764">
      <w:pPr>
        <w:rPr>
          <w:rFonts w:eastAsia="Arial Unicode MS"/>
          <w:lang w:eastAsia="cs-CZ"/>
        </w:rPr>
      </w:pPr>
    </w:p>
    <w:p w:rsidR="0099437D" w:rsidRDefault="0099437D" w:rsidP="00A34764">
      <w:pPr>
        <w:rPr>
          <w:rFonts w:eastAsia="Arial Unicode MS"/>
          <w:lang w:eastAsia="cs-CZ"/>
        </w:rPr>
      </w:pPr>
    </w:p>
    <w:p w:rsidR="00EA2FA8" w:rsidRDefault="00EA2FA8" w:rsidP="00A34764">
      <w:pPr>
        <w:rPr>
          <w:rFonts w:eastAsia="Arial Unicode MS"/>
          <w:lang w:eastAsia="cs-CZ"/>
        </w:rPr>
      </w:pPr>
    </w:p>
    <w:p w:rsidR="0099437D" w:rsidRDefault="0099437D" w:rsidP="00A34764">
      <w:pPr>
        <w:rPr>
          <w:rFonts w:eastAsia="Arial Unicode MS"/>
          <w:lang w:eastAsia="cs-CZ"/>
        </w:rPr>
      </w:pPr>
    </w:p>
    <w:p w:rsidR="00EA2FA8" w:rsidRDefault="00EA2FA8" w:rsidP="00A34764"/>
    <w:p w:rsidR="00EA2FA8" w:rsidRDefault="00EA2FA8" w:rsidP="00A34764"/>
    <w:p w:rsidR="00EA2FA8" w:rsidRDefault="00EA2FA8" w:rsidP="00A34764"/>
    <w:p w:rsidR="001D2979" w:rsidRPr="00103E16" w:rsidRDefault="00C606B1" w:rsidP="00A34764">
      <w:r w:rsidRPr="00106364">
        <w:t>Verze</w:t>
      </w:r>
      <w:r w:rsidR="00FA4206">
        <w:t xml:space="preserve"> </w:t>
      </w:r>
      <w:r w:rsidRPr="00106364">
        <w:t>1.</w:t>
      </w:r>
      <w:r w:rsidR="0075108A">
        <w:t>3</w:t>
      </w:r>
      <w:r w:rsidR="001D2979" w:rsidRPr="00106364">
        <w:t>.</w:t>
      </w:r>
      <w:r w:rsidR="00A53A34" w:rsidRPr="00106364">
        <w:t xml:space="preserve"> </w:t>
      </w:r>
      <w:r w:rsidR="00106364">
        <w:t xml:space="preserve">Stav ke dni </w:t>
      </w:r>
      <w:r w:rsidR="0075108A">
        <w:t>14</w:t>
      </w:r>
      <w:r w:rsidR="00106364">
        <w:t>. 1</w:t>
      </w:r>
      <w:r w:rsidR="00E26E48">
        <w:t>1</w:t>
      </w:r>
      <w:r w:rsidRPr="00106364">
        <w:t>. 2022</w:t>
      </w:r>
    </w:p>
    <w:p w:rsidR="00071706" w:rsidRDefault="00071706" w:rsidP="00A34764">
      <w:pPr>
        <w:rPr>
          <w:rFonts w:eastAsia="Arial Unicode MS"/>
          <w:lang w:eastAsia="cs-CZ"/>
        </w:rPr>
      </w:pPr>
    </w:p>
    <w:p w:rsidR="0081589F" w:rsidRDefault="0081589F" w:rsidP="00A34764">
      <w:pPr>
        <w:rPr>
          <w:rFonts w:eastAsia="Arial Unicode MS"/>
          <w:lang w:eastAsia="cs-CZ"/>
        </w:rPr>
      </w:pPr>
      <w:r>
        <w:rPr>
          <w:rFonts w:eastAsia="Arial Unicode MS"/>
          <w:lang w:eastAsia="cs-CZ"/>
        </w:rPr>
        <w:br w:type="page"/>
      </w:r>
    </w:p>
    <w:sdt>
      <w:sdtPr>
        <w:rPr>
          <w:rFonts w:ascii="Segoe UI" w:eastAsia="Times New Roman" w:hAnsi="Segoe UI" w:cs="Times New Roman"/>
          <w:color w:val="auto"/>
          <w:sz w:val="20"/>
          <w:szCs w:val="22"/>
          <w:lang w:eastAsia="en-US"/>
        </w:rPr>
        <w:id w:val="-496725627"/>
        <w:docPartObj>
          <w:docPartGallery w:val="Table of Contents"/>
          <w:docPartUnique/>
        </w:docPartObj>
      </w:sdtPr>
      <w:sdtEndPr/>
      <w:sdtContent>
        <w:p w:rsidR="00D0553A" w:rsidRDefault="00D0553A" w:rsidP="00A34764">
          <w:pPr>
            <w:pStyle w:val="Nadpisobsahu"/>
          </w:pPr>
          <w:r>
            <w:t>Obsah</w:t>
          </w:r>
        </w:p>
        <w:p w:rsidR="00A86077" w:rsidRDefault="00D0553A">
          <w:pPr>
            <w:pStyle w:val="Obsah1"/>
            <w:rPr>
              <w:rFonts w:asciiTheme="minorHAnsi" w:eastAsiaTheme="minorEastAsia" w:hAnsiTheme="minorHAnsi" w:cstheme="minorBidi"/>
              <w:b w:val="0"/>
              <w:bCs w:val="0"/>
              <w:noProof/>
              <w:sz w:val="22"/>
              <w:szCs w:val="22"/>
              <w:lang w:eastAsia="cs-CZ"/>
            </w:rPr>
          </w:pPr>
          <w:r>
            <w:fldChar w:fldCharType="begin"/>
          </w:r>
          <w:r>
            <w:instrText xml:space="preserve"> TOC \o "1-3" \h \z \u </w:instrText>
          </w:r>
          <w:r>
            <w:fldChar w:fldCharType="separate"/>
          </w:r>
          <w:hyperlink w:anchor="_Toc117606946" w:history="1">
            <w:r w:rsidR="00A86077" w:rsidRPr="001C2590">
              <w:rPr>
                <w:rStyle w:val="Hypertextovodkaz"/>
                <w:rFonts w:eastAsia="Arial Unicode MS"/>
                <w:noProof/>
              </w:rPr>
              <w:t>Úvod</w:t>
            </w:r>
            <w:r w:rsidR="00A86077">
              <w:rPr>
                <w:noProof/>
                <w:webHidden/>
              </w:rPr>
              <w:tab/>
            </w:r>
            <w:r w:rsidR="00A86077">
              <w:rPr>
                <w:noProof/>
                <w:webHidden/>
              </w:rPr>
              <w:fldChar w:fldCharType="begin"/>
            </w:r>
            <w:r w:rsidR="00A86077">
              <w:rPr>
                <w:noProof/>
                <w:webHidden/>
              </w:rPr>
              <w:instrText xml:space="preserve"> PAGEREF _Toc117606946 \h </w:instrText>
            </w:r>
            <w:r w:rsidR="00A86077">
              <w:rPr>
                <w:noProof/>
                <w:webHidden/>
              </w:rPr>
            </w:r>
            <w:r w:rsidR="00A86077">
              <w:rPr>
                <w:noProof/>
                <w:webHidden/>
              </w:rPr>
              <w:fldChar w:fldCharType="separate"/>
            </w:r>
            <w:r w:rsidR="003A12AF">
              <w:rPr>
                <w:noProof/>
                <w:webHidden/>
              </w:rPr>
              <w:t>10</w:t>
            </w:r>
            <w:r w:rsidR="00A86077">
              <w:rPr>
                <w:noProof/>
                <w:webHidden/>
              </w:rPr>
              <w:fldChar w:fldCharType="end"/>
            </w:r>
          </w:hyperlink>
        </w:p>
        <w:p w:rsidR="00A86077" w:rsidRDefault="00412C70">
          <w:pPr>
            <w:pStyle w:val="Obsah1"/>
            <w:rPr>
              <w:rFonts w:asciiTheme="minorHAnsi" w:eastAsiaTheme="minorEastAsia" w:hAnsiTheme="minorHAnsi" w:cstheme="minorBidi"/>
              <w:b w:val="0"/>
              <w:bCs w:val="0"/>
              <w:noProof/>
              <w:sz w:val="22"/>
              <w:szCs w:val="22"/>
              <w:lang w:eastAsia="cs-CZ"/>
            </w:rPr>
          </w:pPr>
          <w:hyperlink w:anchor="_Toc117606947" w:history="1">
            <w:r w:rsidR="00A86077" w:rsidRPr="001C2590">
              <w:rPr>
                <w:rStyle w:val="Hypertextovodkaz"/>
                <w:rFonts w:eastAsia="Arial Unicode MS"/>
                <w:noProof/>
              </w:rPr>
              <w:t>Č</w:t>
            </w:r>
            <w:r w:rsidR="00A86077" w:rsidRPr="001C2590">
              <w:rPr>
                <w:rStyle w:val="Hypertextovodkaz"/>
                <w:rFonts w:eastAsia="Arial Unicode MS"/>
                <w:caps/>
                <w:noProof/>
              </w:rPr>
              <w:t>ást</w:t>
            </w:r>
            <w:r w:rsidR="00A86077" w:rsidRPr="001C2590">
              <w:rPr>
                <w:rStyle w:val="Hypertextovodkaz"/>
                <w:rFonts w:eastAsia="Arial Unicode MS"/>
                <w:noProof/>
              </w:rPr>
              <w:t xml:space="preserve"> A – POPISNÁ</w:t>
            </w:r>
            <w:r w:rsidR="00A86077">
              <w:rPr>
                <w:noProof/>
                <w:webHidden/>
              </w:rPr>
              <w:tab/>
            </w:r>
            <w:r w:rsidR="00A86077">
              <w:rPr>
                <w:noProof/>
                <w:webHidden/>
              </w:rPr>
              <w:fldChar w:fldCharType="begin"/>
            </w:r>
            <w:r w:rsidR="00A86077">
              <w:rPr>
                <w:noProof/>
                <w:webHidden/>
              </w:rPr>
              <w:instrText xml:space="preserve"> PAGEREF _Toc117606947 \h </w:instrText>
            </w:r>
            <w:r w:rsidR="00A86077">
              <w:rPr>
                <w:noProof/>
                <w:webHidden/>
              </w:rPr>
            </w:r>
            <w:r w:rsidR="00A86077">
              <w:rPr>
                <w:noProof/>
                <w:webHidden/>
              </w:rPr>
              <w:fldChar w:fldCharType="separate"/>
            </w:r>
            <w:r w:rsidR="003A12AF">
              <w:rPr>
                <w:noProof/>
                <w:webHidden/>
              </w:rPr>
              <w:t>12</w:t>
            </w:r>
            <w:r w:rsidR="00A86077">
              <w:rPr>
                <w:noProof/>
                <w:webHidden/>
              </w:rPr>
              <w:fldChar w:fldCharType="end"/>
            </w:r>
          </w:hyperlink>
        </w:p>
        <w:p w:rsidR="00A86077" w:rsidRDefault="00412C70">
          <w:pPr>
            <w:pStyle w:val="Obsah1"/>
            <w:tabs>
              <w:tab w:val="left" w:pos="440"/>
            </w:tabs>
            <w:rPr>
              <w:rFonts w:asciiTheme="minorHAnsi" w:eastAsiaTheme="minorEastAsia" w:hAnsiTheme="minorHAnsi" w:cstheme="minorBidi"/>
              <w:b w:val="0"/>
              <w:bCs w:val="0"/>
              <w:noProof/>
              <w:sz w:val="22"/>
              <w:szCs w:val="22"/>
              <w:lang w:eastAsia="cs-CZ"/>
            </w:rPr>
          </w:pPr>
          <w:hyperlink w:anchor="_Toc117606948" w:history="1">
            <w:r w:rsidR="00A86077" w:rsidRPr="001C2590">
              <w:rPr>
                <w:rStyle w:val="Hypertextovodkaz"/>
                <w:rFonts w:eastAsia="Arial Unicode MS"/>
                <w:noProof/>
              </w:rPr>
              <w:t>1</w:t>
            </w:r>
            <w:r w:rsidR="00A86077">
              <w:rPr>
                <w:rFonts w:asciiTheme="minorHAnsi" w:eastAsiaTheme="minorEastAsia" w:hAnsiTheme="minorHAnsi" w:cstheme="minorBidi"/>
                <w:b w:val="0"/>
                <w:bCs w:val="0"/>
                <w:noProof/>
                <w:sz w:val="22"/>
                <w:szCs w:val="22"/>
                <w:lang w:eastAsia="cs-CZ"/>
              </w:rPr>
              <w:tab/>
            </w:r>
            <w:r w:rsidR="00A86077" w:rsidRPr="001C2590">
              <w:rPr>
                <w:rStyle w:val="Hypertextovodkaz"/>
                <w:rFonts w:eastAsia="Arial Unicode MS"/>
                <w:noProof/>
              </w:rPr>
              <w:t>Zpracování Střednědobého plánu 2024–2026</w:t>
            </w:r>
            <w:r w:rsidR="00A86077">
              <w:rPr>
                <w:noProof/>
                <w:webHidden/>
              </w:rPr>
              <w:tab/>
            </w:r>
            <w:r w:rsidR="00A86077">
              <w:rPr>
                <w:noProof/>
                <w:webHidden/>
              </w:rPr>
              <w:fldChar w:fldCharType="begin"/>
            </w:r>
            <w:r w:rsidR="00A86077">
              <w:rPr>
                <w:noProof/>
                <w:webHidden/>
              </w:rPr>
              <w:instrText xml:space="preserve"> PAGEREF _Toc117606948 \h </w:instrText>
            </w:r>
            <w:r w:rsidR="00A86077">
              <w:rPr>
                <w:noProof/>
                <w:webHidden/>
              </w:rPr>
            </w:r>
            <w:r w:rsidR="00A86077">
              <w:rPr>
                <w:noProof/>
                <w:webHidden/>
              </w:rPr>
              <w:fldChar w:fldCharType="separate"/>
            </w:r>
            <w:r w:rsidR="003A12AF">
              <w:rPr>
                <w:noProof/>
                <w:webHidden/>
              </w:rPr>
              <w:t>12</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49" w:history="1">
            <w:r w:rsidR="00A86077" w:rsidRPr="001C2590">
              <w:rPr>
                <w:rStyle w:val="Hypertextovodkaz"/>
                <w:rFonts w:eastAsia="Arial Unicode MS"/>
                <w:noProof/>
              </w:rPr>
              <w:t>1.1</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Východiska plánování sociálních služeb</w:t>
            </w:r>
            <w:r w:rsidR="00A86077">
              <w:rPr>
                <w:noProof/>
                <w:webHidden/>
              </w:rPr>
              <w:tab/>
            </w:r>
            <w:r w:rsidR="00A86077">
              <w:rPr>
                <w:noProof/>
                <w:webHidden/>
              </w:rPr>
              <w:fldChar w:fldCharType="begin"/>
            </w:r>
            <w:r w:rsidR="00A86077">
              <w:rPr>
                <w:noProof/>
                <w:webHidden/>
              </w:rPr>
              <w:instrText xml:space="preserve"> PAGEREF _Toc117606949 \h </w:instrText>
            </w:r>
            <w:r w:rsidR="00A86077">
              <w:rPr>
                <w:noProof/>
                <w:webHidden/>
              </w:rPr>
            </w:r>
            <w:r w:rsidR="00A86077">
              <w:rPr>
                <w:noProof/>
                <w:webHidden/>
              </w:rPr>
              <w:fldChar w:fldCharType="separate"/>
            </w:r>
            <w:r w:rsidR="003A12AF">
              <w:rPr>
                <w:noProof/>
                <w:webHidden/>
              </w:rPr>
              <w:t>12</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50" w:history="1">
            <w:r w:rsidR="00A86077" w:rsidRPr="001C2590">
              <w:rPr>
                <w:rStyle w:val="Hypertextovodkaz"/>
                <w:rFonts w:eastAsia="Arial Unicode MS"/>
                <w:noProof/>
              </w:rPr>
              <w:t>1.2</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Akční plán</w:t>
            </w:r>
            <w:r w:rsidR="00A86077">
              <w:rPr>
                <w:noProof/>
                <w:webHidden/>
              </w:rPr>
              <w:tab/>
            </w:r>
            <w:r w:rsidR="00A86077">
              <w:rPr>
                <w:noProof/>
                <w:webHidden/>
              </w:rPr>
              <w:fldChar w:fldCharType="begin"/>
            </w:r>
            <w:r w:rsidR="00A86077">
              <w:rPr>
                <w:noProof/>
                <w:webHidden/>
              </w:rPr>
              <w:instrText xml:space="preserve"> PAGEREF _Toc117606950 \h </w:instrText>
            </w:r>
            <w:r w:rsidR="00A86077">
              <w:rPr>
                <w:noProof/>
                <w:webHidden/>
              </w:rPr>
            </w:r>
            <w:r w:rsidR="00A86077">
              <w:rPr>
                <w:noProof/>
                <w:webHidden/>
              </w:rPr>
              <w:fldChar w:fldCharType="separate"/>
            </w:r>
            <w:r w:rsidR="003A12AF">
              <w:rPr>
                <w:noProof/>
                <w:webHidden/>
              </w:rPr>
              <w:t>14</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51" w:history="1">
            <w:r w:rsidR="00A86077" w:rsidRPr="001C2590">
              <w:rPr>
                <w:rStyle w:val="Hypertextovodkaz"/>
                <w:rFonts w:eastAsia="Arial Unicode MS"/>
                <w:noProof/>
              </w:rPr>
              <w:t>1.3</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Způsob informování a zapojení občanů kraje, obcí, poskytovatelů sociálních služeb a osob, kterým jsou sociální služby poskytovány, do zpracování střednědobého plánu</w:t>
            </w:r>
            <w:r w:rsidR="00A86077">
              <w:rPr>
                <w:noProof/>
                <w:webHidden/>
              </w:rPr>
              <w:tab/>
            </w:r>
            <w:r w:rsidR="00A86077">
              <w:rPr>
                <w:noProof/>
                <w:webHidden/>
              </w:rPr>
              <w:fldChar w:fldCharType="begin"/>
            </w:r>
            <w:r w:rsidR="00A86077">
              <w:rPr>
                <w:noProof/>
                <w:webHidden/>
              </w:rPr>
              <w:instrText xml:space="preserve"> PAGEREF _Toc117606951 \h </w:instrText>
            </w:r>
            <w:r w:rsidR="00A86077">
              <w:rPr>
                <w:noProof/>
                <w:webHidden/>
              </w:rPr>
            </w:r>
            <w:r w:rsidR="00A86077">
              <w:rPr>
                <w:noProof/>
                <w:webHidden/>
              </w:rPr>
              <w:fldChar w:fldCharType="separate"/>
            </w:r>
            <w:r w:rsidR="003A12AF">
              <w:rPr>
                <w:noProof/>
                <w:webHidden/>
              </w:rPr>
              <w:t>15</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52" w:history="1">
            <w:r w:rsidR="00A86077" w:rsidRPr="001C2590">
              <w:rPr>
                <w:rStyle w:val="Hypertextovodkaz"/>
                <w:rFonts w:eastAsia="Arial Unicode MS"/>
                <w:noProof/>
              </w:rPr>
              <w:t>1.4</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Způsob zpracování Střednědobého plánu 2024–2026, včetně vymezení spolupráce s obcemi, poskytovateli sociálních služeb a osobami, kterým jsou sociální služby poskytovány</w:t>
            </w:r>
            <w:r w:rsidR="00A86077">
              <w:rPr>
                <w:noProof/>
                <w:webHidden/>
              </w:rPr>
              <w:tab/>
            </w:r>
            <w:r w:rsidR="00A86077">
              <w:rPr>
                <w:noProof/>
                <w:webHidden/>
              </w:rPr>
              <w:fldChar w:fldCharType="begin"/>
            </w:r>
            <w:r w:rsidR="00A86077">
              <w:rPr>
                <w:noProof/>
                <w:webHidden/>
              </w:rPr>
              <w:instrText xml:space="preserve"> PAGEREF _Toc117606952 \h </w:instrText>
            </w:r>
            <w:r w:rsidR="00A86077">
              <w:rPr>
                <w:noProof/>
                <w:webHidden/>
              </w:rPr>
            </w:r>
            <w:r w:rsidR="00A86077">
              <w:rPr>
                <w:noProof/>
                <w:webHidden/>
              </w:rPr>
              <w:fldChar w:fldCharType="separate"/>
            </w:r>
            <w:r w:rsidR="003A12AF">
              <w:rPr>
                <w:noProof/>
                <w:webHidden/>
              </w:rPr>
              <w:t>15</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53" w:history="1">
            <w:r w:rsidR="00A86077" w:rsidRPr="001C2590">
              <w:rPr>
                <w:rStyle w:val="Hypertextovodkaz"/>
                <w:rFonts w:eastAsia="Arial Unicode MS"/>
                <w:noProof/>
              </w:rPr>
              <w:t>1.4.1</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Spolupráce s obcemi</w:t>
            </w:r>
            <w:r w:rsidR="00A86077">
              <w:rPr>
                <w:noProof/>
                <w:webHidden/>
              </w:rPr>
              <w:tab/>
            </w:r>
            <w:r w:rsidR="00A86077">
              <w:rPr>
                <w:noProof/>
                <w:webHidden/>
              </w:rPr>
              <w:fldChar w:fldCharType="begin"/>
            </w:r>
            <w:r w:rsidR="00A86077">
              <w:rPr>
                <w:noProof/>
                <w:webHidden/>
              </w:rPr>
              <w:instrText xml:space="preserve"> PAGEREF _Toc117606953 \h </w:instrText>
            </w:r>
            <w:r w:rsidR="00A86077">
              <w:rPr>
                <w:noProof/>
                <w:webHidden/>
              </w:rPr>
            </w:r>
            <w:r w:rsidR="00A86077">
              <w:rPr>
                <w:noProof/>
                <w:webHidden/>
              </w:rPr>
              <w:fldChar w:fldCharType="separate"/>
            </w:r>
            <w:r w:rsidR="003A12AF">
              <w:rPr>
                <w:noProof/>
                <w:webHidden/>
              </w:rPr>
              <w:t>17</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54" w:history="1">
            <w:r w:rsidR="00A86077" w:rsidRPr="001C2590">
              <w:rPr>
                <w:rStyle w:val="Hypertextovodkaz"/>
                <w:rFonts w:eastAsia="Arial Unicode MS"/>
                <w:noProof/>
              </w:rPr>
              <w:t>1.4.2</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Spolupráce s poskytovateli sociálních služeb a osobami, kterým jsou sociální služby poskytovány</w:t>
            </w:r>
            <w:r w:rsidR="00A86077">
              <w:rPr>
                <w:noProof/>
                <w:webHidden/>
              </w:rPr>
              <w:tab/>
            </w:r>
            <w:r w:rsidR="00A86077">
              <w:rPr>
                <w:noProof/>
                <w:webHidden/>
              </w:rPr>
              <w:fldChar w:fldCharType="begin"/>
            </w:r>
            <w:r w:rsidR="00A86077">
              <w:rPr>
                <w:noProof/>
                <w:webHidden/>
              </w:rPr>
              <w:instrText xml:space="preserve"> PAGEREF _Toc117606954 \h </w:instrText>
            </w:r>
            <w:r w:rsidR="00A86077">
              <w:rPr>
                <w:noProof/>
                <w:webHidden/>
              </w:rPr>
            </w:r>
            <w:r w:rsidR="00A86077">
              <w:rPr>
                <w:noProof/>
                <w:webHidden/>
              </w:rPr>
              <w:fldChar w:fldCharType="separate"/>
            </w:r>
            <w:r w:rsidR="003A12AF">
              <w:rPr>
                <w:noProof/>
                <w:webHidden/>
              </w:rPr>
              <w:t>19</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55" w:history="1">
            <w:r w:rsidR="00A86077" w:rsidRPr="001C2590">
              <w:rPr>
                <w:rStyle w:val="Hypertextovodkaz"/>
                <w:rFonts w:eastAsia="Arial Unicode MS"/>
                <w:noProof/>
              </w:rPr>
              <w:t>1.5</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Časový harmonogram přípravy a schválení návrhu střednědobého plánu</w:t>
            </w:r>
            <w:r w:rsidR="00A86077">
              <w:rPr>
                <w:noProof/>
                <w:webHidden/>
              </w:rPr>
              <w:tab/>
            </w:r>
            <w:r w:rsidR="00A86077">
              <w:rPr>
                <w:noProof/>
                <w:webHidden/>
              </w:rPr>
              <w:fldChar w:fldCharType="begin"/>
            </w:r>
            <w:r w:rsidR="00A86077">
              <w:rPr>
                <w:noProof/>
                <w:webHidden/>
              </w:rPr>
              <w:instrText xml:space="preserve"> PAGEREF _Toc117606955 \h </w:instrText>
            </w:r>
            <w:r w:rsidR="00A86077">
              <w:rPr>
                <w:noProof/>
                <w:webHidden/>
              </w:rPr>
            </w:r>
            <w:r w:rsidR="00A86077">
              <w:rPr>
                <w:noProof/>
                <w:webHidden/>
              </w:rPr>
              <w:fldChar w:fldCharType="separate"/>
            </w:r>
            <w:r w:rsidR="003A12AF">
              <w:rPr>
                <w:noProof/>
                <w:webHidden/>
              </w:rPr>
              <w:t>20</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56" w:history="1">
            <w:r w:rsidR="00A86077" w:rsidRPr="001C2590">
              <w:rPr>
                <w:rStyle w:val="Hypertextovodkaz"/>
                <w:rFonts w:eastAsia="Arial Unicode MS"/>
                <w:noProof/>
              </w:rPr>
              <w:t>1.6</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Organizační struktura plánování sociálních služeb</w:t>
            </w:r>
            <w:r w:rsidR="00A86077">
              <w:rPr>
                <w:noProof/>
                <w:webHidden/>
              </w:rPr>
              <w:tab/>
            </w:r>
            <w:r w:rsidR="00A86077">
              <w:rPr>
                <w:noProof/>
                <w:webHidden/>
              </w:rPr>
              <w:fldChar w:fldCharType="begin"/>
            </w:r>
            <w:r w:rsidR="00A86077">
              <w:rPr>
                <w:noProof/>
                <w:webHidden/>
              </w:rPr>
              <w:instrText xml:space="preserve"> PAGEREF _Toc117606956 \h </w:instrText>
            </w:r>
            <w:r w:rsidR="00A86077">
              <w:rPr>
                <w:noProof/>
                <w:webHidden/>
              </w:rPr>
            </w:r>
            <w:r w:rsidR="00A86077">
              <w:rPr>
                <w:noProof/>
                <w:webHidden/>
              </w:rPr>
              <w:fldChar w:fldCharType="separate"/>
            </w:r>
            <w:r w:rsidR="003A12AF">
              <w:rPr>
                <w:noProof/>
                <w:webHidden/>
              </w:rPr>
              <w:t>22</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57" w:history="1">
            <w:r w:rsidR="00A86077" w:rsidRPr="001C2590">
              <w:rPr>
                <w:rStyle w:val="Hypertextovodkaz"/>
                <w:rFonts w:eastAsia="Arial Unicode MS"/>
                <w:noProof/>
              </w:rPr>
              <w:t>1.7</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Koordinace činností při zpracování, naplňování a vyhodnocování Střednědobého plánu 2024–2026</w:t>
            </w:r>
            <w:r w:rsidR="00A86077">
              <w:rPr>
                <w:noProof/>
                <w:webHidden/>
              </w:rPr>
              <w:tab/>
            </w:r>
            <w:r w:rsidR="00A86077">
              <w:rPr>
                <w:noProof/>
                <w:webHidden/>
              </w:rPr>
              <w:fldChar w:fldCharType="begin"/>
            </w:r>
            <w:r w:rsidR="00A86077">
              <w:rPr>
                <w:noProof/>
                <w:webHidden/>
              </w:rPr>
              <w:instrText xml:space="preserve"> PAGEREF _Toc117606957 \h </w:instrText>
            </w:r>
            <w:r w:rsidR="00A86077">
              <w:rPr>
                <w:noProof/>
                <w:webHidden/>
              </w:rPr>
            </w:r>
            <w:r w:rsidR="00A86077">
              <w:rPr>
                <w:noProof/>
                <w:webHidden/>
              </w:rPr>
              <w:fldChar w:fldCharType="separate"/>
            </w:r>
            <w:r w:rsidR="003A12AF">
              <w:rPr>
                <w:noProof/>
                <w:webHidden/>
              </w:rPr>
              <w:t>24</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58" w:history="1">
            <w:r w:rsidR="00A86077" w:rsidRPr="001C2590">
              <w:rPr>
                <w:rStyle w:val="Hypertextovodkaz"/>
                <w:rFonts w:eastAsia="Arial Unicode MS"/>
                <w:noProof/>
              </w:rPr>
              <w:t>1.7.1</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Koordinace činností při zpracování Střednědobého plánu 2024–2026</w:t>
            </w:r>
            <w:r w:rsidR="00A86077">
              <w:rPr>
                <w:noProof/>
                <w:webHidden/>
              </w:rPr>
              <w:tab/>
            </w:r>
            <w:r w:rsidR="00A86077">
              <w:rPr>
                <w:noProof/>
                <w:webHidden/>
              </w:rPr>
              <w:fldChar w:fldCharType="begin"/>
            </w:r>
            <w:r w:rsidR="00A86077">
              <w:rPr>
                <w:noProof/>
                <w:webHidden/>
              </w:rPr>
              <w:instrText xml:space="preserve"> PAGEREF _Toc117606958 \h </w:instrText>
            </w:r>
            <w:r w:rsidR="00A86077">
              <w:rPr>
                <w:noProof/>
                <w:webHidden/>
              </w:rPr>
            </w:r>
            <w:r w:rsidR="00A86077">
              <w:rPr>
                <w:noProof/>
                <w:webHidden/>
              </w:rPr>
              <w:fldChar w:fldCharType="separate"/>
            </w:r>
            <w:r w:rsidR="003A12AF">
              <w:rPr>
                <w:noProof/>
                <w:webHidden/>
              </w:rPr>
              <w:t>24</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59" w:history="1">
            <w:r w:rsidR="00A86077" w:rsidRPr="001C2590">
              <w:rPr>
                <w:rStyle w:val="Hypertextovodkaz"/>
                <w:rFonts w:eastAsia="Arial Unicode MS"/>
                <w:noProof/>
              </w:rPr>
              <w:t>1.7.2</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Naplňování a vyhodnocování Střednědobého plánu 2024–2026</w:t>
            </w:r>
            <w:r w:rsidR="00A86077">
              <w:rPr>
                <w:noProof/>
                <w:webHidden/>
              </w:rPr>
              <w:tab/>
            </w:r>
            <w:r w:rsidR="00A86077">
              <w:rPr>
                <w:noProof/>
                <w:webHidden/>
              </w:rPr>
              <w:fldChar w:fldCharType="begin"/>
            </w:r>
            <w:r w:rsidR="00A86077">
              <w:rPr>
                <w:noProof/>
                <w:webHidden/>
              </w:rPr>
              <w:instrText xml:space="preserve"> PAGEREF _Toc117606959 \h </w:instrText>
            </w:r>
            <w:r w:rsidR="00A86077">
              <w:rPr>
                <w:noProof/>
                <w:webHidden/>
              </w:rPr>
            </w:r>
            <w:r w:rsidR="00A86077">
              <w:rPr>
                <w:noProof/>
                <w:webHidden/>
              </w:rPr>
              <w:fldChar w:fldCharType="separate"/>
            </w:r>
            <w:r w:rsidR="003A12AF">
              <w:rPr>
                <w:noProof/>
                <w:webHidden/>
              </w:rPr>
              <w:t>24</w:t>
            </w:r>
            <w:r w:rsidR="00A86077">
              <w:rPr>
                <w:noProof/>
                <w:webHidden/>
              </w:rPr>
              <w:fldChar w:fldCharType="end"/>
            </w:r>
          </w:hyperlink>
        </w:p>
        <w:p w:rsidR="00A86077" w:rsidRDefault="00412C70">
          <w:pPr>
            <w:pStyle w:val="Obsah1"/>
            <w:rPr>
              <w:rFonts w:asciiTheme="minorHAnsi" w:eastAsiaTheme="minorEastAsia" w:hAnsiTheme="minorHAnsi" w:cstheme="minorBidi"/>
              <w:b w:val="0"/>
              <w:bCs w:val="0"/>
              <w:noProof/>
              <w:sz w:val="22"/>
              <w:szCs w:val="22"/>
              <w:lang w:eastAsia="cs-CZ"/>
            </w:rPr>
          </w:pPr>
          <w:hyperlink w:anchor="_Toc117606960" w:history="1">
            <w:r w:rsidR="00A86077" w:rsidRPr="001C2590">
              <w:rPr>
                <w:rStyle w:val="Hypertextovodkaz"/>
                <w:rFonts w:eastAsia="Arial Unicode MS" w:cs="Segoe UI"/>
                <w:caps/>
                <w:noProof/>
              </w:rPr>
              <w:t>Část B – Analytická</w:t>
            </w:r>
            <w:r w:rsidR="00A86077">
              <w:rPr>
                <w:noProof/>
                <w:webHidden/>
              </w:rPr>
              <w:tab/>
            </w:r>
            <w:r w:rsidR="00A86077">
              <w:rPr>
                <w:noProof/>
                <w:webHidden/>
              </w:rPr>
              <w:fldChar w:fldCharType="begin"/>
            </w:r>
            <w:r w:rsidR="00A86077">
              <w:rPr>
                <w:noProof/>
                <w:webHidden/>
              </w:rPr>
              <w:instrText xml:space="preserve"> PAGEREF _Toc117606960 \h </w:instrText>
            </w:r>
            <w:r w:rsidR="00A86077">
              <w:rPr>
                <w:noProof/>
                <w:webHidden/>
              </w:rPr>
            </w:r>
            <w:r w:rsidR="00A86077">
              <w:rPr>
                <w:noProof/>
                <w:webHidden/>
              </w:rPr>
              <w:fldChar w:fldCharType="separate"/>
            </w:r>
            <w:r w:rsidR="003A12AF">
              <w:rPr>
                <w:noProof/>
                <w:webHidden/>
              </w:rPr>
              <w:t>25</w:t>
            </w:r>
            <w:r w:rsidR="00A86077">
              <w:rPr>
                <w:noProof/>
                <w:webHidden/>
              </w:rPr>
              <w:fldChar w:fldCharType="end"/>
            </w:r>
          </w:hyperlink>
        </w:p>
        <w:p w:rsidR="00A86077" w:rsidRDefault="00412C70">
          <w:pPr>
            <w:pStyle w:val="Obsah1"/>
            <w:tabs>
              <w:tab w:val="left" w:pos="440"/>
            </w:tabs>
            <w:rPr>
              <w:rFonts w:asciiTheme="minorHAnsi" w:eastAsiaTheme="minorEastAsia" w:hAnsiTheme="minorHAnsi" w:cstheme="minorBidi"/>
              <w:b w:val="0"/>
              <w:bCs w:val="0"/>
              <w:noProof/>
              <w:sz w:val="22"/>
              <w:szCs w:val="22"/>
              <w:lang w:eastAsia="cs-CZ"/>
            </w:rPr>
          </w:pPr>
          <w:hyperlink w:anchor="_Toc117606961" w:history="1">
            <w:r w:rsidR="00A86077" w:rsidRPr="001C2590">
              <w:rPr>
                <w:rStyle w:val="Hypertextovodkaz"/>
                <w:rFonts w:eastAsia="Arial Unicode MS"/>
                <w:noProof/>
              </w:rPr>
              <w:t>2</w:t>
            </w:r>
            <w:r w:rsidR="00A86077">
              <w:rPr>
                <w:rFonts w:asciiTheme="minorHAnsi" w:eastAsiaTheme="minorEastAsia" w:hAnsiTheme="minorHAnsi" w:cstheme="minorBidi"/>
                <w:b w:val="0"/>
                <w:bCs w:val="0"/>
                <w:noProof/>
                <w:sz w:val="22"/>
                <w:szCs w:val="22"/>
                <w:lang w:eastAsia="cs-CZ"/>
              </w:rPr>
              <w:tab/>
            </w:r>
            <w:r w:rsidR="00A86077" w:rsidRPr="001C2590">
              <w:rPr>
                <w:rStyle w:val="Hypertextovodkaz"/>
                <w:rFonts w:eastAsia="Arial Unicode MS"/>
                <w:noProof/>
              </w:rPr>
              <w:t>Vybrané sociodemografické údaje o Olomouckém kraji</w:t>
            </w:r>
            <w:r w:rsidR="00A86077">
              <w:rPr>
                <w:noProof/>
                <w:webHidden/>
              </w:rPr>
              <w:tab/>
            </w:r>
            <w:r w:rsidR="00A86077">
              <w:rPr>
                <w:noProof/>
                <w:webHidden/>
              </w:rPr>
              <w:fldChar w:fldCharType="begin"/>
            </w:r>
            <w:r w:rsidR="00A86077">
              <w:rPr>
                <w:noProof/>
                <w:webHidden/>
              </w:rPr>
              <w:instrText xml:space="preserve"> PAGEREF _Toc117606961 \h </w:instrText>
            </w:r>
            <w:r w:rsidR="00A86077">
              <w:rPr>
                <w:noProof/>
                <w:webHidden/>
              </w:rPr>
            </w:r>
            <w:r w:rsidR="00A86077">
              <w:rPr>
                <w:noProof/>
                <w:webHidden/>
              </w:rPr>
              <w:fldChar w:fldCharType="separate"/>
            </w:r>
            <w:r w:rsidR="003A12AF">
              <w:rPr>
                <w:noProof/>
                <w:webHidden/>
              </w:rPr>
              <w:t>25</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62" w:history="1">
            <w:r w:rsidR="00A86077" w:rsidRPr="001C2590">
              <w:rPr>
                <w:rStyle w:val="Hypertextovodkaz"/>
                <w:rFonts w:eastAsia="Arial Unicode MS"/>
                <w:noProof/>
              </w:rPr>
              <w:t>2.1</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Základní charakteristika Olomouckého kraje</w:t>
            </w:r>
            <w:r w:rsidR="00A86077">
              <w:rPr>
                <w:noProof/>
                <w:webHidden/>
              </w:rPr>
              <w:tab/>
            </w:r>
            <w:r w:rsidR="00A86077">
              <w:rPr>
                <w:noProof/>
                <w:webHidden/>
              </w:rPr>
              <w:fldChar w:fldCharType="begin"/>
            </w:r>
            <w:r w:rsidR="00A86077">
              <w:rPr>
                <w:noProof/>
                <w:webHidden/>
              </w:rPr>
              <w:instrText xml:space="preserve"> PAGEREF _Toc117606962 \h </w:instrText>
            </w:r>
            <w:r w:rsidR="00A86077">
              <w:rPr>
                <w:noProof/>
                <w:webHidden/>
              </w:rPr>
            </w:r>
            <w:r w:rsidR="00A86077">
              <w:rPr>
                <w:noProof/>
                <w:webHidden/>
              </w:rPr>
              <w:fldChar w:fldCharType="separate"/>
            </w:r>
            <w:r w:rsidR="003A12AF">
              <w:rPr>
                <w:noProof/>
                <w:webHidden/>
              </w:rPr>
              <w:t>25</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63" w:history="1">
            <w:r w:rsidR="00A86077" w:rsidRPr="001C2590">
              <w:rPr>
                <w:rStyle w:val="Hypertextovodkaz"/>
                <w:rFonts w:eastAsia="Arial Unicode MS"/>
                <w:noProof/>
              </w:rPr>
              <w:t>2.2</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Demografické údaje</w:t>
            </w:r>
            <w:r w:rsidR="00A86077">
              <w:rPr>
                <w:noProof/>
                <w:webHidden/>
              </w:rPr>
              <w:tab/>
            </w:r>
            <w:r w:rsidR="00A86077">
              <w:rPr>
                <w:noProof/>
                <w:webHidden/>
              </w:rPr>
              <w:fldChar w:fldCharType="begin"/>
            </w:r>
            <w:r w:rsidR="00A86077">
              <w:rPr>
                <w:noProof/>
                <w:webHidden/>
              </w:rPr>
              <w:instrText xml:space="preserve"> PAGEREF _Toc117606963 \h </w:instrText>
            </w:r>
            <w:r w:rsidR="00A86077">
              <w:rPr>
                <w:noProof/>
                <w:webHidden/>
              </w:rPr>
            </w:r>
            <w:r w:rsidR="00A86077">
              <w:rPr>
                <w:noProof/>
                <w:webHidden/>
              </w:rPr>
              <w:fldChar w:fldCharType="separate"/>
            </w:r>
            <w:r w:rsidR="003A12AF">
              <w:rPr>
                <w:noProof/>
                <w:webHidden/>
              </w:rPr>
              <w:t>26</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64" w:history="1">
            <w:r w:rsidR="00A86077" w:rsidRPr="001C2590">
              <w:rPr>
                <w:rStyle w:val="Hypertextovodkaz"/>
                <w:rFonts w:eastAsia="Arial Unicode MS"/>
                <w:noProof/>
              </w:rPr>
              <w:t>2.3</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Analytické údaje týkající se pracovních skupin</w:t>
            </w:r>
            <w:r w:rsidR="00A86077">
              <w:rPr>
                <w:noProof/>
                <w:webHidden/>
              </w:rPr>
              <w:tab/>
            </w:r>
            <w:r w:rsidR="00A86077">
              <w:rPr>
                <w:noProof/>
                <w:webHidden/>
              </w:rPr>
              <w:fldChar w:fldCharType="begin"/>
            </w:r>
            <w:r w:rsidR="00A86077">
              <w:rPr>
                <w:noProof/>
                <w:webHidden/>
              </w:rPr>
              <w:instrText xml:space="preserve"> PAGEREF _Toc117606964 \h </w:instrText>
            </w:r>
            <w:r w:rsidR="00A86077">
              <w:rPr>
                <w:noProof/>
                <w:webHidden/>
              </w:rPr>
            </w:r>
            <w:r w:rsidR="00A86077">
              <w:rPr>
                <w:noProof/>
                <w:webHidden/>
              </w:rPr>
              <w:fldChar w:fldCharType="separate"/>
            </w:r>
            <w:r w:rsidR="003A12AF">
              <w:rPr>
                <w:noProof/>
                <w:webHidden/>
              </w:rPr>
              <w:t>38</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65" w:history="1">
            <w:r w:rsidR="00A86077" w:rsidRPr="001C2590">
              <w:rPr>
                <w:rStyle w:val="Hypertextovodkaz"/>
                <w:noProof/>
              </w:rPr>
              <w:t>2.3.1</w:t>
            </w:r>
            <w:r w:rsidR="00A86077">
              <w:rPr>
                <w:rFonts w:asciiTheme="minorHAnsi" w:eastAsiaTheme="minorEastAsia" w:hAnsiTheme="minorHAnsi" w:cstheme="minorBidi"/>
                <w:noProof/>
                <w:sz w:val="22"/>
                <w:szCs w:val="22"/>
                <w:lang w:eastAsia="cs-CZ"/>
              </w:rPr>
              <w:tab/>
            </w:r>
            <w:r w:rsidR="00A86077" w:rsidRPr="001C2590">
              <w:rPr>
                <w:rStyle w:val="Hypertextovodkaz"/>
                <w:noProof/>
              </w:rPr>
              <w:t>Děti, mládež a rodina</w:t>
            </w:r>
            <w:r w:rsidR="00A86077">
              <w:rPr>
                <w:noProof/>
                <w:webHidden/>
              </w:rPr>
              <w:tab/>
            </w:r>
            <w:r w:rsidR="00A86077">
              <w:rPr>
                <w:noProof/>
                <w:webHidden/>
              </w:rPr>
              <w:fldChar w:fldCharType="begin"/>
            </w:r>
            <w:r w:rsidR="00A86077">
              <w:rPr>
                <w:noProof/>
                <w:webHidden/>
              </w:rPr>
              <w:instrText xml:space="preserve"> PAGEREF _Toc117606965 \h </w:instrText>
            </w:r>
            <w:r w:rsidR="00A86077">
              <w:rPr>
                <w:noProof/>
                <w:webHidden/>
              </w:rPr>
            </w:r>
            <w:r w:rsidR="00A86077">
              <w:rPr>
                <w:noProof/>
                <w:webHidden/>
              </w:rPr>
              <w:fldChar w:fldCharType="separate"/>
            </w:r>
            <w:r w:rsidR="003A12AF">
              <w:rPr>
                <w:noProof/>
                <w:webHidden/>
              </w:rPr>
              <w:t>38</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66" w:history="1">
            <w:r w:rsidR="00A86077" w:rsidRPr="001C2590">
              <w:rPr>
                <w:rStyle w:val="Hypertextovodkaz"/>
                <w:noProof/>
              </w:rPr>
              <w:t>2.3.2</w:t>
            </w:r>
            <w:r w:rsidR="00A86077">
              <w:rPr>
                <w:rFonts w:asciiTheme="minorHAnsi" w:eastAsiaTheme="minorEastAsia" w:hAnsiTheme="minorHAnsi" w:cstheme="minorBidi"/>
                <w:noProof/>
                <w:sz w:val="22"/>
                <w:szCs w:val="22"/>
                <w:lang w:eastAsia="cs-CZ"/>
              </w:rPr>
              <w:tab/>
            </w:r>
            <w:r w:rsidR="00A86077" w:rsidRPr="001C2590">
              <w:rPr>
                <w:rStyle w:val="Hypertextovodkaz"/>
                <w:noProof/>
              </w:rPr>
              <w:t>Osoby se zdravotním postižením</w:t>
            </w:r>
            <w:r w:rsidR="00A86077">
              <w:rPr>
                <w:noProof/>
                <w:webHidden/>
              </w:rPr>
              <w:tab/>
            </w:r>
            <w:r w:rsidR="00A86077">
              <w:rPr>
                <w:noProof/>
                <w:webHidden/>
              </w:rPr>
              <w:fldChar w:fldCharType="begin"/>
            </w:r>
            <w:r w:rsidR="00A86077">
              <w:rPr>
                <w:noProof/>
                <w:webHidden/>
              </w:rPr>
              <w:instrText xml:space="preserve"> PAGEREF _Toc117606966 \h </w:instrText>
            </w:r>
            <w:r w:rsidR="00A86077">
              <w:rPr>
                <w:noProof/>
                <w:webHidden/>
              </w:rPr>
            </w:r>
            <w:r w:rsidR="00A86077">
              <w:rPr>
                <w:noProof/>
                <w:webHidden/>
              </w:rPr>
              <w:fldChar w:fldCharType="separate"/>
            </w:r>
            <w:r w:rsidR="003A12AF">
              <w:rPr>
                <w:noProof/>
                <w:webHidden/>
              </w:rPr>
              <w:t>41</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67" w:history="1">
            <w:r w:rsidR="00A86077" w:rsidRPr="001C2590">
              <w:rPr>
                <w:rStyle w:val="Hypertextovodkaz"/>
                <w:noProof/>
              </w:rPr>
              <w:t>2.3.3</w:t>
            </w:r>
            <w:r w:rsidR="00A86077">
              <w:rPr>
                <w:rFonts w:asciiTheme="minorHAnsi" w:eastAsiaTheme="minorEastAsia" w:hAnsiTheme="minorHAnsi" w:cstheme="minorBidi"/>
                <w:noProof/>
                <w:sz w:val="22"/>
                <w:szCs w:val="22"/>
                <w:lang w:eastAsia="cs-CZ"/>
              </w:rPr>
              <w:tab/>
            </w:r>
            <w:r w:rsidR="00A86077" w:rsidRPr="001C2590">
              <w:rPr>
                <w:rStyle w:val="Hypertextovodkaz"/>
                <w:noProof/>
              </w:rPr>
              <w:t>Senioři</w:t>
            </w:r>
            <w:r w:rsidR="00A86077">
              <w:rPr>
                <w:noProof/>
                <w:webHidden/>
              </w:rPr>
              <w:tab/>
            </w:r>
            <w:r w:rsidR="00A86077">
              <w:rPr>
                <w:noProof/>
                <w:webHidden/>
              </w:rPr>
              <w:fldChar w:fldCharType="begin"/>
            </w:r>
            <w:r w:rsidR="00A86077">
              <w:rPr>
                <w:noProof/>
                <w:webHidden/>
              </w:rPr>
              <w:instrText xml:space="preserve"> PAGEREF _Toc117606967 \h </w:instrText>
            </w:r>
            <w:r w:rsidR="00A86077">
              <w:rPr>
                <w:noProof/>
                <w:webHidden/>
              </w:rPr>
            </w:r>
            <w:r w:rsidR="00A86077">
              <w:rPr>
                <w:noProof/>
                <w:webHidden/>
              </w:rPr>
              <w:fldChar w:fldCharType="separate"/>
            </w:r>
            <w:r w:rsidR="003A12AF">
              <w:rPr>
                <w:noProof/>
                <w:webHidden/>
              </w:rPr>
              <w:t>43</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68" w:history="1">
            <w:r w:rsidR="00A86077" w:rsidRPr="001C2590">
              <w:rPr>
                <w:rStyle w:val="Hypertextovodkaz"/>
                <w:noProof/>
              </w:rPr>
              <w:t>2.3.4</w:t>
            </w:r>
            <w:r w:rsidR="00A86077">
              <w:rPr>
                <w:rFonts w:asciiTheme="minorHAnsi" w:eastAsiaTheme="minorEastAsia" w:hAnsiTheme="minorHAnsi" w:cstheme="minorBidi"/>
                <w:noProof/>
                <w:sz w:val="22"/>
                <w:szCs w:val="22"/>
                <w:lang w:eastAsia="cs-CZ"/>
              </w:rPr>
              <w:tab/>
            </w:r>
            <w:r w:rsidR="00A86077" w:rsidRPr="001C2590">
              <w:rPr>
                <w:rStyle w:val="Hypertextovodkaz"/>
                <w:noProof/>
              </w:rPr>
              <w:t>Etnické menšiny a cizinci</w:t>
            </w:r>
            <w:r w:rsidR="00A86077">
              <w:rPr>
                <w:noProof/>
                <w:webHidden/>
              </w:rPr>
              <w:tab/>
            </w:r>
            <w:r w:rsidR="00A86077">
              <w:rPr>
                <w:noProof/>
                <w:webHidden/>
              </w:rPr>
              <w:fldChar w:fldCharType="begin"/>
            </w:r>
            <w:r w:rsidR="00A86077">
              <w:rPr>
                <w:noProof/>
                <w:webHidden/>
              </w:rPr>
              <w:instrText xml:space="preserve"> PAGEREF _Toc117606968 \h </w:instrText>
            </w:r>
            <w:r w:rsidR="00A86077">
              <w:rPr>
                <w:noProof/>
                <w:webHidden/>
              </w:rPr>
            </w:r>
            <w:r w:rsidR="00A86077">
              <w:rPr>
                <w:noProof/>
                <w:webHidden/>
              </w:rPr>
              <w:fldChar w:fldCharType="separate"/>
            </w:r>
            <w:r w:rsidR="003A12AF">
              <w:rPr>
                <w:noProof/>
                <w:webHidden/>
              </w:rPr>
              <w:t>46</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69" w:history="1">
            <w:r w:rsidR="00A86077" w:rsidRPr="001C2590">
              <w:rPr>
                <w:rStyle w:val="Hypertextovodkaz"/>
                <w:noProof/>
              </w:rPr>
              <w:t>2.3.5</w:t>
            </w:r>
            <w:r w:rsidR="00A86077">
              <w:rPr>
                <w:rFonts w:asciiTheme="minorHAnsi" w:eastAsiaTheme="minorEastAsia" w:hAnsiTheme="minorHAnsi" w:cstheme="minorBidi"/>
                <w:noProof/>
                <w:sz w:val="22"/>
                <w:szCs w:val="22"/>
                <w:lang w:eastAsia="cs-CZ"/>
              </w:rPr>
              <w:tab/>
            </w:r>
            <w:r w:rsidR="00A86077" w:rsidRPr="001C2590">
              <w:rPr>
                <w:rStyle w:val="Hypertextovodkaz"/>
                <w:noProof/>
              </w:rPr>
              <w:t>Osoby v krizi a osoby sociálně vyloučené</w:t>
            </w:r>
            <w:r w:rsidR="00A86077">
              <w:rPr>
                <w:noProof/>
                <w:webHidden/>
              </w:rPr>
              <w:tab/>
            </w:r>
            <w:r w:rsidR="00A86077">
              <w:rPr>
                <w:noProof/>
                <w:webHidden/>
              </w:rPr>
              <w:fldChar w:fldCharType="begin"/>
            </w:r>
            <w:r w:rsidR="00A86077">
              <w:rPr>
                <w:noProof/>
                <w:webHidden/>
              </w:rPr>
              <w:instrText xml:space="preserve"> PAGEREF _Toc117606969 \h </w:instrText>
            </w:r>
            <w:r w:rsidR="00A86077">
              <w:rPr>
                <w:noProof/>
                <w:webHidden/>
              </w:rPr>
            </w:r>
            <w:r w:rsidR="00A86077">
              <w:rPr>
                <w:noProof/>
                <w:webHidden/>
              </w:rPr>
              <w:fldChar w:fldCharType="separate"/>
            </w:r>
            <w:r w:rsidR="003A12AF">
              <w:rPr>
                <w:noProof/>
                <w:webHidden/>
              </w:rPr>
              <w:t>49</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70" w:history="1">
            <w:r w:rsidR="00A86077" w:rsidRPr="001C2590">
              <w:rPr>
                <w:rStyle w:val="Hypertextovodkaz"/>
                <w:noProof/>
              </w:rPr>
              <w:t>2.3.6</w:t>
            </w:r>
            <w:r w:rsidR="00A86077">
              <w:rPr>
                <w:rFonts w:asciiTheme="minorHAnsi" w:eastAsiaTheme="minorEastAsia" w:hAnsiTheme="minorHAnsi" w:cstheme="minorBidi"/>
                <w:noProof/>
                <w:sz w:val="22"/>
                <w:szCs w:val="22"/>
                <w:lang w:eastAsia="cs-CZ"/>
              </w:rPr>
              <w:tab/>
            </w:r>
            <w:r w:rsidR="00A86077" w:rsidRPr="001C2590">
              <w:rPr>
                <w:rStyle w:val="Hypertextovodkaz"/>
                <w:noProof/>
              </w:rPr>
              <w:t>Osoby ohrožené návykovým jednáním</w:t>
            </w:r>
            <w:r w:rsidR="00A86077">
              <w:rPr>
                <w:noProof/>
                <w:webHidden/>
              </w:rPr>
              <w:tab/>
            </w:r>
            <w:r w:rsidR="00A86077">
              <w:rPr>
                <w:noProof/>
                <w:webHidden/>
              </w:rPr>
              <w:fldChar w:fldCharType="begin"/>
            </w:r>
            <w:r w:rsidR="00A86077">
              <w:rPr>
                <w:noProof/>
                <w:webHidden/>
              </w:rPr>
              <w:instrText xml:space="preserve"> PAGEREF _Toc117606970 \h </w:instrText>
            </w:r>
            <w:r w:rsidR="00A86077">
              <w:rPr>
                <w:noProof/>
                <w:webHidden/>
              </w:rPr>
            </w:r>
            <w:r w:rsidR="00A86077">
              <w:rPr>
                <w:noProof/>
                <w:webHidden/>
              </w:rPr>
              <w:fldChar w:fldCharType="separate"/>
            </w:r>
            <w:r w:rsidR="003A12AF">
              <w:rPr>
                <w:noProof/>
                <w:webHidden/>
              </w:rPr>
              <w:t>55</w:t>
            </w:r>
            <w:r w:rsidR="00A86077">
              <w:rPr>
                <w:noProof/>
                <w:webHidden/>
              </w:rPr>
              <w:fldChar w:fldCharType="end"/>
            </w:r>
          </w:hyperlink>
        </w:p>
        <w:p w:rsidR="00A86077" w:rsidRDefault="00412C70">
          <w:pPr>
            <w:pStyle w:val="Obsah1"/>
            <w:tabs>
              <w:tab w:val="left" w:pos="440"/>
            </w:tabs>
            <w:rPr>
              <w:rFonts w:asciiTheme="minorHAnsi" w:eastAsiaTheme="minorEastAsia" w:hAnsiTheme="minorHAnsi" w:cstheme="minorBidi"/>
              <w:b w:val="0"/>
              <w:bCs w:val="0"/>
              <w:noProof/>
              <w:sz w:val="22"/>
              <w:szCs w:val="22"/>
              <w:lang w:eastAsia="cs-CZ"/>
            </w:rPr>
          </w:pPr>
          <w:hyperlink w:anchor="_Toc117606971" w:history="1">
            <w:r w:rsidR="00A86077" w:rsidRPr="001C2590">
              <w:rPr>
                <w:rStyle w:val="Hypertextovodkaz"/>
                <w:rFonts w:eastAsia="Arial Unicode MS"/>
                <w:noProof/>
              </w:rPr>
              <w:t>3</w:t>
            </w:r>
            <w:r w:rsidR="00A86077">
              <w:rPr>
                <w:rFonts w:asciiTheme="minorHAnsi" w:eastAsiaTheme="minorEastAsia" w:hAnsiTheme="minorHAnsi" w:cstheme="minorBidi"/>
                <w:b w:val="0"/>
                <w:bCs w:val="0"/>
                <w:noProof/>
                <w:sz w:val="22"/>
                <w:szCs w:val="22"/>
                <w:lang w:eastAsia="cs-CZ"/>
              </w:rPr>
              <w:tab/>
            </w:r>
            <w:r w:rsidR="00A86077" w:rsidRPr="001C2590">
              <w:rPr>
                <w:rStyle w:val="Hypertextovodkaz"/>
                <w:rFonts w:eastAsia="Arial Unicode MS"/>
                <w:noProof/>
              </w:rPr>
              <w:t>Dopad metodických a strategických dokumentů do oblasti sociálních služeb na území OK</w:t>
            </w:r>
            <w:r w:rsidR="00A86077">
              <w:rPr>
                <w:noProof/>
                <w:webHidden/>
              </w:rPr>
              <w:tab/>
            </w:r>
            <w:r w:rsidR="00A86077">
              <w:rPr>
                <w:noProof/>
                <w:webHidden/>
              </w:rPr>
              <w:fldChar w:fldCharType="begin"/>
            </w:r>
            <w:r w:rsidR="00A86077">
              <w:rPr>
                <w:noProof/>
                <w:webHidden/>
              </w:rPr>
              <w:instrText xml:space="preserve"> PAGEREF _Toc117606971 \h </w:instrText>
            </w:r>
            <w:r w:rsidR="00A86077">
              <w:rPr>
                <w:noProof/>
                <w:webHidden/>
              </w:rPr>
            </w:r>
            <w:r w:rsidR="00A86077">
              <w:rPr>
                <w:noProof/>
                <w:webHidden/>
              </w:rPr>
              <w:fldChar w:fldCharType="separate"/>
            </w:r>
            <w:r w:rsidR="003A12AF">
              <w:rPr>
                <w:noProof/>
                <w:webHidden/>
              </w:rPr>
              <w:t>59</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72" w:history="1">
            <w:r w:rsidR="00A86077" w:rsidRPr="001C2590">
              <w:rPr>
                <w:rStyle w:val="Hypertextovodkaz"/>
                <w:rFonts w:eastAsia="Arial Unicode MS"/>
                <w:noProof/>
              </w:rPr>
              <w:t>3.1</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Reforma psychiatrické péče</w:t>
            </w:r>
            <w:r w:rsidR="00A86077">
              <w:rPr>
                <w:noProof/>
                <w:webHidden/>
              </w:rPr>
              <w:tab/>
            </w:r>
            <w:r w:rsidR="00A86077">
              <w:rPr>
                <w:noProof/>
                <w:webHidden/>
              </w:rPr>
              <w:fldChar w:fldCharType="begin"/>
            </w:r>
            <w:r w:rsidR="00A86077">
              <w:rPr>
                <w:noProof/>
                <w:webHidden/>
              </w:rPr>
              <w:instrText xml:space="preserve"> PAGEREF _Toc117606972 \h </w:instrText>
            </w:r>
            <w:r w:rsidR="00A86077">
              <w:rPr>
                <w:noProof/>
                <w:webHidden/>
              </w:rPr>
            </w:r>
            <w:r w:rsidR="00A86077">
              <w:rPr>
                <w:noProof/>
                <w:webHidden/>
              </w:rPr>
              <w:fldChar w:fldCharType="separate"/>
            </w:r>
            <w:r w:rsidR="003A12AF">
              <w:rPr>
                <w:noProof/>
                <w:webHidden/>
              </w:rPr>
              <w:t>59</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73" w:history="1">
            <w:r w:rsidR="00A86077" w:rsidRPr="001C2590">
              <w:rPr>
                <w:rStyle w:val="Hypertextovodkaz"/>
                <w:rFonts w:eastAsia="Arial Unicode MS"/>
                <w:noProof/>
              </w:rPr>
              <w:t>3.2</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Deinstitucionalizace/transformace pobytových služeb pro OZP v OK</w:t>
            </w:r>
            <w:r w:rsidR="00A86077">
              <w:rPr>
                <w:noProof/>
                <w:webHidden/>
              </w:rPr>
              <w:tab/>
            </w:r>
            <w:r w:rsidR="00A86077">
              <w:rPr>
                <w:noProof/>
                <w:webHidden/>
              </w:rPr>
              <w:fldChar w:fldCharType="begin"/>
            </w:r>
            <w:r w:rsidR="00A86077">
              <w:rPr>
                <w:noProof/>
                <w:webHidden/>
              </w:rPr>
              <w:instrText xml:space="preserve"> PAGEREF _Toc117606973 \h </w:instrText>
            </w:r>
            <w:r w:rsidR="00A86077">
              <w:rPr>
                <w:noProof/>
                <w:webHidden/>
              </w:rPr>
            </w:r>
            <w:r w:rsidR="00A86077">
              <w:rPr>
                <w:noProof/>
                <w:webHidden/>
              </w:rPr>
              <w:fldChar w:fldCharType="separate"/>
            </w:r>
            <w:r w:rsidR="003A12AF">
              <w:rPr>
                <w:noProof/>
                <w:webHidden/>
              </w:rPr>
              <w:t>64</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74" w:history="1">
            <w:r w:rsidR="00A86077" w:rsidRPr="001C2590">
              <w:rPr>
                <w:rStyle w:val="Hypertextovodkaz"/>
                <w:rFonts w:eastAsia="Arial Unicode MS"/>
                <w:noProof/>
              </w:rPr>
              <w:t>3.3</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Národní plán vytváření rovných příležitostí pro osoby se zdravotním postižením na období 2021–2025</w:t>
            </w:r>
            <w:r w:rsidR="00A86077">
              <w:rPr>
                <w:noProof/>
                <w:webHidden/>
              </w:rPr>
              <w:tab/>
            </w:r>
            <w:r w:rsidR="00A86077">
              <w:rPr>
                <w:noProof/>
                <w:webHidden/>
              </w:rPr>
              <w:fldChar w:fldCharType="begin"/>
            </w:r>
            <w:r w:rsidR="00A86077">
              <w:rPr>
                <w:noProof/>
                <w:webHidden/>
              </w:rPr>
              <w:instrText xml:space="preserve"> PAGEREF _Toc117606974 \h </w:instrText>
            </w:r>
            <w:r w:rsidR="00A86077">
              <w:rPr>
                <w:noProof/>
                <w:webHidden/>
              </w:rPr>
            </w:r>
            <w:r w:rsidR="00A86077">
              <w:rPr>
                <w:noProof/>
                <w:webHidden/>
              </w:rPr>
              <w:fldChar w:fldCharType="separate"/>
            </w:r>
            <w:r w:rsidR="003A12AF">
              <w:rPr>
                <w:noProof/>
                <w:webHidden/>
              </w:rPr>
              <w:t>68</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75" w:history="1">
            <w:r w:rsidR="00A86077" w:rsidRPr="001C2590">
              <w:rPr>
                <w:rStyle w:val="Hypertextovodkaz"/>
                <w:rFonts w:eastAsia="Arial Unicode MS"/>
                <w:noProof/>
              </w:rPr>
              <w:t>3.4</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Strategický rámec přípravy na stárnutí společnosti 2021–2025</w:t>
            </w:r>
            <w:r w:rsidR="00A86077">
              <w:rPr>
                <w:noProof/>
                <w:webHidden/>
              </w:rPr>
              <w:tab/>
            </w:r>
            <w:r w:rsidR="00A86077">
              <w:rPr>
                <w:noProof/>
                <w:webHidden/>
              </w:rPr>
              <w:fldChar w:fldCharType="begin"/>
            </w:r>
            <w:r w:rsidR="00A86077">
              <w:rPr>
                <w:noProof/>
                <w:webHidden/>
              </w:rPr>
              <w:instrText xml:space="preserve"> PAGEREF _Toc117606975 \h </w:instrText>
            </w:r>
            <w:r w:rsidR="00A86077">
              <w:rPr>
                <w:noProof/>
                <w:webHidden/>
              </w:rPr>
            </w:r>
            <w:r w:rsidR="00A86077">
              <w:rPr>
                <w:noProof/>
                <w:webHidden/>
              </w:rPr>
              <w:fldChar w:fldCharType="separate"/>
            </w:r>
            <w:r w:rsidR="003A12AF">
              <w:rPr>
                <w:noProof/>
                <w:webHidden/>
              </w:rPr>
              <w:t>69</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76" w:history="1">
            <w:r w:rsidR="00A86077" w:rsidRPr="001C2590">
              <w:rPr>
                <w:rStyle w:val="Hypertextovodkaz"/>
                <w:rFonts w:eastAsia="Arial Unicode MS"/>
                <w:noProof/>
              </w:rPr>
              <w:t>3.5</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Oblast služeb pro ohrožené rodiny a děti, prevence kriminality</w:t>
            </w:r>
            <w:r w:rsidR="00A86077">
              <w:rPr>
                <w:noProof/>
                <w:webHidden/>
              </w:rPr>
              <w:tab/>
            </w:r>
            <w:r w:rsidR="00A86077">
              <w:rPr>
                <w:noProof/>
                <w:webHidden/>
              </w:rPr>
              <w:fldChar w:fldCharType="begin"/>
            </w:r>
            <w:r w:rsidR="00A86077">
              <w:rPr>
                <w:noProof/>
                <w:webHidden/>
              </w:rPr>
              <w:instrText xml:space="preserve"> PAGEREF _Toc117606976 \h </w:instrText>
            </w:r>
            <w:r w:rsidR="00A86077">
              <w:rPr>
                <w:noProof/>
                <w:webHidden/>
              </w:rPr>
            </w:r>
            <w:r w:rsidR="00A86077">
              <w:rPr>
                <w:noProof/>
                <w:webHidden/>
              </w:rPr>
              <w:fldChar w:fldCharType="separate"/>
            </w:r>
            <w:r w:rsidR="003A12AF">
              <w:rPr>
                <w:noProof/>
                <w:webHidden/>
              </w:rPr>
              <w:t>69</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77" w:history="1">
            <w:r w:rsidR="00A86077" w:rsidRPr="001C2590">
              <w:rPr>
                <w:rStyle w:val="Hypertextovodkaz"/>
                <w:rFonts w:eastAsia="Arial Unicode MS"/>
                <w:noProof/>
              </w:rPr>
              <w:t>3.6</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Protidrogová politika OK</w:t>
            </w:r>
            <w:r w:rsidR="00A86077">
              <w:rPr>
                <w:noProof/>
                <w:webHidden/>
              </w:rPr>
              <w:tab/>
            </w:r>
            <w:r w:rsidR="00A86077">
              <w:rPr>
                <w:noProof/>
                <w:webHidden/>
              </w:rPr>
              <w:fldChar w:fldCharType="begin"/>
            </w:r>
            <w:r w:rsidR="00A86077">
              <w:rPr>
                <w:noProof/>
                <w:webHidden/>
              </w:rPr>
              <w:instrText xml:space="preserve"> PAGEREF _Toc117606977 \h </w:instrText>
            </w:r>
            <w:r w:rsidR="00A86077">
              <w:rPr>
                <w:noProof/>
                <w:webHidden/>
              </w:rPr>
            </w:r>
            <w:r w:rsidR="00A86077">
              <w:rPr>
                <w:noProof/>
                <w:webHidden/>
              </w:rPr>
              <w:fldChar w:fldCharType="separate"/>
            </w:r>
            <w:r w:rsidR="003A12AF">
              <w:rPr>
                <w:noProof/>
                <w:webHidden/>
              </w:rPr>
              <w:t>70</w:t>
            </w:r>
            <w:r w:rsidR="00A86077">
              <w:rPr>
                <w:noProof/>
                <w:webHidden/>
              </w:rPr>
              <w:fldChar w:fldCharType="end"/>
            </w:r>
          </w:hyperlink>
        </w:p>
        <w:p w:rsidR="00A86077" w:rsidRDefault="00412C70">
          <w:pPr>
            <w:pStyle w:val="Obsah1"/>
            <w:tabs>
              <w:tab w:val="left" w:pos="440"/>
            </w:tabs>
            <w:rPr>
              <w:rFonts w:asciiTheme="minorHAnsi" w:eastAsiaTheme="minorEastAsia" w:hAnsiTheme="minorHAnsi" w:cstheme="minorBidi"/>
              <w:b w:val="0"/>
              <w:bCs w:val="0"/>
              <w:noProof/>
              <w:sz w:val="22"/>
              <w:szCs w:val="22"/>
              <w:lang w:eastAsia="cs-CZ"/>
            </w:rPr>
          </w:pPr>
          <w:hyperlink w:anchor="_Toc117606978" w:history="1">
            <w:r w:rsidR="00A86077" w:rsidRPr="001C2590">
              <w:rPr>
                <w:rStyle w:val="Hypertextovodkaz"/>
                <w:rFonts w:eastAsia="Arial Unicode MS"/>
                <w:noProof/>
              </w:rPr>
              <w:t>4</w:t>
            </w:r>
            <w:r w:rsidR="00A86077">
              <w:rPr>
                <w:rFonts w:asciiTheme="minorHAnsi" w:eastAsiaTheme="minorEastAsia" w:hAnsiTheme="minorHAnsi" w:cstheme="minorBidi"/>
                <w:b w:val="0"/>
                <w:bCs w:val="0"/>
                <w:noProof/>
                <w:sz w:val="22"/>
                <w:szCs w:val="22"/>
                <w:lang w:eastAsia="cs-CZ"/>
              </w:rPr>
              <w:tab/>
            </w:r>
            <w:r w:rsidR="00A86077" w:rsidRPr="001C2590">
              <w:rPr>
                <w:rStyle w:val="Hypertextovodkaz"/>
                <w:rFonts w:eastAsia="Arial Unicode MS"/>
                <w:noProof/>
              </w:rPr>
              <w:t>Výkon sociální práce na úrovni obcí a kraje</w:t>
            </w:r>
            <w:r w:rsidR="00A86077">
              <w:rPr>
                <w:noProof/>
                <w:webHidden/>
              </w:rPr>
              <w:tab/>
            </w:r>
            <w:r w:rsidR="00A86077">
              <w:rPr>
                <w:noProof/>
                <w:webHidden/>
              </w:rPr>
              <w:fldChar w:fldCharType="begin"/>
            </w:r>
            <w:r w:rsidR="00A86077">
              <w:rPr>
                <w:noProof/>
                <w:webHidden/>
              </w:rPr>
              <w:instrText xml:space="preserve"> PAGEREF _Toc117606978 \h </w:instrText>
            </w:r>
            <w:r w:rsidR="00A86077">
              <w:rPr>
                <w:noProof/>
                <w:webHidden/>
              </w:rPr>
            </w:r>
            <w:r w:rsidR="00A86077">
              <w:rPr>
                <w:noProof/>
                <w:webHidden/>
              </w:rPr>
              <w:fldChar w:fldCharType="separate"/>
            </w:r>
            <w:r w:rsidR="003A12AF">
              <w:rPr>
                <w:noProof/>
                <w:webHidden/>
              </w:rPr>
              <w:t>71</w:t>
            </w:r>
            <w:r w:rsidR="00A86077">
              <w:rPr>
                <w:noProof/>
                <w:webHidden/>
              </w:rPr>
              <w:fldChar w:fldCharType="end"/>
            </w:r>
          </w:hyperlink>
        </w:p>
        <w:p w:rsidR="00A86077" w:rsidRDefault="00412C70">
          <w:pPr>
            <w:pStyle w:val="Obsah1"/>
            <w:tabs>
              <w:tab w:val="left" w:pos="440"/>
            </w:tabs>
            <w:rPr>
              <w:rFonts w:asciiTheme="minorHAnsi" w:eastAsiaTheme="minorEastAsia" w:hAnsiTheme="minorHAnsi" w:cstheme="minorBidi"/>
              <w:b w:val="0"/>
              <w:bCs w:val="0"/>
              <w:noProof/>
              <w:sz w:val="22"/>
              <w:szCs w:val="22"/>
              <w:lang w:eastAsia="cs-CZ"/>
            </w:rPr>
          </w:pPr>
          <w:hyperlink w:anchor="_Toc117606979" w:history="1">
            <w:r w:rsidR="00A86077" w:rsidRPr="001C2590">
              <w:rPr>
                <w:rStyle w:val="Hypertextovodkaz"/>
                <w:rFonts w:eastAsia="Arial Unicode MS"/>
                <w:noProof/>
              </w:rPr>
              <w:t>5</w:t>
            </w:r>
            <w:r w:rsidR="00A86077">
              <w:rPr>
                <w:rFonts w:asciiTheme="minorHAnsi" w:eastAsiaTheme="minorEastAsia" w:hAnsiTheme="minorHAnsi" w:cstheme="minorBidi"/>
                <w:b w:val="0"/>
                <w:bCs w:val="0"/>
                <w:noProof/>
                <w:sz w:val="22"/>
                <w:szCs w:val="22"/>
                <w:lang w:eastAsia="cs-CZ"/>
              </w:rPr>
              <w:tab/>
            </w:r>
            <w:r w:rsidR="00A86077" w:rsidRPr="001C2590">
              <w:rPr>
                <w:rStyle w:val="Hypertextovodkaz"/>
                <w:rFonts w:eastAsia="Arial Unicode MS"/>
                <w:noProof/>
              </w:rPr>
              <w:t>Finanční plán pro oblast sociálních služeb</w:t>
            </w:r>
            <w:r w:rsidR="00A86077">
              <w:rPr>
                <w:noProof/>
                <w:webHidden/>
              </w:rPr>
              <w:tab/>
            </w:r>
            <w:r w:rsidR="00A86077">
              <w:rPr>
                <w:noProof/>
                <w:webHidden/>
              </w:rPr>
              <w:fldChar w:fldCharType="begin"/>
            </w:r>
            <w:r w:rsidR="00A86077">
              <w:rPr>
                <w:noProof/>
                <w:webHidden/>
              </w:rPr>
              <w:instrText xml:space="preserve"> PAGEREF _Toc117606979 \h </w:instrText>
            </w:r>
            <w:r w:rsidR="00A86077">
              <w:rPr>
                <w:noProof/>
                <w:webHidden/>
              </w:rPr>
            </w:r>
            <w:r w:rsidR="00A86077">
              <w:rPr>
                <w:noProof/>
                <w:webHidden/>
              </w:rPr>
              <w:fldChar w:fldCharType="separate"/>
            </w:r>
            <w:r w:rsidR="003A12AF">
              <w:rPr>
                <w:noProof/>
                <w:webHidden/>
              </w:rPr>
              <w:t>75</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80" w:history="1">
            <w:r w:rsidR="00A86077" w:rsidRPr="001C2590">
              <w:rPr>
                <w:rStyle w:val="Hypertextovodkaz"/>
                <w:rFonts w:eastAsia="Arial Unicode MS"/>
                <w:noProof/>
              </w:rPr>
              <w:t>5.1</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Zdroje financování a náklady sociálních služeb v Olomouckém kraji</w:t>
            </w:r>
            <w:r w:rsidR="00A86077">
              <w:rPr>
                <w:noProof/>
                <w:webHidden/>
              </w:rPr>
              <w:tab/>
            </w:r>
            <w:r w:rsidR="00A86077">
              <w:rPr>
                <w:noProof/>
                <w:webHidden/>
              </w:rPr>
              <w:fldChar w:fldCharType="begin"/>
            </w:r>
            <w:r w:rsidR="00A86077">
              <w:rPr>
                <w:noProof/>
                <w:webHidden/>
              </w:rPr>
              <w:instrText xml:space="preserve"> PAGEREF _Toc117606980 \h </w:instrText>
            </w:r>
            <w:r w:rsidR="00A86077">
              <w:rPr>
                <w:noProof/>
                <w:webHidden/>
              </w:rPr>
            </w:r>
            <w:r w:rsidR="00A86077">
              <w:rPr>
                <w:noProof/>
                <w:webHidden/>
              </w:rPr>
              <w:fldChar w:fldCharType="separate"/>
            </w:r>
            <w:r w:rsidR="003A12AF">
              <w:rPr>
                <w:noProof/>
                <w:webHidden/>
              </w:rPr>
              <w:t>75</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81" w:history="1">
            <w:r w:rsidR="00A86077" w:rsidRPr="001C2590">
              <w:rPr>
                <w:rStyle w:val="Hypertextovodkaz"/>
                <w:rFonts w:eastAsia="Arial Unicode MS"/>
                <w:noProof/>
              </w:rPr>
              <w:t>5.1.1</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Zdroje financování</w:t>
            </w:r>
            <w:r w:rsidR="00A86077">
              <w:rPr>
                <w:noProof/>
                <w:webHidden/>
              </w:rPr>
              <w:tab/>
            </w:r>
            <w:r w:rsidR="00A86077">
              <w:rPr>
                <w:noProof/>
                <w:webHidden/>
              </w:rPr>
              <w:fldChar w:fldCharType="begin"/>
            </w:r>
            <w:r w:rsidR="00A86077">
              <w:rPr>
                <w:noProof/>
                <w:webHidden/>
              </w:rPr>
              <w:instrText xml:space="preserve"> PAGEREF _Toc117606981 \h </w:instrText>
            </w:r>
            <w:r w:rsidR="00A86077">
              <w:rPr>
                <w:noProof/>
                <w:webHidden/>
              </w:rPr>
            </w:r>
            <w:r w:rsidR="00A86077">
              <w:rPr>
                <w:noProof/>
                <w:webHidden/>
              </w:rPr>
              <w:fldChar w:fldCharType="separate"/>
            </w:r>
            <w:r w:rsidR="003A12AF">
              <w:rPr>
                <w:noProof/>
                <w:webHidden/>
              </w:rPr>
              <w:t>75</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82" w:history="1">
            <w:r w:rsidR="00A86077" w:rsidRPr="001C2590">
              <w:rPr>
                <w:rStyle w:val="Hypertextovodkaz"/>
                <w:rFonts w:eastAsia="Arial Unicode MS"/>
                <w:noProof/>
              </w:rPr>
              <w:t>5.1.2</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Náklady sociálních služeb</w:t>
            </w:r>
            <w:r w:rsidR="00A86077">
              <w:rPr>
                <w:noProof/>
                <w:webHidden/>
              </w:rPr>
              <w:tab/>
            </w:r>
            <w:r w:rsidR="00A86077">
              <w:rPr>
                <w:noProof/>
                <w:webHidden/>
              </w:rPr>
              <w:fldChar w:fldCharType="begin"/>
            </w:r>
            <w:r w:rsidR="00A86077">
              <w:rPr>
                <w:noProof/>
                <w:webHidden/>
              </w:rPr>
              <w:instrText xml:space="preserve"> PAGEREF _Toc117606982 \h </w:instrText>
            </w:r>
            <w:r w:rsidR="00A86077">
              <w:rPr>
                <w:noProof/>
                <w:webHidden/>
              </w:rPr>
            </w:r>
            <w:r w:rsidR="00A86077">
              <w:rPr>
                <w:noProof/>
                <w:webHidden/>
              </w:rPr>
              <w:fldChar w:fldCharType="separate"/>
            </w:r>
            <w:r w:rsidR="003A12AF">
              <w:rPr>
                <w:noProof/>
                <w:webHidden/>
              </w:rPr>
              <w:t>79</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83" w:history="1">
            <w:r w:rsidR="00A86077" w:rsidRPr="001C2590">
              <w:rPr>
                <w:rStyle w:val="Hypertextovodkaz"/>
                <w:rFonts w:eastAsia="Arial Unicode MS"/>
                <w:noProof/>
              </w:rPr>
              <w:t>5.2</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Financování sociálních služeb v Olomouckém kraji</w:t>
            </w:r>
            <w:r w:rsidR="00A86077">
              <w:rPr>
                <w:noProof/>
                <w:webHidden/>
              </w:rPr>
              <w:tab/>
            </w:r>
            <w:r w:rsidR="00A86077">
              <w:rPr>
                <w:noProof/>
                <w:webHidden/>
              </w:rPr>
              <w:fldChar w:fldCharType="begin"/>
            </w:r>
            <w:r w:rsidR="00A86077">
              <w:rPr>
                <w:noProof/>
                <w:webHidden/>
              </w:rPr>
              <w:instrText xml:space="preserve"> PAGEREF _Toc117606983 \h </w:instrText>
            </w:r>
            <w:r w:rsidR="00A86077">
              <w:rPr>
                <w:noProof/>
                <w:webHidden/>
              </w:rPr>
            </w:r>
            <w:r w:rsidR="00A86077">
              <w:rPr>
                <w:noProof/>
                <w:webHidden/>
              </w:rPr>
              <w:fldChar w:fldCharType="separate"/>
            </w:r>
            <w:r w:rsidR="003A12AF">
              <w:rPr>
                <w:noProof/>
                <w:webHidden/>
              </w:rPr>
              <w:t>82</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84" w:history="1">
            <w:r w:rsidR="00A86077" w:rsidRPr="001C2590">
              <w:rPr>
                <w:rStyle w:val="Hypertextovodkaz"/>
                <w:rFonts w:eastAsia="Arial Unicode MS"/>
                <w:noProof/>
              </w:rPr>
              <w:t>5.2.1</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Program finanční podpory poskytování sociálních služeb v Olomouckém kraji</w:t>
            </w:r>
            <w:r w:rsidR="00A86077">
              <w:rPr>
                <w:noProof/>
                <w:webHidden/>
              </w:rPr>
              <w:tab/>
            </w:r>
            <w:r w:rsidR="00A86077">
              <w:rPr>
                <w:noProof/>
                <w:webHidden/>
              </w:rPr>
              <w:fldChar w:fldCharType="begin"/>
            </w:r>
            <w:r w:rsidR="00A86077">
              <w:rPr>
                <w:noProof/>
                <w:webHidden/>
              </w:rPr>
              <w:instrText xml:space="preserve"> PAGEREF _Toc117606984 \h </w:instrText>
            </w:r>
            <w:r w:rsidR="00A86077">
              <w:rPr>
                <w:noProof/>
                <w:webHidden/>
              </w:rPr>
            </w:r>
            <w:r w:rsidR="00A86077">
              <w:rPr>
                <w:noProof/>
                <w:webHidden/>
              </w:rPr>
              <w:fldChar w:fldCharType="separate"/>
            </w:r>
            <w:r w:rsidR="003A12AF">
              <w:rPr>
                <w:noProof/>
                <w:webHidden/>
              </w:rPr>
              <w:t>82</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85" w:history="1">
            <w:r w:rsidR="00A86077" w:rsidRPr="001C2590">
              <w:rPr>
                <w:rStyle w:val="Hypertextovodkaz"/>
                <w:rFonts w:eastAsia="Arial Unicode MS"/>
                <w:noProof/>
              </w:rPr>
              <w:t>5.2.2</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Financování sociálních služeb prostřednictvím individuálního projektu</w:t>
            </w:r>
            <w:r w:rsidR="00A86077">
              <w:rPr>
                <w:noProof/>
                <w:webHidden/>
              </w:rPr>
              <w:tab/>
            </w:r>
            <w:r w:rsidR="00A86077">
              <w:rPr>
                <w:noProof/>
                <w:webHidden/>
              </w:rPr>
              <w:fldChar w:fldCharType="begin"/>
            </w:r>
            <w:r w:rsidR="00A86077">
              <w:rPr>
                <w:noProof/>
                <w:webHidden/>
              </w:rPr>
              <w:instrText xml:space="preserve"> PAGEREF _Toc117606985 \h </w:instrText>
            </w:r>
            <w:r w:rsidR="00A86077">
              <w:rPr>
                <w:noProof/>
                <w:webHidden/>
              </w:rPr>
            </w:r>
            <w:r w:rsidR="00A86077">
              <w:rPr>
                <w:noProof/>
                <w:webHidden/>
              </w:rPr>
              <w:fldChar w:fldCharType="separate"/>
            </w:r>
            <w:r w:rsidR="003A12AF">
              <w:rPr>
                <w:noProof/>
                <w:webHidden/>
              </w:rPr>
              <w:t>91</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86" w:history="1">
            <w:r w:rsidR="00A86077" w:rsidRPr="001C2590">
              <w:rPr>
                <w:rStyle w:val="Hypertextovodkaz"/>
                <w:rFonts w:eastAsia="Arial Unicode MS"/>
                <w:noProof/>
              </w:rPr>
              <w:t>5.3</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Realizace rozvojových cílů a jejich finanční zajištění</w:t>
            </w:r>
            <w:r w:rsidR="00A86077">
              <w:rPr>
                <w:noProof/>
                <w:webHidden/>
              </w:rPr>
              <w:tab/>
            </w:r>
            <w:r w:rsidR="00A86077">
              <w:rPr>
                <w:noProof/>
                <w:webHidden/>
              </w:rPr>
              <w:fldChar w:fldCharType="begin"/>
            </w:r>
            <w:r w:rsidR="00A86077">
              <w:rPr>
                <w:noProof/>
                <w:webHidden/>
              </w:rPr>
              <w:instrText xml:space="preserve"> PAGEREF _Toc117606986 \h </w:instrText>
            </w:r>
            <w:r w:rsidR="00A86077">
              <w:rPr>
                <w:noProof/>
                <w:webHidden/>
              </w:rPr>
            </w:r>
            <w:r w:rsidR="00A86077">
              <w:rPr>
                <w:noProof/>
                <w:webHidden/>
              </w:rPr>
              <w:fldChar w:fldCharType="separate"/>
            </w:r>
            <w:r w:rsidR="003A12AF">
              <w:rPr>
                <w:noProof/>
                <w:webHidden/>
              </w:rPr>
              <w:t>92</w:t>
            </w:r>
            <w:r w:rsidR="00A86077">
              <w:rPr>
                <w:noProof/>
                <w:webHidden/>
              </w:rPr>
              <w:fldChar w:fldCharType="end"/>
            </w:r>
          </w:hyperlink>
        </w:p>
        <w:p w:rsidR="00A86077" w:rsidRDefault="00412C70">
          <w:pPr>
            <w:pStyle w:val="Obsah1"/>
            <w:rPr>
              <w:rFonts w:asciiTheme="minorHAnsi" w:eastAsiaTheme="minorEastAsia" w:hAnsiTheme="minorHAnsi" w:cstheme="minorBidi"/>
              <w:b w:val="0"/>
              <w:bCs w:val="0"/>
              <w:noProof/>
              <w:sz w:val="22"/>
              <w:szCs w:val="22"/>
              <w:lang w:eastAsia="cs-CZ"/>
            </w:rPr>
          </w:pPr>
          <w:hyperlink w:anchor="_Toc117606987" w:history="1">
            <w:r w:rsidR="00A86077" w:rsidRPr="001C2590">
              <w:rPr>
                <w:rStyle w:val="Hypertextovodkaz"/>
                <w:rFonts w:eastAsia="Arial Unicode MS" w:cs="Segoe UI"/>
                <w:caps/>
                <w:noProof/>
              </w:rPr>
              <w:t>Část C – STRATEGICKÁ</w:t>
            </w:r>
            <w:r w:rsidR="00A86077">
              <w:rPr>
                <w:noProof/>
                <w:webHidden/>
              </w:rPr>
              <w:tab/>
            </w:r>
            <w:r w:rsidR="00A86077">
              <w:rPr>
                <w:noProof/>
                <w:webHidden/>
              </w:rPr>
              <w:fldChar w:fldCharType="begin"/>
            </w:r>
            <w:r w:rsidR="00A86077">
              <w:rPr>
                <w:noProof/>
                <w:webHidden/>
              </w:rPr>
              <w:instrText xml:space="preserve"> PAGEREF _Toc117606987 \h </w:instrText>
            </w:r>
            <w:r w:rsidR="00A86077">
              <w:rPr>
                <w:noProof/>
                <w:webHidden/>
              </w:rPr>
            </w:r>
            <w:r w:rsidR="00A86077">
              <w:rPr>
                <w:noProof/>
                <w:webHidden/>
              </w:rPr>
              <w:fldChar w:fldCharType="separate"/>
            </w:r>
            <w:r w:rsidR="003A12AF">
              <w:rPr>
                <w:noProof/>
                <w:webHidden/>
              </w:rPr>
              <w:t>93</w:t>
            </w:r>
            <w:r w:rsidR="00A86077">
              <w:rPr>
                <w:noProof/>
                <w:webHidden/>
              </w:rPr>
              <w:fldChar w:fldCharType="end"/>
            </w:r>
          </w:hyperlink>
        </w:p>
        <w:p w:rsidR="00A86077" w:rsidRDefault="00412C70">
          <w:pPr>
            <w:pStyle w:val="Obsah1"/>
            <w:tabs>
              <w:tab w:val="left" w:pos="440"/>
            </w:tabs>
            <w:rPr>
              <w:rFonts w:asciiTheme="minorHAnsi" w:eastAsiaTheme="minorEastAsia" w:hAnsiTheme="minorHAnsi" w:cstheme="minorBidi"/>
              <w:b w:val="0"/>
              <w:bCs w:val="0"/>
              <w:noProof/>
              <w:sz w:val="22"/>
              <w:szCs w:val="22"/>
              <w:lang w:eastAsia="cs-CZ"/>
            </w:rPr>
          </w:pPr>
          <w:hyperlink w:anchor="_Toc117606988" w:history="1">
            <w:r w:rsidR="00A86077" w:rsidRPr="001C2590">
              <w:rPr>
                <w:rStyle w:val="Hypertextovodkaz"/>
                <w:rFonts w:eastAsia="Arial Unicode MS"/>
                <w:noProof/>
              </w:rPr>
              <w:t>6</w:t>
            </w:r>
            <w:r w:rsidR="00A86077">
              <w:rPr>
                <w:rFonts w:asciiTheme="minorHAnsi" w:eastAsiaTheme="minorEastAsia" w:hAnsiTheme="minorHAnsi" w:cstheme="minorBidi"/>
                <w:b w:val="0"/>
                <w:bCs w:val="0"/>
                <w:noProof/>
                <w:sz w:val="22"/>
                <w:szCs w:val="22"/>
                <w:lang w:eastAsia="cs-CZ"/>
              </w:rPr>
              <w:tab/>
            </w:r>
            <w:r w:rsidR="00A86077" w:rsidRPr="001C2590">
              <w:rPr>
                <w:rStyle w:val="Hypertextovodkaz"/>
                <w:rFonts w:eastAsia="Arial Unicode MS"/>
                <w:noProof/>
              </w:rPr>
              <w:t>Vize a hlavní cíle rozvoje sociálních služeb v OK</w:t>
            </w:r>
            <w:r w:rsidR="00A86077">
              <w:rPr>
                <w:noProof/>
                <w:webHidden/>
              </w:rPr>
              <w:tab/>
            </w:r>
            <w:r w:rsidR="00A86077">
              <w:rPr>
                <w:noProof/>
                <w:webHidden/>
              </w:rPr>
              <w:fldChar w:fldCharType="begin"/>
            </w:r>
            <w:r w:rsidR="00A86077">
              <w:rPr>
                <w:noProof/>
                <w:webHidden/>
              </w:rPr>
              <w:instrText xml:space="preserve"> PAGEREF _Toc117606988 \h </w:instrText>
            </w:r>
            <w:r w:rsidR="00A86077">
              <w:rPr>
                <w:noProof/>
                <w:webHidden/>
              </w:rPr>
            </w:r>
            <w:r w:rsidR="00A86077">
              <w:rPr>
                <w:noProof/>
                <w:webHidden/>
              </w:rPr>
              <w:fldChar w:fldCharType="separate"/>
            </w:r>
            <w:r w:rsidR="003A12AF">
              <w:rPr>
                <w:noProof/>
                <w:webHidden/>
              </w:rPr>
              <w:t>93</w:t>
            </w:r>
            <w:r w:rsidR="00A86077">
              <w:rPr>
                <w:noProof/>
                <w:webHidden/>
              </w:rPr>
              <w:fldChar w:fldCharType="end"/>
            </w:r>
          </w:hyperlink>
        </w:p>
        <w:p w:rsidR="00A86077" w:rsidRDefault="00412C70">
          <w:pPr>
            <w:pStyle w:val="Obsah1"/>
            <w:tabs>
              <w:tab w:val="left" w:pos="440"/>
            </w:tabs>
            <w:rPr>
              <w:rFonts w:asciiTheme="minorHAnsi" w:eastAsiaTheme="minorEastAsia" w:hAnsiTheme="minorHAnsi" w:cstheme="minorBidi"/>
              <w:b w:val="0"/>
              <w:bCs w:val="0"/>
              <w:noProof/>
              <w:sz w:val="22"/>
              <w:szCs w:val="22"/>
              <w:lang w:eastAsia="cs-CZ"/>
            </w:rPr>
          </w:pPr>
          <w:hyperlink w:anchor="_Toc117606989" w:history="1">
            <w:r w:rsidR="00A86077" w:rsidRPr="001C2590">
              <w:rPr>
                <w:rStyle w:val="Hypertextovodkaz"/>
                <w:rFonts w:eastAsia="Arial Unicode MS"/>
                <w:noProof/>
              </w:rPr>
              <w:t>7</w:t>
            </w:r>
            <w:r w:rsidR="00A86077">
              <w:rPr>
                <w:rFonts w:asciiTheme="minorHAnsi" w:eastAsiaTheme="minorEastAsia" w:hAnsiTheme="minorHAnsi" w:cstheme="minorBidi"/>
                <w:b w:val="0"/>
                <w:bCs w:val="0"/>
                <w:noProof/>
                <w:sz w:val="22"/>
                <w:szCs w:val="22"/>
                <w:lang w:eastAsia="cs-CZ"/>
              </w:rPr>
              <w:tab/>
            </w:r>
            <w:r w:rsidR="00A86077" w:rsidRPr="001C2590">
              <w:rPr>
                <w:rStyle w:val="Hypertextovodkaz"/>
                <w:rFonts w:eastAsia="Arial Unicode MS"/>
                <w:noProof/>
              </w:rPr>
              <w:t>Průřezové cíle a opatření</w:t>
            </w:r>
            <w:r w:rsidR="00A86077">
              <w:rPr>
                <w:noProof/>
                <w:webHidden/>
              </w:rPr>
              <w:tab/>
            </w:r>
            <w:r w:rsidR="00A86077">
              <w:rPr>
                <w:noProof/>
                <w:webHidden/>
              </w:rPr>
              <w:fldChar w:fldCharType="begin"/>
            </w:r>
            <w:r w:rsidR="00A86077">
              <w:rPr>
                <w:noProof/>
                <w:webHidden/>
              </w:rPr>
              <w:instrText xml:space="preserve"> PAGEREF _Toc117606989 \h </w:instrText>
            </w:r>
            <w:r w:rsidR="00A86077">
              <w:rPr>
                <w:noProof/>
                <w:webHidden/>
              </w:rPr>
            </w:r>
            <w:r w:rsidR="00A86077">
              <w:rPr>
                <w:noProof/>
                <w:webHidden/>
              </w:rPr>
              <w:fldChar w:fldCharType="separate"/>
            </w:r>
            <w:r w:rsidR="003A12AF">
              <w:rPr>
                <w:noProof/>
                <w:webHidden/>
              </w:rPr>
              <w:t>95</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90" w:history="1">
            <w:r w:rsidR="00A86077" w:rsidRPr="001C2590">
              <w:rPr>
                <w:rStyle w:val="Hypertextovodkaz"/>
                <w:rFonts w:eastAsia="Arial Unicode MS"/>
                <w:noProof/>
              </w:rPr>
              <w:t>7.1</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Seznam průřezových cílů a opatření</w:t>
            </w:r>
            <w:r w:rsidR="00A86077">
              <w:rPr>
                <w:noProof/>
                <w:webHidden/>
              </w:rPr>
              <w:tab/>
            </w:r>
            <w:r w:rsidR="00A86077">
              <w:rPr>
                <w:noProof/>
                <w:webHidden/>
              </w:rPr>
              <w:fldChar w:fldCharType="begin"/>
            </w:r>
            <w:r w:rsidR="00A86077">
              <w:rPr>
                <w:noProof/>
                <w:webHidden/>
              </w:rPr>
              <w:instrText xml:space="preserve"> PAGEREF _Toc117606990 \h </w:instrText>
            </w:r>
            <w:r w:rsidR="00A86077">
              <w:rPr>
                <w:noProof/>
                <w:webHidden/>
              </w:rPr>
            </w:r>
            <w:r w:rsidR="00A86077">
              <w:rPr>
                <w:noProof/>
                <w:webHidden/>
              </w:rPr>
              <w:fldChar w:fldCharType="separate"/>
            </w:r>
            <w:r w:rsidR="003A12AF">
              <w:rPr>
                <w:noProof/>
                <w:webHidden/>
              </w:rPr>
              <w:t>95</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91" w:history="1">
            <w:r w:rsidR="00A86077" w:rsidRPr="001C2590">
              <w:rPr>
                <w:rStyle w:val="Hypertextovodkaz"/>
                <w:rFonts w:eastAsia="Arial Unicode MS"/>
                <w:noProof/>
              </w:rPr>
              <w:t>7.2</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Popis průřezových cílů</w:t>
            </w:r>
            <w:r w:rsidR="00A86077">
              <w:rPr>
                <w:noProof/>
                <w:webHidden/>
              </w:rPr>
              <w:tab/>
            </w:r>
            <w:r w:rsidR="00A86077">
              <w:rPr>
                <w:noProof/>
                <w:webHidden/>
              </w:rPr>
              <w:fldChar w:fldCharType="begin"/>
            </w:r>
            <w:r w:rsidR="00A86077">
              <w:rPr>
                <w:noProof/>
                <w:webHidden/>
              </w:rPr>
              <w:instrText xml:space="preserve"> PAGEREF _Toc117606991 \h </w:instrText>
            </w:r>
            <w:r w:rsidR="00A86077">
              <w:rPr>
                <w:noProof/>
                <w:webHidden/>
              </w:rPr>
            </w:r>
            <w:r w:rsidR="00A86077">
              <w:rPr>
                <w:noProof/>
                <w:webHidden/>
              </w:rPr>
              <w:fldChar w:fldCharType="separate"/>
            </w:r>
            <w:r w:rsidR="003A12AF">
              <w:rPr>
                <w:noProof/>
                <w:webHidden/>
              </w:rPr>
              <w:t>96</w:t>
            </w:r>
            <w:r w:rsidR="00A86077">
              <w:rPr>
                <w:noProof/>
                <w:webHidden/>
              </w:rPr>
              <w:fldChar w:fldCharType="end"/>
            </w:r>
          </w:hyperlink>
        </w:p>
        <w:p w:rsidR="00A86077" w:rsidRDefault="00412C70">
          <w:pPr>
            <w:pStyle w:val="Obsah1"/>
            <w:tabs>
              <w:tab w:val="left" w:pos="440"/>
            </w:tabs>
            <w:rPr>
              <w:rFonts w:asciiTheme="minorHAnsi" w:eastAsiaTheme="minorEastAsia" w:hAnsiTheme="minorHAnsi" w:cstheme="minorBidi"/>
              <w:b w:val="0"/>
              <w:bCs w:val="0"/>
              <w:noProof/>
              <w:sz w:val="22"/>
              <w:szCs w:val="22"/>
              <w:lang w:eastAsia="cs-CZ"/>
            </w:rPr>
          </w:pPr>
          <w:hyperlink w:anchor="_Toc117606992" w:history="1">
            <w:r w:rsidR="00A86077" w:rsidRPr="001C2590">
              <w:rPr>
                <w:rStyle w:val="Hypertextovodkaz"/>
                <w:rFonts w:eastAsia="Arial Unicode MS"/>
                <w:noProof/>
              </w:rPr>
              <w:t>8</w:t>
            </w:r>
            <w:r w:rsidR="00A86077">
              <w:rPr>
                <w:rFonts w:asciiTheme="minorHAnsi" w:eastAsiaTheme="minorEastAsia" w:hAnsiTheme="minorHAnsi" w:cstheme="minorBidi"/>
                <w:b w:val="0"/>
                <w:bCs w:val="0"/>
                <w:noProof/>
                <w:sz w:val="22"/>
                <w:szCs w:val="22"/>
                <w:lang w:eastAsia="cs-CZ"/>
              </w:rPr>
              <w:tab/>
            </w:r>
            <w:r w:rsidR="00A86077" w:rsidRPr="001C2590">
              <w:rPr>
                <w:rStyle w:val="Hypertextovodkaz"/>
                <w:rFonts w:eastAsia="Arial Unicode MS"/>
                <w:noProof/>
              </w:rPr>
              <w:t>Specifické cíle a opatření pro jednotlivé pracovní skupiny</w:t>
            </w:r>
            <w:r w:rsidR="00A86077">
              <w:rPr>
                <w:noProof/>
                <w:webHidden/>
              </w:rPr>
              <w:tab/>
            </w:r>
            <w:r w:rsidR="00A86077">
              <w:rPr>
                <w:noProof/>
                <w:webHidden/>
              </w:rPr>
              <w:fldChar w:fldCharType="begin"/>
            </w:r>
            <w:r w:rsidR="00A86077">
              <w:rPr>
                <w:noProof/>
                <w:webHidden/>
              </w:rPr>
              <w:instrText xml:space="preserve"> PAGEREF _Toc117606992 \h </w:instrText>
            </w:r>
            <w:r w:rsidR="00A86077">
              <w:rPr>
                <w:noProof/>
                <w:webHidden/>
              </w:rPr>
            </w:r>
            <w:r w:rsidR="00A86077">
              <w:rPr>
                <w:noProof/>
                <w:webHidden/>
              </w:rPr>
              <w:fldChar w:fldCharType="separate"/>
            </w:r>
            <w:r w:rsidR="003A12AF">
              <w:rPr>
                <w:noProof/>
                <w:webHidden/>
              </w:rPr>
              <w:t>116</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93" w:history="1">
            <w:r w:rsidR="00A86077" w:rsidRPr="001C2590">
              <w:rPr>
                <w:rStyle w:val="Hypertextovodkaz"/>
                <w:rFonts w:eastAsia="Arial Unicode MS"/>
                <w:noProof/>
              </w:rPr>
              <w:t>8.1</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Pracovní skupina č. 1: DĚTI, MLÁDEŽ A RODINA</w:t>
            </w:r>
            <w:r w:rsidR="00A86077">
              <w:rPr>
                <w:noProof/>
                <w:webHidden/>
              </w:rPr>
              <w:tab/>
            </w:r>
            <w:r w:rsidR="00A86077">
              <w:rPr>
                <w:noProof/>
                <w:webHidden/>
              </w:rPr>
              <w:fldChar w:fldCharType="begin"/>
            </w:r>
            <w:r w:rsidR="00A86077">
              <w:rPr>
                <w:noProof/>
                <w:webHidden/>
              </w:rPr>
              <w:instrText xml:space="preserve"> PAGEREF _Toc117606993 \h </w:instrText>
            </w:r>
            <w:r w:rsidR="00A86077">
              <w:rPr>
                <w:noProof/>
                <w:webHidden/>
              </w:rPr>
            </w:r>
            <w:r w:rsidR="00A86077">
              <w:rPr>
                <w:noProof/>
                <w:webHidden/>
              </w:rPr>
              <w:fldChar w:fldCharType="separate"/>
            </w:r>
            <w:r w:rsidR="003A12AF">
              <w:rPr>
                <w:noProof/>
                <w:webHidden/>
              </w:rPr>
              <w:t>118</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94" w:history="1">
            <w:r w:rsidR="00A86077" w:rsidRPr="001C2590">
              <w:rPr>
                <w:rStyle w:val="Hypertextovodkaz"/>
                <w:rFonts w:eastAsia="Arial Unicode MS"/>
                <w:noProof/>
              </w:rPr>
              <w:t>8.1.1</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Seznam cílů a opatření</w:t>
            </w:r>
            <w:r w:rsidR="00A86077">
              <w:rPr>
                <w:noProof/>
                <w:webHidden/>
              </w:rPr>
              <w:tab/>
            </w:r>
            <w:r w:rsidR="00A86077">
              <w:rPr>
                <w:noProof/>
                <w:webHidden/>
              </w:rPr>
              <w:fldChar w:fldCharType="begin"/>
            </w:r>
            <w:r w:rsidR="00A86077">
              <w:rPr>
                <w:noProof/>
                <w:webHidden/>
              </w:rPr>
              <w:instrText xml:space="preserve"> PAGEREF _Toc117606994 \h </w:instrText>
            </w:r>
            <w:r w:rsidR="00A86077">
              <w:rPr>
                <w:noProof/>
                <w:webHidden/>
              </w:rPr>
            </w:r>
            <w:r w:rsidR="00A86077">
              <w:rPr>
                <w:noProof/>
                <w:webHidden/>
              </w:rPr>
              <w:fldChar w:fldCharType="separate"/>
            </w:r>
            <w:r w:rsidR="003A12AF">
              <w:rPr>
                <w:noProof/>
                <w:webHidden/>
              </w:rPr>
              <w:t>121</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95" w:history="1">
            <w:r w:rsidR="00A86077" w:rsidRPr="001C2590">
              <w:rPr>
                <w:rStyle w:val="Hypertextovodkaz"/>
                <w:rFonts w:eastAsia="Arial Unicode MS"/>
                <w:noProof/>
              </w:rPr>
              <w:t>8.1.2</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Popis cílů a opatření</w:t>
            </w:r>
            <w:r w:rsidR="00A86077">
              <w:rPr>
                <w:noProof/>
                <w:webHidden/>
              </w:rPr>
              <w:tab/>
            </w:r>
            <w:r w:rsidR="00A86077">
              <w:rPr>
                <w:noProof/>
                <w:webHidden/>
              </w:rPr>
              <w:fldChar w:fldCharType="begin"/>
            </w:r>
            <w:r w:rsidR="00A86077">
              <w:rPr>
                <w:noProof/>
                <w:webHidden/>
              </w:rPr>
              <w:instrText xml:space="preserve"> PAGEREF _Toc117606995 \h </w:instrText>
            </w:r>
            <w:r w:rsidR="00A86077">
              <w:rPr>
                <w:noProof/>
                <w:webHidden/>
              </w:rPr>
            </w:r>
            <w:r w:rsidR="00A86077">
              <w:rPr>
                <w:noProof/>
                <w:webHidden/>
              </w:rPr>
              <w:fldChar w:fldCharType="separate"/>
            </w:r>
            <w:r w:rsidR="003A12AF">
              <w:rPr>
                <w:noProof/>
                <w:webHidden/>
              </w:rPr>
              <w:t>122</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96" w:history="1">
            <w:r w:rsidR="00A86077" w:rsidRPr="001C2590">
              <w:rPr>
                <w:rStyle w:val="Hypertextovodkaz"/>
                <w:rFonts w:eastAsia="Arial Unicode MS"/>
                <w:noProof/>
              </w:rPr>
              <w:t>8.2</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Pracovní skupina č. 2: OSOBY SE ZDRAVOTNÍM POSTIŽENÍM</w:t>
            </w:r>
            <w:r w:rsidR="00A86077">
              <w:rPr>
                <w:noProof/>
                <w:webHidden/>
              </w:rPr>
              <w:tab/>
            </w:r>
            <w:r w:rsidR="00A86077">
              <w:rPr>
                <w:noProof/>
                <w:webHidden/>
              </w:rPr>
              <w:fldChar w:fldCharType="begin"/>
            </w:r>
            <w:r w:rsidR="00A86077">
              <w:rPr>
                <w:noProof/>
                <w:webHidden/>
              </w:rPr>
              <w:instrText xml:space="preserve"> PAGEREF _Toc117606996 \h </w:instrText>
            </w:r>
            <w:r w:rsidR="00A86077">
              <w:rPr>
                <w:noProof/>
                <w:webHidden/>
              </w:rPr>
            </w:r>
            <w:r w:rsidR="00A86077">
              <w:rPr>
                <w:noProof/>
                <w:webHidden/>
              </w:rPr>
              <w:fldChar w:fldCharType="separate"/>
            </w:r>
            <w:r w:rsidR="003A12AF">
              <w:rPr>
                <w:noProof/>
                <w:webHidden/>
              </w:rPr>
              <w:t>130</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97" w:history="1">
            <w:r w:rsidR="00A86077" w:rsidRPr="001C2590">
              <w:rPr>
                <w:rStyle w:val="Hypertextovodkaz"/>
                <w:rFonts w:eastAsia="Arial Unicode MS"/>
                <w:noProof/>
              </w:rPr>
              <w:t>8.2.1</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Seznam cílů a opatření</w:t>
            </w:r>
            <w:r w:rsidR="00A86077">
              <w:rPr>
                <w:noProof/>
                <w:webHidden/>
              </w:rPr>
              <w:tab/>
            </w:r>
            <w:r w:rsidR="00A86077">
              <w:rPr>
                <w:noProof/>
                <w:webHidden/>
              </w:rPr>
              <w:fldChar w:fldCharType="begin"/>
            </w:r>
            <w:r w:rsidR="00A86077">
              <w:rPr>
                <w:noProof/>
                <w:webHidden/>
              </w:rPr>
              <w:instrText xml:space="preserve"> PAGEREF _Toc117606997 \h </w:instrText>
            </w:r>
            <w:r w:rsidR="00A86077">
              <w:rPr>
                <w:noProof/>
                <w:webHidden/>
              </w:rPr>
            </w:r>
            <w:r w:rsidR="00A86077">
              <w:rPr>
                <w:noProof/>
                <w:webHidden/>
              </w:rPr>
              <w:fldChar w:fldCharType="separate"/>
            </w:r>
            <w:r w:rsidR="003A12AF">
              <w:rPr>
                <w:noProof/>
                <w:webHidden/>
              </w:rPr>
              <w:t>134</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6998" w:history="1">
            <w:r w:rsidR="00A86077" w:rsidRPr="001C2590">
              <w:rPr>
                <w:rStyle w:val="Hypertextovodkaz"/>
                <w:rFonts w:eastAsia="Arial Unicode MS"/>
                <w:noProof/>
              </w:rPr>
              <w:t>8.2.2</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Popis cílů a opatření</w:t>
            </w:r>
            <w:r w:rsidR="00A86077">
              <w:rPr>
                <w:noProof/>
                <w:webHidden/>
              </w:rPr>
              <w:tab/>
            </w:r>
            <w:r w:rsidR="00A86077">
              <w:rPr>
                <w:noProof/>
                <w:webHidden/>
              </w:rPr>
              <w:fldChar w:fldCharType="begin"/>
            </w:r>
            <w:r w:rsidR="00A86077">
              <w:rPr>
                <w:noProof/>
                <w:webHidden/>
              </w:rPr>
              <w:instrText xml:space="preserve"> PAGEREF _Toc117606998 \h </w:instrText>
            </w:r>
            <w:r w:rsidR="00A86077">
              <w:rPr>
                <w:noProof/>
                <w:webHidden/>
              </w:rPr>
            </w:r>
            <w:r w:rsidR="00A86077">
              <w:rPr>
                <w:noProof/>
                <w:webHidden/>
              </w:rPr>
              <w:fldChar w:fldCharType="separate"/>
            </w:r>
            <w:r w:rsidR="003A12AF">
              <w:rPr>
                <w:noProof/>
                <w:webHidden/>
              </w:rPr>
              <w:t>136</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6999" w:history="1">
            <w:r w:rsidR="00A86077" w:rsidRPr="001C2590">
              <w:rPr>
                <w:rStyle w:val="Hypertextovodkaz"/>
                <w:rFonts w:eastAsia="Arial Unicode MS"/>
                <w:noProof/>
              </w:rPr>
              <w:t>8.3</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Pracovní skupina č. 3: SENIOŘI</w:t>
            </w:r>
            <w:r w:rsidR="00A86077">
              <w:rPr>
                <w:noProof/>
                <w:webHidden/>
              </w:rPr>
              <w:tab/>
            </w:r>
            <w:r w:rsidR="00A86077">
              <w:rPr>
                <w:noProof/>
                <w:webHidden/>
              </w:rPr>
              <w:fldChar w:fldCharType="begin"/>
            </w:r>
            <w:r w:rsidR="00A86077">
              <w:rPr>
                <w:noProof/>
                <w:webHidden/>
              </w:rPr>
              <w:instrText xml:space="preserve"> PAGEREF _Toc117606999 \h </w:instrText>
            </w:r>
            <w:r w:rsidR="00A86077">
              <w:rPr>
                <w:noProof/>
                <w:webHidden/>
              </w:rPr>
            </w:r>
            <w:r w:rsidR="00A86077">
              <w:rPr>
                <w:noProof/>
                <w:webHidden/>
              </w:rPr>
              <w:fldChar w:fldCharType="separate"/>
            </w:r>
            <w:r w:rsidR="003A12AF">
              <w:rPr>
                <w:noProof/>
                <w:webHidden/>
              </w:rPr>
              <w:t>156</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7000" w:history="1">
            <w:r w:rsidR="00A86077" w:rsidRPr="001C2590">
              <w:rPr>
                <w:rStyle w:val="Hypertextovodkaz"/>
                <w:rFonts w:eastAsia="Arial Unicode MS"/>
                <w:noProof/>
              </w:rPr>
              <w:t>8.3.1</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Seznam cílů a opatření</w:t>
            </w:r>
            <w:r w:rsidR="00A86077">
              <w:rPr>
                <w:noProof/>
                <w:webHidden/>
              </w:rPr>
              <w:tab/>
            </w:r>
            <w:r w:rsidR="00A86077">
              <w:rPr>
                <w:noProof/>
                <w:webHidden/>
              </w:rPr>
              <w:fldChar w:fldCharType="begin"/>
            </w:r>
            <w:r w:rsidR="00A86077">
              <w:rPr>
                <w:noProof/>
                <w:webHidden/>
              </w:rPr>
              <w:instrText xml:space="preserve"> PAGEREF _Toc117607000 \h </w:instrText>
            </w:r>
            <w:r w:rsidR="00A86077">
              <w:rPr>
                <w:noProof/>
                <w:webHidden/>
              </w:rPr>
            </w:r>
            <w:r w:rsidR="00A86077">
              <w:rPr>
                <w:noProof/>
                <w:webHidden/>
              </w:rPr>
              <w:fldChar w:fldCharType="separate"/>
            </w:r>
            <w:r w:rsidR="003A12AF">
              <w:rPr>
                <w:noProof/>
                <w:webHidden/>
              </w:rPr>
              <w:t>158</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7001" w:history="1">
            <w:r w:rsidR="00A86077" w:rsidRPr="001C2590">
              <w:rPr>
                <w:rStyle w:val="Hypertextovodkaz"/>
                <w:rFonts w:eastAsia="Arial Unicode MS"/>
                <w:noProof/>
              </w:rPr>
              <w:t>8.3.2</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Popis cílů a opatření</w:t>
            </w:r>
            <w:r w:rsidR="00A86077">
              <w:rPr>
                <w:noProof/>
                <w:webHidden/>
              </w:rPr>
              <w:tab/>
            </w:r>
            <w:r w:rsidR="00A86077">
              <w:rPr>
                <w:noProof/>
                <w:webHidden/>
              </w:rPr>
              <w:fldChar w:fldCharType="begin"/>
            </w:r>
            <w:r w:rsidR="00A86077">
              <w:rPr>
                <w:noProof/>
                <w:webHidden/>
              </w:rPr>
              <w:instrText xml:space="preserve"> PAGEREF _Toc117607001 \h </w:instrText>
            </w:r>
            <w:r w:rsidR="00A86077">
              <w:rPr>
                <w:noProof/>
                <w:webHidden/>
              </w:rPr>
            </w:r>
            <w:r w:rsidR="00A86077">
              <w:rPr>
                <w:noProof/>
                <w:webHidden/>
              </w:rPr>
              <w:fldChar w:fldCharType="separate"/>
            </w:r>
            <w:r w:rsidR="003A12AF">
              <w:rPr>
                <w:noProof/>
                <w:webHidden/>
              </w:rPr>
              <w:t>159</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7002" w:history="1">
            <w:r w:rsidR="00A86077" w:rsidRPr="001C2590">
              <w:rPr>
                <w:rStyle w:val="Hypertextovodkaz"/>
                <w:rFonts w:eastAsia="Arial Unicode MS"/>
                <w:noProof/>
              </w:rPr>
              <w:t>8.4</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Pracovní skupina č. 4: ETNICKÉ MENŠINY A CIZINCI</w:t>
            </w:r>
            <w:r w:rsidR="00A86077">
              <w:rPr>
                <w:noProof/>
                <w:webHidden/>
              </w:rPr>
              <w:tab/>
            </w:r>
            <w:r w:rsidR="00A86077">
              <w:rPr>
                <w:noProof/>
                <w:webHidden/>
              </w:rPr>
              <w:fldChar w:fldCharType="begin"/>
            </w:r>
            <w:r w:rsidR="00A86077">
              <w:rPr>
                <w:noProof/>
                <w:webHidden/>
              </w:rPr>
              <w:instrText xml:space="preserve"> PAGEREF _Toc117607002 \h </w:instrText>
            </w:r>
            <w:r w:rsidR="00A86077">
              <w:rPr>
                <w:noProof/>
                <w:webHidden/>
              </w:rPr>
            </w:r>
            <w:r w:rsidR="00A86077">
              <w:rPr>
                <w:noProof/>
                <w:webHidden/>
              </w:rPr>
              <w:fldChar w:fldCharType="separate"/>
            </w:r>
            <w:r w:rsidR="003A12AF">
              <w:rPr>
                <w:noProof/>
                <w:webHidden/>
              </w:rPr>
              <w:t>172</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7003" w:history="1">
            <w:r w:rsidR="00A86077" w:rsidRPr="001C2590">
              <w:rPr>
                <w:rStyle w:val="Hypertextovodkaz"/>
                <w:rFonts w:eastAsia="Arial Unicode MS"/>
                <w:noProof/>
              </w:rPr>
              <w:t>8.4.1</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Seznam cílů a opatření</w:t>
            </w:r>
            <w:r w:rsidR="00A86077">
              <w:rPr>
                <w:noProof/>
                <w:webHidden/>
              </w:rPr>
              <w:tab/>
            </w:r>
            <w:r w:rsidR="00A86077">
              <w:rPr>
                <w:noProof/>
                <w:webHidden/>
              </w:rPr>
              <w:fldChar w:fldCharType="begin"/>
            </w:r>
            <w:r w:rsidR="00A86077">
              <w:rPr>
                <w:noProof/>
                <w:webHidden/>
              </w:rPr>
              <w:instrText xml:space="preserve"> PAGEREF _Toc117607003 \h </w:instrText>
            </w:r>
            <w:r w:rsidR="00A86077">
              <w:rPr>
                <w:noProof/>
                <w:webHidden/>
              </w:rPr>
            </w:r>
            <w:r w:rsidR="00A86077">
              <w:rPr>
                <w:noProof/>
                <w:webHidden/>
              </w:rPr>
              <w:fldChar w:fldCharType="separate"/>
            </w:r>
            <w:r w:rsidR="003A12AF">
              <w:rPr>
                <w:noProof/>
                <w:webHidden/>
              </w:rPr>
              <w:t>174</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7004" w:history="1">
            <w:r w:rsidR="00A86077" w:rsidRPr="001C2590">
              <w:rPr>
                <w:rStyle w:val="Hypertextovodkaz"/>
                <w:rFonts w:eastAsia="Arial Unicode MS"/>
                <w:noProof/>
              </w:rPr>
              <w:t>8.4.2</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Popis cílů a opatření</w:t>
            </w:r>
            <w:r w:rsidR="00A86077">
              <w:rPr>
                <w:noProof/>
                <w:webHidden/>
              </w:rPr>
              <w:tab/>
            </w:r>
            <w:r w:rsidR="00A86077">
              <w:rPr>
                <w:noProof/>
                <w:webHidden/>
              </w:rPr>
              <w:fldChar w:fldCharType="begin"/>
            </w:r>
            <w:r w:rsidR="00A86077">
              <w:rPr>
                <w:noProof/>
                <w:webHidden/>
              </w:rPr>
              <w:instrText xml:space="preserve"> PAGEREF _Toc117607004 \h </w:instrText>
            </w:r>
            <w:r w:rsidR="00A86077">
              <w:rPr>
                <w:noProof/>
                <w:webHidden/>
              </w:rPr>
            </w:r>
            <w:r w:rsidR="00A86077">
              <w:rPr>
                <w:noProof/>
                <w:webHidden/>
              </w:rPr>
              <w:fldChar w:fldCharType="separate"/>
            </w:r>
            <w:r w:rsidR="003A12AF">
              <w:rPr>
                <w:noProof/>
                <w:webHidden/>
              </w:rPr>
              <w:t>174</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7005" w:history="1">
            <w:r w:rsidR="00A86077" w:rsidRPr="001C2590">
              <w:rPr>
                <w:rStyle w:val="Hypertextovodkaz"/>
                <w:rFonts w:eastAsia="Arial Unicode MS"/>
                <w:noProof/>
              </w:rPr>
              <w:t>8.5</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Pracovní skupina č. 5: OSOBY V KRIZI A OSOBY SOCIÁLNĚ VYLOUČENÉ</w:t>
            </w:r>
            <w:r w:rsidR="00A86077">
              <w:rPr>
                <w:noProof/>
                <w:webHidden/>
              </w:rPr>
              <w:tab/>
            </w:r>
            <w:r w:rsidR="00A86077">
              <w:rPr>
                <w:noProof/>
                <w:webHidden/>
              </w:rPr>
              <w:fldChar w:fldCharType="begin"/>
            </w:r>
            <w:r w:rsidR="00A86077">
              <w:rPr>
                <w:noProof/>
                <w:webHidden/>
              </w:rPr>
              <w:instrText xml:space="preserve"> PAGEREF _Toc117607005 \h </w:instrText>
            </w:r>
            <w:r w:rsidR="00A86077">
              <w:rPr>
                <w:noProof/>
                <w:webHidden/>
              </w:rPr>
            </w:r>
            <w:r w:rsidR="00A86077">
              <w:rPr>
                <w:noProof/>
                <w:webHidden/>
              </w:rPr>
              <w:fldChar w:fldCharType="separate"/>
            </w:r>
            <w:r w:rsidR="003A12AF">
              <w:rPr>
                <w:noProof/>
                <w:webHidden/>
              </w:rPr>
              <w:t>176</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7006" w:history="1">
            <w:r w:rsidR="00A86077" w:rsidRPr="001C2590">
              <w:rPr>
                <w:rStyle w:val="Hypertextovodkaz"/>
                <w:rFonts w:eastAsia="Arial Unicode MS"/>
                <w:noProof/>
              </w:rPr>
              <w:t>8.5.1</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Seznam cílů a opatření</w:t>
            </w:r>
            <w:r w:rsidR="00A86077">
              <w:rPr>
                <w:noProof/>
                <w:webHidden/>
              </w:rPr>
              <w:tab/>
            </w:r>
            <w:r w:rsidR="00A86077">
              <w:rPr>
                <w:noProof/>
                <w:webHidden/>
              </w:rPr>
              <w:fldChar w:fldCharType="begin"/>
            </w:r>
            <w:r w:rsidR="00A86077">
              <w:rPr>
                <w:noProof/>
                <w:webHidden/>
              </w:rPr>
              <w:instrText xml:space="preserve"> PAGEREF _Toc117607006 \h </w:instrText>
            </w:r>
            <w:r w:rsidR="00A86077">
              <w:rPr>
                <w:noProof/>
                <w:webHidden/>
              </w:rPr>
            </w:r>
            <w:r w:rsidR="00A86077">
              <w:rPr>
                <w:noProof/>
                <w:webHidden/>
              </w:rPr>
              <w:fldChar w:fldCharType="separate"/>
            </w:r>
            <w:r w:rsidR="003A12AF">
              <w:rPr>
                <w:noProof/>
                <w:webHidden/>
              </w:rPr>
              <w:t>178</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7007" w:history="1">
            <w:r w:rsidR="00A86077" w:rsidRPr="001C2590">
              <w:rPr>
                <w:rStyle w:val="Hypertextovodkaz"/>
                <w:rFonts w:eastAsia="Arial Unicode MS"/>
                <w:noProof/>
              </w:rPr>
              <w:t>8.5.2</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Popis cílů a opatření</w:t>
            </w:r>
            <w:r w:rsidR="00A86077">
              <w:rPr>
                <w:noProof/>
                <w:webHidden/>
              </w:rPr>
              <w:tab/>
            </w:r>
            <w:r w:rsidR="00A86077">
              <w:rPr>
                <w:noProof/>
                <w:webHidden/>
              </w:rPr>
              <w:fldChar w:fldCharType="begin"/>
            </w:r>
            <w:r w:rsidR="00A86077">
              <w:rPr>
                <w:noProof/>
                <w:webHidden/>
              </w:rPr>
              <w:instrText xml:space="preserve"> PAGEREF _Toc117607007 \h </w:instrText>
            </w:r>
            <w:r w:rsidR="00A86077">
              <w:rPr>
                <w:noProof/>
                <w:webHidden/>
              </w:rPr>
            </w:r>
            <w:r w:rsidR="00A86077">
              <w:rPr>
                <w:noProof/>
                <w:webHidden/>
              </w:rPr>
              <w:fldChar w:fldCharType="separate"/>
            </w:r>
            <w:r w:rsidR="003A12AF">
              <w:rPr>
                <w:noProof/>
                <w:webHidden/>
              </w:rPr>
              <w:t>179</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7008" w:history="1">
            <w:r w:rsidR="00A86077" w:rsidRPr="001C2590">
              <w:rPr>
                <w:rStyle w:val="Hypertextovodkaz"/>
                <w:rFonts w:eastAsia="Arial Unicode MS"/>
                <w:noProof/>
              </w:rPr>
              <w:t>8.6</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Pracovní skupina č. 6: OSOBY OHROŽENÉ NÁVYKOVÝM JEDNÁNÍM</w:t>
            </w:r>
            <w:r w:rsidR="00A86077">
              <w:rPr>
                <w:noProof/>
                <w:webHidden/>
              </w:rPr>
              <w:tab/>
            </w:r>
            <w:r w:rsidR="00A86077">
              <w:rPr>
                <w:noProof/>
                <w:webHidden/>
              </w:rPr>
              <w:fldChar w:fldCharType="begin"/>
            </w:r>
            <w:r w:rsidR="00A86077">
              <w:rPr>
                <w:noProof/>
                <w:webHidden/>
              </w:rPr>
              <w:instrText xml:space="preserve"> PAGEREF _Toc117607008 \h </w:instrText>
            </w:r>
            <w:r w:rsidR="00A86077">
              <w:rPr>
                <w:noProof/>
                <w:webHidden/>
              </w:rPr>
            </w:r>
            <w:r w:rsidR="00A86077">
              <w:rPr>
                <w:noProof/>
                <w:webHidden/>
              </w:rPr>
              <w:fldChar w:fldCharType="separate"/>
            </w:r>
            <w:r w:rsidR="003A12AF">
              <w:rPr>
                <w:noProof/>
                <w:webHidden/>
              </w:rPr>
              <w:t>191</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7009" w:history="1">
            <w:r w:rsidR="00A86077" w:rsidRPr="001C2590">
              <w:rPr>
                <w:rStyle w:val="Hypertextovodkaz"/>
                <w:rFonts w:eastAsia="Arial Unicode MS"/>
                <w:noProof/>
              </w:rPr>
              <w:t>8.6.1</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Seznam cílů a opatření</w:t>
            </w:r>
            <w:r w:rsidR="00A86077">
              <w:rPr>
                <w:noProof/>
                <w:webHidden/>
              </w:rPr>
              <w:tab/>
            </w:r>
            <w:r w:rsidR="00A86077">
              <w:rPr>
                <w:noProof/>
                <w:webHidden/>
              </w:rPr>
              <w:fldChar w:fldCharType="begin"/>
            </w:r>
            <w:r w:rsidR="00A86077">
              <w:rPr>
                <w:noProof/>
                <w:webHidden/>
              </w:rPr>
              <w:instrText xml:space="preserve"> PAGEREF _Toc117607009 \h </w:instrText>
            </w:r>
            <w:r w:rsidR="00A86077">
              <w:rPr>
                <w:noProof/>
                <w:webHidden/>
              </w:rPr>
            </w:r>
            <w:r w:rsidR="00A86077">
              <w:rPr>
                <w:noProof/>
                <w:webHidden/>
              </w:rPr>
              <w:fldChar w:fldCharType="separate"/>
            </w:r>
            <w:r w:rsidR="003A12AF">
              <w:rPr>
                <w:noProof/>
                <w:webHidden/>
              </w:rPr>
              <w:t>192</w:t>
            </w:r>
            <w:r w:rsidR="00A86077">
              <w:rPr>
                <w:noProof/>
                <w:webHidden/>
              </w:rPr>
              <w:fldChar w:fldCharType="end"/>
            </w:r>
          </w:hyperlink>
        </w:p>
        <w:p w:rsidR="00A86077" w:rsidRDefault="00412C70">
          <w:pPr>
            <w:pStyle w:val="Obsah3"/>
            <w:tabs>
              <w:tab w:val="left" w:pos="1100"/>
              <w:tab w:val="right" w:leader="hyphen" w:pos="9062"/>
            </w:tabs>
            <w:rPr>
              <w:rFonts w:asciiTheme="minorHAnsi" w:eastAsiaTheme="minorEastAsia" w:hAnsiTheme="minorHAnsi" w:cstheme="minorBidi"/>
              <w:noProof/>
              <w:sz w:val="22"/>
              <w:szCs w:val="22"/>
              <w:lang w:eastAsia="cs-CZ"/>
            </w:rPr>
          </w:pPr>
          <w:hyperlink w:anchor="_Toc117607010" w:history="1">
            <w:r w:rsidR="00A86077" w:rsidRPr="001C2590">
              <w:rPr>
                <w:rStyle w:val="Hypertextovodkaz"/>
                <w:rFonts w:eastAsia="Arial Unicode MS"/>
                <w:noProof/>
              </w:rPr>
              <w:t>8.6.2</w:t>
            </w:r>
            <w:r w:rsidR="00A86077">
              <w:rPr>
                <w:rFonts w:asciiTheme="minorHAnsi" w:eastAsiaTheme="minorEastAsia" w:hAnsiTheme="minorHAnsi" w:cstheme="minorBidi"/>
                <w:noProof/>
                <w:sz w:val="22"/>
                <w:szCs w:val="22"/>
                <w:lang w:eastAsia="cs-CZ"/>
              </w:rPr>
              <w:tab/>
            </w:r>
            <w:r w:rsidR="00A86077" w:rsidRPr="001C2590">
              <w:rPr>
                <w:rStyle w:val="Hypertextovodkaz"/>
                <w:rFonts w:eastAsia="Arial Unicode MS"/>
                <w:noProof/>
              </w:rPr>
              <w:t>Popis cílů a opatření</w:t>
            </w:r>
            <w:r w:rsidR="00A86077">
              <w:rPr>
                <w:noProof/>
                <w:webHidden/>
              </w:rPr>
              <w:tab/>
            </w:r>
            <w:r w:rsidR="00A86077">
              <w:rPr>
                <w:noProof/>
                <w:webHidden/>
              </w:rPr>
              <w:fldChar w:fldCharType="begin"/>
            </w:r>
            <w:r w:rsidR="00A86077">
              <w:rPr>
                <w:noProof/>
                <w:webHidden/>
              </w:rPr>
              <w:instrText xml:space="preserve"> PAGEREF _Toc117607010 \h </w:instrText>
            </w:r>
            <w:r w:rsidR="00A86077">
              <w:rPr>
                <w:noProof/>
                <w:webHidden/>
              </w:rPr>
            </w:r>
            <w:r w:rsidR="00A86077">
              <w:rPr>
                <w:noProof/>
                <w:webHidden/>
              </w:rPr>
              <w:fldChar w:fldCharType="separate"/>
            </w:r>
            <w:r w:rsidR="003A12AF">
              <w:rPr>
                <w:noProof/>
                <w:webHidden/>
              </w:rPr>
              <w:t>192</w:t>
            </w:r>
            <w:r w:rsidR="00A86077">
              <w:rPr>
                <w:noProof/>
                <w:webHidden/>
              </w:rPr>
              <w:fldChar w:fldCharType="end"/>
            </w:r>
          </w:hyperlink>
        </w:p>
        <w:p w:rsidR="00A86077" w:rsidRDefault="00412C70">
          <w:pPr>
            <w:pStyle w:val="Obsah1"/>
            <w:rPr>
              <w:rFonts w:asciiTheme="minorHAnsi" w:eastAsiaTheme="minorEastAsia" w:hAnsiTheme="minorHAnsi" w:cstheme="minorBidi"/>
              <w:b w:val="0"/>
              <w:bCs w:val="0"/>
              <w:noProof/>
              <w:sz w:val="22"/>
              <w:szCs w:val="22"/>
              <w:lang w:eastAsia="cs-CZ"/>
            </w:rPr>
          </w:pPr>
          <w:hyperlink w:anchor="_Toc117607011" w:history="1">
            <w:r w:rsidR="00A86077" w:rsidRPr="001C2590">
              <w:rPr>
                <w:rStyle w:val="Hypertextovodkaz"/>
                <w:rFonts w:eastAsia="Arial Unicode MS" w:cs="Segoe UI"/>
                <w:noProof/>
              </w:rPr>
              <w:t>ČÁST D – ZPŮSOB ZAJIŠTĚNÍ SÍTĚ</w:t>
            </w:r>
            <w:r w:rsidR="00A86077">
              <w:rPr>
                <w:noProof/>
                <w:webHidden/>
              </w:rPr>
              <w:tab/>
            </w:r>
            <w:r w:rsidR="00A86077">
              <w:rPr>
                <w:noProof/>
                <w:webHidden/>
              </w:rPr>
              <w:fldChar w:fldCharType="begin"/>
            </w:r>
            <w:r w:rsidR="00A86077">
              <w:rPr>
                <w:noProof/>
                <w:webHidden/>
              </w:rPr>
              <w:instrText xml:space="preserve"> PAGEREF _Toc117607011 \h </w:instrText>
            </w:r>
            <w:r w:rsidR="00A86077">
              <w:rPr>
                <w:noProof/>
                <w:webHidden/>
              </w:rPr>
            </w:r>
            <w:r w:rsidR="00A86077">
              <w:rPr>
                <w:noProof/>
                <w:webHidden/>
              </w:rPr>
              <w:fldChar w:fldCharType="separate"/>
            </w:r>
            <w:r w:rsidR="003A12AF">
              <w:rPr>
                <w:noProof/>
                <w:webHidden/>
              </w:rPr>
              <w:t>195</w:t>
            </w:r>
            <w:r w:rsidR="00A86077">
              <w:rPr>
                <w:noProof/>
                <w:webHidden/>
              </w:rPr>
              <w:fldChar w:fldCharType="end"/>
            </w:r>
          </w:hyperlink>
        </w:p>
        <w:p w:rsidR="00A86077" w:rsidRDefault="00412C70">
          <w:pPr>
            <w:pStyle w:val="Obsah1"/>
            <w:tabs>
              <w:tab w:val="left" w:pos="440"/>
            </w:tabs>
            <w:rPr>
              <w:rFonts w:asciiTheme="minorHAnsi" w:eastAsiaTheme="minorEastAsia" w:hAnsiTheme="minorHAnsi" w:cstheme="minorBidi"/>
              <w:b w:val="0"/>
              <w:bCs w:val="0"/>
              <w:noProof/>
              <w:sz w:val="22"/>
              <w:szCs w:val="22"/>
              <w:lang w:eastAsia="cs-CZ"/>
            </w:rPr>
          </w:pPr>
          <w:hyperlink w:anchor="_Toc117607012" w:history="1">
            <w:r w:rsidR="00A86077" w:rsidRPr="001C2590">
              <w:rPr>
                <w:rStyle w:val="Hypertextovodkaz"/>
                <w:rFonts w:eastAsia="Arial Unicode MS"/>
                <w:noProof/>
              </w:rPr>
              <w:t>9</w:t>
            </w:r>
            <w:r w:rsidR="00A86077">
              <w:rPr>
                <w:rFonts w:asciiTheme="minorHAnsi" w:eastAsiaTheme="minorEastAsia" w:hAnsiTheme="minorHAnsi" w:cstheme="minorBidi"/>
                <w:b w:val="0"/>
                <w:bCs w:val="0"/>
                <w:noProof/>
                <w:sz w:val="22"/>
                <w:szCs w:val="22"/>
                <w:lang w:eastAsia="cs-CZ"/>
              </w:rPr>
              <w:tab/>
            </w:r>
            <w:r w:rsidR="00A86077" w:rsidRPr="001C2590">
              <w:rPr>
                <w:rStyle w:val="Hypertextovodkaz"/>
                <w:rFonts w:eastAsia="Arial Unicode MS"/>
                <w:noProof/>
              </w:rPr>
              <w:t>Síť sociálních služeb Olomouckého kraje</w:t>
            </w:r>
            <w:r w:rsidR="00A86077">
              <w:rPr>
                <w:noProof/>
                <w:webHidden/>
              </w:rPr>
              <w:tab/>
            </w:r>
            <w:r w:rsidR="00A86077">
              <w:rPr>
                <w:noProof/>
                <w:webHidden/>
              </w:rPr>
              <w:fldChar w:fldCharType="begin"/>
            </w:r>
            <w:r w:rsidR="00A86077">
              <w:rPr>
                <w:noProof/>
                <w:webHidden/>
              </w:rPr>
              <w:instrText xml:space="preserve"> PAGEREF _Toc117607012 \h </w:instrText>
            </w:r>
            <w:r w:rsidR="00A86077">
              <w:rPr>
                <w:noProof/>
                <w:webHidden/>
              </w:rPr>
            </w:r>
            <w:r w:rsidR="00A86077">
              <w:rPr>
                <w:noProof/>
                <w:webHidden/>
              </w:rPr>
              <w:fldChar w:fldCharType="separate"/>
            </w:r>
            <w:r w:rsidR="003A12AF">
              <w:rPr>
                <w:noProof/>
                <w:webHidden/>
              </w:rPr>
              <w:t>196</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7013" w:history="1">
            <w:r w:rsidR="00A86077" w:rsidRPr="001C2590">
              <w:rPr>
                <w:rStyle w:val="Hypertextovodkaz"/>
                <w:rFonts w:eastAsia="Arial Unicode MS"/>
                <w:noProof/>
              </w:rPr>
              <w:t>9.1</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Krajský informační systém sociálních služeb</w:t>
            </w:r>
            <w:r w:rsidR="00A86077">
              <w:rPr>
                <w:noProof/>
                <w:webHidden/>
              </w:rPr>
              <w:tab/>
            </w:r>
            <w:r w:rsidR="00A86077">
              <w:rPr>
                <w:noProof/>
                <w:webHidden/>
              </w:rPr>
              <w:fldChar w:fldCharType="begin"/>
            </w:r>
            <w:r w:rsidR="00A86077">
              <w:rPr>
                <w:noProof/>
                <w:webHidden/>
              </w:rPr>
              <w:instrText xml:space="preserve"> PAGEREF _Toc117607013 \h </w:instrText>
            </w:r>
            <w:r w:rsidR="00A86077">
              <w:rPr>
                <w:noProof/>
                <w:webHidden/>
              </w:rPr>
            </w:r>
            <w:r w:rsidR="00A86077">
              <w:rPr>
                <w:noProof/>
                <w:webHidden/>
              </w:rPr>
              <w:fldChar w:fldCharType="separate"/>
            </w:r>
            <w:r w:rsidR="003A12AF">
              <w:rPr>
                <w:noProof/>
                <w:webHidden/>
              </w:rPr>
              <w:t>196</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7014" w:history="1">
            <w:r w:rsidR="00A86077" w:rsidRPr="001C2590">
              <w:rPr>
                <w:rStyle w:val="Hypertextovodkaz"/>
                <w:rFonts w:eastAsia="Arial Unicode MS"/>
                <w:noProof/>
              </w:rPr>
              <w:t>9.2</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Aktualizace sítě sociálních služeb Olomouckého kraje</w:t>
            </w:r>
            <w:r w:rsidR="00A86077">
              <w:rPr>
                <w:noProof/>
                <w:webHidden/>
              </w:rPr>
              <w:tab/>
            </w:r>
            <w:r w:rsidR="00A86077">
              <w:rPr>
                <w:noProof/>
                <w:webHidden/>
              </w:rPr>
              <w:fldChar w:fldCharType="begin"/>
            </w:r>
            <w:r w:rsidR="00A86077">
              <w:rPr>
                <w:noProof/>
                <w:webHidden/>
              </w:rPr>
              <w:instrText xml:space="preserve"> PAGEREF _Toc117607014 \h </w:instrText>
            </w:r>
            <w:r w:rsidR="00A86077">
              <w:rPr>
                <w:noProof/>
                <w:webHidden/>
              </w:rPr>
            </w:r>
            <w:r w:rsidR="00A86077">
              <w:rPr>
                <w:noProof/>
                <w:webHidden/>
              </w:rPr>
              <w:fldChar w:fldCharType="separate"/>
            </w:r>
            <w:r w:rsidR="003A12AF">
              <w:rPr>
                <w:noProof/>
                <w:webHidden/>
              </w:rPr>
              <w:t>197</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7015" w:history="1">
            <w:r w:rsidR="00A86077" w:rsidRPr="001C2590">
              <w:rPr>
                <w:rStyle w:val="Hypertextovodkaz"/>
                <w:rFonts w:eastAsia="Arial Unicode MS"/>
                <w:noProof/>
              </w:rPr>
              <w:t>9.3</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Optimalizace sítě sociálních služeb OK a výzvy pro následující období</w:t>
            </w:r>
            <w:r w:rsidR="00A86077">
              <w:rPr>
                <w:noProof/>
                <w:webHidden/>
              </w:rPr>
              <w:tab/>
            </w:r>
            <w:r w:rsidR="00A86077">
              <w:rPr>
                <w:noProof/>
                <w:webHidden/>
              </w:rPr>
              <w:fldChar w:fldCharType="begin"/>
            </w:r>
            <w:r w:rsidR="00A86077">
              <w:rPr>
                <w:noProof/>
                <w:webHidden/>
              </w:rPr>
              <w:instrText xml:space="preserve"> PAGEREF _Toc117607015 \h </w:instrText>
            </w:r>
            <w:r w:rsidR="00A86077">
              <w:rPr>
                <w:noProof/>
                <w:webHidden/>
              </w:rPr>
            </w:r>
            <w:r w:rsidR="00A86077">
              <w:rPr>
                <w:noProof/>
                <w:webHidden/>
              </w:rPr>
              <w:fldChar w:fldCharType="separate"/>
            </w:r>
            <w:r w:rsidR="003A12AF">
              <w:rPr>
                <w:noProof/>
                <w:webHidden/>
              </w:rPr>
              <w:t>199</w:t>
            </w:r>
            <w:r w:rsidR="00A86077">
              <w:rPr>
                <w:noProof/>
                <w:webHidden/>
              </w:rPr>
              <w:fldChar w:fldCharType="end"/>
            </w:r>
          </w:hyperlink>
        </w:p>
        <w:p w:rsidR="00A86077" w:rsidRDefault="00412C70">
          <w:pPr>
            <w:pStyle w:val="Obsah2"/>
            <w:tabs>
              <w:tab w:val="left" w:pos="880"/>
              <w:tab w:val="right" w:leader="hyphen" w:pos="9062"/>
            </w:tabs>
            <w:rPr>
              <w:rFonts w:asciiTheme="minorHAnsi" w:eastAsiaTheme="minorEastAsia" w:hAnsiTheme="minorHAnsi" w:cstheme="minorBidi"/>
              <w:i w:val="0"/>
              <w:iCs w:val="0"/>
              <w:noProof/>
              <w:sz w:val="22"/>
              <w:szCs w:val="22"/>
              <w:lang w:eastAsia="cs-CZ"/>
            </w:rPr>
          </w:pPr>
          <w:hyperlink w:anchor="_Toc117607016" w:history="1">
            <w:r w:rsidR="00A86077" w:rsidRPr="001C2590">
              <w:rPr>
                <w:rStyle w:val="Hypertextovodkaz"/>
                <w:rFonts w:eastAsia="Arial Unicode MS"/>
                <w:noProof/>
              </w:rPr>
              <w:t>9.4</w:t>
            </w:r>
            <w:r w:rsidR="00A86077">
              <w:rPr>
                <w:rFonts w:asciiTheme="minorHAnsi" w:eastAsiaTheme="minorEastAsia" w:hAnsiTheme="minorHAnsi" w:cstheme="minorBidi"/>
                <w:i w:val="0"/>
                <w:iCs w:val="0"/>
                <w:noProof/>
                <w:sz w:val="22"/>
                <w:szCs w:val="22"/>
                <w:lang w:eastAsia="cs-CZ"/>
              </w:rPr>
              <w:tab/>
            </w:r>
            <w:r w:rsidR="00A86077" w:rsidRPr="001C2590">
              <w:rPr>
                <w:rStyle w:val="Hypertextovodkaz"/>
                <w:rFonts w:eastAsia="Arial Unicode MS"/>
                <w:noProof/>
              </w:rPr>
              <w:t>Přehled vybraných údajů o sociálních službách zařazených v síti sociálních služeb</w:t>
            </w:r>
            <w:r w:rsidR="00A86077">
              <w:rPr>
                <w:noProof/>
                <w:webHidden/>
              </w:rPr>
              <w:tab/>
            </w:r>
            <w:r w:rsidR="00A86077">
              <w:rPr>
                <w:noProof/>
                <w:webHidden/>
              </w:rPr>
              <w:fldChar w:fldCharType="begin"/>
            </w:r>
            <w:r w:rsidR="00A86077">
              <w:rPr>
                <w:noProof/>
                <w:webHidden/>
              </w:rPr>
              <w:instrText xml:space="preserve"> PAGEREF _Toc117607016 \h </w:instrText>
            </w:r>
            <w:r w:rsidR="00A86077">
              <w:rPr>
                <w:noProof/>
                <w:webHidden/>
              </w:rPr>
            </w:r>
            <w:r w:rsidR="00A86077">
              <w:rPr>
                <w:noProof/>
                <w:webHidden/>
              </w:rPr>
              <w:fldChar w:fldCharType="separate"/>
            </w:r>
            <w:r w:rsidR="003A12AF">
              <w:rPr>
                <w:noProof/>
                <w:webHidden/>
              </w:rPr>
              <w:t>200</w:t>
            </w:r>
            <w:r w:rsidR="00A86077">
              <w:rPr>
                <w:noProof/>
                <w:webHidden/>
              </w:rPr>
              <w:fldChar w:fldCharType="end"/>
            </w:r>
          </w:hyperlink>
        </w:p>
        <w:p w:rsidR="00A86077" w:rsidRDefault="00412C70">
          <w:pPr>
            <w:pStyle w:val="Obsah1"/>
            <w:rPr>
              <w:rFonts w:asciiTheme="minorHAnsi" w:eastAsiaTheme="minorEastAsia" w:hAnsiTheme="minorHAnsi" w:cstheme="minorBidi"/>
              <w:b w:val="0"/>
              <w:bCs w:val="0"/>
              <w:noProof/>
              <w:sz w:val="22"/>
              <w:szCs w:val="22"/>
              <w:lang w:eastAsia="cs-CZ"/>
            </w:rPr>
          </w:pPr>
          <w:hyperlink w:anchor="_Toc117607017" w:history="1">
            <w:r w:rsidR="00A86077" w:rsidRPr="001C2590">
              <w:rPr>
                <w:rStyle w:val="Hypertextovodkaz"/>
                <w:rFonts w:eastAsia="Arial Unicode MS" w:cs="Segoe UI"/>
                <w:noProof/>
              </w:rPr>
              <w:t>SEZNAM, OBRÁZKŮ, GRAFŮ, MAP A TABULEK</w:t>
            </w:r>
            <w:r w:rsidR="00A86077">
              <w:rPr>
                <w:noProof/>
                <w:webHidden/>
              </w:rPr>
              <w:tab/>
            </w:r>
            <w:r w:rsidR="00A86077">
              <w:rPr>
                <w:noProof/>
                <w:webHidden/>
              </w:rPr>
              <w:fldChar w:fldCharType="begin"/>
            </w:r>
            <w:r w:rsidR="00A86077">
              <w:rPr>
                <w:noProof/>
                <w:webHidden/>
              </w:rPr>
              <w:instrText xml:space="preserve"> PAGEREF _Toc117607017 \h </w:instrText>
            </w:r>
            <w:r w:rsidR="00A86077">
              <w:rPr>
                <w:noProof/>
                <w:webHidden/>
              </w:rPr>
            </w:r>
            <w:r w:rsidR="00A86077">
              <w:rPr>
                <w:noProof/>
                <w:webHidden/>
              </w:rPr>
              <w:fldChar w:fldCharType="separate"/>
            </w:r>
            <w:r w:rsidR="003A12AF">
              <w:rPr>
                <w:noProof/>
                <w:webHidden/>
              </w:rPr>
              <w:t>204</w:t>
            </w:r>
            <w:r w:rsidR="00A86077">
              <w:rPr>
                <w:noProof/>
                <w:webHidden/>
              </w:rPr>
              <w:fldChar w:fldCharType="end"/>
            </w:r>
          </w:hyperlink>
        </w:p>
        <w:p w:rsidR="00A86077" w:rsidRDefault="00412C70">
          <w:pPr>
            <w:pStyle w:val="Obsah1"/>
            <w:rPr>
              <w:rFonts w:asciiTheme="minorHAnsi" w:eastAsiaTheme="minorEastAsia" w:hAnsiTheme="minorHAnsi" w:cstheme="minorBidi"/>
              <w:b w:val="0"/>
              <w:bCs w:val="0"/>
              <w:noProof/>
              <w:sz w:val="22"/>
              <w:szCs w:val="22"/>
              <w:lang w:eastAsia="cs-CZ"/>
            </w:rPr>
          </w:pPr>
          <w:hyperlink w:anchor="_Toc117607018" w:history="1">
            <w:r w:rsidR="00A86077" w:rsidRPr="001C2590">
              <w:rPr>
                <w:rStyle w:val="Hypertextovodkaz"/>
                <w:rFonts w:eastAsia="Arial Unicode MS" w:cs="Segoe UI"/>
                <w:noProof/>
              </w:rPr>
              <w:t>SEZNAM POUŽITÝCH ZKRATEK</w:t>
            </w:r>
            <w:r w:rsidR="00A86077">
              <w:rPr>
                <w:noProof/>
                <w:webHidden/>
              </w:rPr>
              <w:tab/>
            </w:r>
            <w:r w:rsidR="00A86077">
              <w:rPr>
                <w:noProof/>
                <w:webHidden/>
              </w:rPr>
              <w:fldChar w:fldCharType="begin"/>
            </w:r>
            <w:r w:rsidR="00A86077">
              <w:rPr>
                <w:noProof/>
                <w:webHidden/>
              </w:rPr>
              <w:instrText xml:space="preserve"> PAGEREF _Toc117607018 \h </w:instrText>
            </w:r>
            <w:r w:rsidR="00A86077">
              <w:rPr>
                <w:noProof/>
                <w:webHidden/>
              </w:rPr>
            </w:r>
            <w:r w:rsidR="00A86077">
              <w:rPr>
                <w:noProof/>
                <w:webHidden/>
              </w:rPr>
              <w:fldChar w:fldCharType="separate"/>
            </w:r>
            <w:r w:rsidR="003A12AF">
              <w:rPr>
                <w:noProof/>
                <w:webHidden/>
              </w:rPr>
              <w:t>208</w:t>
            </w:r>
            <w:r w:rsidR="00A86077">
              <w:rPr>
                <w:noProof/>
                <w:webHidden/>
              </w:rPr>
              <w:fldChar w:fldCharType="end"/>
            </w:r>
          </w:hyperlink>
        </w:p>
        <w:p w:rsidR="00A86077" w:rsidRDefault="00412C70">
          <w:pPr>
            <w:pStyle w:val="Obsah1"/>
            <w:rPr>
              <w:rFonts w:asciiTheme="minorHAnsi" w:eastAsiaTheme="minorEastAsia" w:hAnsiTheme="minorHAnsi" w:cstheme="minorBidi"/>
              <w:b w:val="0"/>
              <w:bCs w:val="0"/>
              <w:noProof/>
              <w:sz w:val="22"/>
              <w:szCs w:val="22"/>
              <w:lang w:eastAsia="cs-CZ"/>
            </w:rPr>
          </w:pPr>
          <w:hyperlink w:anchor="_Toc117607019" w:history="1">
            <w:r w:rsidR="00A86077" w:rsidRPr="001C2590">
              <w:rPr>
                <w:rStyle w:val="Hypertextovodkaz"/>
                <w:rFonts w:eastAsia="Arial Unicode MS" w:cs="Segoe UI"/>
                <w:noProof/>
              </w:rPr>
              <w:t>SEZNAM POUŽITÝCH ZDROJŮ</w:t>
            </w:r>
            <w:r w:rsidR="00A86077">
              <w:rPr>
                <w:noProof/>
                <w:webHidden/>
              </w:rPr>
              <w:tab/>
            </w:r>
            <w:r w:rsidR="00A86077">
              <w:rPr>
                <w:noProof/>
                <w:webHidden/>
              </w:rPr>
              <w:fldChar w:fldCharType="begin"/>
            </w:r>
            <w:r w:rsidR="00A86077">
              <w:rPr>
                <w:noProof/>
                <w:webHidden/>
              </w:rPr>
              <w:instrText xml:space="preserve"> PAGEREF _Toc117607019 \h </w:instrText>
            </w:r>
            <w:r w:rsidR="00A86077">
              <w:rPr>
                <w:noProof/>
                <w:webHidden/>
              </w:rPr>
            </w:r>
            <w:r w:rsidR="00A86077">
              <w:rPr>
                <w:noProof/>
                <w:webHidden/>
              </w:rPr>
              <w:fldChar w:fldCharType="separate"/>
            </w:r>
            <w:r w:rsidR="003A12AF">
              <w:rPr>
                <w:noProof/>
                <w:webHidden/>
              </w:rPr>
              <w:t>210</w:t>
            </w:r>
            <w:r w:rsidR="00A86077">
              <w:rPr>
                <w:noProof/>
                <w:webHidden/>
              </w:rPr>
              <w:fldChar w:fldCharType="end"/>
            </w:r>
          </w:hyperlink>
        </w:p>
        <w:p w:rsidR="00A86077" w:rsidRDefault="00412C70">
          <w:pPr>
            <w:pStyle w:val="Obsah1"/>
            <w:rPr>
              <w:rFonts w:asciiTheme="minorHAnsi" w:eastAsiaTheme="minorEastAsia" w:hAnsiTheme="minorHAnsi" w:cstheme="minorBidi"/>
              <w:b w:val="0"/>
              <w:bCs w:val="0"/>
              <w:noProof/>
              <w:sz w:val="22"/>
              <w:szCs w:val="22"/>
              <w:lang w:eastAsia="cs-CZ"/>
            </w:rPr>
          </w:pPr>
          <w:hyperlink w:anchor="_Toc117607020" w:history="1">
            <w:r w:rsidR="00A86077" w:rsidRPr="001C2590">
              <w:rPr>
                <w:rStyle w:val="Hypertextovodkaz"/>
                <w:rFonts w:eastAsia="Arial Unicode MS" w:cs="Segoe UI"/>
                <w:noProof/>
                <w:lang w:eastAsia="cs-CZ"/>
              </w:rPr>
              <w:t>PŘÍLOHY</w:t>
            </w:r>
            <w:r w:rsidR="00A86077">
              <w:rPr>
                <w:noProof/>
                <w:webHidden/>
              </w:rPr>
              <w:tab/>
            </w:r>
            <w:r w:rsidR="00A86077">
              <w:rPr>
                <w:noProof/>
                <w:webHidden/>
              </w:rPr>
              <w:fldChar w:fldCharType="begin"/>
            </w:r>
            <w:r w:rsidR="00A86077">
              <w:rPr>
                <w:noProof/>
                <w:webHidden/>
              </w:rPr>
              <w:instrText xml:space="preserve"> PAGEREF _Toc117607020 \h </w:instrText>
            </w:r>
            <w:r w:rsidR="00A86077">
              <w:rPr>
                <w:noProof/>
                <w:webHidden/>
              </w:rPr>
            </w:r>
            <w:r w:rsidR="00A86077">
              <w:rPr>
                <w:noProof/>
                <w:webHidden/>
              </w:rPr>
              <w:fldChar w:fldCharType="separate"/>
            </w:r>
            <w:r w:rsidR="003A12AF">
              <w:rPr>
                <w:noProof/>
                <w:webHidden/>
              </w:rPr>
              <w:t>211</w:t>
            </w:r>
            <w:r w:rsidR="00A86077">
              <w:rPr>
                <w:noProof/>
                <w:webHidden/>
              </w:rPr>
              <w:fldChar w:fldCharType="end"/>
            </w:r>
          </w:hyperlink>
        </w:p>
        <w:p w:rsidR="00D0553A" w:rsidRDefault="00D0553A" w:rsidP="00A34764">
          <w:r>
            <w:fldChar w:fldCharType="end"/>
          </w:r>
        </w:p>
      </w:sdtContent>
    </w:sdt>
    <w:p w:rsidR="00874900" w:rsidRDefault="00874900">
      <w:pPr>
        <w:spacing w:before="0" w:after="160" w:line="259" w:lineRule="auto"/>
        <w:jc w:val="left"/>
      </w:pPr>
      <w:r>
        <w:br w:type="page"/>
      </w:r>
    </w:p>
    <w:p w:rsidR="00874900" w:rsidRPr="00874900" w:rsidRDefault="00874900" w:rsidP="00874900"/>
    <w:p w:rsidR="00874900" w:rsidRPr="00874900" w:rsidRDefault="00874900" w:rsidP="00874900">
      <w:pPr>
        <w:sectPr w:rsidR="00874900" w:rsidRPr="00874900">
          <w:pgSz w:w="11906" w:h="16838"/>
          <w:pgMar w:top="1417" w:right="1417" w:bottom="1417" w:left="1417" w:header="708" w:footer="708" w:gutter="0"/>
          <w:cols w:space="708"/>
          <w:docGrid w:linePitch="360"/>
        </w:sectPr>
      </w:pPr>
    </w:p>
    <w:p w:rsidR="00ED6821" w:rsidRDefault="00ED6821" w:rsidP="003B362B">
      <w:pPr>
        <w:spacing w:before="0" w:after="160" w:line="259" w:lineRule="auto"/>
        <w:rPr>
          <w:rFonts w:eastAsiaTheme="minorHAnsi" w:cs="Segoe UI"/>
          <w:b/>
          <w:sz w:val="24"/>
          <w:szCs w:val="20"/>
        </w:rPr>
      </w:pPr>
      <w:r w:rsidRPr="003B362B">
        <w:rPr>
          <w:rFonts w:eastAsiaTheme="minorHAnsi" w:cs="Segoe UI"/>
          <w:b/>
          <w:sz w:val="24"/>
          <w:szCs w:val="20"/>
        </w:rPr>
        <w:lastRenderedPageBreak/>
        <w:t xml:space="preserve">Úvodní slovo </w:t>
      </w:r>
      <w:r w:rsidR="00DC36DA" w:rsidRPr="003B362B">
        <w:rPr>
          <w:rFonts w:eastAsiaTheme="minorHAnsi" w:cs="Segoe UI"/>
          <w:b/>
          <w:sz w:val="24"/>
          <w:szCs w:val="20"/>
        </w:rPr>
        <w:t xml:space="preserve"> </w:t>
      </w:r>
    </w:p>
    <w:p w:rsidR="00874900" w:rsidRDefault="00874900" w:rsidP="003B362B">
      <w:pPr>
        <w:spacing w:before="0" w:after="160" w:line="259" w:lineRule="auto"/>
        <w:rPr>
          <w:rFonts w:eastAsiaTheme="minorHAnsi" w:cs="Segoe UI"/>
          <w:b/>
          <w:sz w:val="24"/>
          <w:szCs w:val="20"/>
        </w:rPr>
      </w:pPr>
    </w:p>
    <w:p w:rsidR="007E3448" w:rsidRPr="006A1F59" w:rsidRDefault="007E3448" w:rsidP="00A34764">
      <w:r w:rsidRPr="006A1F59">
        <w:t>Vážení spoluobčané,</w:t>
      </w:r>
    </w:p>
    <w:p w:rsidR="007E3448" w:rsidRPr="006A1F59" w:rsidRDefault="00174C6D" w:rsidP="00A34764">
      <w:r>
        <w:t>právě otevíráte</w:t>
      </w:r>
      <w:r w:rsidR="007E3448" w:rsidRPr="006A1F59">
        <w:t xml:space="preserve"> nový Střednědobý plán rozvoje sociálních služeb v Olomouckém kraji pro roky 2024</w:t>
      </w:r>
      <w:r w:rsidR="00DB5470">
        <w:t>–</w:t>
      </w:r>
      <w:r w:rsidR="007E3448" w:rsidRPr="006A1F59">
        <w:t xml:space="preserve">2026, který </w:t>
      </w:r>
      <w:r w:rsidR="00CE0415">
        <w:t xml:space="preserve">bude po následující 3 roky určovat </w:t>
      </w:r>
      <w:r w:rsidR="007E3448" w:rsidRPr="006A1F59">
        <w:t xml:space="preserve">priority a hlavní směry </w:t>
      </w:r>
      <w:r w:rsidR="00CE0415">
        <w:t xml:space="preserve">rozvoje </w:t>
      </w:r>
      <w:r w:rsidR="00765852" w:rsidRPr="006A1F59">
        <w:t>sociálních služe</w:t>
      </w:r>
      <w:r w:rsidR="007E3448" w:rsidRPr="006A1F59">
        <w:t>b v Olomoucké</w:t>
      </w:r>
      <w:r w:rsidR="00CE0415">
        <w:t>m</w:t>
      </w:r>
      <w:r w:rsidR="007E3448" w:rsidRPr="006A1F59">
        <w:t xml:space="preserve"> kraji. Jedná se o </w:t>
      </w:r>
      <w:r w:rsidR="00CE0415">
        <w:t xml:space="preserve">důležitý </w:t>
      </w:r>
      <w:r w:rsidR="007E3448" w:rsidRPr="006A1F59">
        <w:t xml:space="preserve">strategický dokument kraje, který </w:t>
      </w:r>
      <w:r w:rsidR="00CE0415">
        <w:t>vznik</w:t>
      </w:r>
      <w:r w:rsidR="00A3796D">
        <w:t>l</w:t>
      </w:r>
      <w:r w:rsidR="00CE0415">
        <w:t xml:space="preserve"> na základě</w:t>
      </w:r>
      <w:r w:rsidR="007E3448" w:rsidRPr="006A1F59">
        <w:t xml:space="preserve"> aktivního zjišťování potřeb osob na území Olomouckého kraje a hledání způsobů jejich </w:t>
      </w:r>
      <w:r w:rsidR="00CE0415">
        <w:t>naplňování, a to s ohledem</w:t>
      </w:r>
      <w:r w:rsidR="00CE0415" w:rsidRPr="006A1F59">
        <w:t xml:space="preserve"> </w:t>
      </w:r>
      <w:r w:rsidR="00CE0415">
        <w:t>na</w:t>
      </w:r>
      <w:r w:rsidR="007E3448" w:rsidRPr="006A1F59">
        <w:t xml:space="preserve"> dostupn</w:t>
      </w:r>
      <w:r w:rsidR="00CE0415">
        <w:t>é</w:t>
      </w:r>
      <w:r w:rsidR="007E3448" w:rsidRPr="006A1F59">
        <w:t xml:space="preserve"> finanční a </w:t>
      </w:r>
      <w:r w:rsidR="00CE0415">
        <w:t>lidské</w:t>
      </w:r>
      <w:r w:rsidR="00CE0415" w:rsidRPr="006A1F59">
        <w:t xml:space="preserve"> </w:t>
      </w:r>
      <w:r w:rsidR="007E3448" w:rsidRPr="006A1F59">
        <w:t>zdroj</w:t>
      </w:r>
      <w:r w:rsidR="00CE0415">
        <w:t>e</w:t>
      </w:r>
      <w:r w:rsidR="007E3448" w:rsidRPr="006A1F59">
        <w:t xml:space="preserve">. Jsem velmi rád, že se do tvorby tohoto dokumentu zapojili nejen zástupci obcí, poskytovatelů, ale také uživatelé, jimž jsou sociální služby určeny. </w:t>
      </w:r>
    </w:p>
    <w:p w:rsidR="00145D08" w:rsidRDefault="007E3448" w:rsidP="00A34764">
      <w:r w:rsidRPr="006A1F59">
        <w:t>Olomouck</w:t>
      </w:r>
      <w:r w:rsidR="00145D08">
        <w:t>ý</w:t>
      </w:r>
      <w:r w:rsidRPr="006A1F59">
        <w:t xml:space="preserve"> kraj </w:t>
      </w:r>
      <w:r w:rsidR="00145D08">
        <w:t xml:space="preserve">se bude v následujících letech snažit sociální služby rozvíjet </w:t>
      </w:r>
      <w:r w:rsidRPr="006A1F59">
        <w:t xml:space="preserve">nejen </w:t>
      </w:r>
      <w:r w:rsidR="00145D08">
        <w:t>z pohledu</w:t>
      </w:r>
      <w:r w:rsidRPr="006A1F59">
        <w:t xml:space="preserve"> kapacit</w:t>
      </w:r>
      <w:r w:rsidR="00547BEF">
        <w:t xml:space="preserve"> služeb</w:t>
      </w:r>
      <w:r w:rsidRPr="006A1F59">
        <w:t xml:space="preserve">, ale především </w:t>
      </w:r>
      <w:r w:rsidR="00145D08">
        <w:t>jejich kvality. Důležitý bude rozvoj služeb,</w:t>
      </w:r>
      <w:r w:rsidRPr="006A1F59">
        <w:t xml:space="preserve"> které </w:t>
      </w:r>
      <w:r w:rsidR="00145D08">
        <w:t xml:space="preserve">individuálně </w:t>
      </w:r>
      <w:r w:rsidRPr="006A1F59">
        <w:t>reagují na potřeby občanů v </w:t>
      </w:r>
      <w:r w:rsidR="00145D08">
        <w:t>nepříznivé</w:t>
      </w:r>
      <w:r w:rsidR="00145D08" w:rsidRPr="006A1F59">
        <w:t xml:space="preserve"> </w:t>
      </w:r>
      <w:r w:rsidRPr="006A1F59">
        <w:t xml:space="preserve">situaci a nabízí řešení a podporu co nejblíže </w:t>
      </w:r>
      <w:r w:rsidR="00145D08">
        <w:t xml:space="preserve">jejich </w:t>
      </w:r>
      <w:r w:rsidRPr="006A1F59">
        <w:t>přirozenému prostředí</w:t>
      </w:r>
      <w:r w:rsidR="00765852" w:rsidRPr="006A1F59">
        <w:t xml:space="preserve">. </w:t>
      </w:r>
      <w:r w:rsidR="00145D08">
        <w:t xml:space="preserve">Hlavním </w:t>
      </w:r>
      <w:r w:rsidR="00B90CFE" w:rsidRPr="006A1F59">
        <w:rPr>
          <w:bCs/>
        </w:rPr>
        <w:t xml:space="preserve">posláním sociálních služeb je </w:t>
      </w:r>
      <w:r w:rsidR="00145D08">
        <w:rPr>
          <w:bCs/>
        </w:rPr>
        <w:t xml:space="preserve">totiž </w:t>
      </w:r>
      <w:r w:rsidR="00B90CFE" w:rsidRPr="006A1F59">
        <w:rPr>
          <w:bCs/>
        </w:rPr>
        <w:t>podpo</w:t>
      </w:r>
      <w:r w:rsidR="00145D08">
        <w:rPr>
          <w:bCs/>
        </w:rPr>
        <w:t>ra</w:t>
      </w:r>
      <w:r w:rsidR="00B90CFE" w:rsidRPr="006A1F59">
        <w:rPr>
          <w:bCs/>
        </w:rPr>
        <w:t xml:space="preserve"> samostatnost</w:t>
      </w:r>
      <w:r w:rsidR="00145D08">
        <w:rPr>
          <w:bCs/>
        </w:rPr>
        <w:t>i</w:t>
      </w:r>
      <w:r w:rsidR="00B90CFE" w:rsidRPr="006A1F59">
        <w:rPr>
          <w:bCs/>
        </w:rPr>
        <w:t xml:space="preserve"> osob,</w:t>
      </w:r>
      <w:r w:rsidR="00145D08">
        <w:rPr>
          <w:bCs/>
        </w:rPr>
        <w:t xml:space="preserve"> díky které budou moci</w:t>
      </w:r>
      <w:r w:rsidR="00B90CFE" w:rsidRPr="006A1F59">
        <w:rPr>
          <w:bCs/>
        </w:rPr>
        <w:t xml:space="preserve"> žít nezávisle a</w:t>
      </w:r>
      <w:r w:rsidR="00765852" w:rsidRPr="006A1F59">
        <w:rPr>
          <w:bCs/>
        </w:rPr>
        <w:t> </w:t>
      </w:r>
      <w:r w:rsidR="00B90CFE" w:rsidRPr="006A1F59">
        <w:rPr>
          <w:bCs/>
        </w:rPr>
        <w:t>podle svých představ.</w:t>
      </w:r>
      <w:r w:rsidRPr="006A1F59">
        <w:t xml:space="preserve"> </w:t>
      </w:r>
    </w:p>
    <w:p w:rsidR="007E3448" w:rsidRPr="006A1F59" w:rsidRDefault="007E3448" w:rsidP="00A34764">
      <w:r w:rsidRPr="006A1F59">
        <w:t>Po</w:t>
      </w:r>
      <w:r w:rsidR="00145D08">
        <w:t xml:space="preserve">zornost bude rovněž více zaměřena na </w:t>
      </w:r>
      <w:r w:rsidRPr="006A1F59">
        <w:t>podpor</w:t>
      </w:r>
      <w:r w:rsidR="00145D08">
        <w:t>u</w:t>
      </w:r>
      <w:r w:rsidRPr="006A1F59">
        <w:t xml:space="preserve"> neformální péč</w:t>
      </w:r>
      <w:r w:rsidR="00145D08">
        <w:t>e</w:t>
      </w:r>
      <w:r w:rsidRPr="006A1F59">
        <w:t xml:space="preserve">, která </w:t>
      </w:r>
      <w:r w:rsidR="00145D08">
        <w:t>umožňuje</w:t>
      </w:r>
      <w:r w:rsidRPr="006A1F59">
        <w:t xml:space="preserve"> setrvání v přirozeném sociálním prostředí. </w:t>
      </w:r>
      <w:r w:rsidR="00515CA5">
        <w:t>I</w:t>
      </w:r>
      <w:r w:rsidRPr="006A1F59">
        <w:t xml:space="preserve"> z tohoto důvodu klade</w:t>
      </w:r>
      <w:r w:rsidR="00515CA5">
        <w:t xml:space="preserve"> plán</w:t>
      </w:r>
      <w:r w:rsidRPr="006A1F59">
        <w:t xml:space="preserve"> důraz na podporu zajištění terénních služeb soci</w:t>
      </w:r>
      <w:r w:rsidR="00707C4B">
        <w:t>ální péče, ať již jde o seniory či</w:t>
      </w:r>
      <w:r w:rsidRPr="006A1F59">
        <w:t xml:space="preserve"> osoby se zdravotním postižením</w:t>
      </w:r>
      <w:r w:rsidR="00707C4B">
        <w:t>.</w:t>
      </w:r>
    </w:p>
    <w:p w:rsidR="00515CA5" w:rsidRDefault="00515CA5" w:rsidP="00A34764">
      <w:r>
        <w:t>Nejenom v</w:t>
      </w:r>
      <w:r w:rsidR="007E3448" w:rsidRPr="006A1F59">
        <w:t xml:space="preserve"> souvislosti s demografickým vývojem obyvatelstva</w:t>
      </w:r>
      <w:r>
        <w:t xml:space="preserve">, </w:t>
      </w:r>
      <w:r w:rsidR="007E3448" w:rsidRPr="006A1F59">
        <w:t>a</w:t>
      </w:r>
      <w:r>
        <w:t>le i</w:t>
      </w:r>
      <w:r w:rsidR="007E3448" w:rsidRPr="006A1F59">
        <w:t xml:space="preserve"> změnami ve společnosti</w:t>
      </w:r>
      <w:r w:rsidR="00DB5470">
        <w:t>,</w:t>
      </w:r>
      <w:r w:rsidR="007E3448" w:rsidRPr="006A1F59">
        <w:t xml:space="preserve"> se poptávka po sociálních službách zvyšuje. </w:t>
      </w:r>
      <w:r>
        <w:t xml:space="preserve">Rostoucí poptávka po sociálních službách však stále není dostatečně pokryta nezbytnými zdroji finančních prostředků. </w:t>
      </w:r>
      <w:r w:rsidR="007E3448" w:rsidRPr="006A1F59">
        <w:t xml:space="preserve">Olomoucký kraj </w:t>
      </w:r>
      <w:r>
        <w:t xml:space="preserve">tak bude hledat další zdroje finančních prostředků, </w:t>
      </w:r>
      <w:r w:rsidR="00761F28">
        <w:t>mi</w:t>
      </w:r>
      <w:r w:rsidR="00DB5470">
        <w:t>m</w:t>
      </w:r>
      <w:r w:rsidR="00761F28">
        <w:t xml:space="preserve">o jiné bude </w:t>
      </w:r>
      <w:r>
        <w:t>jednat s obcemi o podílu na financování sociálních služeb a snažit se o</w:t>
      </w:r>
      <w:r w:rsidR="00761F28">
        <w:t> </w:t>
      </w:r>
      <w:r>
        <w:t>legislativní změny. Je</w:t>
      </w:r>
      <w:r w:rsidR="00A3796D">
        <w:t> </w:t>
      </w:r>
      <w:r>
        <w:t xml:space="preserve">však rovněž nezbytné při správě sítě sociálních služeb </w:t>
      </w:r>
      <w:r w:rsidR="007E3448" w:rsidRPr="006A1F59">
        <w:t>velmi pečlivě vyhodnocovat rozvojové záměry</w:t>
      </w:r>
      <w:r>
        <w:t>, aby nedošlo k ohrožení stávající sítě potřebných sociálních služeb</w:t>
      </w:r>
      <w:r w:rsidR="007E3448" w:rsidRPr="006A1F59">
        <w:t xml:space="preserve">. </w:t>
      </w:r>
    </w:p>
    <w:p w:rsidR="007E3448" w:rsidRPr="006A1F59" w:rsidRDefault="007E3448" w:rsidP="00A34764">
      <w:r w:rsidRPr="006A1F59">
        <w:t>Během realizace Střednědobého plánu rozvoje sociálních služeb v Olomouckém kraji</w:t>
      </w:r>
      <w:r w:rsidR="00DC36DA" w:rsidRPr="006A1F59">
        <w:t xml:space="preserve"> pro roky 2024</w:t>
      </w:r>
      <w:r w:rsidR="00DB5470">
        <w:t>–</w:t>
      </w:r>
      <w:r w:rsidR="00DC36DA" w:rsidRPr="006A1F59">
        <w:t>2026 bud</w:t>
      </w:r>
      <w:r w:rsidR="00515CA5">
        <w:t>ou hledány další cesty</w:t>
      </w:r>
      <w:r w:rsidR="00DC36DA" w:rsidRPr="006A1F59">
        <w:t xml:space="preserve"> </w:t>
      </w:r>
      <w:r w:rsidRPr="006A1F59">
        <w:t>k</w:t>
      </w:r>
      <w:r w:rsidR="00B90CFE" w:rsidRPr="006A1F59">
        <w:t xml:space="preserve"> optimalizaci a </w:t>
      </w:r>
      <w:r w:rsidRPr="006A1F59">
        <w:t>posílení efektivity sociálních</w:t>
      </w:r>
      <w:r w:rsidR="00B90CFE" w:rsidRPr="006A1F59">
        <w:t xml:space="preserve"> služeb</w:t>
      </w:r>
      <w:r w:rsidR="00515CA5">
        <w:t xml:space="preserve"> zařazených v síti sociálních služeb</w:t>
      </w:r>
      <w:r w:rsidR="00B90CFE" w:rsidRPr="006A1F59">
        <w:t>.</w:t>
      </w:r>
      <w:r w:rsidRPr="006A1F59">
        <w:t xml:space="preserve"> Jsem však přesvědčen, že i přes složitou ekonomickou situaci, ve které se </w:t>
      </w:r>
      <w:r w:rsidR="00515CA5">
        <w:t xml:space="preserve">aktuálně nachází nejenom </w:t>
      </w:r>
      <w:r w:rsidR="00B90CFE" w:rsidRPr="006A1F59">
        <w:t>sociální služ</w:t>
      </w:r>
      <w:r w:rsidRPr="006A1F59">
        <w:t>b</w:t>
      </w:r>
      <w:r w:rsidR="00DC36DA" w:rsidRPr="006A1F59">
        <w:t>y</w:t>
      </w:r>
      <w:r w:rsidRPr="006A1F59">
        <w:t>, budou mít občané žijící v Olomoucké</w:t>
      </w:r>
      <w:r w:rsidR="00515CA5">
        <w:t>m</w:t>
      </w:r>
      <w:r w:rsidRPr="006A1F59">
        <w:t xml:space="preserve"> kraji k dispozici kvalitní a dostupné sociální služby, které jim budou oporou při řešení jejich případných nepříznivých sociálních situací.</w:t>
      </w:r>
    </w:p>
    <w:p w:rsidR="00ED6821" w:rsidRPr="006A1F59" w:rsidRDefault="007E3448" w:rsidP="00A34764">
      <w:r w:rsidRPr="006A1F59">
        <w:t xml:space="preserve">Dovolte, abych </w:t>
      </w:r>
      <w:r w:rsidR="00515CA5">
        <w:t xml:space="preserve">závěrem </w:t>
      </w:r>
      <w:r w:rsidRPr="006A1F59">
        <w:t>poděkoval všem lidem, kteří se v  minulém</w:t>
      </w:r>
      <w:r w:rsidR="00030005">
        <w:t xml:space="preserve"> období</w:t>
      </w:r>
      <w:r w:rsidRPr="006A1F59">
        <w:t xml:space="preserve"> </w:t>
      </w:r>
      <w:r w:rsidR="00030005">
        <w:t xml:space="preserve">(zejména posledních letech výrazně poznamenaných pandemií Covid-19 a válkou na Ukrajině) </w:t>
      </w:r>
      <w:r w:rsidRPr="006A1F59">
        <w:t xml:space="preserve">zapojili </w:t>
      </w:r>
      <w:r w:rsidR="00765852" w:rsidRPr="006A1F59">
        <w:t xml:space="preserve">do pomoci a podpory těm, kdo ji </w:t>
      </w:r>
      <w:r w:rsidRPr="006A1F59">
        <w:t>potřebovali</w:t>
      </w:r>
      <w:r w:rsidR="00DB5470">
        <w:t>,</w:t>
      </w:r>
      <w:r w:rsidRPr="006A1F59">
        <w:t xml:space="preserve"> a velmi děkuji těm, kteří ve své činnosti vytrvají i nadále</w:t>
      </w:r>
      <w:r w:rsidR="00765852" w:rsidRPr="006A1F59">
        <w:t>,</w:t>
      </w:r>
      <w:r w:rsidRPr="006A1F59">
        <w:t xml:space="preserve"> a i v</w:t>
      </w:r>
      <w:r w:rsidR="00AA75BD">
        <w:t> </w:t>
      </w:r>
      <w:r w:rsidRPr="006A1F59">
        <w:t>období</w:t>
      </w:r>
      <w:r w:rsidR="00AA75BD">
        <w:t>, které</w:t>
      </w:r>
      <w:r w:rsidRPr="006A1F59">
        <w:t xml:space="preserve"> pro sociální služby </w:t>
      </w:r>
      <w:r w:rsidR="00AA75BD">
        <w:t xml:space="preserve">bude jistě </w:t>
      </w:r>
      <w:r w:rsidRPr="006A1F59">
        <w:t>náročné, budou svou práci odvádět kvalitně a se stejným zaujetím jako doposud.</w:t>
      </w:r>
    </w:p>
    <w:p w:rsidR="00103E16" w:rsidRDefault="00103E16" w:rsidP="00A34764">
      <w:pPr>
        <w:rPr>
          <w:rFonts w:eastAsia="Arial Unicode MS"/>
          <w:lang w:eastAsia="cs-CZ"/>
        </w:rPr>
      </w:pPr>
    </w:p>
    <w:p w:rsidR="00874900" w:rsidRDefault="00874900" w:rsidP="00A34764">
      <w:pPr>
        <w:rPr>
          <w:rFonts w:eastAsia="Arial Unicode MS"/>
          <w:lang w:eastAsia="cs-CZ"/>
        </w:rPr>
      </w:pPr>
    </w:p>
    <w:p w:rsidR="00874900" w:rsidRDefault="00874900" w:rsidP="00A34764">
      <w:pPr>
        <w:rPr>
          <w:rFonts w:eastAsia="Arial Unicode MS"/>
          <w:lang w:eastAsia="cs-CZ"/>
        </w:rPr>
      </w:pPr>
    </w:p>
    <w:tbl>
      <w:tblPr>
        <w:tblStyle w:val="Mkatabulky"/>
        <w:tblW w:w="0" w:type="auto"/>
        <w:tblInd w:w="5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7"/>
      </w:tblGrid>
      <w:tr w:rsidR="00874900" w:rsidTr="00874900">
        <w:tc>
          <w:tcPr>
            <w:tcW w:w="3817" w:type="dxa"/>
          </w:tcPr>
          <w:p w:rsidR="00874900" w:rsidRDefault="00874900" w:rsidP="00874900">
            <w:pPr>
              <w:jc w:val="center"/>
              <w:rPr>
                <w:rFonts w:eastAsia="Arial Unicode MS"/>
              </w:rPr>
            </w:pPr>
            <w:r>
              <w:rPr>
                <w:rFonts w:eastAsia="Arial Unicode MS"/>
              </w:rPr>
              <w:t>Mgr. Ivo Slavotínek</w:t>
            </w:r>
          </w:p>
        </w:tc>
      </w:tr>
      <w:tr w:rsidR="00874900" w:rsidTr="00874900">
        <w:tc>
          <w:tcPr>
            <w:tcW w:w="3817" w:type="dxa"/>
          </w:tcPr>
          <w:p w:rsidR="00874900" w:rsidRDefault="00874900" w:rsidP="00874900">
            <w:pPr>
              <w:jc w:val="center"/>
              <w:rPr>
                <w:rFonts w:eastAsia="Arial Unicode MS"/>
              </w:rPr>
            </w:pPr>
            <w:r>
              <w:rPr>
                <w:rFonts w:eastAsia="Arial Unicode MS"/>
              </w:rPr>
              <w:t>1. náměstek hejtmana</w:t>
            </w:r>
          </w:p>
        </w:tc>
      </w:tr>
    </w:tbl>
    <w:p w:rsidR="00874900" w:rsidRDefault="00874900" w:rsidP="00A34764">
      <w:pPr>
        <w:rPr>
          <w:rFonts w:eastAsia="Arial Unicode MS"/>
          <w:lang w:eastAsia="cs-CZ"/>
        </w:rPr>
      </w:pPr>
    </w:p>
    <w:p w:rsidR="00874900" w:rsidRDefault="00874900" w:rsidP="00A34764">
      <w:pPr>
        <w:rPr>
          <w:rFonts w:eastAsia="Arial Unicode MS"/>
          <w:lang w:eastAsia="cs-CZ"/>
        </w:rPr>
      </w:pPr>
    </w:p>
    <w:p w:rsidR="00103E16" w:rsidRDefault="00103E16" w:rsidP="00A34764">
      <w:pPr>
        <w:rPr>
          <w:rFonts w:eastAsia="Arial Unicode MS"/>
          <w:lang w:eastAsia="cs-CZ"/>
        </w:rPr>
      </w:pPr>
      <w:r>
        <w:rPr>
          <w:rFonts w:eastAsia="Arial Unicode MS"/>
          <w:lang w:eastAsia="cs-CZ"/>
        </w:rPr>
        <w:br w:type="page"/>
      </w:r>
    </w:p>
    <w:p w:rsidR="00071706" w:rsidRDefault="003B362B" w:rsidP="00A34764">
      <w:pPr>
        <w:rPr>
          <w:rFonts w:eastAsia="Arial Unicode MS" w:cs="Segoe UI"/>
          <w:b/>
          <w:sz w:val="24"/>
          <w:szCs w:val="24"/>
          <w:lang w:eastAsia="cs-CZ"/>
        </w:rPr>
      </w:pPr>
      <w:r>
        <w:rPr>
          <w:rFonts w:eastAsia="Arial Unicode MS" w:cs="Segoe UI"/>
          <w:b/>
          <w:sz w:val="24"/>
          <w:szCs w:val="24"/>
          <w:lang w:eastAsia="cs-CZ"/>
        </w:rPr>
        <w:lastRenderedPageBreak/>
        <w:t>Výklad pojmů</w:t>
      </w:r>
    </w:p>
    <w:p w:rsidR="00874900" w:rsidRPr="003B362B" w:rsidRDefault="00874900" w:rsidP="00A34764">
      <w:pPr>
        <w:rPr>
          <w:rFonts w:eastAsia="Arial Unicode MS" w:cs="Segoe UI"/>
          <w:b/>
          <w:sz w:val="24"/>
          <w:szCs w:val="24"/>
          <w:lang w:eastAsia="cs-CZ"/>
        </w:rPr>
      </w:pPr>
    </w:p>
    <w:p w:rsidR="00F275A0" w:rsidRDefault="00F275A0" w:rsidP="003B362B">
      <w:r w:rsidRPr="00842C81">
        <w:rPr>
          <w:b/>
        </w:rPr>
        <w:t>Akční plán rozvoje sociálních služeb (dále jen „Akční plán“)</w:t>
      </w:r>
      <w:r w:rsidRPr="00E734F9">
        <w:t xml:space="preserve"> </w:t>
      </w:r>
      <w:r w:rsidR="00DB5470">
        <w:t>–</w:t>
      </w:r>
      <w:r>
        <w:t xml:space="preserve"> </w:t>
      </w:r>
      <w:r w:rsidRPr="00E734F9">
        <w:t>jednoletý prováděcí dokument ke Střednědobému plánu rozvoje sociálních služeb v OK. Cílem Akčního plánu je nastavení sítě sociálních služeb v souladu s hlavními cíli Střednědobého plánu rozvoje sociálních služeb v OK, včetně jejich aktualizace s ohledem na reálné potřeby, kvalitu, efektivitu poskytované péče a finanční udržitelnost podporovaného systému. Akční plán uvádí do praxe rámcovou rozvojovou strategii stanovenou Střednědobým plánem rozvoje sociálních služeb v OK v souladu s aktuálními trendy v poskytování sociálních služeb.</w:t>
      </w:r>
    </w:p>
    <w:p w:rsidR="00071706" w:rsidRPr="00894DB1" w:rsidRDefault="00071706" w:rsidP="00071706">
      <w:pPr>
        <w:pStyle w:val="1text"/>
        <w:rPr>
          <w:i/>
          <w:iCs/>
        </w:rPr>
      </w:pPr>
      <w:proofErr w:type="spellStart"/>
      <w:r w:rsidRPr="00894DB1">
        <w:rPr>
          <w:b/>
          <w:bCs/>
        </w:rPr>
        <w:t>Deinstitucionalizace</w:t>
      </w:r>
      <w:proofErr w:type="spellEnd"/>
      <w:r w:rsidRPr="00894DB1">
        <w:rPr>
          <w:b/>
          <w:bCs/>
        </w:rPr>
        <w:t xml:space="preserve"> </w:t>
      </w:r>
      <w:r>
        <w:t xml:space="preserve">– </w:t>
      </w:r>
      <w:r w:rsidRPr="00894DB1">
        <w:t xml:space="preserve">proces, ve kterém dochází k transformaci institucionální (ústavní) péče v péči komunitní. Cílem je zkvalitnit život lidem a umožnit jim žít běžný život srovnatelný se životem jejich vrstevníků. Během </w:t>
      </w:r>
      <w:proofErr w:type="spellStart"/>
      <w:r w:rsidRPr="00894DB1">
        <w:t>deinstitucionalizace</w:t>
      </w:r>
      <w:proofErr w:type="spellEnd"/>
      <w:r w:rsidRPr="00894DB1">
        <w:t xml:space="preserve"> </w:t>
      </w:r>
      <w:r w:rsidR="00ED3F75">
        <w:t>dochází k řízenému rušení ústavů</w:t>
      </w:r>
      <w:r w:rsidRPr="00894DB1">
        <w:t xml:space="preserve"> a rozvoji komunitních sociálních služeb (ambulantní, terénní a pobytové formy). Výsledná struktura a provoz sociálních služeb jsou primárně orientovány na potřeby uživatelů služeb a jejich sociální začleňování, uživatelé nejsou vystavováni institucionalizaci. </w:t>
      </w:r>
    </w:p>
    <w:p w:rsidR="00071706" w:rsidRPr="00894DB1" w:rsidRDefault="00071706" w:rsidP="00071706">
      <w:pPr>
        <w:pStyle w:val="1text"/>
      </w:pPr>
      <w:proofErr w:type="spellStart"/>
      <w:r w:rsidRPr="00894DB1">
        <w:rPr>
          <w:b/>
        </w:rPr>
        <w:t>KISSoS</w:t>
      </w:r>
      <w:proofErr w:type="spellEnd"/>
      <w:r w:rsidRPr="00894DB1">
        <w:t xml:space="preserve"> – </w:t>
      </w:r>
      <w:r w:rsidRPr="00894DB1">
        <w:rPr>
          <w:b/>
        </w:rPr>
        <w:t xml:space="preserve">Krajský informační systém sociálních služeb </w:t>
      </w:r>
      <w:r w:rsidRPr="00894DB1">
        <w:t>–</w:t>
      </w:r>
      <w:r w:rsidRPr="00894DB1">
        <w:rPr>
          <w:b/>
        </w:rPr>
        <w:t xml:space="preserve"> </w:t>
      </w:r>
      <w:r w:rsidRPr="00894DB1">
        <w:t>online databázová aplikace, která umožňuje zachovat, aktualizovat a propojit do jednotlivých modulů aplikace informace a data o sociálních sl</w:t>
      </w:r>
      <w:r>
        <w:t>užbách poskytovaných na území Olomouckého kraje</w:t>
      </w:r>
      <w:r w:rsidRPr="00894DB1">
        <w:t xml:space="preserve">. Aplikace je zpřístupněna jako informační zdroj pro efektivní plánování, koordinaci systému, vyhodnocení efektivity a sítě sociálních služeb všem poskytovatelům sociálních služeb, pracovníkům </w:t>
      </w:r>
      <w:r>
        <w:t>Odboru sociálních věcí Krajského úřadu Olomouckého kraje</w:t>
      </w:r>
      <w:r w:rsidRPr="00894DB1">
        <w:t>, koordinátorům plánování na obecní úrovni a</w:t>
      </w:r>
      <w:r>
        <w:t> </w:t>
      </w:r>
      <w:r w:rsidR="009F3841">
        <w:t>zástupcům obcí</w:t>
      </w:r>
      <w:r w:rsidRPr="00894DB1">
        <w:t>.</w:t>
      </w:r>
    </w:p>
    <w:p w:rsidR="00071706" w:rsidRPr="00894DB1" w:rsidRDefault="00071706" w:rsidP="00071706">
      <w:pPr>
        <w:pStyle w:val="1text"/>
      </w:pPr>
      <w:r w:rsidRPr="00894DB1">
        <w:rPr>
          <w:b/>
          <w:bCs/>
        </w:rPr>
        <w:t xml:space="preserve">Komunita </w:t>
      </w:r>
      <w:r>
        <w:t xml:space="preserve">– </w:t>
      </w:r>
      <w:r w:rsidRPr="00894DB1">
        <w:t>nejbližší, přirozené, běžné sociální prostředí; zahrnuje rodinu, sousedy, přátele, známé a</w:t>
      </w:r>
      <w:r>
        <w:t> </w:t>
      </w:r>
      <w:r w:rsidRPr="00894DB1">
        <w:t xml:space="preserve">místa, kde lidé běžně žijí, pracují, vzdělávají se a realizují běžné sociální aktivity. </w:t>
      </w:r>
    </w:p>
    <w:p w:rsidR="00071706" w:rsidRPr="00894DB1" w:rsidRDefault="00071706" w:rsidP="00071706">
      <w:pPr>
        <w:pStyle w:val="1text"/>
        <w:rPr>
          <w:i/>
          <w:iCs/>
        </w:rPr>
      </w:pPr>
      <w:r w:rsidRPr="00894DB1">
        <w:rPr>
          <w:b/>
          <w:bCs/>
        </w:rPr>
        <w:t xml:space="preserve">Komunitní péče </w:t>
      </w:r>
      <w:r>
        <w:t xml:space="preserve">– </w:t>
      </w:r>
      <w:r w:rsidRPr="00894DB1">
        <w:t xml:space="preserve">pomoc a podpora poskytovaná lidem v komunitě s využitím sociálních služeb komunitního charakteru, veřejně dostupných služeb a neformální podpory. </w:t>
      </w:r>
    </w:p>
    <w:p w:rsidR="00B4742D" w:rsidRDefault="00B4742D" w:rsidP="00071706">
      <w:pPr>
        <w:pStyle w:val="1text"/>
      </w:pPr>
      <w:r w:rsidRPr="006A7B13">
        <w:rPr>
          <w:b/>
        </w:rPr>
        <w:t>Modelace sítě sociálních služeb</w:t>
      </w:r>
      <w:r w:rsidRPr="006A7B13">
        <w:t xml:space="preserve"> – průběžné posuzování kapacit sociálních služeb působících na území Olomouckého kraje. Výstupem modelace sítě je </w:t>
      </w:r>
      <w:r>
        <w:t>A</w:t>
      </w:r>
      <w:r w:rsidRPr="006A7B13">
        <w:t>kční plán</w:t>
      </w:r>
      <w:r>
        <w:t xml:space="preserve"> rozvoje sociálních služeb Olomouckého kraje </w:t>
      </w:r>
      <w:r w:rsidRPr="006A7B13">
        <w:t>na daný rok.</w:t>
      </w:r>
    </w:p>
    <w:p w:rsidR="00071706" w:rsidRPr="00894DB1" w:rsidRDefault="00071706" w:rsidP="00071706">
      <w:pPr>
        <w:pStyle w:val="1text"/>
      </w:pPr>
      <w:r w:rsidRPr="00894DB1">
        <w:rPr>
          <w:b/>
          <w:bCs/>
        </w:rPr>
        <w:t xml:space="preserve">Neformální péče </w:t>
      </w:r>
      <w:r w:rsidRPr="00894DB1">
        <w:rPr>
          <w:bCs/>
        </w:rPr>
        <w:t>–</w:t>
      </w:r>
      <w:r>
        <w:t xml:space="preserve"> </w:t>
      </w:r>
      <w:r w:rsidRPr="00894DB1">
        <w:t>péče v přirozeném sociálním prostředí osob, poskytována osobami blízkými nebo asistentem sociální péče bez nutnosti jejich odborného vzdělání, za podmínek dohodnutých s</w:t>
      </w:r>
      <w:r>
        <w:t> </w:t>
      </w:r>
      <w:r w:rsidRPr="00894DB1">
        <w:t>osobou mimo pracovněprávní vztah.</w:t>
      </w:r>
    </w:p>
    <w:p w:rsidR="00071706" w:rsidRPr="00894DB1" w:rsidRDefault="00071706" w:rsidP="00071706">
      <w:pPr>
        <w:pStyle w:val="1text"/>
      </w:pPr>
      <w:r w:rsidRPr="00894DB1">
        <w:rPr>
          <w:b/>
          <w:bCs/>
        </w:rPr>
        <w:t xml:space="preserve">Nepříznivá sociální situace </w:t>
      </w:r>
      <w:r w:rsidRPr="00894DB1">
        <w:t xml:space="preserve">– </w:t>
      </w:r>
      <w:r>
        <w:t>n</w:t>
      </w:r>
      <w:r w:rsidRPr="00894DB1">
        <w:t xml:space="preserve">epříznivá sociální situace zahrnuje různé životní situace, ve kterých je osoba ohrožena sociálním vyloučením (tj. může být ohrožena nebo narušena schopnost osoby </w:t>
      </w:r>
      <w:r w:rsidRPr="00746530">
        <w:t>uspokojovat</w:t>
      </w:r>
      <w:r w:rsidRPr="00894DB1">
        <w:t xml:space="preserve"> základní potřeby, žít ve svém běžném prostředí způsobem, který je ve společnosti považován za obvyklý apod.) a nemůže, nebo má oslabenou schopnost (např. z důvodu věku, nepříznivého zdravotního stavu, životní</w:t>
      </w:r>
      <w:r w:rsidR="002B6BE7">
        <w:t>ch</w:t>
      </w:r>
      <w:r w:rsidRPr="00894DB1">
        <w:t xml:space="preserve"> návyk</w:t>
      </w:r>
      <w:r w:rsidR="002B6BE7">
        <w:t>ů</w:t>
      </w:r>
      <w:r w:rsidRPr="00894DB1">
        <w:t xml:space="preserve"> a způsob</w:t>
      </w:r>
      <w:r w:rsidR="002B6BE7">
        <w:t>u</w:t>
      </w:r>
      <w:r w:rsidRPr="00894DB1">
        <w:t xml:space="preserve"> života vedoucí</w:t>
      </w:r>
      <w:r w:rsidR="002B6BE7">
        <w:t>ho</w:t>
      </w:r>
      <w:r w:rsidRPr="00894DB1">
        <w:t xml:space="preserve"> ke konfliktu se společností, sociálně znevýhodňující</w:t>
      </w:r>
      <w:r w:rsidR="002B6BE7">
        <w:t>ho</w:t>
      </w:r>
      <w:r w:rsidRPr="00894DB1">
        <w:t xml:space="preserve"> prostředí, ohrožení práv a zájmů trestnou činností jiné fyzické osoby atd.) tuto situaci sama nějakým způsobem řešit. </w:t>
      </w:r>
    </w:p>
    <w:p w:rsidR="00071706" w:rsidRPr="00842C81" w:rsidRDefault="00071706" w:rsidP="00071706">
      <w:pPr>
        <w:pStyle w:val="1text"/>
      </w:pPr>
      <w:r w:rsidRPr="00842C81">
        <w:rPr>
          <w:b/>
        </w:rPr>
        <w:t>Postup pro aktualizaci sítě sociálních služeb Olomouckého kraje</w:t>
      </w:r>
      <w:r w:rsidRPr="00842C81">
        <w:t xml:space="preserve"> –</w:t>
      </w:r>
      <w:r w:rsidRPr="00842C81">
        <w:rPr>
          <w:b/>
        </w:rPr>
        <w:t xml:space="preserve"> </w:t>
      </w:r>
      <w:r w:rsidRPr="00842C81">
        <w:t>stanovuje pravidla pro aktualizaci sítě pro následující období jako východiska pro</w:t>
      </w:r>
      <w:r w:rsidR="002B6BE7">
        <w:t xml:space="preserve"> </w:t>
      </w:r>
      <w:r w:rsidRPr="00842C81">
        <w:t>stanovení výše dotace pro rok, který následuje po kalendářním roce, v němž je prováděna aktualizace.</w:t>
      </w:r>
    </w:p>
    <w:p w:rsidR="002C44D7" w:rsidRPr="00894DB1" w:rsidRDefault="00071706" w:rsidP="00071706">
      <w:pPr>
        <w:pStyle w:val="1text"/>
      </w:pPr>
      <w:r w:rsidRPr="00894DB1">
        <w:rPr>
          <w:b/>
        </w:rPr>
        <w:t>Síť sociálních služeb</w:t>
      </w:r>
      <w:r w:rsidRPr="00894DB1">
        <w:t xml:space="preserve"> – </w:t>
      </w:r>
      <w:r w:rsidR="002C44D7" w:rsidRPr="002C44D7">
        <w:t>souhrn registrovaných sociálních služeb, které mají sídlo nebo místo poskytování na území kraje, napomáhají řešit nepříznivou sociální situaci osob na území kraje, jsou v souladu se zjištěnými potřebami osob na území kraje a jsou financovány z krajského rozpočtu z finančních prostředků účelově určené dotace ze státního rozpočtu poskytované kraji na financování běžných výdajů souvisejících s poskytováním základních druhů a forem sociálních služeb</w:t>
      </w:r>
      <w:r w:rsidR="002C44D7">
        <w:t xml:space="preserve">, </w:t>
      </w:r>
      <w:r w:rsidR="002C44D7" w:rsidRPr="002C44D7">
        <w:t xml:space="preserve">z finančních prostředků </w:t>
      </w:r>
      <w:r w:rsidR="002C44D7" w:rsidRPr="002C44D7">
        <w:lastRenderedPageBreak/>
        <w:t>poskytnutých kraji na tento účel z programů Strukturálních fondů Evropských společenství a dalších programů Evropských společenství a vlastních rozpočtových prostředků kraje</w:t>
      </w:r>
      <w:r w:rsidR="002C44D7">
        <w:t>.</w:t>
      </w:r>
    </w:p>
    <w:p w:rsidR="00071706" w:rsidRPr="00894DB1" w:rsidRDefault="00071706" w:rsidP="00071706">
      <w:pPr>
        <w:pStyle w:val="1text"/>
        <w:rPr>
          <w:b/>
        </w:rPr>
      </w:pPr>
      <w:r w:rsidRPr="00894DB1">
        <w:rPr>
          <w:b/>
        </w:rPr>
        <w:t>Sociální služba</w:t>
      </w:r>
      <w:r w:rsidRPr="00894DB1">
        <w:t xml:space="preserve"> – dle zákona č. 108/2006 Sb., o sociálních službách, ve znění pozdějších předpisů</w:t>
      </w:r>
      <w:r w:rsidR="0075108A">
        <w:t>,</w:t>
      </w:r>
      <w:r w:rsidRPr="00894DB1">
        <w:t xml:space="preserve"> se</w:t>
      </w:r>
      <w:r>
        <w:t> </w:t>
      </w:r>
      <w:r w:rsidRPr="00894DB1">
        <w:t>jedná o soubor činností zajišťující</w:t>
      </w:r>
      <w:r w:rsidR="00DA563B">
        <w:t>ch</w:t>
      </w:r>
      <w:r w:rsidRPr="00894DB1">
        <w:t xml:space="preserve"> pomoc a podporu osobám za účelem sociálního začlenění nebo prevence sociálního vyloučení. Je specifikována pro vymezenou cílovou skupinu osob, spádové území a definovanou kapacitu.</w:t>
      </w:r>
    </w:p>
    <w:p w:rsidR="00071706" w:rsidRPr="00894DB1" w:rsidRDefault="00071706" w:rsidP="00071706">
      <w:pPr>
        <w:pStyle w:val="1text"/>
      </w:pPr>
      <w:r w:rsidRPr="00894DB1">
        <w:rPr>
          <w:b/>
        </w:rPr>
        <w:t>Střednědobý plán rozvoje sociálních služeb</w:t>
      </w:r>
      <w:r w:rsidRPr="00894DB1">
        <w:t xml:space="preserve"> – strategický dokument kraje, který je výsledkem aktivního zjišťování potřeb osob na území kraje a hledání způsobů jejich uspokojování s využitím dostupných zdrojů. Je zpracovaný v souladu se zákonem č. 108/2006 Sb., o sociálních službách ve znění pozdějších předpisů, ve spolupráci s obcemi na území kraje, se zástupci poskytovatelů sociálních služeb a se zástupci osob, kterým jsou poskytovány sociální služby.</w:t>
      </w:r>
    </w:p>
    <w:p w:rsidR="00071706" w:rsidRDefault="00071706" w:rsidP="00071706">
      <w:pPr>
        <w:pStyle w:val="1text"/>
      </w:pPr>
      <w:r w:rsidRPr="00894DB1">
        <w:rPr>
          <w:b/>
          <w:bCs/>
        </w:rPr>
        <w:t xml:space="preserve">Transformace </w:t>
      </w:r>
      <w:r>
        <w:t xml:space="preserve">– </w:t>
      </w:r>
      <w:r w:rsidRPr="00894DB1">
        <w:t>změna pobytov</w:t>
      </w:r>
      <w:r w:rsidR="009E16BA">
        <w:t>é služby s ústavním charakterem</w:t>
      </w:r>
      <w:r w:rsidR="00737EE8">
        <w:t xml:space="preserve"> </w:t>
      </w:r>
      <w:r w:rsidRPr="00894DB1">
        <w:t xml:space="preserve">na bydlení a podporu v běžném prostředí. </w:t>
      </w:r>
      <w:r w:rsidR="00737EE8">
        <w:t>Uživatelé služby</w:t>
      </w:r>
      <w:r w:rsidRPr="00894DB1">
        <w:t xml:space="preserve"> přecházejí z</w:t>
      </w:r>
      <w:r>
        <w:t> </w:t>
      </w:r>
      <w:r w:rsidRPr="00894DB1">
        <w:t>ústavů do bytů či rodinných domů v běžné zástavbě a žijí způsobem života, který je obvyklý pro jejich vrstevníky. Za</w:t>
      </w:r>
      <w:r>
        <w:t> </w:t>
      </w:r>
      <w:r w:rsidRPr="00894DB1">
        <w:t>transformaci je považován i proces snižování kapacity zařízení, či úplné zrušení kapacity zařízení a</w:t>
      </w:r>
      <w:r>
        <w:t> </w:t>
      </w:r>
      <w:r w:rsidRPr="00894DB1">
        <w:t>opuštění prostoru pobytové služby.</w:t>
      </w:r>
    </w:p>
    <w:p w:rsidR="00B15541" w:rsidRPr="00842C81" w:rsidRDefault="00B15541" w:rsidP="00A34764">
      <w:pPr>
        <w:rPr>
          <w:rFonts w:ascii="Arial" w:eastAsia="Arial Unicode MS" w:hAnsi="Arial" w:cs="Arial"/>
          <w:b/>
          <w:sz w:val="24"/>
          <w:szCs w:val="24"/>
          <w:lang w:eastAsia="cs-CZ"/>
        </w:rPr>
      </w:pPr>
      <w:r w:rsidRPr="00842C81">
        <w:rPr>
          <w:rFonts w:eastAsia="Arial Unicode MS"/>
          <w:b/>
          <w:lang w:eastAsia="cs-CZ"/>
        </w:rPr>
        <w:t>Pověření k výkonu služby obecného hospodářského zájmu (dále jen „Pověření“)</w:t>
      </w:r>
      <w:r w:rsidRPr="00027B11">
        <w:rPr>
          <w:rFonts w:ascii="Arial" w:eastAsia="Arial Unicode MS" w:hAnsi="Arial" w:cs="Arial"/>
          <w:sz w:val="24"/>
          <w:szCs w:val="24"/>
          <w:lang w:eastAsia="cs-CZ"/>
        </w:rPr>
        <w:t xml:space="preserve"> </w:t>
      </w:r>
      <w:r w:rsidRPr="00027B11">
        <w:rPr>
          <w:rFonts w:eastAsia="Arial Unicode MS"/>
          <w:lang w:eastAsia="cs-CZ"/>
        </w:rPr>
        <w:t xml:space="preserve">– </w:t>
      </w:r>
      <w:r w:rsidRPr="00842C81">
        <w:rPr>
          <w:rFonts w:eastAsia="Arial Unicode MS"/>
          <w:lang w:eastAsia="cs-CZ"/>
        </w:rPr>
        <w:t>dokument, kterým kraj pověřuje poskytovatele sociálních služeb zařazených v síti výkonem služby obecného hospodářského zájmu podle Rozhodnutí Evropské komise č. 2012/21/EU ze dne 20. 12. 2011 o použití čl. 106 </w:t>
      </w:r>
      <w:r w:rsidRPr="00DA563B">
        <w:rPr>
          <w:rFonts w:eastAsia="Arial Unicode MS"/>
          <w:lang w:eastAsia="cs-CZ"/>
        </w:rPr>
        <w:t>odst. 2 Smlouvy o fungování Evropské unie. Rozsah závazku je dán údaji uvedenými pro poskytovatele sociálních služeb v síti schválené pro daný kalendářní rok Zastupitelstvem Olomouckého kraje</w:t>
      </w:r>
      <w:r w:rsidRPr="00027B11">
        <w:rPr>
          <w:rFonts w:ascii="Arial" w:eastAsia="Arial Unicode MS" w:hAnsi="Arial" w:cs="Arial"/>
          <w:sz w:val="24"/>
          <w:szCs w:val="24"/>
          <w:lang w:eastAsia="cs-CZ"/>
        </w:rPr>
        <w:t>.</w:t>
      </w:r>
    </w:p>
    <w:p w:rsidR="00071706" w:rsidRPr="00C606B1" w:rsidRDefault="001A7D69" w:rsidP="00A34764">
      <w:pPr>
        <w:rPr>
          <w:rFonts w:eastAsia="Arial Unicode MS"/>
          <w:lang w:eastAsia="cs-CZ"/>
        </w:rPr>
      </w:pPr>
      <w:r w:rsidRPr="00842C81">
        <w:rPr>
          <w:rFonts w:eastAsia="Arial Unicode MS"/>
          <w:b/>
          <w:bCs/>
          <w:lang w:eastAsia="cs-CZ"/>
        </w:rPr>
        <w:t xml:space="preserve">Veřejná podpora </w:t>
      </w:r>
      <w:r w:rsidRPr="00842C81">
        <w:rPr>
          <w:rFonts w:eastAsia="Arial Unicode MS"/>
          <w:lang w:eastAsia="cs-CZ"/>
        </w:rPr>
        <w:t>– financování sociálníc</w:t>
      </w:r>
      <w:r w:rsidR="00D95662" w:rsidRPr="00842C81">
        <w:rPr>
          <w:rFonts w:eastAsia="Arial Unicode MS"/>
          <w:lang w:eastAsia="cs-CZ"/>
        </w:rPr>
        <w:t xml:space="preserve">h služeb z veřejných rozpočtů v Olomouckém </w:t>
      </w:r>
      <w:r w:rsidRPr="00842C81">
        <w:rPr>
          <w:rFonts w:eastAsia="Arial Unicode MS"/>
          <w:lang w:eastAsia="cs-CZ"/>
        </w:rPr>
        <w:t>kraji je realizováno v souladu s evropskou legislativou v oblasti tzv. veřejné podpory, konkrétně v souladu s</w:t>
      </w:r>
      <w:r w:rsidR="006A1F59">
        <w:rPr>
          <w:rFonts w:eastAsia="Arial Unicode MS"/>
          <w:lang w:eastAsia="cs-CZ"/>
        </w:rPr>
        <w:t> </w:t>
      </w:r>
      <w:r w:rsidRPr="00842C81">
        <w:rPr>
          <w:rFonts w:eastAsia="Arial Unicode MS"/>
          <w:lang w:eastAsia="cs-CZ"/>
        </w:rPr>
        <w:t>Rozhodnutím komise č. 2012/21/EU ze dne 20. prosince 2011 o použití čl. 106 odst. 2 Smlouvy o</w:t>
      </w:r>
      <w:r w:rsidR="006A1F59">
        <w:rPr>
          <w:rFonts w:eastAsia="Arial Unicode MS"/>
          <w:lang w:eastAsia="cs-CZ"/>
        </w:rPr>
        <w:t> </w:t>
      </w:r>
      <w:r w:rsidRPr="00842C81">
        <w:rPr>
          <w:rFonts w:eastAsia="Arial Unicode MS"/>
          <w:lang w:eastAsia="cs-CZ"/>
        </w:rPr>
        <w:t>fungování Evropské unie na státní podporu ve formě vyrovnávací platby za závazek veřejné služby udělené určitým podnikům pověřeným poskytováním služeb obecného hospodářského zájmu (dále jen „Rozhodnutí SGEI“). Konkrétní pravidla financování j</w:t>
      </w:r>
      <w:r w:rsidR="00D95662" w:rsidRPr="00842C81">
        <w:rPr>
          <w:rFonts w:eastAsia="Arial Unicode MS"/>
          <w:lang w:eastAsia="cs-CZ"/>
        </w:rPr>
        <w:t>sou schvalován</w:t>
      </w:r>
      <w:r w:rsidR="00043C96">
        <w:rPr>
          <w:rFonts w:eastAsia="Arial Unicode MS"/>
          <w:lang w:eastAsia="cs-CZ"/>
        </w:rPr>
        <w:t>a</w:t>
      </w:r>
      <w:r w:rsidR="00D95662" w:rsidRPr="00842C81">
        <w:rPr>
          <w:rFonts w:eastAsia="Arial Unicode MS"/>
          <w:lang w:eastAsia="cs-CZ"/>
        </w:rPr>
        <w:t xml:space="preserve"> orgány Olomouckého</w:t>
      </w:r>
      <w:r w:rsidRPr="00842C81">
        <w:rPr>
          <w:rFonts w:eastAsia="Arial Unicode MS"/>
          <w:lang w:eastAsia="cs-CZ"/>
        </w:rPr>
        <w:t xml:space="preserve"> kraje.</w:t>
      </w:r>
      <w:r w:rsidRPr="00C606B1">
        <w:rPr>
          <w:rFonts w:eastAsia="Arial Unicode MS"/>
          <w:lang w:eastAsia="cs-CZ"/>
        </w:rPr>
        <w:t xml:space="preserve"> </w:t>
      </w:r>
    </w:p>
    <w:p w:rsidR="00103E16" w:rsidRDefault="00103E16" w:rsidP="00A34764">
      <w:pPr>
        <w:rPr>
          <w:rFonts w:eastAsia="Arial Unicode MS"/>
          <w:lang w:eastAsia="cs-CZ"/>
        </w:rPr>
      </w:pPr>
      <w:r>
        <w:rPr>
          <w:rFonts w:eastAsia="Arial Unicode MS"/>
          <w:lang w:eastAsia="cs-CZ"/>
        </w:rPr>
        <w:br w:type="page"/>
      </w:r>
    </w:p>
    <w:p w:rsidR="00071706" w:rsidRPr="004E773F" w:rsidRDefault="00071706" w:rsidP="00A34764">
      <w:pPr>
        <w:pStyle w:val="aaa"/>
        <w:rPr>
          <w:rFonts w:cstheme="minorHAnsi"/>
        </w:rPr>
      </w:pPr>
      <w:bookmarkStart w:id="2" w:name="_Toc14167571"/>
      <w:bookmarkStart w:id="3" w:name="_Toc22896335"/>
      <w:bookmarkStart w:id="4" w:name="_Toc117606946"/>
      <w:r w:rsidRPr="00DC36DA">
        <w:lastRenderedPageBreak/>
        <w:t>Úvod</w:t>
      </w:r>
      <w:bookmarkEnd w:id="2"/>
      <w:bookmarkEnd w:id="3"/>
      <w:bookmarkEnd w:id="4"/>
      <w:r w:rsidR="00DC36DA">
        <w:t xml:space="preserve"> </w:t>
      </w:r>
    </w:p>
    <w:p w:rsidR="00270CA9" w:rsidRDefault="00946E1A" w:rsidP="00071706">
      <w:pPr>
        <w:pStyle w:val="1text"/>
      </w:pPr>
      <w:r>
        <w:t>Stěžejním s</w:t>
      </w:r>
      <w:r w:rsidR="00DF04D0" w:rsidRPr="00DF04D0">
        <w:t>trate</w:t>
      </w:r>
      <w:r w:rsidR="00DF04D0">
        <w:t>gickým dokumentem Olomouckého</w:t>
      </w:r>
      <w:r w:rsidR="00DF04D0" w:rsidRPr="00DF04D0">
        <w:t xml:space="preserve"> kraje, který</w:t>
      </w:r>
      <w:r w:rsidR="00DF04D0">
        <w:t>m je definován</w:t>
      </w:r>
      <w:r w:rsidR="003803A7">
        <w:t xml:space="preserve"> </w:t>
      </w:r>
      <w:r w:rsidR="00D95662" w:rsidRPr="00D95662">
        <w:t>z</w:t>
      </w:r>
      <w:r w:rsidR="00D95662" w:rsidRPr="00D95662">
        <w:rPr>
          <w:rFonts w:hint="eastAsia"/>
        </w:rPr>
        <w:t>á</w:t>
      </w:r>
      <w:r w:rsidR="00D95662" w:rsidRPr="00D95662">
        <w:t>kladn</w:t>
      </w:r>
      <w:r w:rsidR="00D95662" w:rsidRPr="00D95662">
        <w:rPr>
          <w:rFonts w:hint="eastAsia"/>
        </w:rPr>
        <w:t>í</w:t>
      </w:r>
      <w:r w:rsidR="00DF04D0">
        <w:t xml:space="preserve"> směr pro</w:t>
      </w:r>
      <w:r w:rsidR="00D95662" w:rsidRPr="00D95662">
        <w:t xml:space="preserve"> udr</w:t>
      </w:r>
      <w:r w:rsidR="00D95662" w:rsidRPr="00D95662">
        <w:rPr>
          <w:rFonts w:hint="eastAsia"/>
        </w:rPr>
        <w:t>ž</w:t>
      </w:r>
      <w:r w:rsidR="00DF04D0">
        <w:t>itelnost</w:t>
      </w:r>
      <w:r w:rsidR="00D95662" w:rsidRPr="00D95662">
        <w:t xml:space="preserve"> a </w:t>
      </w:r>
      <w:r w:rsidR="00066A51">
        <w:t xml:space="preserve">modelaci </w:t>
      </w:r>
      <w:r w:rsidR="00D95662" w:rsidRPr="00D95662">
        <w:t>s</w:t>
      </w:r>
      <w:r w:rsidR="00D95662" w:rsidRPr="00D95662">
        <w:rPr>
          <w:rFonts w:hint="eastAsia"/>
        </w:rPr>
        <w:t>í</w:t>
      </w:r>
      <w:r w:rsidR="00D95662" w:rsidRPr="00D95662">
        <w:t>t</w:t>
      </w:r>
      <w:r w:rsidR="00D95662" w:rsidRPr="00D95662">
        <w:rPr>
          <w:rFonts w:hint="eastAsia"/>
        </w:rPr>
        <w:t>ě</w:t>
      </w:r>
      <w:r w:rsidR="00D95662" w:rsidRPr="00D95662">
        <w:t xml:space="preserve"> soci</w:t>
      </w:r>
      <w:r w:rsidR="00D95662" w:rsidRPr="00D95662">
        <w:rPr>
          <w:rFonts w:hint="eastAsia"/>
        </w:rPr>
        <w:t>á</w:t>
      </w:r>
      <w:r w:rsidR="00D95662" w:rsidRPr="00D95662">
        <w:t>ln</w:t>
      </w:r>
      <w:r w:rsidR="00D95662" w:rsidRPr="00D95662">
        <w:rPr>
          <w:rFonts w:hint="eastAsia"/>
        </w:rPr>
        <w:t>í</w:t>
      </w:r>
      <w:r w:rsidR="00D95662" w:rsidRPr="00D95662">
        <w:t>ch slu</w:t>
      </w:r>
      <w:r w:rsidR="00D95662" w:rsidRPr="00D95662">
        <w:rPr>
          <w:rFonts w:hint="eastAsia"/>
        </w:rPr>
        <w:t>ž</w:t>
      </w:r>
      <w:r w:rsidR="00D95662" w:rsidRPr="00D95662">
        <w:t>eb</w:t>
      </w:r>
      <w:r w:rsidR="00AD5B22">
        <w:t xml:space="preserve"> Olomouckého kraje</w:t>
      </w:r>
      <w:r w:rsidR="00D95662" w:rsidRPr="00D95662">
        <w:t xml:space="preserve"> s ohledem na komplexn</w:t>
      </w:r>
      <w:r w:rsidR="00D95662" w:rsidRPr="00D95662">
        <w:rPr>
          <w:rFonts w:hint="eastAsia"/>
        </w:rPr>
        <w:t>í</w:t>
      </w:r>
      <w:r w:rsidR="00D95662" w:rsidRPr="00D95662">
        <w:t xml:space="preserve"> problematiku spojenou s</w:t>
      </w:r>
      <w:r w:rsidR="00383E9A">
        <w:t> </w:t>
      </w:r>
      <w:r w:rsidR="00D95662" w:rsidRPr="00D95662">
        <w:t>poskytov</w:t>
      </w:r>
      <w:r w:rsidR="00D95662" w:rsidRPr="00D95662">
        <w:rPr>
          <w:rFonts w:hint="eastAsia"/>
        </w:rPr>
        <w:t>á</w:t>
      </w:r>
      <w:r w:rsidR="00D95662" w:rsidRPr="00D95662">
        <w:t>n</w:t>
      </w:r>
      <w:r w:rsidR="00D95662" w:rsidRPr="00D95662">
        <w:rPr>
          <w:rFonts w:hint="eastAsia"/>
        </w:rPr>
        <w:t>í</w:t>
      </w:r>
      <w:r w:rsidR="00D95662" w:rsidRPr="00D95662">
        <w:t>m soci</w:t>
      </w:r>
      <w:r w:rsidR="00D95662" w:rsidRPr="00D95662">
        <w:rPr>
          <w:rFonts w:hint="eastAsia"/>
        </w:rPr>
        <w:t>á</w:t>
      </w:r>
      <w:r w:rsidR="00D95662" w:rsidRPr="00D95662">
        <w:t>ln</w:t>
      </w:r>
      <w:r w:rsidR="00D95662" w:rsidRPr="00D95662">
        <w:rPr>
          <w:rFonts w:hint="eastAsia"/>
        </w:rPr>
        <w:t>í</w:t>
      </w:r>
      <w:r w:rsidR="00D95662" w:rsidRPr="00D95662">
        <w:t>ch slu</w:t>
      </w:r>
      <w:r w:rsidR="00D95662" w:rsidRPr="00D95662">
        <w:rPr>
          <w:rFonts w:hint="eastAsia"/>
        </w:rPr>
        <w:t>ž</w:t>
      </w:r>
      <w:r w:rsidR="00D95662" w:rsidRPr="00D95662">
        <w:t>eb</w:t>
      </w:r>
      <w:r w:rsidR="00FE0262">
        <w:t xml:space="preserve"> a </w:t>
      </w:r>
      <w:r w:rsidR="00FE0262" w:rsidRPr="00FE0262">
        <w:t>jej</w:t>
      </w:r>
      <w:r w:rsidR="00FE0262" w:rsidRPr="00FE0262">
        <w:rPr>
          <w:rFonts w:hint="eastAsia"/>
        </w:rPr>
        <w:t>í</w:t>
      </w:r>
      <w:r w:rsidR="00FE0262" w:rsidRPr="00FE0262">
        <w:t xml:space="preserve"> finanční udržitelnost</w:t>
      </w:r>
      <w:r w:rsidR="00D95662" w:rsidRPr="00D95662">
        <w:t xml:space="preserve"> </w:t>
      </w:r>
      <w:r>
        <w:t>je</w:t>
      </w:r>
      <w:r w:rsidR="007107EB">
        <w:t xml:space="preserve"> </w:t>
      </w:r>
      <w:r w:rsidRPr="00946E1A">
        <w:t>St</w:t>
      </w:r>
      <w:r w:rsidRPr="00946E1A">
        <w:rPr>
          <w:rFonts w:hint="eastAsia"/>
        </w:rPr>
        <w:t>ř</w:t>
      </w:r>
      <w:r w:rsidRPr="00946E1A">
        <w:t>edn</w:t>
      </w:r>
      <w:r w:rsidRPr="00946E1A">
        <w:rPr>
          <w:rFonts w:hint="eastAsia"/>
        </w:rPr>
        <w:t>ě</w:t>
      </w:r>
      <w:r w:rsidRPr="00946E1A">
        <w:t>dob</w:t>
      </w:r>
      <w:r w:rsidRPr="00946E1A">
        <w:rPr>
          <w:rFonts w:hint="eastAsia"/>
        </w:rPr>
        <w:t>ý</w:t>
      </w:r>
      <w:r w:rsidRPr="00946E1A">
        <w:t xml:space="preserve"> pl</w:t>
      </w:r>
      <w:r w:rsidRPr="00946E1A">
        <w:rPr>
          <w:rFonts w:hint="eastAsia"/>
        </w:rPr>
        <w:t>á</w:t>
      </w:r>
      <w:r w:rsidRPr="00946E1A">
        <w:t>n rozvoje soci</w:t>
      </w:r>
      <w:r w:rsidRPr="00946E1A">
        <w:rPr>
          <w:rFonts w:hint="eastAsia"/>
        </w:rPr>
        <w:t>á</w:t>
      </w:r>
      <w:r w:rsidRPr="00946E1A">
        <w:t>ln</w:t>
      </w:r>
      <w:r w:rsidRPr="00946E1A">
        <w:rPr>
          <w:rFonts w:hint="eastAsia"/>
        </w:rPr>
        <w:t>í</w:t>
      </w:r>
      <w:r w:rsidRPr="00946E1A">
        <w:t>ch slu</w:t>
      </w:r>
      <w:r w:rsidRPr="00946E1A">
        <w:rPr>
          <w:rFonts w:hint="eastAsia"/>
        </w:rPr>
        <w:t>ž</w:t>
      </w:r>
      <w:r w:rsidRPr="00946E1A">
        <w:t>eb v Olomouckém kraji pro roky 2024</w:t>
      </w:r>
      <w:r w:rsidR="00043C96">
        <w:t>–</w:t>
      </w:r>
      <w:r w:rsidRPr="00946E1A">
        <w:t>2026 (</w:t>
      </w:r>
      <w:r w:rsidR="006A1F59">
        <w:t>dále jen „Střednědobý plán 2024</w:t>
      </w:r>
      <w:r w:rsidR="00043C96">
        <w:t>–</w:t>
      </w:r>
      <w:r w:rsidRPr="00946E1A">
        <w:t>2026“)</w:t>
      </w:r>
      <w:r>
        <w:t xml:space="preserve">. </w:t>
      </w:r>
      <w:r w:rsidR="005E5406">
        <w:t>D</w:t>
      </w:r>
      <w:r>
        <w:t>okument je výsledkem konsensu strategického řízení jako zásadní součásti rozvoje veřejných služeb a</w:t>
      </w:r>
      <w:r w:rsidR="002705FF">
        <w:t> </w:t>
      </w:r>
      <w:r w:rsidR="008836D5">
        <w:t>aktivního zjišťování potřeb osob na území Olomouckého kraje</w:t>
      </w:r>
      <w:r>
        <w:t xml:space="preserve"> (dále jen „OK“)</w:t>
      </w:r>
      <w:r w:rsidR="008836D5">
        <w:t xml:space="preserve"> a hledání způsobů jejich uspokojování s využitím dostupných finančních a personálních zdrojů ve spolupráci se zadavateli, poskytovateli a uživateli sociálních služeb.</w:t>
      </w:r>
    </w:p>
    <w:p w:rsidR="00071706" w:rsidRPr="00A34764" w:rsidRDefault="00071706" w:rsidP="00A34764">
      <w:r w:rsidRPr="00A34764">
        <w:t>V souvislosti s novelou zákona č. 108/2006 Sb., o sociálních službách</w:t>
      </w:r>
      <w:r w:rsidR="00043C96" w:rsidRPr="00A34764">
        <w:t>,</w:t>
      </w:r>
      <w:r w:rsidRPr="00A34764">
        <w:t xml:space="preserve"> ve znění pozdějších předpisů</w:t>
      </w:r>
      <w:r w:rsidR="00E045BA" w:rsidRPr="00A34764">
        <w:t xml:space="preserve"> (dále jen “zákon o sociálních službách“)</w:t>
      </w:r>
      <w:r w:rsidR="0075108A">
        <w:t>,</w:t>
      </w:r>
      <w:r w:rsidRPr="00A34764">
        <w:t xml:space="preserve"> je od roku 2015 součástí Střednědobého plánu síť sociálních služeb kraje. Jedná se o definovanou síť sociálních služeb, která je financována podle předem stanovených </w:t>
      </w:r>
      <w:r w:rsidR="00EC276E" w:rsidRPr="00A34764">
        <w:t>a</w:t>
      </w:r>
      <w:r w:rsidR="006A1F59" w:rsidRPr="00A34764">
        <w:t> </w:t>
      </w:r>
      <w:r w:rsidR="00EC276E" w:rsidRPr="00A34764">
        <w:t xml:space="preserve">schválených </w:t>
      </w:r>
      <w:r w:rsidRPr="00A34764">
        <w:t>pravidel dotačního řízení, dle kterých kraj rozhoduje o výši dotace jednotlivých poskytovatelů sociálních služeb bez ohledu na jejich právní formu a v souladu s právem EU stanovuje p</w:t>
      </w:r>
      <w:r w:rsidR="009218C0" w:rsidRPr="00A34764">
        <w:t>ostupy pro vyúčtování a kontrol</w:t>
      </w:r>
      <w:r w:rsidRPr="00A34764">
        <w:t xml:space="preserve">u použití finančních prostředků a administraci dotačního řízení. Síť sociálních služeb je každoročně modelována na základě nově zjištěných potřeb poskytování sociálních služeb v souladu se schváleným </w:t>
      </w:r>
      <w:r w:rsidR="006E254C" w:rsidRPr="00A34764">
        <w:t>P</w:t>
      </w:r>
      <w:r w:rsidR="00005E5B" w:rsidRPr="00A34764">
        <w:t xml:space="preserve">ostupem pro aktualizaci sítě sociálních služeb </w:t>
      </w:r>
      <w:r w:rsidR="002D1983" w:rsidRPr="00A34764">
        <w:t>Olomouckého k</w:t>
      </w:r>
      <w:r w:rsidR="00B43AC4" w:rsidRPr="00A34764">
        <w:t xml:space="preserve">raje </w:t>
      </w:r>
      <w:r w:rsidR="00005E5B" w:rsidRPr="00A34764">
        <w:t>(dále jen</w:t>
      </w:r>
      <w:r w:rsidR="00DF3678">
        <w:t xml:space="preserve"> také jako</w:t>
      </w:r>
      <w:r w:rsidR="00005E5B" w:rsidRPr="00A34764">
        <w:t xml:space="preserve"> „POSTUP“)</w:t>
      </w:r>
      <w:r w:rsidR="006E254C" w:rsidRPr="00A34764">
        <w:t xml:space="preserve"> </w:t>
      </w:r>
      <w:r w:rsidRPr="00A34764">
        <w:t>a je zveřejněna jako součást Akčního plánu</w:t>
      </w:r>
      <w:r w:rsidR="00EF6B83" w:rsidRPr="00A34764">
        <w:t>.</w:t>
      </w:r>
      <w:r w:rsidRPr="00A34764">
        <w:t xml:space="preserve"> </w:t>
      </w:r>
    </w:p>
    <w:p w:rsidR="00071706" w:rsidRPr="00894DB1" w:rsidRDefault="00996B78" w:rsidP="00071706">
      <w:pPr>
        <w:pStyle w:val="1text"/>
      </w:pPr>
      <w:r>
        <w:t>V</w:t>
      </w:r>
      <w:r w:rsidR="00644B60">
        <w:t> souladu se zákone</w:t>
      </w:r>
      <w:r>
        <w:t>m</w:t>
      </w:r>
      <w:r w:rsidR="00B43AC4" w:rsidRPr="00B43AC4">
        <w:rPr>
          <w:rFonts w:asciiTheme="minorHAnsi" w:eastAsiaTheme="minorHAnsi" w:hAnsiTheme="minorHAnsi" w:cstheme="minorBidi"/>
          <w:sz w:val="22"/>
        </w:rPr>
        <w:t xml:space="preserve"> </w:t>
      </w:r>
      <w:r w:rsidR="00842C81">
        <w:rPr>
          <w:rFonts w:asciiTheme="minorHAnsi" w:eastAsiaTheme="minorHAnsi" w:hAnsiTheme="minorHAnsi" w:cstheme="minorBidi"/>
          <w:sz w:val="22"/>
        </w:rPr>
        <w:t xml:space="preserve">o </w:t>
      </w:r>
      <w:r w:rsidR="00B43AC4">
        <w:t>sociálních službách</w:t>
      </w:r>
      <w:r w:rsidRPr="00996B78">
        <w:rPr>
          <w:rFonts w:asciiTheme="minorHAnsi" w:eastAsiaTheme="minorHAnsi" w:hAnsiTheme="minorHAnsi" w:cstheme="minorBidi"/>
          <w:sz w:val="22"/>
        </w:rPr>
        <w:t xml:space="preserve"> </w:t>
      </w:r>
      <w:r>
        <w:rPr>
          <w:rFonts w:asciiTheme="minorHAnsi" w:eastAsiaTheme="minorHAnsi" w:hAnsiTheme="minorHAnsi" w:cstheme="minorBidi"/>
          <w:sz w:val="22"/>
        </w:rPr>
        <w:t xml:space="preserve">je </w:t>
      </w:r>
      <w:r>
        <w:t xml:space="preserve">Střednědobý plán </w:t>
      </w:r>
      <w:r w:rsidR="00B43AC4" w:rsidRPr="00B43AC4">
        <w:t xml:space="preserve">rozvoje sociálních služeb v OK </w:t>
      </w:r>
      <w:r w:rsidRPr="00996B78">
        <w:t>zpracováván</w:t>
      </w:r>
      <w:r>
        <w:t xml:space="preserve"> </w:t>
      </w:r>
      <w:r w:rsidR="00644B60">
        <w:t>na období tří let</w:t>
      </w:r>
      <w:r w:rsidR="00E61E5A" w:rsidRPr="007C3B17">
        <w:t>.</w:t>
      </w:r>
      <w:r w:rsidR="00383E9A">
        <w:t xml:space="preserve"> </w:t>
      </w:r>
      <w:r w:rsidR="00071706" w:rsidRPr="00894DB1">
        <w:t xml:space="preserve">Struktura Střednědobého plánu </w:t>
      </w:r>
      <w:r w:rsidR="007C3B17">
        <w:t>2024</w:t>
      </w:r>
      <w:r w:rsidR="00043C96">
        <w:t>–</w:t>
      </w:r>
      <w:r w:rsidR="007C3B17">
        <w:t>2026</w:t>
      </w:r>
      <w:r w:rsidR="00071706">
        <w:t xml:space="preserve"> </w:t>
      </w:r>
      <w:r w:rsidR="00071706" w:rsidRPr="00894DB1">
        <w:t>je stanovena v souladu s</w:t>
      </w:r>
      <w:r w:rsidR="007C3B17">
        <w:t> </w:t>
      </w:r>
      <w:r w:rsidR="00071706" w:rsidRPr="00894DB1">
        <w:t>Metodiko</w:t>
      </w:r>
      <w:r w:rsidR="001E12CF">
        <w:t>u přípravy veřejných strategií, Aktualizovanými metodickými doporučeními pro oblast plánování sociálních služeb (MPSV 2020) a</w:t>
      </w:r>
      <w:r w:rsidR="00071706" w:rsidRPr="00894DB1">
        <w:t xml:space="preserve"> Minimálními kritérii kvality plánování rozvoje s</w:t>
      </w:r>
      <w:r w:rsidR="00071706">
        <w:t>ociálních služeb</w:t>
      </w:r>
      <w:r w:rsidR="00FD044F">
        <w:t xml:space="preserve"> </w:t>
      </w:r>
      <w:r w:rsidR="00FD044F" w:rsidRPr="00FD044F">
        <w:t>(dále jen „Kritéria“)</w:t>
      </w:r>
      <w:r w:rsidR="00451C40">
        <w:rPr>
          <w:rStyle w:val="Znakapoznpodarou"/>
        </w:rPr>
        <w:footnoteReference w:id="1"/>
      </w:r>
      <w:r w:rsidR="00071706">
        <w:t>. Dle prováděcí</w:t>
      </w:r>
      <w:r w:rsidR="00071706" w:rsidRPr="00894DB1">
        <w:t> vyhlášky č.</w:t>
      </w:r>
      <w:r w:rsidR="00071706">
        <w:t> </w:t>
      </w:r>
      <w:r w:rsidR="00071706" w:rsidRPr="00894DB1">
        <w:t>387/2017 Sb., kterou se mění vyhláška č.</w:t>
      </w:r>
      <w:r w:rsidR="00043C96">
        <w:t> </w:t>
      </w:r>
      <w:r w:rsidR="00071706" w:rsidRPr="00894DB1">
        <w:t>505/2006</w:t>
      </w:r>
      <w:r w:rsidR="00043C96">
        <w:t> </w:t>
      </w:r>
      <w:r w:rsidR="00071706" w:rsidRPr="00894DB1">
        <w:t>Sb., kterou se provádějí některá ustanovení zákona o sociálních službách</w:t>
      </w:r>
      <w:r w:rsidR="00043C96">
        <w:t>,</w:t>
      </w:r>
      <w:r w:rsidR="00071706" w:rsidRPr="00894DB1">
        <w:t xml:space="preserve"> ve znění pozdějších předpisů</w:t>
      </w:r>
      <w:r w:rsidR="00043C96">
        <w:t>,</w:t>
      </w:r>
      <w:r w:rsidR="00071706" w:rsidRPr="00894DB1">
        <w:t xml:space="preserve"> účinnou od 1. 1. 2018</w:t>
      </w:r>
      <w:r w:rsidR="00071706">
        <w:t xml:space="preserve">, </w:t>
      </w:r>
      <w:r w:rsidR="00DC36DA" w:rsidRPr="00630122">
        <w:t>(dále jen „v</w:t>
      </w:r>
      <w:r w:rsidR="00E01043" w:rsidRPr="00630122">
        <w:t>yhláška</w:t>
      </w:r>
      <w:r w:rsidR="00DF44B9">
        <w:t xml:space="preserve"> č.</w:t>
      </w:r>
      <w:r w:rsidR="00E01043" w:rsidRPr="00630122">
        <w:t xml:space="preserve"> 387/2017 Sb.“)</w:t>
      </w:r>
      <w:r w:rsidR="00AA75BD">
        <w:t xml:space="preserve"> </w:t>
      </w:r>
      <w:r w:rsidR="00071706" w:rsidRPr="00630122">
        <w:t>je</w:t>
      </w:r>
      <w:r w:rsidR="00071706" w:rsidRPr="00894DB1">
        <w:t xml:space="preserve"> Střednědobý plán </w:t>
      </w:r>
      <w:r w:rsidR="007C3B17">
        <w:t>2024</w:t>
      </w:r>
      <w:r w:rsidR="00043C96">
        <w:t>–</w:t>
      </w:r>
      <w:r w:rsidR="007C3B17">
        <w:t>2026</w:t>
      </w:r>
      <w:r w:rsidR="00071706">
        <w:t xml:space="preserve"> </w:t>
      </w:r>
      <w:r w:rsidR="00071706" w:rsidRPr="00894DB1">
        <w:t>členěn do čtyř vzájemně provázaných částí:</w:t>
      </w:r>
    </w:p>
    <w:p w:rsidR="00071706" w:rsidRPr="00874900" w:rsidRDefault="00071706" w:rsidP="00874900">
      <w:pPr>
        <w:pStyle w:val="SPRSodrky"/>
      </w:pPr>
      <w:r w:rsidRPr="00874900">
        <w:t xml:space="preserve">popisné; </w:t>
      </w:r>
      <w:r w:rsidR="001E12CF" w:rsidRPr="00874900">
        <w:t>popisná část plánu definuje</w:t>
      </w:r>
      <w:r w:rsidRPr="00874900">
        <w:t xml:space="preserve"> způsob </w:t>
      </w:r>
      <w:r w:rsidR="001E12CF" w:rsidRPr="00874900">
        <w:t xml:space="preserve">jeho </w:t>
      </w:r>
      <w:r w:rsidRPr="00874900">
        <w:t>zpracování</w:t>
      </w:r>
      <w:r w:rsidR="00383E9A" w:rsidRPr="00874900">
        <w:t>, mimo jiné způsob</w:t>
      </w:r>
      <w:r w:rsidR="00FE3A30" w:rsidRPr="00874900">
        <w:t xml:space="preserve"> informování a</w:t>
      </w:r>
      <w:r w:rsidR="001E12CF" w:rsidRPr="00874900">
        <w:t> </w:t>
      </w:r>
      <w:r w:rsidR="00FE3A30" w:rsidRPr="00874900">
        <w:t>zapojení občanů, obcí, poskytovatelů i uživatelů sociálních služeb do tvorby střednědobého plánu, včetně</w:t>
      </w:r>
      <w:r w:rsidR="00383E9A" w:rsidRPr="00874900">
        <w:t xml:space="preserve"> </w:t>
      </w:r>
      <w:r w:rsidR="00FE3A30" w:rsidRPr="00874900">
        <w:t>způsobu</w:t>
      </w:r>
      <w:r w:rsidR="00043C96" w:rsidRPr="00874900">
        <w:t>,</w:t>
      </w:r>
      <w:r w:rsidR="00FE3A30" w:rsidRPr="00874900">
        <w:t xml:space="preserve"> jak</w:t>
      </w:r>
      <w:r w:rsidR="00383E9A" w:rsidRPr="00874900">
        <w:t xml:space="preserve"> se zjištěné potřeby do středněd</w:t>
      </w:r>
      <w:r w:rsidR="00FE3A30" w:rsidRPr="00874900">
        <w:t>obého plánu promítly. Představen je</w:t>
      </w:r>
      <w:r w:rsidR="00383E9A" w:rsidRPr="00874900">
        <w:t xml:space="preserve"> časový harmonogram přípravy a schválení</w:t>
      </w:r>
      <w:r w:rsidR="00FE3A30" w:rsidRPr="00874900">
        <w:t xml:space="preserve"> Střednědobého plánu</w:t>
      </w:r>
      <w:r w:rsidR="007C3B17" w:rsidRPr="00874900">
        <w:t xml:space="preserve"> 2024</w:t>
      </w:r>
      <w:r w:rsidR="00043C96" w:rsidRPr="00874900">
        <w:t>–</w:t>
      </w:r>
      <w:r w:rsidR="007C3B17" w:rsidRPr="00874900">
        <w:t>2026</w:t>
      </w:r>
      <w:r w:rsidR="00FE3A30" w:rsidRPr="00874900">
        <w:t xml:space="preserve"> a</w:t>
      </w:r>
      <w:r w:rsidR="00383E9A" w:rsidRPr="00874900">
        <w:t xml:space="preserve"> </w:t>
      </w:r>
      <w:r w:rsidR="00FE3A30" w:rsidRPr="00874900">
        <w:t xml:space="preserve">jaká </w:t>
      </w:r>
      <w:r w:rsidR="00383E9A" w:rsidRPr="00874900">
        <w:t xml:space="preserve">organizační struktura procesu plánování je při vzniku, naplňování a vyhodnocování </w:t>
      </w:r>
      <w:r w:rsidR="007C3B17" w:rsidRPr="00874900">
        <w:t xml:space="preserve">plánu </w:t>
      </w:r>
      <w:r w:rsidR="00383E9A" w:rsidRPr="00874900">
        <w:t>uplatňována a jak jsou potřebné činnosti včetně s</w:t>
      </w:r>
      <w:r w:rsidR="00FE3A30" w:rsidRPr="00874900">
        <w:t>polupráce s obcemi koordinovány</w:t>
      </w:r>
      <w:r w:rsidRPr="00874900">
        <w:t>;</w:t>
      </w:r>
    </w:p>
    <w:p w:rsidR="00071706" w:rsidRPr="00874900" w:rsidRDefault="00071706" w:rsidP="00874900">
      <w:pPr>
        <w:pStyle w:val="SPRSodrky"/>
      </w:pPr>
      <w:r w:rsidRPr="00874900">
        <w:t xml:space="preserve">analytické; </w:t>
      </w:r>
      <w:r w:rsidR="007C3B17" w:rsidRPr="00874900">
        <w:t>analytická část plánu tvoří východiska pro strategickou část. Obsahuje informace z</w:t>
      </w:r>
      <w:r w:rsidR="00FE0262" w:rsidRPr="00874900">
        <w:t> </w:t>
      </w:r>
      <w:r w:rsidR="007C3B17" w:rsidRPr="00874900">
        <w:t>analýz, zjištění a strategic</w:t>
      </w:r>
      <w:r w:rsidR="00FE3A30" w:rsidRPr="00874900">
        <w:t>kých dokumentů, které zahrnují skutečnosti, které mají vliv na charakter a objem potřeb občanů kraje ve vztahu k sociálním službám</w:t>
      </w:r>
      <w:r w:rsidR="00043C96" w:rsidRPr="00874900">
        <w:t>,</w:t>
      </w:r>
      <w:r w:rsidR="00FE3A30" w:rsidRPr="00874900">
        <w:t xml:space="preserve"> včetně informací zjištěných v</w:t>
      </w:r>
      <w:r w:rsidR="00FE0262" w:rsidRPr="00874900">
        <w:t> </w:t>
      </w:r>
      <w:r w:rsidR="00FE3A30" w:rsidRPr="00874900">
        <w:t>souvislosti s</w:t>
      </w:r>
      <w:r w:rsidR="007C3B17" w:rsidRPr="00874900">
        <w:t xml:space="preserve"> plánováním sociálních služeb a </w:t>
      </w:r>
      <w:r w:rsidR="00FE3A30" w:rsidRPr="00874900">
        <w:t xml:space="preserve">výkonem sociální práce </w:t>
      </w:r>
      <w:r w:rsidR="007C3B17" w:rsidRPr="00874900">
        <w:t>na úrovni obcí a kraje. Z</w:t>
      </w:r>
      <w:r w:rsidR="00FE3A30" w:rsidRPr="00874900">
        <w:t>hodnocení těchto potřeb a nepříznivých sociálních situací</w:t>
      </w:r>
      <w:r w:rsidR="00043C96" w:rsidRPr="00874900">
        <w:t>,</w:t>
      </w:r>
      <w:r w:rsidR="00FE3A30" w:rsidRPr="00874900">
        <w:t xml:space="preserve"> předevší</w:t>
      </w:r>
      <w:r w:rsidR="007C3B17" w:rsidRPr="00874900">
        <w:t>m se zaměřením na relevantní po</w:t>
      </w:r>
      <w:r w:rsidR="00FE3A30" w:rsidRPr="00874900">
        <w:t xml:space="preserve">třeby dosud nepokryté dostupnými sociálními službami, a to ve struktuře </w:t>
      </w:r>
      <w:r w:rsidR="007C3B17" w:rsidRPr="00874900">
        <w:t>SO ORP</w:t>
      </w:r>
      <w:r w:rsidR="00043C96" w:rsidRPr="00874900">
        <w:t>,</w:t>
      </w:r>
      <w:r w:rsidR="007C3B17" w:rsidRPr="00874900">
        <w:t xml:space="preserve"> byly jedny ze stěžejních pro nastavení specifických cílů </w:t>
      </w:r>
      <w:r w:rsidR="00FE0262" w:rsidRPr="00874900">
        <w:t>Střednědobého plánu</w:t>
      </w:r>
      <w:r w:rsidR="007C3B17" w:rsidRPr="00874900">
        <w:t xml:space="preserve"> 2024</w:t>
      </w:r>
      <w:r w:rsidR="00043C96" w:rsidRPr="00874900">
        <w:t>–</w:t>
      </w:r>
      <w:r w:rsidR="007C3B17" w:rsidRPr="00874900">
        <w:t xml:space="preserve">2026. </w:t>
      </w:r>
      <w:r w:rsidR="00FE3A30" w:rsidRPr="00874900">
        <w:t>Pro zpracování analytické části byly dále využity info</w:t>
      </w:r>
      <w:r w:rsidR="007C3B17" w:rsidRPr="00874900">
        <w:t>rmace z metodických a strategic</w:t>
      </w:r>
      <w:r w:rsidR="00FE3A30" w:rsidRPr="00874900">
        <w:t>kých dokumentů kraje a</w:t>
      </w:r>
      <w:r w:rsidR="00FE0262" w:rsidRPr="00874900">
        <w:t> </w:t>
      </w:r>
      <w:r w:rsidR="00FE3A30" w:rsidRPr="00874900">
        <w:t>MPSV, případně dalších or</w:t>
      </w:r>
      <w:r w:rsidR="000A27A2" w:rsidRPr="00874900">
        <w:t xml:space="preserve">gánů státní správy a samosprávy. </w:t>
      </w:r>
      <w:r w:rsidR="00FE3A30" w:rsidRPr="00874900">
        <w:t>Součástí analytické části je i</w:t>
      </w:r>
      <w:r w:rsidR="00FE0262" w:rsidRPr="00874900">
        <w:t> </w:t>
      </w:r>
      <w:r w:rsidR="00FE3A30" w:rsidRPr="00874900">
        <w:t>ekonomická analýza možných zdrojů</w:t>
      </w:r>
      <w:r w:rsidR="00EF6B83" w:rsidRPr="00874900">
        <w:t xml:space="preserve"> nezbytných</w:t>
      </w:r>
      <w:r w:rsidR="00842C81" w:rsidRPr="00874900">
        <w:t xml:space="preserve"> k</w:t>
      </w:r>
      <w:r w:rsidR="00FE3A30" w:rsidRPr="00874900">
        <w:t xml:space="preserve"> zajištění</w:t>
      </w:r>
      <w:r w:rsidR="006E254C" w:rsidRPr="00874900">
        <w:t xml:space="preserve"> provozu služby</w:t>
      </w:r>
      <w:r w:rsidR="00842C81" w:rsidRPr="00874900">
        <w:t>,</w:t>
      </w:r>
      <w:r w:rsidR="00FE3A30" w:rsidRPr="00874900">
        <w:t xml:space="preserve"> která shrnuje výsledky analýzy finančních dopadů navržených cílů a opatření minimálně po dobu </w:t>
      </w:r>
      <w:r w:rsidR="00FE3A30" w:rsidRPr="00874900">
        <w:lastRenderedPageBreak/>
        <w:t>platnosti střednědobého plánu, stanovuje aktuální nákladovost jednotlivých druhů sociálních služeb včetně uvedení obvyklých nákladů, analyzuje strukturu zdrojů financování sociálních služeb včetně výhledu na období platnosti střednědobého plánu a odhaduje předpokládanou výši celkových nákladů na jednotlivé druhy sociálních služeb</w:t>
      </w:r>
      <w:r w:rsidR="006A1F59" w:rsidRPr="00874900">
        <w:t>;</w:t>
      </w:r>
      <w:r w:rsidRPr="00874900">
        <w:t xml:space="preserve"> </w:t>
      </w:r>
    </w:p>
    <w:p w:rsidR="00071706" w:rsidRPr="00874900" w:rsidRDefault="00071706" w:rsidP="00874900">
      <w:pPr>
        <w:pStyle w:val="SPRSodrky"/>
      </w:pPr>
      <w:r w:rsidRPr="00874900">
        <w:t xml:space="preserve">strategické; </w:t>
      </w:r>
      <w:r w:rsidR="000A27A2" w:rsidRPr="00874900">
        <w:t>strategická část plánu obsahuje popis budoucího žádoucího stavu rozvoje sociálních služeb na území kraje,</w:t>
      </w:r>
      <w:r w:rsidR="00FE0262" w:rsidRPr="00874900">
        <w:t xml:space="preserve"> směřujících k řešení nepříznivé sociální situace a napomáhající sociálnímu začleňování a</w:t>
      </w:r>
      <w:r w:rsidR="000A27A2" w:rsidRPr="00874900">
        <w:t xml:space="preserve"> popis hlavních a specifických cílů a opatření, přičemž údaje k zajištění kapacit sociálních s</w:t>
      </w:r>
      <w:r w:rsidR="0075108A">
        <w:t>lužeb na území kraje vycházejí</w:t>
      </w:r>
      <w:r w:rsidR="000A27A2" w:rsidRPr="00874900">
        <w:t xml:space="preserve"> ze zjištění z analytické části;</w:t>
      </w:r>
    </w:p>
    <w:p w:rsidR="00B15541" w:rsidRPr="00874900" w:rsidRDefault="00071706" w:rsidP="00874900">
      <w:pPr>
        <w:pStyle w:val="SPRSodrky"/>
      </w:pPr>
      <w:r w:rsidRPr="00874900">
        <w:t>a části vztažené ke způsobu zajištění sítě sociálních služeb</w:t>
      </w:r>
      <w:r w:rsidR="0017413E" w:rsidRPr="00874900">
        <w:t>;</w:t>
      </w:r>
      <w:r w:rsidR="001E12CF" w:rsidRPr="00874900">
        <w:t xml:space="preserve"> j</w:t>
      </w:r>
      <w:r w:rsidR="000A27A2" w:rsidRPr="00874900">
        <w:t xml:space="preserve">edná se o část plánu, která je zaměřena </w:t>
      </w:r>
      <w:r w:rsidR="0017413E" w:rsidRPr="00874900">
        <w:t xml:space="preserve">na </w:t>
      </w:r>
      <w:r w:rsidR="001E12CF" w:rsidRPr="00874900">
        <w:t>modelaci s</w:t>
      </w:r>
      <w:r w:rsidR="001E12CF" w:rsidRPr="00874900">
        <w:rPr>
          <w:rFonts w:hint="eastAsia"/>
        </w:rPr>
        <w:t>í</w:t>
      </w:r>
      <w:r w:rsidR="001E12CF" w:rsidRPr="00874900">
        <w:t>t</w:t>
      </w:r>
      <w:r w:rsidR="001E12CF" w:rsidRPr="00874900">
        <w:rPr>
          <w:rFonts w:hint="eastAsia"/>
        </w:rPr>
        <w:t>ě</w:t>
      </w:r>
      <w:r w:rsidR="001E12CF" w:rsidRPr="00874900">
        <w:t xml:space="preserve"> soci</w:t>
      </w:r>
      <w:r w:rsidR="001E12CF" w:rsidRPr="00874900">
        <w:rPr>
          <w:rFonts w:hint="eastAsia"/>
        </w:rPr>
        <w:t>á</w:t>
      </w:r>
      <w:r w:rsidR="001E12CF" w:rsidRPr="00874900">
        <w:t>ln</w:t>
      </w:r>
      <w:r w:rsidR="001E12CF" w:rsidRPr="00874900">
        <w:rPr>
          <w:rFonts w:hint="eastAsia"/>
        </w:rPr>
        <w:t>í</w:t>
      </w:r>
      <w:r w:rsidR="001E12CF" w:rsidRPr="00874900">
        <w:t>ch slu</w:t>
      </w:r>
      <w:r w:rsidR="001E12CF" w:rsidRPr="00874900">
        <w:rPr>
          <w:rFonts w:hint="eastAsia"/>
        </w:rPr>
        <w:t>ž</w:t>
      </w:r>
      <w:r w:rsidR="001E12CF" w:rsidRPr="00874900">
        <w:t xml:space="preserve">eb </w:t>
      </w:r>
      <w:r w:rsidR="00A81BB5" w:rsidRPr="00874900">
        <w:t>OK</w:t>
      </w:r>
      <w:r w:rsidR="001E12CF" w:rsidRPr="00874900">
        <w:t xml:space="preserve"> v návaznosti na</w:t>
      </w:r>
      <w:r w:rsidR="000A27A2" w:rsidRPr="00874900">
        <w:t xml:space="preserve"> </w:t>
      </w:r>
      <w:r w:rsidR="002705FF" w:rsidRPr="00874900">
        <w:t xml:space="preserve">POSTUP </w:t>
      </w:r>
      <w:r w:rsidR="000A27A2" w:rsidRPr="00874900">
        <w:t>pro aktualizaci sítě sociálních</w:t>
      </w:r>
      <w:r w:rsidR="00B15541" w:rsidRPr="00874900">
        <w:t xml:space="preserve"> </w:t>
      </w:r>
      <w:r w:rsidR="003D68EC" w:rsidRPr="00874900">
        <w:t>služeb Olomouckého kraje</w:t>
      </w:r>
      <w:r w:rsidR="00B15541" w:rsidRPr="00874900">
        <w:t xml:space="preserve">, jehož účelem je stanovení pravidel a podmínek pro tvorbu sítě a její aktualizaci v rámci procesu střednědobého plánování rozvoje sociálních služeb </w:t>
      </w:r>
      <w:r w:rsidR="00A81BB5" w:rsidRPr="00874900">
        <w:t>OK</w:t>
      </w:r>
      <w:r w:rsidR="00FE0262" w:rsidRPr="00874900">
        <w:t>.</w:t>
      </w:r>
    </w:p>
    <w:p w:rsidR="00990785" w:rsidRDefault="00990785" w:rsidP="00990785">
      <w:pPr>
        <w:pStyle w:val="1text"/>
      </w:pPr>
      <w:r>
        <w:t>Střednědob</w:t>
      </w:r>
      <w:r w:rsidR="002705FF">
        <w:t>ý</w:t>
      </w:r>
      <w:r>
        <w:t xml:space="preserve"> plán 2024</w:t>
      </w:r>
      <w:r w:rsidR="0017413E">
        <w:t>–</w:t>
      </w:r>
      <w:r w:rsidRPr="002705FF">
        <w:t xml:space="preserve">2026 byl </w:t>
      </w:r>
      <w:r w:rsidR="002705FF" w:rsidRPr="002705FF">
        <w:t xml:space="preserve">zpracován v souladu se </w:t>
      </w:r>
      <w:r w:rsidRPr="002705FF">
        <w:t>stěžejní</w:t>
      </w:r>
      <w:r w:rsidR="002705FF" w:rsidRPr="002705FF">
        <w:t>mi</w:t>
      </w:r>
      <w:r>
        <w:t xml:space="preserve"> </w:t>
      </w:r>
      <w:r w:rsidR="00FE0262" w:rsidRPr="00FE0262">
        <w:t>celostátní</w:t>
      </w:r>
      <w:r w:rsidR="002705FF">
        <w:t>mi</w:t>
      </w:r>
      <w:r w:rsidR="00FE0262" w:rsidRPr="00FE0262">
        <w:t xml:space="preserve"> </w:t>
      </w:r>
      <w:r>
        <w:t>koncepční</w:t>
      </w:r>
      <w:r w:rsidR="002705FF">
        <w:t>mi</w:t>
      </w:r>
      <w:r>
        <w:t xml:space="preserve"> dokument</w:t>
      </w:r>
      <w:r w:rsidR="002705FF">
        <w:t>y</w:t>
      </w:r>
      <w:r w:rsidR="00FE0262">
        <w:t>, dokument</w:t>
      </w:r>
      <w:r w:rsidR="002705FF">
        <w:t>y</w:t>
      </w:r>
      <w:r w:rsidR="00FE0262">
        <w:t xml:space="preserve"> OK</w:t>
      </w:r>
      <w:r>
        <w:t xml:space="preserve"> i dokument</w:t>
      </w:r>
      <w:r w:rsidR="002705FF">
        <w:t>y</w:t>
      </w:r>
      <w:r>
        <w:t xml:space="preserve"> regionální</w:t>
      </w:r>
      <w:r w:rsidR="002D1983">
        <w:t>m</w:t>
      </w:r>
      <w:r w:rsidR="002705FF">
        <w:t>i.</w:t>
      </w:r>
      <w:r>
        <w:t xml:space="preserve"> </w:t>
      </w:r>
      <w:r w:rsidR="002705FF">
        <w:t>S</w:t>
      </w:r>
      <w:r>
        <w:t>pecifikuje měnící se potř</w:t>
      </w:r>
      <w:r w:rsidR="0086185E">
        <w:t xml:space="preserve">eby obyvatel </w:t>
      </w:r>
      <w:r w:rsidR="00FE0262">
        <w:t>OK</w:t>
      </w:r>
      <w:r w:rsidR="0086185E">
        <w:t xml:space="preserve"> v návaznosti</w:t>
      </w:r>
      <w:r w:rsidRPr="00990785">
        <w:t xml:space="preserve"> na předchozí Střednědobý plán rozvoje sociálních služeb v O</w:t>
      </w:r>
      <w:r>
        <w:t>lomouckém kraji pro roky 2021</w:t>
      </w:r>
      <w:r w:rsidRPr="00990785">
        <w:t>–</w:t>
      </w:r>
      <w:r>
        <w:t>2023</w:t>
      </w:r>
      <w:r w:rsidRPr="00990785">
        <w:t xml:space="preserve"> (</w:t>
      </w:r>
      <w:r>
        <w:t>dále jen „Střednědobý plán 2021</w:t>
      </w:r>
      <w:r w:rsidR="0017413E">
        <w:t>–</w:t>
      </w:r>
      <w:r>
        <w:t>2023</w:t>
      </w:r>
      <w:r w:rsidRPr="00990785">
        <w:t>“), a to především na výstupy z jeho evaluace</w:t>
      </w:r>
      <w:r w:rsidR="0086185E">
        <w:t>.</w:t>
      </w:r>
    </w:p>
    <w:p w:rsidR="00990785" w:rsidRPr="00894DB1" w:rsidRDefault="00990785" w:rsidP="00071706">
      <w:pPr>
        <w:pStyle w:val="1text"/>
      </w:pPr>
    </w:p>
    <w:p w:rsidR="00071706" w:rsidRPr="00FF4F44" w:rsidRDefault="00990785" w:rsidP="00FF4F44">
      <w:pPr>
        <w:pStyle w:val="Podtreno"/>
      </w:pPr>
      <w:r w:rsidRPr="00FF4F44">
        <w:t>Střednědobý plán 2024</w:t>
      </w:r>
      <w:r w:rsidR="0017413E" w:rsidRPr="00FF4F44">
        <w:t>–</w:t>
      </w:r>
      <w:r w:rsidRPr="00FF4F44">
        <w:t>2026</w:t>
      </w:r>
      <w:r w:rsidR="00071706" w:rsidRPr="00FF4F44">
        <w:t>:</w:t>
      </w:r>
    </w:p>
    <w:p w:rsidR="007D7446" w:rsidRPr="007D7446" w:rsidRDefault="00FE0262" w:rsidP="00874900">
      <w:pPr>
        <w:pStyle w:val="SPRSodrky"/>
      </w:pPr>
      <w:r>
        <w:t xml:space="preserve">je </w:t>
      </w:r>
      <w:r w:rsidR="007D7446" w:rsidRPr="007D7446">
        <w:t xml:space="preserve">rámcový dokument </w:t>
      </w:r>
      <w:r>
        <w:t>pro nastavení vizí a cílů na</w:t>
      </w:r>
      <w:r w:rsidRPr="00FE0262">
        <w:t xml:space="preserve"> </w:t>
      </w:r>
      <w:r w:rsidR="00E045BA">
        <w:t xml:space="preserve">zákonem stanovené </w:t>
      </w:r>
      <w:r w:rsidRPr="00FE0262">
        <w:t>období 3 let</w:t>
      </w:r>
      <w:r w:rsidR="007D7446">
        <w:t>;</w:t>
      </w:r>
    </w:p>
    <w:p w:rsidR="00071706" w:rsidRPr="00894DB1" w:rsidRDefault="00071706" w:rsidP="00874900">
      <w:pPr>
        <w:pStyle w:val="SPRSodrky"/>
        <w:rPr>
          <w:u w:val="single"/>
        </w:rPr>
      </w:pPr>
      <w:r>
        <w:t xml:space="preserve">je </w:t>
      </w:r>
      <w:r w:rsidRPr="00894DB1">
        <w:t>zaměřen pouze na sociální služby definované zákonem o sociálních službách, a to bez ohledu na právní formu poskytovatele;</w:t>
      </w:r>
    </w:p>
    <w:p w:rsidR="00071706" w:rsidRPr="00894DB1" w:rsidRDefault="00071706" w:rsidP="00874900">
      <w:pPr>
        <w:pStyle w:val="SPRSodrky"/>
      </w:pPr>
      <w:r w:rsidRPr="00894DB1">
        <w:t>umožňuje rozvoj sociálních služ</w:t>
      </w:r>
      <w:r w:rsidR="0086185E">
        <w:t>eb dle hlavních cílů a opatření v návaznosti na dostupné finanční prostředky;</w:t>
      </w:r>
    </w:p>
    <w:p w:rsidR="00071706" w:rsidRPr="00894DB1" w:rsidRDefault="00071706" w:rsidP="00874900">
      <w:pPr>
        <w:pStyle w:val="SPRSodrky"/>
      </w:pPr>
      <w:r w:rsidRPr="00894DB1">
        <w:t>opatření jsou konkrétní, uskutečnitelná a měřitelná;</w:t>
      </w:r>
    </w:p>
    <w:p w:rsidR="00071706" w:rsidRPr="00894DB1" w:rsidRDefault="00071706" w:rsidP="00874900">
      <w:pPr>
        <w:pStyle w:val="SPRSodrky"/>
      </w:pPr>
      <w:r w:rsidRPr="00894DB1">
        <w:t>vychází z konsenzu všech zúčastněných stran;</w:t>
      </w:r>
    </w:p>
    <w:p w:rsidR="00071706" w:rsidRPr="00894DB1" w:rsidRDefault="00071706" w:rsidP="00874900">
      <w:pPr>
        <w:pStyle w:val="SPRSodrky"/>
      </w:pPr>
      <w:r w:rsidRPr="00894DB1">
        <w:t>je výchozím podkladem pro posouzení projektových záměrů v oblasti sociálních služeb;</w:t>
      </w:r>
    </w:p>
    <w:p w:rsidR="00071706" w:rsidRPr="00894DB1" w:rsidRDefault="00071706" w:rsidP="00874900">
      <w:pPr>
        <w:pStyle w:val="SPRSodrky"/>
      </w:pPr>
      <w:r w:rsidRPr="00894DB1">
        <w:t>podporuje efektivní, kval</w:t>
      </w:r>
      <w:r w:rsidR="009C0110">
        <w:t>itní a dostupné sociální služby vedoucí k řešení nepříznivé sociální situace a sociálnímu začleňování;</w:t>
      </w:r>
    </w:p>
    <w:p w:rsidR="009C0110" w:rsidRDefault="00071706" w:rsidP="00874900">
      <w:pPr>
        <w:pStyle w:val="SPRSodrky"/>
      </w:pPr>
      <w:r w:rsidRPr="00894DB1">
        <w:t xml:space="preserve">nastavuje </w:t>
      </w:r>
      <w:r w:rsidR="009C0110">
        <w:t xml:space="preserve">efektivní a udržitelnou </w:t>
      </w:r>
      <w:r w:rsidRPr="00894DB1">
        <w:t>síť sociálních služeb</w:t>
      </w:r>
      <w:r w:rsidR="009C0110">
        <w:t>;</w:t>
      </w:r>
    </w:p>
    <w:p w:rsidR="00E045BA" w:rsidRDefault="009C0110" w:rsidP="00874900">
      <w:pPr>
        <w:pStyle w:val="SPRSodrky"/>
      </w:pPr>
      <w:r w:rsidRPr="000B71D1">
        <w:t>informuje o směřování krajské politiky a řízení sociální oblasti na území Olomouckého kraje</w:t>
      </w:r>
      <w:r w:rsidR="000B71D1" w:rsidRPr="000B71D1">
        <w:t>, poskytovatelé sociálních služeb tak mohou směřovat rozvoj svých služeb do podporovaných oblastí</w:t>
      </w:r>
      <w:r w:rsidR="00E045BA">
        <w:t>;</w:t>
      </w:r>
      <w:r w:rsidR="000B71D1" w:rsidRPr="000B71D1">
        <w:t xml:space="preserve"> </w:t>
      </w:r>
    </w:p>
    <w:p w:rsidR="00071706" w:rsidRDefault="000B71D1" w:rsidP="00694609">
      <w:pPr>
        <w:pStyle w:val="SPRSodrky"/>
      </w:pPr>
      <w:r w:rsidRPr="000B71D1">
        <w:t>podává informaci</w:t>
      </w:r>
      <w:r w:rsidR="00E045BA" w:rsidRPr="00FF4F44">
        <w:rPr>
          <w:rFonts w:eastAsiaTheme="minorHAnsi"/>
          <w:lang w:eastAsia="en-US"/>
        </w:rPr>
        <w:t xml:space="preserve"> </w:t>
      </w:r>
      <w:r w:rsidR="00E045BA">
        <w:t>u</w:t>
      </w:r>
      <w:r w:rsidR="00E045BA" w:rsidRPr="00E045BA">
        <w:t>živatelům sociálních služeb, jejich blízkým i široké veřejnosti</w:t>
      </w:r>
      <w:r w:rsidRPr="000B71D1">
        <w:t xml:space="preserve"> o tom, jaké sociální služby mohou využít, jak je zajištěna jejich dostupnost a jak lze získat informace o</w:t>
      </w:r>
      <w:r w:rsidR="00E045BA">
        <w:t> </w:t>
      </w:r>
      <w:r w:rsidRPr="000B71D1">
        <w:t>možnostech pomoci a podpory osobám v obtížné životní situaci</w:t>
      </w:r>
      <w:r w:rsidR="00E045BA">
        <w:t>.</w:t>
      </w:r>
    </w:p>
    <w:p w:rsidR="00FF4F44" w:rsidRDefault="00FF4F44" w:rsidP="00FF4F44">
      <w:pPr>
        <w:pStyle w:val="SPRSodrky"/>
        <w:numPr>
          <w:ilvl w:val="0"/>
          <w:numId w:val="0"/>
        </w:numPr>
        <w:ind w:left="568" w:hanging="284"/>
      </w:pPr>
    </w:p>
    <w:p w:rsidR="00071706" w:rsidRDefault="00071706" w:rsidP="00071706">
      <w:pPr>
        <w:pStyle w:val="1text"/>
      </w:pPr>
      <w:r w:rsidRPr="00894DB1">
        <w:t xml:space="preserve">Střednědobý plán </w:t>
      </w:r>
      <w:r w:rsidR="006A1F59">
        <w:t>2024</w:t>
      </w:r>
      <w:r w:rsidR="0017413E">
        <w:t>–</w:t>
      </w:r>
      <w:r w:rsidR="00990785">
        <w:t>2026</w:t>
      </w:r>
      <w:r>
        <w:t xml:space="preserve"> </w:t>
      </w:r>
      <w:r w:rsidRPr="00894DB1">
        <w:t>byl zpracován dle legislati</w:t>
      </w:r>
      <w:r w:rsidR="00990785">
        <w:t>vního stavu ke dni  31. 12. 2022</w:t>
      </w:r>
      <w:r w:rsidRPr="00894DB1">
        <w:t xml:space="preserve">. </w:t>
      </w:r>
      <w:r w:rsidR="008B7AED" w:rsidRPr="008B7AED">
        <w:t xml:space="preserve">V době přípravy Střednědobého plánu </w:t>
      </w:r>
      <w:r w:rsidR="006A1F59">
        <w:t>2024</w:t>
      </w:r>
      <w:r w:rsidR="0017413E">
        <w:t>–</w:t>
      </w:r>
      <w:r w:rsidR="008B7AED">
        <w:t xml:space="preserve">2026 </w:t>
      </w:r>
      <w:r w:rsidR="008B7AED" w:rsidRPr="008B7AED">
        <w:t xml:space="preserve">připravovalo </w:t>
      </w:r>
      <w:r w:rsidR="008B7AED">
        <w:t>MPSV ČR</w:t>
      </w:r>
      <w:r w:rsidR="008B7AED" w:rsidRPr="008B7AED">
        <w:t xml:space="preserve"> novelu zákona </w:t>
      </w:r>
      <w:r w:rsidR="008B7AED">
        <w:t>o sociálních službách, v</w:t>
      </w:r>
      <w:r w:rsidR="009C0110">
        <w:t> době zveřejnění</w:t>
      </w:r>
      <w:r w:rsidR="008B7AED" w:rsidRPr="008B7AED">
        <w:t xml:space="preserve"> tohoto dokumentu však novela schválena nebyla</w:t>
      </w:r>
      <w:r w:rsidR="008B7AED">
        <w:t xml:space="preserve">. </w:t>
      </w:r>
      <w:r w:rsidRPr="00894DB1">
        <w:t>V případě legislativních změn týkajících se oblasti sociálních služeb v souvislosti s připravovanou novelou zákona o sociálních službách bude</w:t>
      </w:r>
      <w:r w:rsidR="009C0110">
        <w:t xml:space="preserve"> Střednědobý plán 2024</w:t>
      </w:r>
      <w:r w:rsidR="0017413E">
        <w:t>–</w:t>
      </w:r>
      <w:r w:rsidR="009C0110">
        <w:t>2026</w:t>
      </w:r>
      <w:r w:rsidRPr="00894DB1">
        <w:t xml:space="preserve"> aktualizován prostřednictvím Akčních plánů rozvoje sociálních služeb Olomouckého kraje.</w:t>
      </w:r>
    </w:p>
    <w:p w:rsidR="00AF4350" w:rsidRPr="00523EC5" w:rsidRDefault="00AF4350" w:rsidP="00A34764">
      <w:pPr>
        <w:pStyle w:val="aaa"/>
      </w:pPr>
      <w:bookmarkStart w:id="5" w:name="_Toc117606947"/>
      <w:bookmarkStart w:id="6" w:name="_Toc22896348"/>
      <w:bookmarkStart w:id="7" w:name="_Toc476922460"/>
      <w:bookmarkEnd w:id="0"/>
      <w:bookmarkEnd w:id="1"/>
      <w:r w:rsidRPr="00630122">
        <w:lastRenderedPageBreak/>
        <w:t>Č</w:t>
      </w:r>
      <w:r w:rsidRPr="00630122">
        <w:rPr>
          <w:caps/>
        </w:rPr>
        <w:t>ást</w:t>
      </w:r>
      <w:r w:rsidRPr="00630122">
        <w:t xml:space="preserve"> A – POPISNÁ</w:t>
      </w:r>
      <w:bookmarkEnd w:id="5"/>
      <w:r>
        <w:t xml:space="preserve"> </w:t>
      </w:r>
    </w:p>
    <w:p w:rsidR="00AF4350" w:rsidRDefault="00AF4350" w:rsidP="00A34764">
      <w:pPr>
        <w:pStyle w:val="Nadpis1"/>
      </w:pPr>
      <w:bookmarkStart w:id="8" w:name="_Toc14167573"/>
      <w:bookmarkStart w:id="9" w:name="_Toc22896337"/>
      <w:bookmarkStart w:id="10" w:name="_Toc117606948"/>
      <w:r w:rsidRPr="00626958">
        <w:t>Zpracování</w:t>
      </w:r>
      <w:r>
        <w:t xml:space="preserve"> Střednědobého plánu 2024</w:t>
      </w:r>
      <w:r w:rsidRPr="00526A40">
        <w:t>–202</w:t>
      </w:r>
      <w:bookmarkEnd w:id="8"/>
      <w:bookmarkEnd w:id="9"/>
      <w:r>
        <w:t>6</w:t>
      </w:r>
      <w:bookmarkEnd w:id="10"/>
    </w:p>
    <w:p w:rsidR="00AF4350" w:rsidRDefault="00AF4350" w:rsidP="00A34764">
      <w:pPr>
        <w:pStyle w:val="Nadpis2"/>
      </w:pPr>
      <w:bookmarkStart w:id="11" w:name="_Toc117606949"/>
      <w:r w:rsidRPr="00626958">
        <w:t>Východiska</w:t>
      </w:r>
      <w:r>
        <w:t xml:space="preserve"> plánování sociálních služeb</w:t>
      </w:r>
      <w:bookmarkEnd w:id="11"/>
    </w:p>
    <w:p w:rsidR="00AF4350" w:rsidRPr="00516D64" w:rsidRDefault="00AF4350" w:rsidP="00AF4350">
      <w:pPr>
        <w:pStyle w:val="1text"/>
      </w:pPr>
      <w:r w:rsidRPr="00516D64">
        <w:t xml:space="preserve">Střednědobý plán 2024–2026 je zpracován jako strategický dokument, který naplňuje povinnost kraje plánovat rozvoj sociálních služeb danou zákonem </w:t>
      </w:r>
      <w:r>
        <w:t xml:space="preserve">o sociálních službách a </w:t>
      </w:r>
      <w:r w:rsidRPr="00516D64">
        <w:t>je dle ustanovení § 101a odst. 3. písm. c) zákona o sociálních službách součástí žádosti o poskytnutí dotace na příslušný rozpočtový rok, kterou kraj předkládá Ministerstvu práce a</w:t>
      </w:r>
      <w:r>
        <w:t> </w:t>
      </w:r>
      <w:r w:rsidRPr="00516D64">
        <w:t xml:space="preserve">sociálních věcí (dále jen „MPSV“). </w:t>
      </w:r>
    </w:p>
    <w:p w:rsidR="00AF4350" w:rsidRPr="00516D64" w:rsidRDefault="00AF4350" w:rsidP="00AF4350">
      <w:pPr>
        <w:pStyle w:val="1text"/>
      </w:pPr>
      <w:r w:rsidRPr="00516D64">
        <w:t>Povinnost kraje zpracovávat Střednědobý plán rozvoje sociálních služeb vyplývá z ustanovení § 95 písm. d) zákona o sociálních službách: „</w:t>
      </w:r>
      <w:r w:rsidRPr="00516D64">
        <w:rPr>
          <w:i/>
        </w:rPr>
        <w:t>Kraj zpracovává střednědobý plán rozvoje sociálních služeb ve spolupráci s obcemi na území kraje, se zástupci poskytovatelů sociálních služeb a se zástupci osob, kterým jsou poskytovány sociální služby, a informuje obce na území kraje o výsledcích zjištěných v procesu plánování, při zpracování plánu kraj přihlíží k informacím obce sděleným podle § 94 písm. e), a k údajům uvedeným v registru podle § 85 odst. 5</w:t>
      </w:r>
      <w:r w:rsidRPr="00516D64">
        <w:t>.“</w:t>
      </w:r>
    </w:p>
    <w:p w:rsidR="00AF4350" w:rsidRPr="00894DB1" w:rsidRDefault="00AF4350" w:rsidP="00AF4350">
      <w:pPr>
        <w:pStyle w:val="1text"/>
      </w:pPr>
      <w:r w:rsidRPr="00516D64">
        <w:t xml:space="preserve">Obsah plánu rozvoje sociálních služeb upravuje zákon o sociálních službách v ustanovení § 3 písm. h): </w:t>
      </w:r>
      <w:r w:rsidRPr="00516D64">
        <w:rPr>
          <w:i/>
        </w:rPr>
        <w:t>„Plánem rozvoje sociálních služeb se rozumí výsledek procesu aktivního zjišťování potřeb osob ve stanoveném území a hledání způsobu jejich uspokojování s využitím dostupných zdrojů, jehož obsahem je popis způsobu zpracování plánu, popis a analýza existujících zdrojů a potřeb osob, kterým jsou sociální služby určeny, včetně ekonomického vyhodnocení, strategie zajišťování a rozvoje sociálních služeb, povinnosti zúčastněných subjektů, způsob sledování a vyhodnocování plnění plánu a způsob, jakým lze provést změny v poskytování sociálních služeb.“</w:t>
      </w:r>
    </w:p>
    <w:p w:rsidR="00AF4350" w:rsidRDefault="00AF4350" w:rsidP="00AF4350">
      <w:pPr>
        <w:pStyle w:val="1text"/>
      </w:pPr>
      <w:r w:rsidRPr="00894DB1">
        <w:t xml:space="preserve">Střednědobé plánování rozvoje sociálních služeb je důležitou platformou pro aktivní uplatňování sociální politiky </w:t>
      </w:r>
      <w:r>
        <w:t xml:space="preserve">OK </w:t>
      </w:r>
      <w:r w:rsidRPr="00894DB1">
        <w:t>a vychází z mezinárodních a národních strategických dokumentů, dále pak ze strategických dokumentů OK. Národní strategické dokumenty pro oblast sociální politiky vedou k nastavení a</w:t>
      </w:r>
      <w:r>
        <w:t> </w:t>
      </w:r>
      <w:r w:rsidRPr="00894DB1">
        <w:t>sjednocení dané oblasti a v praxi jsou implementovány příslušnými prováděcími předpisy.</w:t>
      </w:r>
      <w:r>
        <w:t xml:space="preserve"> </w:t>
      </w:r>
    </w:p>
    <w:p w:rsidR="00AF4350" w:rsidRDefault="00AF4350" w:rsidP="00AF4350">
      <w:pPr>
        <w:pStyle w:val="1text"/>
      </w:pPr>
      <w:r>
        <w:t xml:space="preserve">Střednědobý plán 2024–2026 vychází z vize Národní strategie rozvoje sociálních služeb na období 2016–2025, kdy jedním z globálních cílů tohoto strategického dokumentu je, že na území ČR budou poskytovány kvalitní a dostupné sociální služby, které budou řešit individuální potřeby klientů sociálních služeb, popřípadě jejich rodinných příslušníků a dalších blízkých osob. </w:t>
      </w:r>
    </w:p>
    <w:p w:rsidR="00AF4350" w:rsidRDefault="00AF4350" w:rsidP="00AF4350">
      <w:pPr>
        <w:pStyle w:val="1text"/>
      </w:pPr>
    </w:p>
    <w:p w:rsidR="00AF4350" w:rsidRPr="00FF4F44" w:rsidRDefault="00AF4350" w:rsidP="00FF4F44">
      <w:pPr>
        <w:pStyle w:val="Tun"/>
      </w:pPr>
      <w:r w:rsidRPr="00FF4F44">
        <w:t>Další legislativní východiska:</w:t>
      </w:r>
    </w:p>
    <w:p w:rsidR="00AF4350" w:rsidRDefault="00AF4350" w:rsidP="00AF4350">
      <w:pPr>
        <w:pStyle w:val="1text"/>
        <w:spacing w:before="0" w:line="276" w:lineRule="auto"/>
      </w:pPr>
      <w:r>
        <w:t>Zákon č. 129/2000 Sb.</w:t>
      </w:r>
      <w:r w:rsidR="00E90A59">
        <w:t>,</w:t>
      </w:r>
      <w:r>
        <w:t xml:space="preserve"> o krajích (krajské zřízení)</w:t>
      </w:r>
    </w:p>
    <w:p w:rsidR="00AF4350" w:rsidRDefault="00AF4350" w:rsidP="00AF4350">
      <w:pPr>
        <w:pStyle w:val="1text"/>
        <w:spacing w:before="0" w:line="276" w:lineRule="auto"/>
      </w:pPr>
      <w:r>
        <w:t>Zákon č. 128/2000 Sb.</w:t>
      </w:r>
      <w:r w:rsidR="00E90A59">
        <w:t>,</w:t>
      </w:r>
      <w:r>
        <w:t xml:space="preserve"> o obcích (obecní zřízení)</w:t>
      </w:r>
    </w:p>
    <w:p w:rsidR="00AF4350" w:rsidRDefault="00AF4350" w:rsidP="00AF4350">
      <w:pPr>
        <w:pStyle w:val="1text"/>
        <w:spacing w:before="0" w:line="276" w:lineRule="auto"/>
      </w:pPr>
      <w:r>
        <w:t xml:space="preserve">Zákon č. 273/2001 Sb., </w:t>
      </w:r>
      <w:r w:rsidRPr="00D26AF3">
        <w:t>o právech příslušníků národnostních menšin a o změně některých zákon</w:t>
      </w:r>
      <w:r>
        <w:t>ů</w:t>
      </w:r>
    </w:p>
    <w:p w:rsidR="00AF4350" w:rsidRDefault="00AF4350" w:rsidP="00AF4350">
      <w:pPr>
        <w:pStyle w:val="1text"/>
        <w:spacing w:before="0" w:line="276" w:lineRule="auto"/>
      </w:pPr>
      <w:r>
        <w:t xml:space="preserve">Zákon č. 326/1999 Sb., </w:t>
      </w:r>
      <w:r w:rsidRPr="00D26AF3">
        <w:t>o pobytu cizinců na území České republiky a o změně některých zákonů</w:t>
      </w:r>
    </w:p>
    <w:p w:rsidR="00AF4350" w:rsidRDefault="00AF4350" w:rsidP="00AF4350">
      <w:pPr>
        <w:pStyle w:val="1text"/>
        <w:spacing w:before="0"/>
      </w:pPr>
      <w:r>
        <w:t xml:space="preserve">Zákon č. 65/2017 Sb., </w:t>
      </w:r>
      <w:r w:rsidRPr="00D26AF3">
        <w:t>o ochraně zdraví před škodlivými účinky návykových látek</w:t>
      </w:r>
    </w:p>
    <w:p w:rsidR="00AF4350" w:rsidRDefault="00AF4350" w:rsidP="00AF4350">
      <w:pPr>
        <w:pStyle w:val="1text"/>
        <w:spacing w:before="0"/>
      </w:pPr>
    </w:p>
    <w:p w:rsidR="00AF4350" w:rsidRDefault="00AF4350" w:rsidP="00FF4F44">
      <w:pPr>
        <w:pStyle w:val="Podtreno"/>
      </w:pPr>
    </w:p>
    <w:p w:rsidR="00AF4350" w:rsidRPr="00FF4F44" w:rsidRDefault="00AF4350" w:rsidP="00FF4F44">
      <w:pPr>
        <w:pStyle w:val="Tun"/>
      </w:pPr>
      <w:r w:rsidRPr="00FF4F44">
        <w:lastRenderedPageBreak/>
        <w:t>V mezinárodním kontextu lze za nejvýznamnější dokumenty ovlivňující oblast plánování a rozvoje sociálních služeb označit:</w:t>
      </w:r>
    </w:p>
    <w:p w:rsidR="00AF4350" w:rsidRPr="00894DB1" w:rsidRDefault="00AF4350" w:rsidP="00FA4206">
      <w:pPr>
        <w:pStyle w:val="SPRSodrky"/>
        <w:keepNext/>
      </w:pPr>
      <w:r w:rsidRPr="00894DB1">
        <w:t>Evropskou sociální chartu, která mj. vymezuje obsah jednotlivých práv a zdůrazňuje práva určitých osob, kterým má být poskytnuta zvláštní ochrana. V článku 13 je deklarováno právo na sociální a</w:t>
      </w:r>
      <w:r>
        <w:t> </w:t>
      </w:r>
      <w:r w:rsidRPr="00894DB1">
        <w:t>lékařskou pomoc a článek 14 stanoví právo využívat služby sociální péče.</w:t>
      </w:r>
    </w:p>
    <w:p w:rsidR="00AF4350" w:rsidRPr="00894DB1" w:rsidRDefault="00AF4350" w:rsidP="00874900">
      <w:pPr>
        <w:pStyle w:val="SPRSodrky"/>
      </w:pPr>
      <w:r w:rsidRPr="00894DB1">
        <w:t>Úmluvu o právech osob se zdravotním postižením, která chrání osoby se zdravotním postižením před všemi druhy diskriminace a pokrývá občanská, politická, ekonomická, sociální a kulturní práva. Zavazuje smluvní strany nejenom k přijetí zákonů a nařízení dodržující tento princip, ale</w:t>
      </w:r>
      <w:r>
        <w:t> </w:t>
      </w:r>
      <w:r w:rsidRPr="00894DB1">
        <w:t>také k zajištění takových opatření, která umožní začlenění těchto osob do života společnosti tak, aby mohla být jejich práva v praktickém životě naplněna.</w:t>
      </w:r>
    </w:p>
    <w:p w:rsidR="00AF4350" w:rsidRDefault="00AF4350" w:rsidP="00FF4F44">
      <w:pPr>
        <w:pStyle w:val="Podtreno"/>
      </w:pPr>
    </w:p>
    <w:p w:rsidR="00AF4350" w:rsidRPr="00894DB1" w:rsidRDefault="00AF4350" w:rsidP="00FF4F44">
      <w:pPr>
        <w:pStyle w:val="Tun"/>
      </w:pPr>
      <w:r w:rsidRPr="00894DB1">
        <w:t>Vybrané národní strategické dokumenty v oblasti sociálních služeb:</w:t>
      </w:r>
    </w:p>
    <w:p w:rsidR="00AF4350" w:rsidRPr="002358A4" w:rsidRDefault="00AF4350" w:rsidP="00FF4F44">
      <w:pPr>
        <w:pStyle w:val="SPRSodrky"/>
      </w:pPr>
      <w:r w:rsidRPr="002358A4">
        <w:t>Národní strategie rozvoje sociálních služeb na období 2016–2025 (usnesení vlády ČR č. 245 ze dne  21.  3. 2016)</w:t>
      </w:r>
    </w:p>
    <w:p w:rsidR="00AF4350" w:rsidRPr="002358A4" w:rsidRDefault="00AF4350" w:rsidP="00FF4F44">
      <w:pPr>
        <w:pStyle w:val="SPRSodrky"/>
      </w:pPr>
      <w:r w:rsidRPr="002358A4">
        <w:t xml:space="preserve">Strategie sociálního začleňování 2021–2030 (usnesení vlády ČR č. 55 ze dne 20. 1. 2020) </w:t>
      </w:r>
    </w:p>
    <w:p w:rsidR="00AF4350" w:rsidRPr="002358A4" w:rsidRDefault="00AF4350" w:rsidP="00FF4F44">
      <w:pPr>
        <w:pStyle w:val="SPRSodrky"/>
      </w:pPr>
      <w:r w:rsidRPr="002358A4">
        <w:t>Národní strategi</w:t>
      </w:r>
      <w:r>
        <w:t>e</w:t>
      </w:r>
      <w:r w:rsidRPr="002358A4">
        <w:t xml:space="preserve"> ochrany práv dětí 2021</w:t>
      </w:r>
      <w:r>
        <w:t>–</w:t>
      </w:r>
      <w:r w:rsidRPr="002358A4">
        <w:t>2029  (usnesení vlády</w:t>
      </w:r>
      <w:r w:rsidR="0075108A">
        <w:t xml:space="preserve"> ČR č. 1323 ze dne  14. 12.</w:t>
      </w:r>
      <w:r w:rsidRPr="002358A4">
        <w:t xml:space="preserve"> 2020)</w:t>
      </w:r>
    </w:p>
    <w:p w:rsidR="00AF4350" w:rsidRPr="002358A4" w:rsidRDefault="00AF4350" w:rsidP="00FF4F44">
      <w:pPr>
        <w:pStyle w:val="SPRSodrky"/>
      </w:pPr>
      <w:r w:rsidRPr="002358A4">
        <w:t>Bílá kniha v sociálních službách (definuje základní principy transformace sociální politiky ČR, strategický dokument MPSV, 2003)</w:t>
      </w:r>
    </w:p>
    <w:p w:rsidR="00AF4350" w:rsidRPr="002358A4" w:rsidRDefault="00AF4350" w:rsidP="00FF4F44">
      <w:pPr>
        <w:pStyle w:val="SPRSodrky"/>
      </w:pPr>
      <w:r w:rsidRPr="006D6C98">
        <w:t>Národní plán podpory rovných příležitostí</w:t>
      </w:r>
      <w:r w:rsidRPr="002358A4">
        <w:t xml:space="preserve"> pro osoby se zdravotním postižením na období 2021–2025 (usnesení vlády ČR č. 761 ze dne 20. 7. 2020)</w:t>
      </w:r>
    </w:p>
    <w:p w:rsidR="00AF4350" w:rsidRPr="002358A4" w:rsidRDefault="00AF4350" w:rsidP="00FF4F44">
      <w:pPr>
        <w:pStyle w:val="SPRSodrky"/>
      </w:pPr>
      <w:r w:rsidRPr="002358A4">
        <w:t>Koncepce podpory transformace pobytových sociálních služeb v jiné typy sociálních služeb poskytovaných v přirozené komunitě uživatele a podporující sociální začlenění uživatele do společnosti (usnesení vlády ČR č. 127 ze dne 21.</w:t>
      </w:r>
      <w:r>
        <w:t xml:space="preserve"> </w:t>
      </w:r>
      <w:r w:rsidRPr="002358A4">
        <w:t>2. 2007)</w:t>
      </w:r>
    </w:p>
    <w:p w:rsidR="00AF4350" w:rsidRPr="002358A4" w:rsidRDefault="00AF4350" w:rsidP="00FF4F44">
      <w:pPr>
        <w:pStyle w:val="SPRSodrky"/>
      </w:pPr>
      <w:r w:rsidRPr="002358A4">
        <w:t>Vládní plán financování Národního rozvojového programu mobility pro všechny na období 2016–2025 (usnesení vlády ČR č. 568 ze dne 14. 7. 2014)</w:t>
      </w:r>
    </w:p>
    <w:p w:rsidR="00AF4350" w:rsidRDefault="00AF4350" w:rsidP="00FF4F44">
      <w:pPr>
        <w:pStyle w:val="SPRSodrky"/>
      </w:pPr>
      <w:r w:rsidRPr="00DC2F6C">
        <w:t>Strategie rovnosti, začlenění a participace Romů (Strategie romské integrace) 2021–2030</w:t>
      </w:r>
      <w:r w:rsidRPr="00DC2F6C">
        <w:rPr>
          <w:b/>
        </w:rPr>
        <w:t xml:space="preserve"> </w:t>
      </w:r>
      <w:r w:rsidR="0075108A">
        <w:t>(vláda schválila 10. 5.</w:t>
      </w:r>
      <w:r w:rsidRPr="0055798D">
        <w:t xml:space="preserve"> 2021) </w:t>
      </w:r>
    </w:p>
    <w:p w:rsidR="00AF4350" w:rsidRPr="00665C2F" w:rsidRDefault="00AF4350" w:rsidP="00FF4F44">
      <w:pPr>
        <w:pStyle w:val="SPRSodrky"/>
      </w:pPr>
      <w:r w:rsidRPr="006D6C98">
        <w:t>Aktualizovaná Koncepce integrace cizinců - Ve vzájemném respektu (usnesení vlády ČR č. 26 ze dne  18.</w:t>
      </w:r>
      <w:r>
        <w:t> </w:t>
      </w:r>
      <w:r w:rsidR="0075108A">
        <w:t>1.</w:t>
      </w:r>
      <w:r w:rsidRPr="006D6C98">
        <w:t xml:space="preserve"> 2016)</w:t>
      </w:r>
      <w:r w:rsidRPr="00665C2F">
        <w:t xml:space="preserve"> </w:t>
      </w:r>
    </w:p>
    <w:p w:rsidR="00AF4350" w:rsidRPr="0055798D" w:rsidRDefault="00AF4350" w:rsidP="00FF4F44">
      <w:pPr>
        <w:pStyle w:val="SPRSodrky"/>
      </w:pPr>
      <w:r w:rsidRPr="0055798D">
        <w:t xml:space="preserve">Strategie prevence kriminality na léta 2022–2027 (usnesení </w:t>
      </w:r>
      <w:r w:rsidR="0075108A">
        <w:t>vlády ČR č.  276 ze dne 6. 4.</w:t>
      </w:r>
      <w:r w:rsidRPr="0055798D">
        <w:t xml:space="preserve"> 2022) </w:t>
      </w:r>
    </w:p>
    <w:p w:rsidR="00AF4350" w:rsidRPr="002358A4" w:rsidRDefault="00AF4350" w:rsidP="00FF4F44">
      <w:pPr>
        <w:pStyle w:val="SPRSodrky"/>
      </w:pPr>
      <w:r w:rsidRPr="002358A4">
        <w:t>Národní strategie protidrogové politiky na období 2019 až 2027 (usnesení vlády ČR č. 329 ze dne 13. 5. 2019)</w:t>
      </w:r>
    </w:p>
    <w:p w:rsidR="00AF4350" w:rsidRPr="002358A4" w:rsidRDefault="00AF4350" w:rsidP="00FF4F44">
      <w:pPr>
        <w:pStyle w:val="SPRSodrky"/>
      </w:pPr>
      <w:r w:rsidRPr="002358A4">
        <w:t>Národní akční plán pro Alzheimerovu nemoc a obdobná onemocnění 2020</w:t>
      </w:r>
      <w:r>
        <w:t>–</w:t>
      </w:r>
      <w:r w:rsidRPr="002358A4">
        <w:t>2030 (usnesení vlády ČR č.</w:t>
      </w:r>
      <w:r>
        <w:t> </w:t>
      </w:r>
      <w:r w:rsidR="0075108A">
        <w:t>364 ze dne 12. 4.</w:t>
      </w:r>
      <w:r w:rsidRPr="002358A4">
        <w:t xml:space="preserve"> 2021)</w:t>
      </w:r>
    </w:p>
    <w:p w:rsidR="00AF4350" w:rsidRDefault="00AF4350" w:rsidP="00FF4F44">
      <w:pPr>
        <w:pStyle w:val="SPRSodrky"/>
      </w:pPr>
      <w:r w:rsidRPr="002358A4">
        <w:t>Soubor opatření ke zlepšení situace života osob s poruchou autistického spektra a jejich rodin (usnesení vlá</w:t>
      </w:r>
      <w:r w:rsidR="0075108A">
        <w:t>dy ČR č. 727 ze dne 13. 7.</w:t>
      </w:r>
      <w:r w:rsidRPr="002358A4">
        <w:t xml:space="preserve"> 2020)</w:t>
      </w:r>
    </w:p>
    <w:p w:rsidR="00AF4350" w:rsidRPr="00DC2F6C" w:rsidRDefault="00AF4350" w:rsidP="00FF4F44">
      <w:pPr>
        <w:pStyle w:val="SPRSodrky"/>
      </w:pPr>
      <w:r w:rsidRPr="00DC2F6C">
        <w:t>Národní akční</w:t>
      </w:r>
      <w:r>
        <w:t xml:space="preserve"> plán pro duševní zdraví 2020–</w:t>
      </w:r>
      <w:r w:rsidRPr="00DC2F6C">
        <w:t>2030</w:t>
      </w:r>
    </w:p>
    <w:p w:rsidR="00AF4350" w:rsidRDefault="00AF4350" w:rsidP="00FF4F44">
      <w:pPr>
        <w:pStyle w:val="SPRSodrky"/>
      </w:pPr>
      <w:r>
        <w:t xml:space="preserve">Strategický rámec přípravy na stárnutí společnosti 2021–2025 </w:t>
      </w:r>
    </w:p>
    <w:p w:rsidR="00AF4350" w:rsidRPr="00DC2F6C" w:rsidRDefault="00AF4350" w:rsidP="00FF4F44">
      <w:pPr>
        <w:pStyle w:val="SPRSodrky"/>
      </w:pPr>
      <w:r w:rsidRPr="00DC2F6C">
        <w:t>Strategie Evropa 2020</w:t>
      </w:r>
    </w:p>
    <w:p w:rsidR="00AF4350" w:rsidRPr="00DC2F6C" w:rsidRDefault="00AF4350" w:rsidP="00FF4F44">
      <w:pPr>
        <w:pStyle w:val="SPRSodrky"/>
      </w:pPr>
      <w:r>
        <w:t xml:space="preserve">1. </w:t>
      </w:r>
      <w:r w:rsidRPr="00DC2F6C">
        <w:t>Akční plán k naplnění národní strategie ochrany práv dětí 2021</w:t>
      </w:r>
      <w:r>
        <w:t>–</w:t>
      </w:r>
      <w:r w:rsidRPr="00DC2F6C">
        <w:t xml:space="preserve">2029 </w:t>
      </w:r>
    </w:p>
    <w:p w:rsidR="00AF4350" w:rsidRDefault="00AF4350" w:rsidP="00FF4F44">
      <w:pPr>
        <w:pStyle w:val="Podtreno"/>
      </w:pPr>
    </w:p>
    <w:p w:rsidR="00AF4350" w:rsidRPr="003D4968" w:rsidRDefault="00AF4350" w:rsidP="00FF4F44">
      <w:pPr>
        <w:pStyle w:val="Tun"/>
        <w:keepLines/>
      </w:pPr>
      <w:r w:rsidRPr="003D4968">
        <w:lastRenderedPageBreak/>
        <w:t>Vybrané strategické dokumenty Olomouckého kraje:</w:t>
      </w:r>
    </w:p>
    <w:p w:rsidR="00AF4350" w:rsidRPr="0055798D" w:rsidRDefault="00AF4350" w:rsidP="00FF4F44">
      <w:pPr>
        <w:pStyle w:val="SPRSodrky"/>
        <w:keepNext/>
        <w:keepLines/>
      </w:pPr>
      <w:r w:rsidRPr="0055798D">
        <w:t xml:space="preserve">Střednědobý plán rozvoje sociálních služeb v Olomouckém kraji pro roky 2021–2023 </w:t>
      </w:r>
    </w:p>
    <w:p w:rsidR="00AF4350" w:rsidRPr="0055798D" w:rsidRDefault="00AF4350" w:rsidP="00FF4F44">
      <w:pPr>
        <w:pStyle w:val="SPRSodrky"/>
        <w:keepNext/>
        <w:keepLines/>
      </w:pPr>
      <w:r w:rsidRPr="0055798D">
        <w:t xml:space="preserve">Akční plán rozvoje sociálních služeb Olomouckého kraje na rok 2023 </w:t>
      </w:r>
    </w:p>
    <w:p w:rsidR="00AF4350" w:rsidRPr="0055798D" w:rsidRDefault="00AF4350" w:rsidP="00FF4F44">
      <w:pPr>
        <w:pStyle w:val="SPRSodrky"/>
        <w:keepNext/>
        <w:keepLines/>
      </w:pPr>
      <w:r w:rsidRPr="0055798D">
        <w:t>Programové prohlášení Rady Olomouckého kraje pro období 2020–2024</w:t>
      </w:r>
    </w:p>
    <w:p w:rsidR="00AF4350" w:rsidRPr="0055798D" w:rsidRDefault="00AF4350" w:rsidP="00FF4F44">
      <w:pPr>
        <w:pStyle w:val="SPRSodrky"/>
        <w:keepNext/>
        <w:keepLines/>
      </w:pPr>
      <w:r w:rsidRPr="0055798D">
        <w:t>Koncepce podpory rozvoje paliativní péče v Olomouckém kraji</w:t>
      </w:r>
    </w:p>
    <w:p w:rsidR="00AF4350" w:rsidRPr="0055798D" w:rsidRDefault="00AF4350" w:rsidP="00FF4F44">
      <w:pPr>
        <w:pStyle w:val="SPRSodrky"/>
        <w:keepNext/>
        <w:keepLines/>
      </w:pPr>
      <w:r w:rsidRPr="0055798D">
        <w:t xml:space="preserve">Akční plán realizace protidrogové politiky v </w:t>
      </w:r>
      <w:r>
        <w:t>Olomouckém kraji na období 2021–</w:t>
      </w:r>
      <w:r w:rsidRPr="0055798D">
        <w:t>2022</w:t>
      </w:r>
    </w:p>
    <w:p w:rsidR="00AF4350" w:rsidRPr="0055798D" w:rsidRDefault="00AF4350" w:rsidP="00FF4F44">
      <w:pPr>
        <w:pStyle w:val="SPRSodrky"/>
        <w:keepNext/>
        <w:keepLines/>
      </w:pPr>
      <w:r w:rsidRPr="0055798D">
        <w:t xml:space="preserve">Strategický protidrogový plán Olomouckého kraje na období 2019–2022 </w:t>
      </w:r>
    </w:p>
    <w:p w:rsidR="00AF4350" w:rsidRPr="003D2B64" w:rsidRDefault="00AF4350" w:rsidP="00FF4F44">
      <w:pPr>
        <w:pStyle w:val="SPRSodrky"/>
        <w:keepNext/>
        <w:keepLines/>
      </w:pPr>
      <w:r w:rsidRPr="003D2B64">
        <w:t xml:space="preserve">Krajský plán vyrovnávání příležitostí pro osoby se zdravotním postižením v Olomouckém kraji na období 2017–2020 </w:t>
      </w:r>
    </w:p>
    <w:p w:rsidR="00AF4350" w:rsidRPr="00DC2F6C" w:rsidRDefault="00AF4350" w:rsidP="00FF4F44">
      <w:pPr>
        <w:pStyle w:val="SPRSodrky"/>
        <w:keepNext/>
        <w:keepLines/>
      </w:pPr>
      <w:r w:rsidRPr="00DC2F6C">
        <w:t xml:space="preserve">Strategie prevence kriminality Olomouckého kraje na období 2022–2027 </w:t>
      </w:r>
    </w:p>
    <w:p w:rsidR="00AF4350" w:rsidRPr="003D4968" w:rsidRDefault="00AF4350" w:rsidP="00FF4F44">
      <w:pPr>
        <w:pStyle w:val="SPRSodrky"/>
        <w:keepNext/>
        <w:keepLines/>
      </w:pPr>
      <w:r w:rsidRPr="003D2B64">
        <w:t>Koncepce rodinné politiky Olomouckého kraje na období 2023–2027</w:t>
      </w:r>
      <w:r w:rsidRPr="003D4968">
        <w:rPr>
          <w:b/>
          <w:bCs/>
        </w:rPr>
        <w:t xml:space="preserve"> </w:t>
      </w:r>
    </w:p>
    <w:p w:rsidR="00AF4350" w:rsidRDefault="00AF4350" w:rsidP="00FF4F44"/>
    <w:p w:rsidR="00AF4350" w:rsidRDefault="00AF4350" w:rsidP="00FF4F44">
      <w:r w:rsidRPr="003D4968">
        <w:t>Strateg</w:t>
      </w:r>
      <w:r>
        <w:t>ické dokumenty OK</w:t>
      </w:r>
      <w:r w:rsidRPr="003D4968">
        <w:t xml:space="preserve"> jsou k dispozici na webo</w:t>
      </w:r>
      <w:r>
        <w:t>vých stránkách</w:t>
      </w:r>
      <w:r w:rsidRPr="003D4968">
        <w:t xml:space="preserve"> </w:t>
      </w:r>
      <w:hyperlink r:id="rId9" w:history="1">
        <w:r w:rsidRPr="00645337">
          <w:rPr>
            <w:rStyle w:val="Hypertextovodkaz"/>
            <w:rFonts w:cs="Segoe UI"/>
            <w:szCs w:val="20"/>
          </w:rPr>
          <w:t>http://www.olkraj.cz/</w:t>
        </w:r>
      </w:hyperlink>
      <w:r w:rsidRPr="003317E7">
        <w:t>.</w:t>
      </w:r>
    </w:p>
    <w:p w:rsidR="00AF4350" w:rsidRPr="00E734F9" w:rsidRDefault="00AF4350" w:rsidP="00A34764">
      <w:pPr>
        <w:pStyle w:val="Nadpis2"/>
      </w:pPr>
      <w:bookmarkStart w:id="12" w:name="_Toc117606950"/>
      <w:r>
        <w:t>Akční plán</w:t>
      </w:r>
      <w:bookmarkEnd w:id="12"/>
    </w:p>
    <w:p w:rsidR="00AF4350" w:rsidRPr="00894DB1" w:rsidRDefault="00AF4350" w:rsidP="00AF4350">
      <w:pPr>
        <w:pStyle w:val="1text"/>
      </w:pPr>
      <w:r w:rsidRPr="00894DB1">
        <w:rPr>
          <w:b/>
        </w:rPr>
        <w:t>A</w:t>
      </w:r>
      <w:r>
        <w:rPr>
          <w:b/>
        </w:rPr>
        <w:t>kční plán</w:t>
      </w:r>
      <w:r w:rsidRPr="00894DB1">
        <w:rPr>
          <w:b/>
        </w:rPr>
        <w:t xml:space="preserve"> </w:t>
      </w:r>
      <w:r>
        <w:t>je jednoletým prováděcím dokumentem</w:t>
      </w:r>
      <w:r w:rsidRPr="00894DB1">
        <w:t xml:space="preserve"> Střednědobého plánu</w:t>
      </w:r>
      <w:r>
        <w:t xml:space="preserve"> rozvoje sociálních služeb v OK,</w:t>
      </w:r>
      <w:r w:rsidRPr="00894DB1">
        <w:t xml:space="preserve"> </w:t>
      </w:r>
      <w:r>
        <w:t>jehož</w:t>
      </w:r>
      <w:r w:rsidRPr="00894DB1">
        <w:t xml:space="preserve"> cílem je definovat síť sociálních služeb na území Olomouckého kraje včetně její ekonomické náročnosti.</w:t>
      </w:r>
    </w:p>
    <w:p w:rsidR="00AF4350" w:rsidRPr="00D45FD4" w:rsidRDefault="00AF4350" w:rsidP="00FF4F44">
      <w:r w:rsidRPr="00D45FD4">
        <w:t xml:space="preserve">Akční plán v návaznosti na rozvojové aktivity střednědobého plánu </w:t>
      </w:r>
      <w:r>
        <w:t xml:space="preserve">stanovuje </w:t>
      </w:r>
      <w:r w:rsidRPr="00D45FD4">
        <w:t>kapacitu sociálních služeb na základě zjištěné potřebnosti. Potřebnost kapacit sociálních služeb vychází z komunitního plánování na obcích, z podnětů, které kraj získal na základě jednání s poskytovateli a občany, popřípadě s dalšími subjekty. Při stanovování kapacit jsou východiskem strategické cíle určené střednědobým plánem.</w:t>
      </w:r>
    </w:p>
    <w:p w:rsidR="00AF4350" w:rsidRPr="00D45FD4" w:rsidRDefault="00AF4350" w:rsidP="00FF4F44">
      <w:r w:rsidRPr="00D45FD4">
        <w:t>Obsahem Akčního plánu je:</w:t>
      </w:r>
    </w:p>
    <w:p w:rsidR="00AF4350" w:rsidRPr="00D45FD4" w:rsidRDefault="00AF4350" w:rsidP="00874900">
      <w:pPr>
        <w:pStyle w:val="SPRSodrky"/>
        <w:numPr>
          <w:ilvl w:val="0"/>
          <w:numId w:val="44"/>
        </w:numPr>
      </w:pPr>
      <w:r>
        <w:t>a</w:t>
      </w:r>
      <w:r w:rsidRPr="00D45FD4">
        <w:t xml:space="preserve">ktualizovaná síť sociálních služeb OK na daný rok; </w:t>
      </w:r>
    </w:p>
    <w:p w:rsidR="00AF4350" w:rsidRPr="00D45FD4" w:rsidRDefault="00AF4350" w:rsidP="00874900">
      <w:pPr>
        <w:pStyle w:val="SPRSodrky"/>
        <w:numPr>
          <w:ilvl w:val="0"/>
          <w:numId w:val="44"/>
        </w:numPr>
      </w:pPr>
      <w:r w:rsidRPr="00D45FD4">
        <w:t>celkové náklady na poskytování sociálních služeb v OK a vymezení předpokládané výše krajem požadované dotace na poskytování sociálních služeb zařazených do sítě sociálních služeb na příslušný rozpočtový rok a předpokládaný požadavek na následující 2 rozpočtové roky;</w:t>
      </w:r>
    </w:p>
    <w:p w:rsidR="00AF4350" w:rsidRPr="00D45FD4" w:rsidRDefault="00AF4350" w:rsidP="00874900">
      <w:pPr>
        <w:pStyle w:val="SPRSodrky"/>
        <w:numPr>
          <w:ilvl w:val="0"/>
          <w:numId w:val="44"/>
        </w:numPr>
      </w:pPr>
      <w:r w:rsidRPr="00D45FD4">
        <w:t>plnění opatření střednědobého plánu naplněných v daném roce včetně Evaluační zprávy o</w:t>
      </w:r>
      <w:r>
        <w:t> </w:t>
      </w:r>
      <w:r w:rsidRPr="00D45FD4">
        <w:t>naplňování Střednědobého plánu rozvoje sociálních služeb v OK.</w:t>
      </w:r>
    </w:p>
    <w:p w:rsidR="00FF4F44" w:rsidRDefault="00FF4F44" w:rsidP="00FF4F44"/>
    <w:p w:rsidR="00AF4350" w:rsidRPr="002705FF" w:rsidRDefault="00AF4350" w:rsidP="00FF4F44">
      <w:r w:rsidRPr="00D45FD4">
        <w:t>Akční plán</w:t>
      </w:r>
      <w:r>
        <w:t xml:space="preserve"> je zpracováván </w:t>
      </w:r>
      <w:r w:rsidRPr="00D45FD4">
        <w:t xml:space="preserve">v souladu s platnými právními </w:t>
      </w:r>
      <w:r>
        <w:t xml:space="preserve">předpisy a  schváleným </w:t>
      </w:r>
      <w:proofErr w:type="spellStart"/>
      <w:r>
        <w:t>POSTUPem</w:t>
      </w:r>
      <w:proofErr w:type="spellEnd"/>
      <w:r w:rsidRPr="00D45FD4">
        <w:t xml:space="preserve">. </w:t>
      </w:r>
      <w:r>
        <w:t>V</w:t>
      </w:r>
      <w:r w:rsidRPr="0023404F">
        <w:t> souladu s ustanovením § 95 zákona o sociálních službách</w:t>
      </w:r>
      <w:r w:rsidRPr="0023404F">
        <w:rPr>
          <w:rFonts w:eastAsiaTheme="minorHAnsi"/>
        </w:rPr>
        <w:t xml:space="preserve"> se</w:t>
      </w:r>
      <w:r>
        <w:rPr>
          <w:rFonts w:eastAsiaTheme="minorHAnsi"/>
        </w:rPr>
        <w:t xml:space="preserve"> </w:t>
      </w:r>
      <w:r>
        <w:t>n</w:t>
      </w:r>
      <w:r w:rsidRPr="0023404F">
        <w:t>a tvorbě Akčního plánu podílí rovněž zástupci obcí a poskytovatelů sociálních služeb</w:t>
      </w:r>
      <w:r>
        <w:t xml:space="preserve">. </w:t>
      </w:r>
      <w:r w:rsidRPr="0023404F">
        <w:t>Poskytovatelé sociálních služeb jsou do procesu tvorby Akčního plánu zapojeni formou členství v jednotlivých pracovních skupinách organizační struktury pro plánování sociálních služeb na krajské úrovni</w:t>
      </w:r>
      <w:r>
        <w:t xml:space="preserve">. </w:t>
      </w:r>
      <w:r w:rsidRPr="0023404F">
        <w:t>Při tvorbě Akčního plánu jsou využita dostupná data z Registru poskytovatelů sociálních služeb, Krajského informačního systému sociálních služeb OK, data z interních zdrojů krajského úřadu, údaje od poskytovatelů sociálních služeb a další. Za jedny z klíčových informací s přímým dopadem na aktualizaci sítě sociálních služeb OK jsou považovány údaje vycházející z priorit obcí, komunitních plánů, ze zpracovaných analytických podkladů, znalosti místní situace a sociální práce na obcích. Uvedené skutečnosti vztahující se k potřebnosti sociálních služeb jsou promítnuty do specifických cílů a opatření jednotlivých PS Střednědobého plánu rozvoje sociálních služeb v OK.</w:t>
      </w:r>
    </w:p>
    <w:p w:rsidR="00AF4350" w:rsidRDefault="00AF4350" w:rsidP="00FF4F44"/>
    <w:p w:rsidR="00AF4350" w:rsidRPr="003D4968" w:rsidRDefault="00AF4350" w:rsidP="00A34764">
      <w:pPr>
        <w:pStyle w:val="Nadpis2"/>
      </w:pPr>
      <w:bookmarkStart w:id="13" w:name="_Toc14167575"/>
      <w:bookmarkStart w:id="14" w:name="_Toc22896339"/>
      <w:bookmarkStart w:id="15" w:name="_Toc117606951"/>
      <w:r w:rsidRPr="003D4968">
        <w:lastRenderedPageBreak/>
        <w:t>Způsob informování a zapojení občanů kraje, obcí, poskytovatelů sociálních služeb a osob, kterým jsou sociální služby poskytovány, do zpracování střednědobého plánu</w:t>
      </w:r>
      <w:bookmarkEnd w:id="13"/>
      <w:bookmarkEnd w:id="14"/>
      <w:bookmarkEnd w:id="15"/>
    </w:p>
    <w:p w:rsidR="00AF4350" w:rsidRPr="00A83359" w:rsidRDefault="00AF4350" w:rsidP="00FF4F44">
      <w:r w:rsidRPr="00A83359">
        <w:t xml:space="preserve">Prostřednictvím </w:t>
      </w:r>
      <w:r w:rsidRPr="0049465F">
        <w:t xml:space="preserve">webových stránek OK </w:t>
      </w:r>
      <w:r>
        <w:t xml:space="preserve">a </w:t>
      </w:r>
      <w:r w:rsidRPr="00A83359">
        <w:t xml:space="preserve">úřední desky </w:t>
      </w:r>
      <w:r>
        <w:t>OK byli občané OK informováni o usnesení</w:t>
      </w:r>
      <w:r w:rsidRPr="00A83359">
        <w:t xml:space="preserve"> Zastupitelstv</w:t>
      </w:r>
      <w:r>
        <w:t>a</w:t>
      </w:r>
      <w:r w:rsidRPr="00A83359">
        <w:t xml:space="preserve"> Olomouckého kraje</w:t>
      </w:r>
      <w:r w:rsidRPr="00ED681D">
        <w:t xml:space="preserve"> </w:t>
      </w:r>
      <w:r w:rsidRPr="00A83359">
        <w:t>č</w:t>
      </w:r>
      <w:r w:rsidRPr="007A4C90">
        <w:t>. UZ/7/79/2021</w:t>
      </w:r>
      <w:r w:rsidRPr="00ED681D">
        <w:t xml:space="preserve"> </w:t>
      </w:r>
      <w:r w:rsidRPr="007A4C90">
        <w:t>ze dne 13. 12. 2021</w:t>
      </w:r>
      <w:r>
        <w:t>, kterým</w:t>
      </w:r>
      <w:r w:rsidRPr="00A83359">
        <w:t xml:space="preserve"> </w:t>
      </w:r>
      <w:r>
        <w:t xml:space="preserve">bylo </w:t>
      </w:r>
      <w:r w:rsidRPr="00A83359">
        <w:t>schvál</w:t>
      </w:r>
      <w:r>
        <w:t>eno</w:t>
      </w:r>
      <w:r w:rsidRPr="00A83359">
        <w:t xml:space="preserve"> </w:t>
      </w:r>
      <w:r w:rsidRPr="007A4C90">
        <w:t xml:space="preserve">zpracování </w:t>
      </w:r>
      <w:r w:rsidRPr="007A4C90">
        <w:rPr>
          <w:bCs/>
        </w:rPr>
        <w:t>Střednědobého plánu rozvoje sociálních služeb v Olomouckém kraji pro roky 2024</w:t>
      </w:r>
      <w:r>
        <w:rPr>
          <w:bCs/>
        </w:rPr>
        <w:t>–</w:t>
      </w:r>
      <w:r w:rsidRPr="007A4C90">
        <w:rPr>
          <w:bCs/>
        </w:rPr>
        <w:t xml:space="preserve">2026. </w:t>
      </w:r>
      <w:r w:rsidRPr="007A4C90">
        <w:t xml:space="preserve">Veřejnost měla možnost se do procesu tvorby </w:t>
      </w:r>
      <w:r>
        <w:rPr>
          <w:bCs/>
        </w:rPr>
        <w:t>Střednědobého plánu</w:t>
      </w:r>
      <w:r w:rsidR="00C55F83">
        <w:rPr>
          <w:bCs/>
        </w:rPr>
        <w:t xml:space="preserve"> 2024–</w:t>
      </w:r>
      <w:r w:rsidRPr="007A4C90">
        <w:rPr>
          <w:bCs/>
        </w:rPr>
        <w:t>2026</w:t>
      </w:r>
      <w:r w:rsidRPr="007A4C90">
        <w:t xml:space="preserve">, zapojit prostřednictvím zaslaných podnětů a připomínek vztahujícím se k zajištění a rozvoji sociálních služeb na území </w:t>
      </w:r>
      <w:r>
        <w:t>OK</w:t>
      </w:r>
      <w:r w:rsidRPr="00A83359">
        <w:t xml:space="preserve">. </w:t>
      </w:r>
    </w:p>
    <w:p w:rsidR="00AF4350" w:rsidRPr="003D4968" w:rsidRDefault="00AF4350" w:rsidP="00FF4F44">
      <w:r w:rsidRPr="003D4968">
        <w:t xml:space="preserve">OK považuje informování a zapojení občanů kraje, obcí, poskytovatelů sociálních služeb a osob, kterým jsou sociální služby poskytovány, do tvorby </w:t>
      </w:r>
      <w:r>
        <w:t xml:space="preserve">strategických dokumentů v oblasti </w:t>
      </w:r>
      <w:r w:rsidRPr="003D4968">
        <w:t>sociálních služeb, za</w:t>
      </w:r>
      <w:r>
        <w:t> </w:t>
      </w:r>
      <w:r w:rsidRPr="003D4968">
        <w:t>jeden z aspektů rozhodných pro nastavení kvalitní</w:t>
      </w:r>
      <w:r>
        <w:t xml:space="preserve"> a udržitelné</w:t>
      </w:r>
      <w:r w:rsidRPr="003D4968">
        <w:t xml:space="preserve"> sítě s</w:t>
      </w:r>
      <w:r>
        <w:t xml:space="preserve">ociálních služeb, která </w:t>
      </w:r>
      <w:r w:rsidRPr="003D4968">
        <w:t>napomáhá na území kraje řešit jejich nepříznivou sociální situaci.</w:t>
      </w:r>
      <w:r>
        <w:t xml:space="preserve"> Občané OK jsou</w:t>
      </w:r>
      <w:r w:rsidRPr="003D4968">
        <w:t xml:space="preserve"> prostřednictvím webových stránek OK, v části Střednědobé plánování sociálních služeb, pr</w:t>
      </w:r>
      <w:r>
        <w:t>ůběžně informováni</w:t>
      </w:r>
      <w:r w:rsidRPr="003D4968">
        <w:t xml:space="preserve"> o</w:t>
      </w:r>
      <w:r>
        <w:t> </w:t>
      </w:r>
      <w:r w:rsidRPr="003D4968">
        <w:t xml:space="preserve">probíhajících procesech v rámci plánování sociálních služeb. </w:t>
      </w:r>
      <w:r>
        <w:t xml:space="preserve">Zveřejňovány jsou veškeré strategické materiály týkající se plánování sociálních služeb na území OK. Odborná i laická veřejnost je </w:t>
      </w:r>
      <w:r w:rsidRPr="0023404F">
        <w:t>po celou dobu průběhu tvorby Střednědobého plánu 2024</w:t>
      </w:r>
      <w:r>
        <w:t>–</w:t>
      </w:r>
      <w:r w:rsidRPr="0023404F">
        <w:t>2026</w:t>
      </w:r>
      <w:r>
        <w:t xml:space="preserve"> zapojena </w:t>
      </w:r>
      <w:r w:rsidRPr="0023404F">
        <w:t>do všech fází plánovacího procesu</w:t>
      </w:r>
      <w:r>
        <w:t>.</w:t>
      </w:r>
    </w:p>
    <w:p w:rsidR="00AF4350" w:rsidRPr="00523EC5" w:rsidRDefault="00AF4350" w:rsidP="00FF4F44">
      <w:r w:rsidRPr="00AE540F">
        <w:t>Veřejným připomínkováním strategického dokumentu, byla v maximální možné míře do</w:t>
      </w:r>
      <w:r>
        <w:t> tvorby Střednědobého plánu 2024–2026 zapojena</w:t>
      </w:r>
      <w:r w:rsidRPr="00AE540F">
        <w:t xml:space="preserve"> odborná a laická veřejnost.</w:t>
      </w:r>
      <w:r>
        <w:t xml:space="preserve"> Informace o možnosti připomínkování byla také poskytnuta všem zainteresovaným stranám, které se na zpracování strategického dokumentu podíleli.</w:t>
      </w:r>
    </w:p>
    <w:p w:rsidR="00AF4350" w:rsidRPr="003D4968" w:rsidRDefault="00AF4350" w:rsidP="00A34764">
      <w:pPr>
        <w:pStyle w:val="Nadpis2"/>
      </w:pPr>
      <w:bookmarkStart w:id="16" w:name="_Toc14167576"/>
      <w:bookmarkStart w:id="17" w:name="_Toc22896340"/>
      <w:bookmarkStart w:id="18" w:name="_Toc117606952"/>
      <w:r w:rsidRPr="00746530">
        <w:t>Způsob</w:t>
      </w:r>
      <w:r w:rsidRPr="003D4968">
        <w:t xml:space="preserve"> zpraco</w:t>
      </w:r>
      <w:r>
        <w:t>vání Střednědobého plánu 2024–2026</w:t>
      </w:r>
      <w:r w:rsidRPr="003D4968">
        <w:t>, včetně vymezení spolupráce s obcemi, poskytovateli sociálních služeb a</w:t>
      </w:r>
      <w:r>
        <w:t> </w:t>
      </w:r>
      <w:r w:rsidRPr="003D4968">
        <w:t>osobami, kterým jsou sociální služby poskytovány</w:t>
      </w:r>
      <w:bookmarkEnd w:id="16"/>
      <w:bookmarkEnd w:id="17"/>
      <w:bookmarkEnd w:id="18"/>
    </w:p>
    <w:p w:rsidR="00AF4350" w:rsidRDefault="00AF4350" w:rsidP="00FF4F44">
      <w:r w:rsidRPr="003D4968">
        <w:t xml:space="preserve">Střednědobý plán </w:t>
      </w:r>
      <w:r>
        <w:t xml:space="preserve">2024–2026 </w:t>
      </w:r>
      <w:r w:rsidRPr="003D4968">
        <w:t>byl zpracován</w:t>
      </w:r>
      <w:r>
        <w:t xml:space="preserve"> OSV KÚOK </w:t>
      </w:r>
      <w:r w:rsidRPr="003D4968">
        <w:t>v sou</w:t>
      </w:r>
      <w:r>
        <w:t>ladu se zákonem o sociálních službách, dále pak v souladu s usnesením Vlády ČR č. 71</w:t>
      </w:r>
      <w:r w:rsidRPr="003D4968">
        <w:t xml:space="preserve"> ze dne</w:t>
      </w:r>
      <w:r>
        <w:t xml:space="preserve"> 28. 1. 2019</w:t>
      </w:r>
      <w:r w:rsidRPr="003D4968">
        <w:t xml:space="preserve"> o</w:t>
      </w:r>
      <w:r>
        <w:t> </w:t>
      </w:r>
      <w:r w:rsidRPr="003D4968">
        <w:t>Metodice přípravy veřejných strategií, provádě</w:t>
      </w:r>
      <w:r>
        <w:t>cí  vyhláškou č. 387/2017 Sb.,</w:t>
      </w:r>
      <w:r w:rsidRPr="003D4968">
        <w:t xml:space="preserve"> </w:t>
      </w:r>
      <w:r w:rsidRPr="00A3491F">
        <w:t>Kritéri</w:t>
      </w:r>
      <w:r>
        <w:t xml:space="preserve">i a Aktualizovanými metodickými doporučeními pro oblast plánování sociálních služeb (MPSV ČR 2020). </w:t>
      </w:r>
    </w:p>
    <w:p w:rsidR="00AF4350" w:rsidRPr="003D4968" w:rsidRDefault="00AF4350" w:rsidP="00FF4F44">
      <w:r w:rsidRPr="00FD3F80">
        <w:t>Záměrem a zadáním realizace procesu tvorby Střednědobého plánu 2024–2026 byl stanoven časový rámec a harmonogram celého plánovacího období a specifikovány</w:t>
      </w:r>
      <w:r>
        <w:t xml:space="preserve"> </w:t>
      </w:r>
      <w:r w:rsidRPr="00FD3F80">
        <w:t xml:space="preserve">kompetence subjektů organizační struktury pro plánování sociálních služeb na krajské úrovni. Dle uvedeného zadání bylo při zpracování Střednědobého plánu </w:t>
      </w:r>
      <w:r>
        <w:t>2024–</w:t>
      </w:r>
      <w:r w:rsidRPr="00FD3F80">
        <w:t>2026 postupováno v následujících fázích:</w:t>
      </w:r>
    </w:p>
    <w:p w:rsidR="00AF4350" w:rsidRPr="003D4968" w:rsidRDefault="00AF4350" w:rsidP="00874900">
      <w:pPr>
        <w:pStyle w:val="SPRSodrky"/>
        <w:rPr>
          <w:noProof/>
        </w:rPr>
      </w:pPr>
      <w:r w:rsidRPr="003D4968">
        <w:rPr>
          <w:noProof/>
        </w:rPr>
        <w:t>Fáze přípravná – výs</w:t>
      </w:r>
      <w:r>
        <w:rPr>
          <w:noProof/>
        </w:rPr>
        <w:t xml:space="preserve">tupem dané fáze je zpracovaný, </w:t>
      </w:r>
      <w:r w:rsidRPr="003D4968">
        <w:rPr>
          <w:noProof/>
        </w:rPr>
        <w:t xml:space="preserve">projednaný </w:t>
      </w:r>
      <w:r>
        <w:rPr>
          <w:noProof/>
        </w:rPr>
        <w:t xml:space="preserve">a schválený </w:t>
      </w:r>
      <w:r w:rsidRPr="003D4968">
        <w:rPr>
          <w:noProof/>
        </w:rPr>
        <w:t>záměr r</w:t>
      </w:r>
      <w:r>
        <w:rPr>
          <w:noProof/>
        </w:rPr>
        <w:t xml:space="preserve">ámcového určení obsahu, stanovení dílčí odpovědnosti s ohledem na konkrétní činnosti a nastavení </w:t>
      </w:r>
      <w:r w:rsidRPr="003D4968">
        <w:rPr>
          <w:noProof/>
        </w:rPr>
        <w:t>časové posloupnosti činnost</w:t>
      </w:r>
      <w:r>
        <w:rPr>
          <w:noProof/>
        </w:rPr>
        <w:t>í</w:t>
      </w:r>
      <w:r w:rsidRPr="003D4968">
        <w:rPr>
          <w:noProof/>
        </w:rPr>
        <w:t xml:space="preserve"> pro celé plánovací období. Pro tuto fázi bylo využit</w:t>
      </w:r>
      <w:r>
        <w:rPr>
          <w:noProof/>
        </w:rPr>
        <w:t>o např. výstupů z evaluačních</w:t>
      </w:r>
      <w:r w:rsidRPr="003D4968">
        <w:rPr>
          <w:noProof/>
        </w:rPr>
        <w:t xml:space="preserve"> z</w:t>
      </w:r>
      <w:r>
        <w:rPr>
          <w:noProof/>
        </w:rPr>
        <w:t>práv Střednědobého plánu 2021–2023</w:t>
      </w:r>
      <w:r w:rsidRPr="003D4968">
        <w:rPr>
          <w:noProof/>
        </w:rPr>
        <w:t xml:space="preserve">, metodických a strategických dokumentů MPSV a OK; </w:t>
      </w:r>
    </w:p>
    <w:p w:rsidR="00AF4350" w:rsidRDefault="00AF4350" w:rsidP="00874900">
      <w:pPr>
        <w:pStyle w:val="SPRSodrky"/>
        <w:rPr>
          <w:noProof/>
        </w:rPr>
      </w:pPr>
      <w:r>
        <w:rPr>
          <w:noProof/>
        </w:rPr>
        <w:t xml:space="preserve">Fáze analytická - </w:t>
      </w:r>
      <w:r w:rsidRPr="005D291E">
        <w:rPr>
          <w:noProof/>
        </w:rPr>
        <w:t>výstupem je zmapování výchozího stavu v oblasti sociálních služeb na území kraje a znalost hlavního směřování v oblasti sociálních služeb</w:t>
      </w:r>
      <w:r>
        <w:rPr>
          <w:noProof/>
        </w:rPr>
        <w:t>. Pro tuto fázi byly využity informace získané v rámci působnosti krajského úřadu, údaje zpracované v souvislosti s výkonem sociální práce na úrovni SO ORP, dostupné informace z Registru poskytovatelů, Informačního systému MPSV, aplikace KISSoS a ČSÚ, a dalších orgámů a institucí veřejné správy;</w:t>
      </w:r>
    </w:p>
    <w:p w:rsidR="00AF4350" w:rsidRDefault="00AF4350" w:rsidP="00874900">
      <w:pPr>
        <w:pStyle w:val="SPRSodrky"/>
        <w:rPr>
          <w:noProof/>
        </w:rPr>
      </w:pPr>
      <w:r>
        <w:rPr>
          <w:noProof/>
        </w:rPr>
        <w:t xml:space="preserve">Fáze </w:t>
      </w:r>
      <w:r w:rsidRPr="003D4968">
        <w:rPr>
          <w:noProof/>
        </w:rPr>
        <w:t>strategická –</w:t>
      </w:r>
      <w:r>
        <w:rPr>
          <w:noProof/>
        </w:rPr>
        <w:t xml:space="preserve"> veškeré zjištěné skutečnosti</w:t>
      </w:r>
      <w:r w:rsidRPr="003D4968">
        <w:rPr>
          <w:noProof/>
        </w:rPr>
        <w:t xml:space="preserve"> vztahujících se k situaci v základních sociálníc</w:t>
      </w:r>
      <w:r>
        <w:rPr>
          <w:noProof/>
        </w:rPr>
        <w:t>h procesech v území, zmapovaným</w:t>
      </w:r>
      <w:r w:rsidRPr="003D4968">
        <w:rPr>
          <w:noProof/>
        </w:rPr>
        <w:t xml:space="preserve"> potřeb</w:t>
      </w:r>
      <w:r>
        <w:rPr>
          <w:noProof/>
        </w:rPr>
        <w:t>ám</w:t>
      </w:r>
      <w:r w:rsidRPr="003D4968">
        <w:rPr>
          <w:noProof/>
        </w:rPr>
        <w:t xml:space="preserve"> uživatelů</w:t>
      </w:r>
      <w:r>
        <w:rPr>
          <w:noProof/>
        </w:rPr>
        <w:t xml:space="preserve"> a osob pečujících, situaci</w:t>
      </w:r>
      <w:r w:rsidRPr="003D4968">
        <w:rPr>
          <w:noProof/>
        </w:rPr>
        <w:t xml:space="preserve"> poskytovatelů z hlediska naplnění kapacit služeb a jejich ekonomické </w:t>
      </w:r>
      <w:r>
        <w:rPr>
          <w:noProof/>
        </w:rPr>
        <w:t xml:space="preserve">situace, potřeb obcí v území, sloužily </w:t>
      </w:r>
      <w:r>
        <w:rPr>
          <w:noProof/>
        </w:rPr>
        <w:lastRenderedPageBreak/>
        <w:t>k určení jednotlivých strategických cílů a jejich rozpracování do vhodných řešení, které se promítly do specifických cílů Střednědobého plánu 2024–2026</w:t>
      </w:r>
      <w:r w:rsidRPr="003D4968">
        <w:rPr>
          <w:noProof/>
        </w:rPr>
        <w:t>;</w:t>
      </w:r>
    </w:p>
    <w:p w:rsidR="00AF4350" w:rsidRPr="003D4968" w:rsidRDefault="00AF4350" w:rsidP="00874900">
      <w:pPr>
        <w:pStyle w:val="SPRSodrky"/>
        <w:rPr>
          <w:noProof/>
        </w:rPr>
      </w:pPr>
      <w:r>
        <w:rPr>
          <w:noProof/>
        </w:rPr>
        <w:t xml:space="preserve">Fáze schvalovací – návrh Střednědobého plánu 2024–2026 byl v transparentním připomínkovém řízení předložen k možnému připomínkování veřejnosti, kdy obdržené příipomínky byly vypořádány v souladu s Pravidly připomínkového řízení. Návrh dokumentu byl připomínkován dotčenými odbory Krajského úřadu a byl předložen k projednání do Komise pro rodinu a sociální záležitosti. Následně byl Střednědobý plán 2024–2026 projednán a schválen v příslušných orgánech kraje – ROK a ZOK;  </w:t>
      </w:r>
    </w:p>
    <w:p w:rsidR="00AF4350" w:rsidRPr="003D4968" w:rsidRDefault="00AF4350" w:rsidP="00874900">
      <w:pPr>
        <w:pStyle w:val="SPRSodrky"/>
        <w:rPr>
          <w:noProof/>
        </w:rPr>
      </w:pPr>
      <w:r w:rsidRPr="003D4968">
        <w:rPr>
          <w:noProof/>
        </w:rPr>
        <w:t>Fáze implementační –</w:t>
      </w:r>
      <w:r>
        <w:rPr>
          <w:noProof/>
        </w:rPr>
        <w:t xml:space="preserve"> </w:t>
      </w:r>
      <w:r w:rsidRPr="003D4968">
        <w:rPr>
          <w:noProof/>
        </w:rPr>
        <w:t xml:space="preserve">zaměřena na realizaci cílů Střednědobého plánu </w:t>
      </w:r>
      <w:r>
        <w:rPr>
          <w:noProof/>
        </w:rPr>
        <w:t xml:space="preserve">2024–2026 </w:t>
      </w:r>
      <w:r w:rsidRPr="003D4968">
        <w:rPr>
          <w:noProof/>
        </w:rPr>
        <w:t>a</w:t>
      </w:r>
      <w:r>
        <w:rPr>
          <w:noProof/>
        </w:rPr>
        <w:t> </w:t>
      </w:r>
      <w:r w:rsidRPr="003D4968">
        <w:rPr>
          <w:noProof/>
        </w:rPr>
        <w:t xml:space="preserve">průběžnou evaluaci po celou dobu platnosti strategického dokumentu. Na této fázi se budou úzce spolupodílet jednotlivé PS zařazené v organizační struktuře pro plánování sociálních služeb na krajské úrovni. V průběhu fáze implementační bude naplňování cílů a opatření Střednědobého plánu </w:t>
      </w:r>
      <w:r>
        <w:rPr>
          <w:noProof/>
        </w:rPr>
        <w:t xml:space="preserve">2024–2026 </w:t>
      </w:r>
      <w:r w:rsidRPr="003D4968">
        <w:rPr>
          <w:noProof/>
        </w:rPr>
        <w:t>průběžně monitorováno a vyhodnocováno. V případě zjištění nových skutečností, které mají</w:t>
      </w:r>
      <w:r>
        <w:rPr>
          <w:noProof/>
        </w:rPr>
        <w:t xml:space="preserve"> rozhodný</w:t>
      </w:r>
      <w:r w:rsidRPr="003D4968">
        <w:rPr>
          <w:noProof/>
        </w:rPr>
        <w:t xml:space="preserve"> vliv na aktu</w:t>
      </w:r>
      <w:r>
        <w:rPr>
          <w:noProof/>
        </w:rPr>
        <w:t xml:space="preserve">alizaci cílů, bude provedena </w:t>
      </w:r>
      <w:r w:rsidRPr="003D4968">
        <w:rPr>
          <w:noProof/>
        </w:rPr>
        <w:t xml:space="preserve">aktualizace cílů a opatření v akčním plánu pro příslušný rok; </w:t>
      </w:r>
    </w:p>
    <w:p w:rsidR="00AF4350" w:rsidRPr="00523EC5" w:rsidRDefault="00AF4350" w:rsidP="00874900">
      <w:pPr>
        <w:pStyle w:val="SPRSodrky"/>
        <w:rPr>
          <w:noProof/>
        </w:rPr>
      </w:pPr>
      <w:r w:rsidRPr="003D4968">
        <w:rPr>
          <w:noProof/>
        </w:rPr>
        <w:t xml:space="preserve">Fáze evaluační – výstupem bude evaluační zpráva obsahující vyhodnocení </w:t>
      </w:r>
      <w:r>
        <w:rPr>
          <w:noProof/>
        </w:rPr>
        <w:t xml:space="preserve">daného </w:t>
      </w:r>
      <w:r w:rsidRPr="003D4968">
        <w:rPr>
          <w:noProof/>
        </w:rPr>
        <w:t>období, obsahující podněty pro další plánovací období, případné návrhy na aktualizaci nastavených cílů a opatření strategického dokumentu.</w:t>
      </w:r>
    </w:p>
    <w:p w:rsidR="00AF4350" w:rsidRPr="00A33BC5" w:rsidRDefault="00AF4350" w:rsidP="006E74A8">
      <w:r w:rsidRPr="003C6746">
        <w:t>Ve všech fázích</w:t>
      </w:r>
      <w:r>
        <w:t xml:space="preserve"> tvorby Střednědobého plánu 2024–2026</w:t>
      </w:r>
      <w:r w:rsidRPr="003C6746">
        <w:t xml:space="preserve"> byl brán zřetel </w:t>
      </w:r>
      <w:r>
        <w:t xml:space="preserve">na </w:t>
      </w:r>
      <w:r w:rsidRPr="003C6746">
        <w:t xml:space="preserve">skutečnost, že </w:t>
      </w:r>
      <w:r>
        <w:t>s</w:t>
      </w:r>
      <w:r w:rsidRPr="00A33BC5">
        <w:t>ociální služby jsou určeny pro občany v</w:t>
      </w:r>
      <w:r>
        <w:t> nepříznivé sociální situaci</w:t>
      </w:r>
      <w:r w:rsidRPr="00A33BC5">
        <w:t xml:space="preserve"> po nezbytně nutnou dobu</w:t>
      </w:r>
      <w:r>
        <w:t>,</w:t>
      </w:r>
      <w:r w:rsidRPr="00A33BC5">
        <w:t xml:space="preserve"> mají posilovat jejich sociální začleňování</w:t>
      </w:r>
      <w:r>
        <w:t xml:space="preserve"> a</w:t>
      </w:r>
      <w:r w:rsidR="0075108A">
        <w:t xml:space="preserve"> vést</w:t>
      </w:r>
      <w:r w:rsidRPr="00A33BC5">
        <w:t xml:space="preserve"> k rozvoji samostatnosti, motivovat k činnostem, které nevedou k setrvání nebo prohlubování nepříznivé situace. </w:t>
      </w:r>
    </w:p>
    <w:p w:rsidR="00AF4350" w:rsidRPr="00140773" w:rsidRDefault="00AF4350" w:rsidP="006E74A8">
      <w:pPr>
        <w:pStyle w:val="Tun"/>
      </w:pPr>
      <w:r w:rsidRPr="00140773">
        <w:t>Sociální služby v OK:</w:t>
      </w:r>
    </w:p>
    <w:p w:rsidR="00AF4350" w:rsidRPr="00140773" w:rsidRDefault="00AF4350" w:rsidP="00874900">
      <w:pPr>
        <w:pStyle w:val="SPRSodrky"/>
        <w:numPr>
          <w:ilvl w:val="0"/>
          <w:numId w:val="254"/>
        </w:numPr>
      </w:pPr>
      <w:r w:rsidRPr="00140773">
        <w:t>Jsou poskytovány pouze osobám v nepříznivé sociální situaci, kterou není možné řešit pomocí veřejně dostupných služeb a přirozených zdrojů.</w:t>
      </w:r>
    </w:p>
    <w:p w:rsidR="00AF4350" w:rsidRPr="00140773" w:rsidRDefault="00AF4350" w:rsidP="00874900">
      <w:pPr>
        <w:pStyle w:val="SPRSodrky"/>
        <w:numPr>
          <w:ilvl w:val="0"/>
          <w:numId w:val="254"/>
        </w:numPr>
      </w:pPr>
      <w:r w:rsidRPr="00140773">
        <w:t>Jsou poskytovány uživatelům především v jejich přirozeném/domácím prostředí. Sociální politika kraje usiluje o podporu osob v jejich domácím prostředí. Pobytová zařízení sociálních služeb jsou využívána až v případě, kdy podpora v přirozeném domácím prostředí již není možná. Pobytová zařízení se postupně transformují a humanizují tak, aby zajistila sociální začlenění svých uživatelů v maximální možné míře v přirozeném sociálním prostředí.</w:t>
      </w:r>
    </w:p>
    <w:p w:rsidR="00AF4350" w:rsidRPr="00140773" w:rsidRDefault="00AF4350" w:rsidP="00874900">
      <w:pPr>
        <w:pStyle w:val="SPRSodrky"/>
        <w:numPr>
          <w:ilvl w:val="0"/>
          <w:numId w:val="254"/>
        </w:numPr>
      </w:pPr>
      <w:r w:rsidRPr="00140773">
        <w:t>Jsou poskytovány v komplexní legislativně stanovené šíři a jsou řízeny reálnými potřebami uživatelů. Poskytovatelé sociálních služeb reagují na zjištěné potřeby uživatelů, které se mohou v průběhu poskytování služby měnit. Sociální služby jsou dostupné v místě a čase dle potřeb uživatelů. Rozsah a obsah sociálních služeb odpovídají potřebám uživatelů.</w:t>
      </w:r>
    </w:p>
    <w:p w:rsidR="00AF4350" w:rsidRPr="00140773" w:rsidRDefault="00AF4350" w:rsidP="00874900">
      <w:pPr>
        <w:pStyle w:val="SPRSodrky"/>
        <w:numPr>
          <w:ilvl w:val="0"/>
          <w:numId w:val="254"/>
        </w:numPr>
      </w:pPr>
      <w:r w:rsidRPr="00140773">
        <w:t>Podporují uživatel</w:t>
      </w:r>
      <w:r w:rsidR="00E90A59">
        <w:t>e</w:t>
      </w:r>
      <w:r w:rsidRPr="00140773">
        <w:t xml:space="preserve"> v samostatném a nezávislém životě s cílem předcházet či zamezit jeho sociálnímu vyloučení. </w:t>
      </w:r>
    </w:p>
    <w:p w:rsidR="00AF4350" w:rsidRPr="00140773" w:rsidRDefault="00AF4350" w:rsidP="00874900">
      <w:pPr>
        <w:pStyle w:val="SPRSodrky"/>
        <w:numPr>
          <w:ilvl w:val="0"/>
          <w:numId w:val="254"/>
        </w:numPr>
      </w:pPr>
      <w:r w:rsidRPr="00140773">
        <w:t xml:space="preserve">Posilují sociální začleňování uživatelů a přispívají k jejich integraci do společnosti, případně poskytují intervenci v takové míře, která vede k odvrácení aktuální kritické situace uživatelů. </w:t>
      </w:r>
      <w:bookmarkStart w:id="19" w:name="_Toc22567459"/>
    </w:p>
    <w:p w:rsidR="00AF4350" w:rsidRDefault="00AF4350" w:rsidP="006E74A8"/>
    <w:p w:rsidR="00AF4350" w:rsidRPr="00396ACC" w:rsidRDefault="00AF4350" w:rsidP="00694609">
      <w:pPr>
        <w:pStyle w:val="popistabulkySPRSS2024"/>
      </w:pPr>
      <w:bookmarkStart w:id="20" w:name="_Toc117607021"/>
      <w:r w:rsidRPr="00396ACC">
        <w:lastRenderedPageBreak/>
        <w:t xml:space="preserve">Obrázek </w:t>
      </w:r>
      <w:r w:rsidR="00C140D0">
        <w:rPr>
          <w:noProof/>
        </w:rPr>
        <w:fldChar w:fldCharType="begin"/>
      </w:r>
      <w:r w:rsidR="00C140D0">
        <w:rPr>
          <w:noProof/>
        </w:rPr>
        <w:instrText xml:space="preserve"> SEQ Obrázek \* ARABIC </w:instrText>
      </w:r>
      <w:r w:rsidR="00C140D0">
        <w:rPr>
          <w:noProof/>
        </w:rPr>
        <w:fldChar w:fldCharType="separate"/>
      </w:r>
      <w:r w:rsidR="003A12AF">
        <w:rPr>
          <w:noProof/>
        </w:rPr>
        <w:t>1</w:t>
      </w:r>
      <w:r w:rsidR="00C140D0">
        <w:rPr>
          <w:noProof/>
        </w:rPr>
        <w:fldChar w:fldCharType="end"/>
      </w:r>
      <w:r w:rsidRPr="00396ACC">
        <w:t>: Tři úrovně plánování sociálních služeb</w:t>
      </w:r>
      <w:bookmarkEnd w:id="19"/>
      <w:bookmarkEnd w:id="20"/>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666"/>
      </w:tblGrid>
      <w:tr w:rsidR="00D0553A" w:rsidRPr="003D4968" w:rsidTr="002716B9">
        <w:trPr>
          <w:trHeight w:val="1247"/>
        </w:trPr>
        <w:tc>
          <w:tcPr>
            <w:tcW w:w="3261" w:type="dxa"/>
            <w:vMerge w:val="restart"/>
            <w:vAlign w:val="center"/>
          </w:tcPr>
          <w:p w:rsidR="00AF4350" w:rsidRPr="003D4968" w:rsidRDefault="00AF4350" w:rsidP="006E74A8">
            <w:pPr>
              <w:keepNext/>
              <w:keepLines/>
              <w:rPr>
                <w:rFonts w:eastAsia="Arial Unicode MS"/>
              </w:rPr>
            </w:pPr>
            <w:r w:rsidRPr="003D4968">
              <w:rPr>
                <w:rFonts w:eastAsia="Arial Unicode MS"/>
                <w:noProof/>
              </w:rPr>
              <w:drawing>
                <wp:inline distT="0" distB="0" distL="0" distR="0" wp14:anchorId="2E59B6C3" wp14:editId="18CE2675">
                  <wp:extent cx="1851660" cy="1889760"/>
                  <wp:effectExtent l="0" t="0" r="0" b="0"/>
                  <wp:docPr id="4"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51786" cy="1889889"/>
                          </a:xfrm>
                          <a:prstGeom prst="rect">
                            <a:avLst/>
                          </a:prstGeom>
                          <a:noFill/>
                          <a:ln>
                            <a:noFill/>
                          </a:ln>
                        </pic:spPr>
                      </pic:pic>
                    </a:graphicData>
                  </a:graphic>
                </wp:inline>
              </w:drawing>
            </w:r>
          </w:p>
        </w:tc>
        <w:tc>
          <w:tcPr>
            <w:tcW w:w="5666" w:type="dxa"/>
            <w:shd w:val="clear" w:color="auto" w:fill="FFCCCC"/>
            <w:vAlign w:val="center"/>
          </w:tcPr>
          <w:p w:rsidR="00AF4350" w:rsidRPr="002716B9" w:rsidRDefault="00AF4350" w:rsidP="006E74A8">
            <w:pPr>
              <w:keepNext/>
              <w:keepLines/>
              <w:rPr>
                <w:rFonts w:eastAsia="Arial Unicode MS"/>
                <w:sz w:val="18"/>
              </w:rPr>
            </w:pPr>
            <w:r w:rsidRPr="002716B9">
              <w:rPr>
                <w:rFonts w:eastAsia="Arial Unicode MS"/>
                <w:sz w:val="18"/>
              </w:rPr>
              <w:t>Zákony a vyhlášky, národní politiky/strategie (MPSV Národní strategie rozvoje sociálních služeb na období 2016–2025), koncepce, metodiky (např. Aktualizovaná metodická doporučení pro plánování sociálních služeb, Minimální kritéria kvality plánování rozvoje sociálních služeb na krajské úrovni), národní dotační tituly.</w:t>
            </w:r>
          </w:p>
        </w:tc>
      </w:tr>
      <w:tr w:rsidR="00D0553A" w:rsidRPr="003D4968" w:rsidTr="002716B9">
        <w:trPr>
          <w:trHeight w:val="797"/>
        </w:trPr>
        <w:tc>
          <w:tcPr>
            <w:tcW w:w="3261" w:type="dxa"/>
            <w:vMerge/>
          </w:tcPr>
          <w:p w:rsidR="00AF4350" w:rsidRPr="003D4968" w:rsidRDefault="00AF4350" w:rsidP="006E74A8">
            <w:pPr>
              <w:keepNext/>
              <w:keepLines/>
              <w:rPr>
                <w:rFonts w:eastAsia="Arial Unicode MS"/>
              </w:rPr>
            </w:pPr>
          </w:p>
        </w:tc>
        <w:tc>
          <w:tcPr>
            <w:tcW w:w="5666" w:type="dxa"/>
            <w:shd w:val="clear" w:color="auto" w:fill="E2EFD9" w:themeFill="accent6" w:themeFillTint="33"/>
            <w:vAlign w:val="center"/>
          </w:tcPr>
          <w:p w:rsidR="00AF4350" w:rsidRPr="002716B9" w:rsidRDefault="00AF4350" w:rsidP="006E74A8">
            <w:pPr>
              <w:keepNext/>
              <w:keepLines/>
              <w:rPr>
                <w:rFonts w:eastAsia="Arial Unicode MS"/>
                <w:sz w:val="18"/>
              </w:rPr>
            </w:pPr>
            <w:r w:rsidRPr="002716B9">
              <w:rPr>
                <w:rFonts w:eastAsia="Arial Unicode MS"/>
                <w:sz w:val="18"/>
              </w:rPr>
              <w:t>Střednědobý plán rozvoje sociálních služeb v Olomouckém kraji pro roky 2024–2026, krajské dotační tituly.</w:t>
            </w:r>
          </w:p>
        </w:tc>
      </w:tr>
      <w:tr w:rsidR="00D0553A" w:rsidRPr="003D4968" w:rsidTr="002716B9">
        <w:trPr>
          <w:trHeight w:val="850"/>
        </w:trPr>
        <w:tc>
          <w:tcPr>
            <w:tcW w:w="3261" w:type="dxa"/>
            <w:vMerge/>
          </w:tcPr>
          <w:p w:rsidR="00AF4350" w:rsidRPr="003D4968" w:rsidRDefault="00AF4350" w:rsidP="006E74A8">
            <w:pPr>
              <w:keepNext/>
              <w:keepLines/>
              <w:rPr>
                <w:rFonts w:eastAsia="Arial Unicode MS"/>
              </w:rPr>
            </w:pPr>
          </w:p>
        </w:tc>
        <w:tc>
          <w:tcPr>
            <w:tcW w:w="5666" w:type="dxa"/>
            <w:shd w:val="clear" w:color="auto" w:fill="DDC2E0"/>
            <w:vAlign w:val="center"/>
          </w:tcPr>
          <w:p w:rsidR="00AF4350" w:rsidRPr="002716B9" w:rsidRDefault="00AF4350" w:rsidP="006E74A8">
            <w:pPr>
              <w:keepNext/>
              <w:keepLines/>
              <w:rPr>
                <w:rFonts w:eastAsia="Arial Unicode MS"/>
                <w:sz w:val="18"/>
              </w:rPr>
            </w:pPr>
            <w:r w:rsidRPr="002716B9">
              <w:rPr>
                <w:rFonts w:eastAsia="Arial Unicode MS"/>
                <w:sz w:val="18"/>
              </w:rPr>
              <w:t>Plány sociálních služeb na úrovni OÚORP, dotační tituly na lokální úrovni, spolupráce v rámci dobrovolných svazků obcí apod.</w:t>
            </w:r>
          </w:p>
        </w:tc>
      </w:tr>
    </w:tbl>
    <w:p w:rsidR="00AF4350" w:rsidRPr="00C95B84" w:rsidRDefault="00AF4350" w:rsidP="00A34764">
      <w:pPr>
        <w:pStyle w:val="Zdrojobjektu"/>
      </w:pPr>
      <w:r w:rsidRPr="00C95B84">
        <w:t xml:space="preserve">Zdroj: </w:t>
      </w:r>
      <w:r w:rsidRPr="00D0553A">
        <w:t>ACCENDO</w:t>
      </w:r>
      <w:r w:rsidRPr="00C95B84">
        <w:t xml:space="preserve"> </w:t>
      </w:r>
      <w:r w:rsidR="00D0553A">
        <w:t>(</w:t>
      </w:r>
      <w:r w:rsidRPr="00C95B84">
        <w:t>2019</w:t>
      </w:r>
      <w:r w:rsidR="00D0553A">
        <w:t>)</w:t>
      </w:r>
    </w:p>
    <w:p w:rsidR="00AF4350" w:rsidRDefault="00AF4350" w:rsidP="00FF4F44">
      <w:pPr>
        <w:pStyle w:val="Podtreno"/>
      </w:pPr>
    </w:p>
    <w:p w:rsidR="00AF4350" w:rsidRPr="003D4968" w:rsidRDefault="00AF4350" w:rsidP="006E74A8">
      <w:r>
        <w:t>Z výše uvedeného vyplý</w:t>
      </w:r>
      <w:r w:rsidRPr="003D4968">
        <w:t xml:space="preserve">vá, že základní východiska pro tvorbu Střednědobého plánu </w:t>
      </w:r>
      <w:r>
        <w:t xml:space="preserve">2024–2026 </w:t>
      </w:r>
      <w:r w:rsidRPr="003D4968">
        <w:t xml:space="preserve">jsou navázána na KPSS v návaznosti na: </w:t>
      </w:r>
    </w:p>
    <w:p w:rsidR="00AF4350" w:rsidRPr="003D4968" w:rsidRDefault="00AF4350" w:rsidP="00874900">
      <w:pPr>
        <w:pStyle w:val="SPRSodrky"/>
      </w:pPr>
      <w:r w:rsidRPr="003D4968">
        <w:t>strategické dokumenty a dostupná data z oblasti sociálních služeb na území OK,</w:t>
      </w:r>
    </w:p>
    <w:p w:rsidR="00AF4350" w:rsidRPr="003D4968" w:rsidRDefault="00AF4350" w:rsidP="00874900">
      <w:pPr>
        <w:pStyle w:val="SPRSodrky"/>
      </w:pPr>
      <w:r w:rsidRPr="003D4968">
        <w:t>zjištěnou a vyhodnocenou aktuální potřebnost obyvatel OK v oblasti poskytování sociálních služeb,</w:t>
      </w:r>
    </w:p>
    <w:p w:rsidR="00AF4350" w:rsidRDefault="00AF4350" w:rsidP="00874900">
      <w:pPr>
        <w:pStyle w:val="SPRSodrky"/>
      </w:pPr>
      <w:r w:rsidRPr="003D4968">
        <w:t xml:space="preserve">spolupráci s obcemi a obecními úřady obcí s rozšířenou působností. </w:t>
      </w:r>
    </w:p>
    <w:p w:rsidR="00AF4350" w:rsidRDefault="00AF4350" w:rsidP="006E74A8"/>
    <w:p w:rsidR="00AF4350" w:rsidRDefault="00AF4350" w:rsidP="006E74A8">
      <w:r w:rsidRPr="007D7446">
        <w:t>Proces plánování rozvoje sociálních služeb na krajské úrovni je postaven na spolupráci a komunikaci kraje se všemi aktéry plánování, kterými jsou kraj a obce v roli veře</w:t>
      </w:r>
      <w:r>
        <w:t>jných zadavatelů, poskytovatelé s</w:t>
      </w:r>
      <w:r w:rsidRPr="007D7446">
        <w:t>ociálních služeb a uživatelé</w:t>
      </w:r>
      <w:r>
        <w:t xml:space="preserve">. </w:t>
      </w:r>
    </w:p>
    <w:p w:rsidR="00AF4350" w:rsidRPr="00E734F9" w:rsidRDefault="00AF4350" w:rsidP="00A34764">
      <w:pPr>
        <w:pStyle w:val="Nadpis3"/>
      </w:pPr>
      <w:bookmarkStart w:id="21" w:name="_Toc14167577"/>
      <w:bookmarkStart w:id="22" w:name="_Toc22635683"/>
      <w:bookmarkStart w:id="23" w:name="_Toc22896341"/>
      <w:bookmarkStart w:id="24" w:name="_Toc117606953"/>
      <w:r w:rsidRPr="00E734F9">
        <w:t>Spolupráce s obcemi</w:t>
      </w:r>
      <w:bookmarkEnd w:id="21"/>
      <w:bookmarkEnd w:id="22"/>
      <w:bookmarkEnd w:id="23"/>
      <w:bookmarkEnd w:id="24"/>
    </w:p>
    <w:p w:rsidR="00AF4350" w:rsidRDefault="00AF4350" w:rsidP="006E74A8">
      <w:r>
        <w:t xml:space="preserve">V procesu plánování sociálních služeb na krajské úrovni fungují obce jako jeden z hlavních zdrojů informací a jako neopomenutelný partner v každé z jeho fázi. Zapojení obcí a využití jejich znalostí o situaci na jejich území představuje nezastupitelný prvek celého plánovacího procesu, jehož výstupem je vytvoření nabídky sociálních služeb odpovídající identifikované potřebnosti na daném území. </w:t>
      </w:r>
    </w:p>
    <w:p w:rsidR="00AF4350" w:rsidRDefault="00AF4350" w:rsidP="006E74A8">
      <w:r>
        <w:t xml:space="preserve">Obce </w:t>
      </w:r>
      <w:r w:rsidRPr="003D4968">
        <w:t>dle zákona o sociálních službách § 94 písm. e) sdělují kraji za účelem přípravy a</w:t>
      </w:r>
      <w:r>
        <w:t> </w:t>
      </w:r>
      <w:r w:rsidRPr="003D4968">
        <w:t>realizace střednědobého plánu informace o potřebách poskytování sociálních služeb osobám nebo skupinám osob na území obce, o možnostech uspokojování těchto potřeb prostřednictvím sociálních služeb a o jejich dostupných zdrojích. Úloha obcí vyplývá také ze zákona č. 128/2000 Sb., o obcích (obecní zřízení), ve znění pozdějších předpisů, § 35 odst. 2, dle kterého obce pečují v souladu s místními předpoklady a s místními zvyklostmi o vytváření podmínek pro rozvoj sociální péče a pro uspokojování potřeb svých občanů. Tato povinnost obcí spadá do jejich samostatné působnosti.</w:t>
      </w:r>
    </w:p>
    <w:p w:rsidR="00AF4350" w:rsidRPr="005E25F8" w:rsidRDefault="00AF4350" w:rsidP="006E74A8">
      <w:r>
        <w:t>Na území OK komunitně plánuji všechny OÚORP, které mají pro svá správní území vytvořeny komunitní plány, jejichž tvorba probíhá v souladu s „Metodickou příručkou pro plánování sociálních služeb v obcích s rozšířenou působností v Olomouckém kraji“. OK si prostřednictvím</w:t>
      </w:r>
      <w:r w:rsidRPr="005E25F8">
        <w:rPr>
          <w:rFonts w:asciiTheme="minorHAnsi" w:eastAsiaTheme="minorHAnsi" w:hAnsiTheme="minorHAnsi" w:cstheme="minorBidi"/>
          <w:sz w:val="22"/>
        </w:rPr>
        <w:t xml:space="preserve"> </w:t>
      </w:r>
      <w:r w:rsidRPr="005E25F8">
        <w:t>metodick</w:t>
      </w:r>
      <w:r>
        <w:t>é</w:t>
      </w:r>
      <w:r w:rsidRPr="005E25F8">
        <w:t>, analytick</w:t>
      </w:r>
      <w:r>
        <w:t>é</w:t>
      </w:r>
      <w:r w:rsidRPr="005E25F8">
        <w:t xml:space="preserve"> a evaluační činnost</w:t>
      </w:r>
      <w:r>
        <w:t>i zaměřené</w:t>
      </w:r>
      <w:r w:rsidRPr="005E25F8">
        <w:t xml:space="preserve"> na plánování sociálních služeb na obecní a krajské úrovni</w:t>
      </w:r>
      <w:r>
        <w:t xml:space="preserve"> klade za </w:t>
      </w:r>
      <w:r w:rsidRPr="005E25F8">
        <w:t xml:space="preserve">cíl udržet, podpořit a </w:t>
      </w:r>
      <w:r>
        <w:t>aktualizovat</w:t>
      </w:r>
      <w:r w:rsidRPr="005E25F8">
        <w:t xml:space="preserve"> proces KPSS</w:t>
      </w:r>
      <w:r>
        <w:t xml:space="preserve"> na celém území,</w:t>
      </w:r>
      <w:r w:rsidRPr="005E25F8">
        <w:rPr>
          <w:rFonts w:asciiTheme="minorHAnsi" w:eastAsiaTheme="minorHAnsi" w:hAnsiTheme="minorHAnsi" w:cstheme="minorBidi"/>
          <w:sz w:val="22"/>
        </w:rPr>
        <w:t xml:space="preserve"> </w:t>
      </w:r>
      <w:r w:rsidRPr="005E25F8">
        <w:t>neboť nastavení a udržení optimální, průběžné spolupráce s obcemi a rozvoj procesu KPSS na území celého OK, je pro tuto oblast nezbytné</w:t>
      </w:r>
      <w:r>
        <w:t>.</w:t>
      </w:r>
    </w:p>
    <w:p w:rsidR="00AF4350" w:rsidRPr="00035AF2" w:rsidRDefault="00AF4350" w:rsidP="006E74A8">
      <w:r>
        <w:t>P</w:t>
      </w:r>
      <w:r w:rsidRPr="00035AF2">
        <w:t>rostřednictvím Skupiny ORP, která je zařazena do organizační struktury pro plánování sociálních služeb na krajské úrovni a je složena z vedoucích odborů sociálních věcí OÚORP</w:t>
      </w:r>
      <w:r>
        <w:t xml:space="preserve"> dochází k přenosu</w:t>
      </w:r>
      <w:r w:rsidRPr="00035AF2">
        <w:t xml:space="preserve"> </w:t>
      </w:r>
      <w:r>
        <w:t xml:space="preserve">informací </w:t>
      </w:r>
      <w:r w:rsidRPr="00416AEC">
        <w:t>mezi plánov</w:t>
      </w:r>
      <w:r>
        <w:t>áním na obecní a krajské úrovni.</w:t>
      </w:r>
      <w:r w:rsidRPr="00416AEC">
        <w:t xml:space="preserve"> </w:t>
      </w:r>
      <w:r w:rsidRPr="00035AF2">
        <w:t>Z hlediska získávání aktuálních informací vztahujících se k nastavení sociálních služeb na území ORP je role Skupiny ORP nezastupitelná.</w:t>
      </w:r>
    </w:p>
    <w:p w:rsidR="00AF4350" w:rsidRDefault="00AF4350" w:rsidP="006E74A8">
      <w:r>
        <w:lastRenderedPageBreak/>
        <w:t>V návaznosti na tvorbu Střednědobého plánu 2024–2026 a v souladu s</w:t>
      </w:r>
      <w:r w:rsidRPr="003D4968">
        <w:t xml:space="preserve"> ustanovení</w:t>
      </w:r>
      <w:r>
        <w:t>m</w:t>
      </w:r>
      <w:r w:rsidRPr="003D4968">
        <w:t xml:space="preserve"> § 39a </w:t>
      </w:r>
      <w:r w:rsidRPr="003D4968">
        <w:rPr>
          <w:bCs/>
        </w:rPr>
        <w:t>vyhlášky č.</w:t>
      </w:r>
      <w:r>
        <w:rPr>
          <w:bCs/>
        </w:rPr>
        <w:t> </w:t>
      </w:r>
      <w:r w:rsidRPr="003D4968">
        <w:rPr>
          <w:bCs/>
        </w:rPr>
        <w:t>387/2017 Sb.</w:t>
      </w:r>
      <w:r>
        <w:rPr>
          <w:bCs/>
        </w:rPr>
        <w:t>,</w:t>
      </w:r>
      <w:r w:rsidRPr="003D4968">
        <w:t xml:space="preserve"> </w:t>
      </w:r>
      <w:r>
        <w:t>byly na počátku roku 2022</w:t>
      </w:r>
      <w:r w:rsidRPr="003D4968">
        <w:t xml:space="preserve"> osloveny všechny OÚORP v OK o poskytnutí údajů vztažených k zhodnocení potřeb</w:t>
      </w:r>
      <w:r>
        <w:t>nosti</w:t>
      </w:r>
      <w:r w:rsidRPr="003D4968">
        <w:t xml:space="preserve"> sociálních služeb na svých územích, vycházejících z priorit obcí, komunitních plánů, ze zpracovaných analytických podkladů, znalosti místní situace a sociální práce. Po obdrž</w:t>
      </w:r>
      <w:r>
        <w:t>ení požadovaných informací, bylo uskutečněno</w:t>
      </w:r>
      <w:r w:rsidRPr="003D4968">
        <w:t xml:space="preserve"> s</w:t>
      </w:r>
      <w:r>
        <w:t>e zástupci všech</w:t>
      </w:r>
      <w:r w:rsidRPr="003D4968">
        <w:t xml:space="preserve"> OÚORP</w:t>
      </w:r>
      <w:r>
        <w:t xml:space="preserve"> společné jednání, na kterém byly konkrétní požadavky obcí podrobně projednány. O</w:t>
      </w:r>
      <w:r w:rsidRPr="003D4968">
        <w:t>důvodněn</w:t>
      </w:r>
      <w:r>
        <w:t>é</w:t>
      </w:r>
      <w:r w:rsidRPr="003D4968">
        <w:t xml:space="preserve"> </w:t>
      </w:r>
      <w:r>
        <w:t xml:space="preserve">požadavky </w:t>
      </w:r>
      <w:r w:rsidRPr="003D4968">
        <w:t>z je</w:t>
      </w:r>
      <w:r>
        <w:t xml:space="preserve">dnotlivých OÚORP byly jedním z </w:t>
      </w:r>
      <w:r w:rsidRPr="003D4968">
        <w:t>podkladů pro nastavení specifických cílů a opatření jednotlivýc</w:t>
      </w:r>
      <w:r>
        <w:t>h PS Střednědobého plánu 2024–2026</w:t>
      </w:r>
      <w:r w:rsidRPr="003D4968">
        <w:t>.</w:t>
      </w:r>
      <w:r>
        <w:t xml:space="preserve"> </w:t>
      </w:r>
    </w:p>
    <w:p w:rsidR="00AF4350" w:rsidRPr="00035AF2" w:rsidRDefault="00AF4350" w:rsidP="006E74A8">
      <w:r w:rsidRPr="00035AF2">
        <w:t xml:space="preserve">Od </w:t>
      </w:r>
      <w:r>
        <w:rPr>
          <w:bCs/>
        </w:rPr>
        <w:t>1. 1. 2020 do 31. 6.</w:t>
      </w:r>
      <w:r w:rsidRPr="00035AF2">
        <w:rPr>
          <w:bCs/>
        </w:rPr>
        <w:t xml:space="preserve"> 2022</w:t>
      </w:r>
      <w:r>
        <w:rPr>
          <w:bCs/>
        </w:rPr>
        <w:t xml:space="preserve"> probíhala na území OK </w:t>
      </w:r>
      <w:r w:rsidRPr="00035AF2">
        <w:t xml:space="preserve">realizace </w:t>
      </w:r>
      <w:r>
        <w:t xml:space="preserve">aktivit individuálního projektu </w:t>
      </w:r>
      <w:r w:rsidRPr="00F925FF">
        <w:t>„Podpora plánování sociálních služeb a sociální práce na území Olomouckého kraje v návaznosti na zvyšování jej</w:t>
      </w:r>
      <w:r>
        <w:t>ich dostupnosti a kvality II.“</w:t>
      </w:r>
      <w:r w:rsidRPr="00F925FF">
        <w:t>,</w:t>
      </w:r>
      <w:r>
        <w:t xml:space="preserve"> který byl</w:t>
      </w:r>
      <w:r w:rsidRPr="00F925FF">
        <w:t xml:space="preserve"> spolufinancován Evropským sociálním fondem a státním rozpočtem České republiky v rámci Operačního programu Zaměstnanost </w:t>
      </w:r>
      <w:r>
        <w:t>(dále jen „IP Podpora plánování II“), v rámci kterého byla realizována m</w:t>
      </w:r>
      <w:r w:rsidRPr="00035AF2">
        <w:t>etodická podpora na krajské a</w:t>
      </w:r>
      <w:r>
        <w:t> </w:t>
      </w:r>
      <w:r w:rsidRPr="00035AF2">
        <w:t>místní úrovni, evaluace stávajícího procesu plánování na jednotlivých ORP</w:t>
      </w:r>
      <w:r>
        <w:t xml:space="preserve"> a mimo jiné byl podporován </w:t>
      </w:r>
      <w:r w:rsidRPr="00035AF2">
        <w:t xml:space="preserve">proces </w:t>
      </w:r>
      <w:r>
        <w:t>prohloubení participace obcí</w:t>
      </w:r>
      <w:r w:rsidRPr="00035AF2">
        <w:t xml:space="preserve"> </w:t>
      </w:r>
      <w:r>
        <w:t>na financování</w:t>
      </w:r>
      <w:r w:rsidRPr="00035AF2">
        <w:t xml:space="preserve"> sociálních služeb</w:t>
      </w:r>
      <w:r>
        <w:t>.</w:t>
      </w:r>
    </w:p>
    <w:p w:rsidR="00AF4350" w:rsidRDefault="00AF4350" w:rsidP="006E74A8">
      <w:r>
        <w:t>Hlavním cílem OK je i nadále rozvíjet kvalitu, efektivitu</w:t>
      </w:r>
      <w:r w:rsidRPr="00FB4EEA">
        <w:t xml:space="preserve"> a d</w:t>
      </w:r>
      <w:r>
        <w:t>ostupnost sociálních služeb na svém území, a to i za podpory fina</w:t>
      </w:r>
      <w:r w:rsidR="0075108A">
        <w:t>nčních prostředků z ESF. Od listopadu</w:t>
      </w:r>
      <w:r>
        <w:t xml:space="preserve"> 2022 byla proto na území OK zahájena realizace nového Individuálního projetu</w:t>
      </w:r>
      <w:r w:rsidRPr="00F653D2">
        <w:t xml:space="preserve"> „</w:t>
      </w:r>
      <w:r w:rsidRPr="00FB4EEA">
        <w:t>Podpora plánování sociálních služeb na území Olomouckého kraje</w:t>
      </w:r>
      <w:r w:rsidRPr="00F653D2">
        <w:t xml:space="preserve">“ (dále jen „IP Podpora plánování </w:t>
      </w:r>
      <w:r>
        <w:t>OK</w:t>
      </w:r>
      <w:r w:rsidRPr="00F653D2">
        <w:t>“)</w:t>
      </w:r>
      <w:r>
        <w:t xml:space="preserve"> jehož cílem je </w:t>
      </w:r>
      <w:r w:rsidRPr="00FB4EEA">
        <w:t xml:space="preserve">udržet, podpořit a aktualizovat proces KPSS </w:t>
      </w:r>
      <w:r>
        <w:t>v souladu s </w:t>
      </w:r>
      <w:r w:rsidRPr="00FB4EEA">
        <w:t>dokument</w:t>
      </w:r>
      <w:r>
        <w:t>em</w:t>
      </w:r>
      <w:r w:rsidRPr="00FB4EEA">
        <w:t xml:space="preserve"> Aktualizovaná metodická doporučení pro oblast plánování sociálních služeb (MPSV</w:t>
      </w:r>
      <w:r>
        <w:t>,</w:t>
      </w:r>
      <w:r w:rsidRPr="00FB4EEA">
        <w:t xml:space="preserve"> 2020). </w:t>
      </w:r>
      <w:r>
        <w:t xml:space="preserve">Jedním z hlavních cílů IP </w:t>
      </w:r>
      <w:r w:rsidRPr="00FB4EEA">
        <w:t>je metodická, analytická a evaluační činnost zaměřená na plánování sociálních služeb na obecní a krajské úrovni v návaznosti na modelaci sítě sociálních služeb OK. Dále je záměrem</w:t>
      </w:r>
      <w:r>
        <w:t xml:space="preserve"> OK</w:t>
      </w:r>
      <w:r w:rsidRPr="00FB4EEA">
        <w:t xml:space="preserve"> </w:t>
      </w:r>
      <w:r>
        <w:t>upevnění</w:t>
      </w:r>
      <w:r w:rsidRPr="00FB4EEA">
        <w:t xml:space="preserve"> spolupráce a</w:t>
      </w:r>
      <w:r>
        <w:t> </w:t>
      </w:r>
      <w:r w:rsidRPr="00FB4EEA">
        <w:t>partnerství obcí s krajem na úrovni jednotl</w:t>
      </w:r>
      <w:r>
        <w:t>ivých regionů a motivace obcí k upevnění</w:t>
      </w:r>
      <w:r w:rsidRPr="00FB4EEA">
        <w:t xml:space="preserve"> procesu plánování a</w:t>
      </w:r>
      <w:r>
        <w:t> </w:t>
      </w:r>
      <w:r w:rsidRPr="00FB4EEA">
        <w:t>financován</w:t>
      </w:r>
      <w:r>
        <w:t xml:space="preserve">í sociálních služeb, </w:t>
      </w:r>
      <w:r w:rsidRPr="00FB4EEA">
        <w:t>za účelem zajištění kontinuity procesu, zvýšení vzájemné informovanosti o plánování na míst</w:t>
      </w:r>
      <w:r>
        <w:t>n</w:t>
      </w:r>
      <w:r w:rsidRPr="00FB4EEA">
        <w:t>í i krajské úrovni a získání nových podnětů pro rozvoj</w:t>
      </w:r>
      <w:r>
        <w:t xml:space="preserve"> </w:t>
      </w:r>
      <w:r w:rsidRPr="00FB4EEA">
        <w:t>či aktualizaci sítě sociálních služeb.</w:t>
      </w:r>
    </w:p>
    <w:p w:rsidR="00AF4350" w:rsidRDefault="00AF4350" w:rsidP="006E74A8">
      <w:pPr>
        <w:rPr>
          <w:rFonts w:eastAsia="Arial Unicode MS"/>
          <w:lang w:eastAsia="cs-CZ"/>
        </w:rPr>
      </w:pPr>
    </w:p>
    <w:p w:rsidR="00AF4350" w:rsidRPr="00504446" w:rsidRDefault="00AF4350" w:rsidP="006E74A8">
      <w:pPr>
        <w:rPr>
          <w:rFonts w:eastAsia="Arial Unicode MS"/>
          <w:lang w:eastAsia="cs-CZ"/>
        </w:rPr>
      </w:pPr>
      <w:r w:rsidRPr="00504446">
        <w:rPr>
          <w:rFonts w:eastAsia="Arial Unicode MS"/>
          <w:lang w:eastAsia="cs-CZ"/>
        </w:rPr>
        <w:t xml:space="preserve">Přehled komunitního plánování sociálních služeb v lokalitách OK </w:t>
      </w:r>
    </w:p>
    <w:p w:rsidR="00AF4350" w:rsidRPr="00AE0615" w:rsidRDefault="00AF4350" w:rsidP="00694609">
      <w:pPr>
        <w:pStyle w:val="popistabulkySPRSS2024"/>
      </w:pPr>
      <w:bookmarkStart w:id="25" w:name="_Toc22561849"/>
      <w:bookmarkStart w:id="26" w:name="_Toc117607061"/>
      <w:r w:rsidRPr="004F77A5">
        <w:t>Tabulka</w:t>
      </w:r>
      <w:r w:rsidRPr="00AE0615">
        <w:t xml:space="preserve"> </w:t>
      </w:r>
      <w:r w:rsidR="00C140D0">
        <w:rPr>
          <w:noProof/>
        </w:rPr>
        <w:fldChar w:fldCharType="begin"/>
      </w:r>
      <w:r w:rsidR="00C140D0">
        <w:rPr>
          <w:noProof/>
        </w:rPr>
        <w:instrText xml:space="preserve"> SEQ Tabulka \* ARABIC </w:instrText>
      </w:r>
      <w:r w:rsidR="00C140D0">
        <w:rPr>
          <w:noProof/>
        </w:rPr>
        <w:fldChar w:fldCharType="separate"/>
      </w:r>
      <w:r w:rsidR="003A12AF">
        <w:rPr>
          <w:noProof/>
        </w:rPr>
        <w:t>1</w:t>
      </w:r>
      <w:r w:rsidR="00C140D0">
        <w:rPr>
          <w:noProof/>
        </w:rPr>
        <w:fldChar w:fldCharType="end"/>
      </w:r>
      <w:r w:rsidRPr="00AE0615">
        <w:t xml:space="preserve"> Územní a časová působnost obecních komunitních plánů</w:t>
      </w:r>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530"/>
        <w:gridCol w:w="1765"/>
        <w:gridCol w:w="1205"/>
      </w:tblGrid>
      <w:tr w:rsidR="00AF4350" w:rsidRPr="00284FE4" w:rsidTr="006E74A8">
        <w:trPr>
          <w:trHeight w:val="781"/>
          <w:tblHeader/>
          <w:jc w:val="center"/>
        </w:trPr>
        <w:tc>
          <w:tcPr>
            <w:tcW w:w="336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4350" w:rsidRPr="006E74A8" w:rsidRDefault="00AF4350" w:rsidP="006E74A8">
            <w:pPr>
              <w:spacing w:before="0"/>
              <w:jc w:val="center"/>
              <w:rPr>
                <w:rFonts w:eastAsia="Arial Unicode MS"/>
                <w:b/>
                <w:lang w:eastAsia="cs-CZ"/>
              </w:rPr>
            </w:pPr>
            <w:r w:rsidRPr="006E74A8">
              <w:rPr>
                <w:rFonts w:eastAsia="Arial Unicode MS"/>
                <w:b/>
                <w:lang w:eastAsia="cs-CZ"/>
              </w:rPr>
              <w:t>Komunitní plány</w:t>
            </w:r>
          </w:p>
        </w:tc>
        <w:tc>
          <w:tcPr>
            <w:tcW w:w="9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4350" w:rsidRPr="006E74A8" w:rsidRDefault="00AF4350" w:rsidP="006E74A8">
            <w:pPr>
              <w:spacing w:before="0"/>
              <w:jc w:val="center"/>
              <w:rPr>
                <w:rFonts w:eastAsia="Arial Unicode MS"/>
                <w:b/>
                <w:lang w:eastAsia="cs-CZ"/>
              </w:rPr>
            </w:pPr>
            <w:r w:rsidRPr="006E74A8">
              <w:rPr>
                <w:rFonts w:eastAsia="Arial Unicode MS"/>
                <w:b/>
                <w:lang w:eastAsia="cs-CZ"/>
              </w:rPr>
              <w:t>Územní působnost</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4350" w:rsidRPr="006E74A8" w:rsidRDefault="00AF4350" w:rsidP="006E74A8">
            <w:pPr>
              <w:spacing w:before="0"/>
              <w:jc w:val="center"/>
              <w:rPr>
                <w:rFonts w:eastAsia="Arial Unicode MS"/>
                <w:b/>
                <w:lang w:eastAsia="cs-CZ"/>
              </w:rPr>
            </w:pPr>
            <w:r w:rsidRPr="006E74A8">
              <w:rPr>
                <w:rFonts w:eastAsia="Arial Unicode MS"/>
                <w:b/>
                <w:lang w:eastAsia="cs-CZ"/>
              </w:rPr>
              <w:t>Časová působnost</w:t>
            </w:r>
          </w:p>
        </w:tc>
      </w:tr>
      <w:tr w:rsidR="00AF4350" w:rsidRPr="00284FE4" w:rsidTr="006E74A8">
        <w:trPr>
          <w:trHeight w:val="113"/>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1.</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Komunitní plán sociálních služeb na území SO ORP Šumperk na</w:t>
            </w:r>
            <w:r>
              <w:rPr>
                <w:rFonts w:eastAsia="Arial Unicode MS"/>
                <w:lang w:eastAsia="cs-CZ"/>
              </w:rPr>
              <w:t xml:space="preserve"> období</w:t>
            </w:r>
            <w:r w:rsidRPr="00284FE4">
              <w:rPr>
                <w:rFonts w:eastAsia="Arial Unicode MS"/>
                <w:lang w:eastAsia="cs-CZ"/>
              </w:rPr>
              <w:t xml:space="preserve"> let 2023–2025</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ORP Šumperk</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284FE4" w:rsidRDefault="00AF4350" w:rsidP="006E74A8">
            <w:pPr>
              <w:jc w:val="left"/>
              <w:rPr>
                <w:rFonts w:eastAsia="Arial Unicode MS"/>
                <w:lang w:eastAsia="cs-CZ"/>
              </w:rPr>
            </w:pPr>
            <w:r w:rsidRPr="00284FE4">
              <w:rPr>
                <w:rFonts w:eastAsia="Arial Unicode MS"/>
                <w:lang w:eastAsia="cs-CZ"/>
              </w:rPr>
              <w:t>2023</w:t>
            </w:r>
            <w:r>
              <w:rPr>
                <w:rFonts w:eastAsia="Arial Unicode MS"/>
                <w:lang w:eastAsia="cs-CZ"/>
              </w:rPr>
              <w:t>–</w:t>
            </w:r>
            <w:r w:rsidRPr="00284FE4">
              <w:rPr>
                <w:rFonts w:eastAsia="Arial Unicode MS"/>
                <w:lang w:eastAsia="cs-CZ"/>
              </w:rPr>
              <w:t>2025</w:t>
            </w:r>
          </w:p>
        </w:tc>
      </w:tr>
      <w:tr w:rsidR="00AF4350" w:rsidRPr="00284FE4" w:rsidTr="006E74A8">
        <w:trPr>
          <w:trHeight w:val="113"/>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2.</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Střednědobý plán rozvoje sociálních služeb na Přerovsku na období 2022</w:t>
            </w:r>
            <w:r>
              <w:rPr>
                <w:rFonts w:eastAsia="Arial Unicode MS"/>
                <w:lang w:eastAsia="cs-CZ"/>
              </w:rPr>
              <w:t>–</w:t>
            </w:r>
            <w:r w:rsidRPr="00284FE4">
              <w:rPr>
                <w:rFonts w:eastAsia="Arial Unicode MS"/>
                <w:lang w:eastAsia="cs-CZ"/>
              </w:rPr>
              <w:t>2024</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ORP Přerov</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284FE4" w:rsidRDefault="00AF4350" w:rsidP="006E74A8">
            <w:pPr>
              <w:jc w:val="left"/>
              <w:rPr>
                <w:rFonts w:eastAsia="Arial Unicode MS"/>
                <w:lang w:eastAsia="cs-CZ"/>
              </w:rPr>
            </w:pPr>
            <w:r w:rsidRPr="00284FE4">
              <w:rPr>
                <w:rFonts w:eastAsia="Arial Unicode MS"/>
                <w:lang w:eastAsia="cs-CZ"/>
              </w:rPr>
              <w:t>2022</w:t>
            </w:r>
            <w:r>
              <w:rPr>
                <w:rFonts w:eastAsia="Arial Unicode MS"/>
                <w:lang w:eastAsia="cs-CZ"/>
              </w:rPr>
              <w:t>–</w:t>
            </w:r>
            <w:r w:rsidRPr="00284FE4">
              <w:rPr>
                <w:rFonts w:eastAsia="Arial Unicode MS"/>
                <w:lang w:eastAsia="cs-CZ"/>
              </w:rPr>
              <w:t>2024</w:t>
            </w:r>
          </w:p>
        </w:tc>
      </w:tr>
      <w:tr w:rsidR="00AF4350" w:rsidRPr="00284FE4" w:rsidTr="006E74A8">
        <w:trPr>
          <w:trHeight w:val="113"/>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3.</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6. komunitní plán sociálních služeb Olomoucka na období let 2023–2025</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ORP Olomouc</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284FE4" w:rsidRDefault="00AF4350" w:rsidP="006E74A8">
            <w:pPr>
              <w:jc w:val="left"/>
              <w:rPr>
                <w:rFonts w:eastAsia="Arial Unicode MS"/>
                <w:lang w:eastAsia="cs-CZ"/>
              </w:rPr>
            </w:pPr>
            <w:r w:rsidRPr="00284FE4">
              <w:rPr>
                <w:rFonts w:eastAsia="Arial Unicode MS"/>
                <w:lang w:eastAsia="cs-CZ"/>
              </w:rPr>
              <w:t>2023</w:t>
            </w:r>
            <w:r>
              <w:rPr>
                <w:rFonts w:eastAsia="Arial Unicode MS"/>
                <w:lang w:eastAsia="cs-CZ"/>
              </w:rPr>
              <w:t>–</w:t>
            </w:r>
            <w:r w:rsidRPr="00284FE4">
              <w:rPr>
                <w:rFonts w:eastAsia="Arial Unicode MS"/>
                <w:lang w:eastAsia="cs-CZ"/>
              </w:rPr>
              <w:t>2025</w:t>
            </w:r>
          </w:p>
        </w:tc>
      </w:tr>
      <w:tr w:rsidR="00AF4350" w:rsidRPr="00284FE4" w:rsidTr="006E74A8">
        <w:trPr>
          <w:trHeight w:val="615"/>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4.</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lang w:eastAsia="cs-CZ"/>
              </w:rPr>
            </w:pPr>
            <w:r w:rsidRPr="00284FE4">
              <w:rPr>
                <w:lang w:eastAsia="cs-CZ"/>
              </w:rPr>
              <w:t>Střednědobý plán rozvoje sociálních služeb ORP Hranic pro roky 2023</w:t>
            </w:r>
            <w:r>
              <w:rPr>
                <w:rFonts w:eastAsia="Arial Unicode MS"/>
                <w:lang w:eastAsia="cs-CZ"/>
              </w:rPr>
              <w:t>–</w:t>
            </w:r>
            <w:r w:rsidRPr="00284FE4">
              <w:rPr>
                <w:lang w:eastAsia="cs-CZ"/>
              </w:rPr>
              <w:t>2025</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lang w:eastAsia="cs-CZ"/>
              </w:rPr>
            </w:pPr>
            <w:r w:rsidRPr="00284FE4">
              <w:rPr>
                <w:lang w:eastAsia="cs-CZ"/>
              </w:rPr>
              <w:t>ORP Hranice</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284FE4" w:rsidRDefault="00AF4350" w:rsidP="006E74A8">
            <w:pPr>
              <w:jc w:val="left"/>
              <w:rPr>
                <w:lang w:eastAsia="cs-CZ"/>
              </w:rPr>
            </w:pPr>
            <w:r w:rsidRPr="00284FE4">
              <w:rPr>
                <w:lang w:eastAsia="cs-CZ"/>
              </w:rPr>
              <w:t>2023</w:t>
            </w:r>
            <w:r>
              <w:rPr>
                <w:rFonts w:eastAsia="Arial Unicode MS"/>
                <w:lang w:eastAsia="cs-CZ"/>
              </w:rPr>
              <w:t>–</w:t>
            </w:r>
            <w:r w:rsidRPr="00284FE4">
              <w:rPr>
                <w:lang w:eastAsia="cs-CZ"/>
              </w:rPr>
              <w:t>2025</w:t>
            </w:r>
          </w:p>
        </w:tc>
      </w:tr>
      <w:tr w:rsidR="00AF4350" w:rsidRPr="00284FE4" w:rsidTr="006E74A8">
        <w:trPr>
          <w:trHeight w:val="446"/>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5.</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 xml:space="preserve">Komunitní plán sociálních služeb na </w:t>
            </w:r>
            <w:proofErr w:type="spellStart"/>
            <w:r w:rsidRPr="00284FE4">
              <w:rPr>
                <w:rFonts w:eastAsia="Arial Unicode MS"/>
                <w:lang w:eastAsia="cs-CZ"/>
              </w:rPr>
              <w:t>Uničovsku</w:t>
            </w:r>
            <w:proofErr w:type="spellEnd"/>
            <w:r w:rsidRPr="00284FE4">
              <w:rPr>
                <w:rFonts w:eastAsia="Arial Unicode MS"/>
                <w:lang w:eastAsia="cs-CZ"/>
              </w:rPr>
              <w:t xml:space="preserve"> 2023–2025</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ORP Uničov</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284FE4" w:rsidRDefault="00AF4350" w:rsidP="006E74A8">
            <w:pPr>
              <w:jc w:val="left"/>
              <w:rPr>
                <w:rFonts w:eastAsia="Arial Unicode MS"/>
                <w:lang w:eastAsia="cs-CZ"/>
              </w:rPr>
            </w:pPr>
            <w:r w:rsidRPr="00284FE4">
              <w:rPr>
                <w:rFonts w:eastAsia="Arial Unicode MS"/>
                <w:lang w:eastAsia="cs-CZ"/>
              </w:rPr>
              <w:t>2023</w:t>
            </w:r>
            <w:r>
              <w:rPr>
                <w:rFonts w:eastAsia="Arial Unicode MS"/>
                <w:lang w:eastAsia="cs-CZ"/>
              </w:rPr>
              <w:t>–</w:t>
            </w:r>
            <w:r w:rsidRPr="00284FE4">
              <w:rPr>
                <w:rFonts w:eastAsia="Arial Unicode MS"/>
                <w:lang w:eastAsia="cs-CZ"/>
              </w:rPr>
              <w:t>2025</w:t>
            </w:r>
          </w:p>
        </w:tc>
      </w:tr>
      <w:tr w:rsidR="00AF4350" w:rsidRPr="00284FE4" w:rsidTr="006E74A8">
        <w:trPr>
          <w:trHeight w:val="113"/>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6.</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Střednědobý plán rozvoje sociálních služeb a služeb souvisejících na Jesenicku na období let 2023–2025</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ORP Jeseník</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284FE4" w:rsidRDefault="00AF4350" w:rsidP="006E74A8">
            <w:pPr>
              <w:jc w:val="left"/>
              <w:rPr>
                <w:rFonts w:eastAsia="Arial Unicode MS"/>
                <w:lang w:eastAsia="cs-CZ"/>
              </w:rPr>
            </w:pPr>
            <w:r w:rsidRPr="00284FE4">
              <w:rPr>
                <w:rFonts w:eastAsia="Arial Unicode MS"/>
                <w:lang w:eastAsia="cs-CZ"/>
              </w:rPr>
              <w:t>2023</w:t>
            </w:r>
            <w:r>
              <w:rPr>
                <w:rFonts w:eastAsia="Arial Unicode MS"/>
                <w:lang w:eastAsia="cs-CZ"/>
              </w:rPr>
              <w:t>–</w:t>
            </w:r>
            <w:r w:rsidRPr="00284FE4">
              <w:rPr>
                <w:rFonts w:eastAsia="Arial Unicode MS"/>
                <w:lang w:eastAsia="cs-CZ"/>
              </w:rPr>
              <w:t>2025</w:t>
            </w:r>
          </w:p>
        </w:tc>
      </w:tr>
      <w:tr w:rsidR="00AF4350" w:rsidRPr="00284FE4" w:rsidTr="006E74A8">
        <w:trPr>
          <w:trHeight w:val="113"/>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7.</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IV. Střednědobý plán rozvoje sociálních služeb spr</w:t>
            </w:r>
            <w:r w:rsidR="0075108A">
              <w:rPr>
                <w:rFonts w:eastAsia="Arial Unicode MS"/>
                <w:lang w:eastAsia="cs-CZ"/>
              </w:rPr>
              <w:t>ávního obvodu ORP Mohelnice 2023–2025</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ORP Mohelnice</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284FE4" w:rsidRDefault="00AF4350" w:rsidP="006E74A8">
            <w:pPr>
              <w:jc w:val="left"/>
              <w:rPr>
                <w:rFonts w:eastAsia="Arial Unicode MS"/>
                <w:lang w:eastAsia="cs-CZ"/>
              </w:rPr>
            </w:pPr>
            <w:r w:rsidRPr="00284FE4">
              <w:rPr>
                <w:rFonts w:eastAsia="Arial Unicode MS"/>
                <w:lang w:eastAsia="cs-CZ"/>
              </w:rPr>
              <w:t>2023</w:t>
            </w:r>
            <w:r>
              <w:rPr>
                <w:rFonts w:eastAsia="Arial Unicode MS"/>
                <w:lang w:eastAsia="cs-CZ"/>
              </w:rPr>
              <w:t>–</w:t>
            </w:r>
            <w:r w:rsidRPr="00284FE4">
              <w:rPr>
                <w:rFonts w:eastAsia="Arial Unicode MS"/>
                <w:lang w:eastAsia="cs-CZ"/>
              </w:rPr>
              <w:t>2025</w:t>
            </w:r>
          </w:p>
        </w:tc>
      </w:tr>
      <w:tr w:rsidR="00AF4350" w:rsidRPr="00284FE4" w:rsidTr="006E74A8">
        <w:trPr>
          <w:trHeight w:val="113"/>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lastRenderedPageBreak/>
              <w:t>8.</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 xml:space="preserve">Střednědobý plán rozvoje sociálních služeb na </w:t>
            </w:r>
            <w:proofErr w:type="spellStart"/>
            <w:r w:rsidRPr="00284FE4">
              <w:rPr>
                <w:rFonts w:eastAsia="Arial Unicode MS"/>
                <w:lang w:eastAsia="cs-CZ"/>
              </w:rPr>
              <w:t>Lipensku</w:t>
            </w:r>
            <w:proofErr w:type="spellEnd"/>
            <w:r w:rsidRPr="00284FE4">
              <w:rPr>
                <w:rFonts w:eastAsia="Arial Unicode MS"/>
                <w:lang w:eastAsia="cs-CZ"/>
              </w:rPr>
              <w:t xml:space="preserve"> pro roky 2023–2025</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 xml:space="preserve">ORP Lipník nad Bečvou </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284FE4" w:rsidRDefault="00AF4350" w:rsidP="006E74A8">
            <w:pPr>
              <w:jc w:val="left"/>
              <w:rPr>
                <w:rFonts w:eastAsia="Arial Unicode MS"/>
                <w:lang w:eastAsia="cs-CZ"/>
              </w:rPr>
            </w:pPr>
            <w:r w:rsidRPr="00284FE4">
              <w:rPr>
                <w:rFonts w:eastAsia="Arial Unicode MS"/>
                <w:lang w:eastAsia="cs-CZ"/>
              </w:rPr>
              <w:t>2023</w:t>
            </w:r>
            <w:r>
              <w:rPr>
                <w:rFonts w:eastAsia="Arial Unicode MS"/>
                <w:lang w:eastAsia="cs-CZ"/>
              </w:rPr>
              <w:t>–</w:t>
            </w:r>
            <w:r w:rsidRPr="00284FE4">
              <w:rPr>
                <w:rFonts w:eastAsia="Arial Unicode MS"/>
                <w:lang w:eastAsia="cs-CZ"/>
              </w:rPr>
              <w:t>2025</w:t>
            </w:r>
          </w:p>
        </w:tc>
      </w:tr>
      <w:tr w:rsidR="00AF4350" w:rsidRPr="004A7196" w:rsidTr="006E74A8">
        <w:trPr>
          <w:trHeight w:val="113"/>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3D2B64" w:rsidRDefault="00AF4350" w:rsidP="006E74A8">
            <w:pPr>
              <w:jc w:val="left"/>
              <w:rPr>
                <w:rFonts w:eastAsia="Arial Unicode MS"/>
                <w:lang w:eastAsia="cs-CZ"/>
              </w:rPr>
            </w:pPr>
            <w:r w:rsidRPr="003D2B64">
              <w:rPr>
                <w:rFonts w:eastAsia="Arial Unicode MS"/>
                <w:lang w:eastAsia="cs-CZ"/>
              </w:rPr>
              <w:t>9.</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3D2B64" w:rsidRDefault="00AF4350" w:rsidP="006E74A8">
            <w:pPr>
              <w:jc w:val="left"/>
              <w:rPr>
                <w:rFonts w:eastAsia="Arial Unicode MS"/>
                <w:lang w:eastAsia="cs-CZ"/>
              </w:rPr>
            </w:pPr>
            <w:r w:rsidRPr="003D2B64">
              <w:rPr>
                <w:rFonts w:eastAsia="Arial Unicode MS"/>
                <w:lang w:eastAsia="cs-CZ"/>
              </w:rPr>
              <w:t>Střednědobý plán rozvoje sociálních služeb SO ORP Litovel 2023–2025</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3D2B64" w:rsidRDefault="00AF4350" w:rsidP="006E74A8">
            <w:pPr>
              <w:jc w:val="left"/>
              <w:rPr>
                <w:rFonts w:eastAsia="Arial Unicode MS"/>
                <w:lang w:eastAsia="cs-CZ"/>
              </w:rPr>
            </w:pPr>
            <w:r w:rsidRPr="003D2B64">
              <w:rPr>
                <w:rFonts w:eastAsia="Arial Unicode MS"/>
                <w:lang w:eastAsia="cs-CZ"/>
              </w:rPr>
              <w:t xml:space="preserve">ORP Litovel </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3D2B64" w:rsidRDefault="00AF4350" w:rsidP="006E74A8">
            <w:pPr>
              <w:jc w:val="left"/>
              <w:rPr>
                <w:rFonts w:eastAsia="Arial Unicode MS"/>
                <w:lang w:eastAsia="cs-CZ"/>
              </w:rPr>
            </w:pPr>
            <w:r>
              <w:rPr>
                <w:rFonts w:eastAsia="Arial Unicode MS"/>
                <w:lang w:eastAsia="cs-CZ"/>
              </w:rPr>
              <w:t>2023–</w:t>
            </w:r>
            <w:r w:rsidRPr="003D2B64">
              <w:rPr>
                <w:rFonts w:eastAsia="Arial Unicode MS"/>
                <w:lang w:eastAsia="cs-CZ"/>
              </w:rPr>
              <w:t>2025</w:t>
            </w:r>
          </w:p>
        </w:tc>
      </w:tr>
      <w:tr w:rsidR="00AF4350" w:rsidRPr="00284FE4" w:rsidTr="006E74A8">
        <w:trPr>
          <w:trHeight w:val="113"/>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10.</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 xml:space="preserve">Střednědobý plán rozvoje sociálních služeb na </w:t>
            </w:r>
            <w:proofErr w:type="spellStart"/>
            <w:r w:rsidRPr="00284FE4">
              <w:rPr>
                <w:rFonts w:eastAsia="Arial Unicode MS"/>
                <w:lang w:eastAsia="cs-CZ"/>
              </w:rPr>
              <w:t>Šternbersku</w:t>
            </w:r>
            <w:proofErr w:type="spellEnd"/>
            <w:r w:rsidRPr="00284FE4">
              <w:rPr>
                <w:rFonts w:eastAsia="Arial Unicode MS"/>
                <w:lang w:eastAsia="cs-CZ"/>
              </w:rPr>
              <w:t xml:space="preserve"> na období 2023–2025</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ORP Šternberk</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284FE4" w:rsidRDefault="00AF4350" w:rsidP="006E74A8">
            <w:pPr>
              <w:jc w:val="left"/>
              <w:rPr>
                <w:rFonts w:eastAsia="Arial Unicode MS"/>
                <w:lang w:eastAsia="cs-CZ"/>
              </w:rPr>
            </w:pPr>
            <w:r w:rsidRPr="00284FE4">
              <w:rPr>
                <w:rFonts w:eastAsia="Arial Unicode MS"/>
                <w:lang w:eastAsia="cs-CZ"/>
              </w:rPr>
              <w:t>2023</w:t>
            </w:r>
            <w:r>
              <w:rPr>
                <w:rFonts w:eastAsia="Arial Unicode MS"/>
                <w:lang w:eastAsia="cs-CZ"/>
              </w:rPr>
              <w:t>–</w:t>
            </w:r>
            <w:r w:rsidRPr="00284FE4">
              <w:rPr>
                <w:rFonts w:eastAsia="Arial Unicode MS"/>
                <w:lang w:eastAsia="cs-CZ"/>
              </w:rPr>
              <w:t>2025</w:t>
            </w:r>
          </w:p>
        </w:tc>
      </w:tr>
      <w:tr w:rsidR="00AF4350" w:rsidRPr="00284FE4" w:rsidTr="006E74A8">
        <w:trPr>
          <w:trHeight w:val="113"/>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11.</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Komunitní plán sociálních a navazujících služeb v Zábřehu na období 2023–2025</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ORP Zábřeh</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284FE4" w:rsidRDefault="00AF4350" w:rsidP="006E74A8">
            <w:pPr>
              <w:jc w:val="left"/>
              <w:rPr>
                <w:rFonts w:eastAsia="Arial Unicode MS"/>
                <w:lang w:eastAsia="cs-CZ"/>
              </w:rPr>
            </w:pPr>
            <w:r w:rsidRPr="00284FE4">
              <w:rPr>
                <w:rFonts w:eastAsia="Arial Unicode MS"/>
                <w:lang w:eastAsia="cs-CZ"/>
              </w:rPr>
              <w:t>2023</w:t>
            </w:r>
            <w:r>
              <w:rPr>
                <w:rFonts w:eastAsia="Arial Unicode MS"/>
                <w:lang w:eastAsia="cs-CZ"/>
              </w:rPr>
              <w:t>–</w:t>
            </w:r>
            <w:r w:rsidRPr="00284FE4">
              <w:rPr>
                <w:rFonts w:eastAsia="Arial Unicode MS"/>
                <w:lang w:eastAsia="cs-CZ"/>
              </w:rPr>
              <w:t>2025</w:t>
            </w:r>
          </w:p>
        </w:tc>
      </w:tr>
      <w:tr w:rsidR="00AF4350" w:rsidRPr="00284FE4" w:rsidTr="006E74A8">
        <w:trPr>
          <w:trHeight w:val="113"/>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br w:type="page"/>
              <w:t>12.</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 xml:space="preserve">Střednědobý plán rozvoje sociálních služeb </w:t>
            </w:r>
            <w:proofErr w:type="spellStart"/>
            <w:r w:rsidRPr="00284FE4">
              <w:rPr>
                <w:rFonts w:eastAsia="Arial Unicode MS"/>
                <w:lang w:eastAsia="cs-CZ"/>
              </w:rPr>
              <w:t>Konicka</w:t>
            </w:r>
            <w:proofErr w:type="spellEnd"/>
            <w:r w:rsidRPr="00284FE4">
              <w:rPr>
                <w:rFonts w:eastAsia="Arial Unicode MS"/>
                <w:lang w:eastAsia="cs-CZ"/>
              </w:rPr>
              <w:t xml:space="preserve"> pro roky 2023–2025</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ORP Konice</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284FE4" w:rsidRDefault="00AF4350" w:rsidP="006E74A8">
            <w:pPr>
              <w:jc w:val="left"/>
              <w:rPr>
                <w:rFonts w:eastAsia="Arial Unicode MS"/>
                <w:lang w:eastAsia="cs-CZ"/>
              </w:rPr>
            </w:pPr>
            <w:r w:rsidRPr="00284FE4">
              <w:rPr>
                <w:rFonts w:eastAsia="Arial Unicode MS"/>
                <w:lang w:eastAsia="cs-CZ"/>
              </w:rPr>
              <w:t>2023</w:t>
            </w:r>
            <w:r>
              <w:rPr>
                <w:rFonts w:eastAsia="Arial Unicode MS"/>
                <w:lang w:eastAsia="cs-CZ"/>
              </w:rPr>
              <w:t>–</w:t>
            </w:r>
            <w:r w:rsidRPr="00284FE4">
              <w:rPr>
                <w:rFonts w:eastAsia="Arial Unicode MS"/>
                <w:lang w:eastAsia="cs-CZ"/>
              </w:rPr>
              <w:t>2025</w:t>
            </w:r>
          </w:p>
        </w:tc>
      </w:tr>
      <w:tr w:rsidR="00AF4350" w:rsidRPr="00284FE4" w:rsidTr="006E74A8">
        <w:trPr>
          <w:trHeight w:val="113"/>
          <w:jc w:val="center"/>
        </w:trPr>
        <w:tc>
          <w:tcPr>
            <w:tcW w:w="310"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13.</w:t>
            </w:r>
          </w:p>
        </w:tc>
        <w:tc>
          <w:tcPr>
            <w:tcW w:w="3051"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Střednědobý plán rozvoje sociálních služeb SORP P</w:t>
            </w:r>
            <w:r>
              <w:rPr>
                <w:rFonts w:eastAsia="Arial Unicode MS"/>
                <w:lang w:eastAsia="cs-CZ"/>
              </w:rPr>
              <w:t>rostějov 2023</w:t>
            </w:r>
            <w:r w:rsidRPr="00284FE4">
              <w:rPr>
                <w:rFonts w:eastAsia="Arial Unicode MS"/>
                <w:lang w:eastAsia="cs-CZ"/>
              </w:rPr>
              <w:t>–2025</w:t>
            </w:r>
          </w:p>
        </w:tc>
        <w:tc>
          <w:tcPr>
            <w:tcW w:w="974" w:type="pct"/>
            <w:tcBorders>
              <w:top w:val="single" w:sz="4" w:space="0" w:color="auto"/>
              <w:left w:val="single" w:sz="4" w:space="0" w:color="auto"/>
              <w:bottom w:val="single" w:sz="4" w:space="0" w:color="auto"/>
              <w:right w:val="single" w:sz="4" w:space="0" w:color="auto"/>
            </w:tcBorders>
            <w:vAlign w:val="center"/>
            <w:hideMark/>
          </w:tcPr>
          <w:p w:rsidR="00AF4350" w:rsidRPr="00284FE4" w:rsidRDefault="00AF4350" w:rsidP="006E74A8">
            <w:pPr>
              <w:jc w:val="left"/>
              <w:rPr>
                <w:rFonts w:eastAsia="Arial Unicode MS"/>
                <w:lang w:eastAsia="cs-CZ"/>
              </w:rPr>
            </w:pPr>
            <w:r w:rsidRPr="00284FE4">
              <w:rPr>
                <w:rFonts w:eastAsia="Arial Unicode MS"/>
                <w:lang w:eastAsia="cs-CZ"/>
              </w:rPr>
              <w:t>ORP Prostějov</w:t>
            </w:r>
          </w:p>
        </w:tc>
        <w:tc>
          <w:tcPr>
            <w:tcW w:w="665" w:type="pct"/>
            <w:tcBorders>
              <w:top w:val="single" w:sz="4" w:space="0" w:color="auto"/>
              <w:left w:val="single" w:sz="4" w:space="0" w:color="auto"/>
              <w:bottom w:val="single" w:sz="4" w:space="0" w:color="auto"/>
              <w:right w:val="single" w:sz="4" w:space="0" w:color="auto"/>
            </w:tcBorders>
            <w:vAlign w:val="center"/>
          </w:tcPr>
          <w:p w:rsidR="00AF4350" w:rsidRPr="00284FE4" w:rsidRDefault="00AF4350" w:rsidP="006E74A8">
            <w:pPr>
              <w:jc w:val="left"/>
              <w:rPr>
                <w:rFonts w:eastAsia="Arial Unicode MS"/>
                <w:lang w:eastAsia="cs-CZ"/>
              </w:rPr>
            </w:pPr>
            <w:r w:rsidRPr="00284FE4">
              <w:rPr>
                <w:rFonts w:eastAsia="Arial Unicode MS"/>
                <w:lang w:eastAsia="cs-CZ"/>
              </w:rPr>
              <w:t>2023</w:t>
            </w:r>
            <w:r>
              <w:rPr>
                <w:rFonts w:eastAsia="Arial Unicode MS"/>
                <w:lang w:eastAsia="cs-CZ"/>
              </w:rPr>
              <w:t>–</w:t>
            </w:r>
            <w:r w:rsidRPr="00284FE4">
              <w:rPr>
                <w:rFonts w:eastAsia="Arial Unicode MS"/>
                <w:lang w:eastAsia="cs-CZ"/>
              </w:rPr>
              <w:t>2025</w:t>
            </w:r>
          </w:p>
        </w:tc>
      </w:tr>
    </w:tbl>
    <w:p w:rsidR="00AF4350" w:rsidRDefault="00AF4350" w:rsidP="00A34764">
      <w:pPr>
        <w:rPr>
          <w:rFonts w:eastAsia="Arial Unicode MS"/>
          <w:lang w:eastAsia="cs-CZ"/>
        </w:rPr>
      </w:pPr>
    </w:p>
    <w:p w:rsidR="00AF4350" w:rsidRPr="00AE0615" w:rsidRDefault="00AF4350" w:rsidP="00A34764">
      <w:pPr>
        <w:rPr>
          <w:rFonts w:eastAsia="Arial Unicode MS"/>
          <w:lang w:eastAsia="cs-CZ"/>
        </w:rPr>
      </w:pPr>
      <w:r w:rsidRPr="00AE0615">
        <w:rPr>
          <w:rFonts w:eastAsia="Arial Unicode MS"/>
          <w:lang w:eastAsia="cs-CZ"/>
        </w:rPr>
        <w:t>Komunitní plány jsou dostupné na webových stránkách jednotlivých měst.</w:t>
      </w:r>
    </w:p>
    <w:p w:rsidR="00AF4350" w:rsidRPr="006B4C17" w:rsidRDefault="00AF4350" w:rsidP="00A34764">
      <w:pPr>
        <w:pStyle w:val="Nadpis3"/>
      </w:pPr>
      <w:bookmarkStart w:id="27" w:name="_Toc14167578"/>
      <w:bookmarkStart w:id="28" w:name="_Toc22635684"/>
      <w:bookmarkStart w:id="29" w:name="_Toc22896342"/>
      <w:bookmarkStart w:id="30" w:name="_Toc117606954"/>
      <w:r w:rsidRPr="006B4C17">
        <w:t>Spolupráce s poskytovateli sociálních služeb a osobami, kterým jsou sociální služby poskytovány</w:t>
      </w:r>
      <w:bookmarkEnd w:id="27"/>
      <w:bookmarkEnd w:id="28"/>
      <w:bookmarkEnd w:id="29"/>
      <w:bookmarkEnd w:id="30"/>
      <w:r w:rsidRPr="006B4C17">
        <w:t xml:space="preserve"> </w:t>
      </w:r>
    </w:p>
    <w:p w:rsidR="00AF4350" w:rsidRDefault="00AF4350" w:rsidP="0018173A">
      <w:r>
        <w:t>V průběhu jednotlivých plánovacích období, a to již od roku 2008, kdy byl schválen první Střednědobý plán rozvoje sociálních služeb, je proces plánování sociálních služeb na krajské úrovni neustále prohlubován a zkvalitňován. Zapojením všech zainteresovaných aktérů získává OK důležité informace o potřebách osob v kraji, které jsou nezbytné pro plánování sociálních služeb a jejich propojení do efektivní a udržitelné sítě sociálních služeb.</w:t>
      </w:r>
    </w:p>
    <w:p w:rsidR="00AF4350" w:rsidRPr="00E5445D" w:rsidRDefault="00AF4350" w:rsidP="0018173A">
      <w:r w:rsidRPr="00E5445D">
        <w:t xml:space="preserve">Poskytovatelé sociálních služeb, jako stěžejní subjekty plánovacího procesu, jsou na krajské úrovni zapojeni především prostřednictvím </w:t>
      </w:r>
      <w:r>
        <w:t xml:space="preserve">webové aplikace </w:t>
      </w:r>
      <w:proofErr w:type="spellStart"/>
      <w:r>
        <w:t>KISSoS</w:t>
      </w:r>
      <w:proofErr w:type="spellEnd"/>
      <w:r>
        <w:t>, která</w:t>
      </w:r>
      <w:r w:rsidRPr="00E5445D">
        <w:t xml:space="preserve"> slouží jako nástroj pro získávání, uchovávání a zobrazování dat ze strany poskytovatelů sociálních služeb a je využíván</w:t>
      </w:r>
      <w:r>
        <w:t>a</w:t>
      </w:r>
      <w:r w:rsidRPr="00E5445D">
        <w:t xml:space="preserve"> nejen při plnění pracovních agend zaměstnanců KÚOK (resp. OSV), ale možnost pracovat s daty mají i poskytovatelé sociálních služeb, zástupci obcí OK a koordinátoři plánování sociálních služeb na území OK. Data jsou rovněž využívána v rámci meziodborové spolupráce v rámci KÚOK či k plnění úkolů a požadavků ze strany ústředních orgánů státní správy.</w:t>
      </w:r>
    </w:p>
    <w:p w:rsidR="00AF4350" w:rsidRPr="00E5445D" w:rsidRDefault="00AF4350" w:rsidP="0018173A">
      <w:r w:rsidRPr="00E5445D">
        <w:t>V průběhu let docházelo k postupnému rozšiřování systému, kdy v reakci na navyšování počtu spravovaných agend v samosprávné i přenesené působnosti OK (odpovědnost kraje za rozhodování o</w:t>
      </w:r>
      <w:r>
        <w:t> </w:t>
      </w:r>
      <w:r w:rsidRPr="00E5445D">
        <w:t xml:space="preserve">přerozdělení výše dotace ze státního rozpočtu sociálním službám, nastavování a modelace sítě sociálních služeb, koordinace a plánování sociálních služeb, s ohledem na identifikovanou potřebnost na území OK), vznikaly nové, specificky zaměřené moduly. </w:t>
      </w:r>
    </w:p>
    <w:p w:rsidR="00AF4350" w:rsidRPr="00E5445D" w:rsidRDefault="00AF4350" w:rsidP="0018173A">
      <w:r w:rsidRPr="00E5445D">
        <w:t xml:space="preserve">Prostřednictvím </w:t>
      </w:r>
      <w:proofErr w:type="spellStart"/>
      <w:r w:rsidRPr="00E5445D">
        <w:t>KISSoS</w:t>
      </w:r>
      <w:proofErr w:type="spellEnd"/>
      <w:r w:rsidRPr="00E5445D">
        <w:t xml:space="preserve"> </w:t>
      </w:r>
      <w:r>
        <w:t>OK</w:t>
      </w:r>
      <w:r w:rsidRPr="00E5445D">
        <w:t xml:space="preserve"> získává mj. rámcový přehled o stavu a činnosti sociálních služeb v území či aktuální územní působnosti sociálních služeb (modul </w:t>
      </w:r>
      <w:proofErr w:type="spellStart"/>
      <w:r w:rsidRPr="00E5445D">
        <w:t>Benchmarking</w:t>
      </w:r>
      <w:proofErr w:type="spellEnd"/>
      <w:r w:rsidRPr="00E5445D">
        <w:t>), informaci o volných kapacitách a</w:t>
      </w:r>
      <w:r>
        <w:t> </w:t>
      </w:r>
      <w:r w:rsidRPr="00E5445D">
        <w:t xml:space="preserve">počtu žadatelů a žadatelek o vybrané pobytové služby sociální péče (modul Evidence žadatelů), je využíván při spolupráci s obecními úřady II. a III. typu v návaznosti na úkoly vyplývající z ustanovení § 92 a § 93 zákona o sociálních službách (Modul Obce – potřebnost sociálních služeb). </w:t>
      </w:r>
    </w:p>
    <w:p w:rsidR="00AF4350" w:rsidRPr="00E5445D" w:rsidRDefault="00AF4350" w:rsidP="0018173A">
      <w:r w:rsidRPr="00E5445D">
        <w:t>Vybrané údaje jsou navázány na elektronický katalog Poskytovatelů sociálních a vybraných zdravotních služeb v Olomouckém kraji, který je určen pro širokou veřejnost vč. možnosti odeslání formuláře s</w:t>
      </w:r>
      <w:r>
        <w:t> </w:t>
      </w:r>
      <w:r w:rsidRPr="00E5445D">
        <w:t xml:space="preserve">žádostí o řešení nepříznivé sociální situace – jde o možnost dát informaci, kdy se člověk nachází </w:t>
      </w:r>
      <w:r w:rsidRPr="00E5445D">
        <w:lastRenderedPageBreak/>
        <w:t>v nepříznivé sociální situaci, a tato informace se dostane k určeným zaměstnancům OSV a sociálních pracovníků měst a obcí (Formulář pro občany v nepříznivé sociální situaci).</w:t>
      </w:r>
    </w:p>
    <w:p w:rsidR="00AF4350" w:rsidRPr="007E735D" w:rsidRDefault="00AF4350" w:rsidP="0018173A">
      <w:r>
        <w:t>Nezastupitelné místo mají zástupci poskytovatelů sociálních služeb také</w:t>
      </w:r>
      <w:r w:rsidRPr="00AE0615">
        <w:t xml:space="preserve"> v PS pro střednědobé plánování sociá</w:t>
      </w:r>
      <w:r>
        <w:t>lních služeb na krajské úrovni. Zapojením poskytovatelů sociálních služeb do plánování získává OK informace o potřebách stávajících uživatelů služby a žadatelů o poskytování sociální služby. OK na každoročních pravidelných setkáních informuje poskytovatele sociálních služeb o svých záměrech v oblasti plánování a financování sociálních služeb a předává aktuální informace k aktualizaci sítě sociálních služeb na území OK.</w:t>
      </w:r>
    </w:p>
    <w:p w:rsidR="00AF4350" w:rsidRPr="007E735D" w:rsidRDefault="00AF4350" w:rsidP="0018173A">
      <w:r>
        <w:t>O</w:t>
      </w:r>
      <w:r w:rsidRPr="007E735D">
        <w:t>soby, kterým js</w:t>
      </w:r>
      <w:r>
        <w:t xml:space="preserve">ou sociální služby poskytovány a osoby pečující, </w:t>
      </w:r>
      <w:r w:rsidRPr="007E735D">
        <w:t>jsou do procesu plán</w:t>
      </w:r>
      <w:r>
        <w:t>ování zapojeny</w:t>
      </w:r>
      <w:r w:rsidRPr="007E735D">
        <w:t xml:space="preserve"> prostřednictvím členství v PS, a to především na obecní úrovni. Zejména zapojením stávajících i </w:t>
      </w:r>
      <w:r>
        <w:t>případných</w:t>
      </w:r>
      <w:r w:rsidRPr="007E735D">
        <w:t xml:space="preserve"> uživatelů sociálních služeb do procesu plánování na místní úrovni je možno identifikovat a</w:t>
      </w:r>
      <w:r>
        <w:t> </w:t>
      </w:r>
      <w:r w:rsidRPr="007E735D">
        <w:t xml:space="preserve">následně promítnout zjištěnou potřebnost </w:t>
      </w:r>
      <w:r>
        <w:t xml:space="preserve">poskytování sociálních služeb </w:t>
      </w:r>
      <w:r w:rsidRPr="007E735D">
        <w:t xml:space="preserve">do strategických dokumentů na místní a krajské úrovni. </w:t>
      </w:r>
    </w:p>
    <w:p w:rsidR="00AF4350" w:rsidRPr="00A26E7F" w:rsidRDefault="00AF4350" w:rsidP="0018173A">
      <w:r>
        <w:t>P</w:t>
      </w:r>
      <w:r w:rsidRPr="00A26E7F">
        <w:t xml:space="preserve">rostřednictvím </w:t>
      </w:r>
      <w:r>
        <w:t>uveřejněné výzvy na úřední desce OK a webových stránek OK byla veřejnost informována o možnosti zasílání</w:t>
      </w:r>
      <w:r w:rsidRPr="00A26E7F">
        <w:t xml:space="preserve"> podnětů a připomínek k zajištění a rozvoji sociálních služeb na území </w:t>
      </w:r>
      <w:r w:rsidR="0075108A">
        <w:t>OK</w:t>
      </w:r>
      <w:r>
        <w:t xml:space="preserve"> a procesu</w:t>
      </w:r>
      <w:r w:rsidRPr="00A26E7F">
        <w:t xml:space="preserve"> tvorby </w:t>
      </w:r>
      <w:r w:rsidRPr="00A26E7F">
        <w:rPr>
          <w:bCs/>
        </w:rPr>
        <w:t>Střednědobého plánu 2024</w:t>
      </w:r>
      <w:r>
        <w:rPr>
          <w:rFonts w:eastAsia="Arial Unicode MS" w:cs="Segoe UI"/>
          <w:sz w:val="18"/>
          <w:szCs w:val="18"/>
          <w:lang w:eastAsia="cs-CZ"/>
        </w:rPr>
        <w:t>–</w:t>
      </w:r>
      <w:r w:rsidRPr="00A26E7F">
        <w:rPr>
          <w:bCs/>
        </w:rPr>
        <w:t>2026.</w:t>
      </w:r>
      <w:r>
        <w:rPr>
          <w:b/>
          <w:bCs/>
        </w:rPr>
        <w:t xml:space="preserve"> </w:t>
      </w:r>
    </w:p>
    <w:p w:rsidR="0018173A" w:rsidRDefault="00AF4350" w:rsidP="0018173A">
      <w:r>
        <w:t>V rámci připomínkovacího procesu byl návrh Střednědobého plánu 2024</w:t>
      </w:r>
      <w:r>
        <w:rPr>
          <w:rFonts w:eastAsia="Arial Unicode MS" w:cs="Segoe UI"/>
          <w:sz w:val="18"/>
          <w:szCs w:val="18"/>
          <w:lang w:eastAsia="cs-CZ"/>
        </w:rPr>
        <w:t>–</w:t>
      </w:r>
      <w:r>
        <w:t>2026, v souladu se stanovenými pravidly připomínkovacího procesu, s metodickými doporučeními MPSV a vyhláškou</w:t>
      </w:r>
      <w:r w:rsidRPr="00D37807">
        <w:rPr>
          <w:rFonts w:eastAsiaTheme="minorHAnsi" w:cs="Segoe UI"/>
          <w:szCs w:val="20"/>
        </w:rPr>
        <w:t xml:space="preserve"> </w:t>
      </w:r>
      <w:r w:rsidRPr="00D37807">
        <w:t>č. 387/2017 Sb</w:t>
      </w:r>
      <w:r>
        <w:t xml:space="preserve">., </w:t>
      </w:r>
      <w:r w:rsidRPr="007E735D">
        <w:t xml:space="preserve">předložen veřejnosti k připomínkování. </w:t>
      </w:r>
      <w:r>
        <w:t>Informace o možnosti připomínkovat návrh Střednědobého plánu 2024</w:t>
      </w:r>
      <w:r>
        <w:rPr>
          <w:rFonts w:eastAsia="Arial Unicode MS" w:cs="Segoe UI"/>
          <w:sz w:val="18"/>
          <w:szCs w:val="18"/>
          <w:lang w:eastAsia="cs-CZ"/>
        </w:rPr>
        <w:t>–</w:t>
      </w:r>
      <w:r>
        <w:t>2026 byla uveřejněna na úřední desce OK a webových stránkách OK. Informace o zveřejnění byla rozeslána elektronicky aktérům v procesu tvorby Střednědobého plánu 2024</w:t>
      </w:r>
      <w:r>
        <w:rPr>
          <w:rFonts w:eastAsia="Arial Unicode MS" w:cs="Segoe UI"/>
          <w:sz w:val="18"/>
          <w:szCs w:val="18"/>
          <w:lang w:eastAsia="cs-CZ"/>
        </w:rPr>
        <w:t>–</w:t>
      </w:r>
      <w:r>
        <w:t xml:space="preserve">2026 včetně zástupců obcí a poskytovatelů. Po vypořádání připomínek byl dokument v rámci schvalovací fáze předložen k projednání ROK a následně byl předložen ke schválení ZOK. </w:t>
      </w:r>
    </w:p>
    <w:p w:rsidR="00AF4350" w:rsidRPr="00AE0615" w:rsidRDefault="00AF4350" w:rsidP="00A34764">
      <w:pPr>
        <w:pStyle w:val="Nadpis2"/>
      </w:pPr>
      <w:bookmarkStart w:id="31" w:name="_Toc14167579"/>
      <w:bookmarkStart w:id="32" w:name="_Toc22896343"/>
      <w:bookmarkStart w:id="33" w:name="_Toc117606955"/>
      <w:r w:rsidRPr="00746530">
        <w:t>Časový</w:t>
      </w:r>
      <w:r w:rsidRPr="00AE0615">
        <w:t xml:space="preserve"> harmonogram přípravy a schválení návrhu střednědobého plánu</w:t>
      </w:r>
      <w:bookmarkEnd w:id="31"/>
      <w:bookmarkEnd w:id="32"/>
      <w:bookmarkEnd w:id="33"/>
    </w:p>
    <w:p w:rsidR="00AF4350" w:rsidRPr="001B7A0C" w:rsidRDefault="00AF4350" w:rsidP="00AF4350">
      <w:pPr>
        <w:pStyle w:val="1text"/>
        <w:rPr>
          <w:rFonts w:cs="Segoe UI"/>
        </w:rPr>
      </w:pPr>
      <w:r w:rsidRPr="001B7A0C">
        <w:rPr>
          <w:rFonts w:cs="Segoe UI"/>
        </w:rPr>
        <w:t xml:space="preserve">ZOK schválilo svým usnesením č. UZ/7/79/2021 ze dne 13. 12. 2021 postup pro zpracování </w:t>
      </w:r>
      <w:r w:rsidRPr="001B7A0C">
        <w:rPr>
          <w:rFonts w:cs="Segoe UI"/>
          <w:bCs/>
        </w:rPr>
        <w:t>Střednědobého plánu rozvoje sociálních služeb v Olomouckém kraji pro roky 2024</w:t>
      </w:r>
      <w:r>
        <w:rPr>
          <w:rFonts w:eastAsia="Arial Unicode MS" w:cs="Segoe UI"/>
          <w:sz w:val="18"/>
          <w:szCs w:val="18"/>
          <w:lang w:eastAsia="cs-CZ"/>
        </w:rPr>
        <w:t>–</w:t>
      </w:r>
      <w:r w:rsidRPr="001B7A0C">
        <w:rPr>
          <w:rFonts w:cs="Segoe UI"/>
          <w:bCs/>
        </w:rPr>
        <w:t>2026. Součástí schváleného materiálu byl také časový harmonogram tvorby Střednědobého plánu 2024</w:t>
      </w:r>
      <w:r>
        <w:rPr>
          <w:rFonts w:eastAsia="Arial Unicode MS" w:cs="Segoe UI"/>
          <w:sz w:val="18"/>
          <w:szCs w:val="18"/>
          <w:lang w:eastAsia="cs-CZ"/>
        </w:rPr>
        <w:t>–</w:t>
      </w:r>
      <w:r w:rsidRPr="001B7A0C">
        <w:rPr>
          <w:rFonts w:cs="Segoe UI"/>
          <w:bCs/>
        </w:rPr>
        <w:t>2026</w:t>
      </w:r>
      <w:r w:rsidRPr="001B7A0C">
        <w:rPr>
          <w:rFonts w:cs="Segoe UI"/>
          <w:b/>
          <w:bCs/>
        </w:rPr>
        <w:t>.</w:t>
      </w:r>
    </w:p>
    <w:p w:rsidR="00AF4350" w:rsidRDefault="00AF4350" w:rsidP="00694609">
      <w:pPr>
        <w:pStyle w:val="popistabulkySPRSS2024"/>
      </w:pPr>
      <w:bookmarkStart w:id="34" w:name="_Toc22561850"/>
      <w:bookmarkStart w:id="35" w:name="_Toc117607062"/>
      <w:r w:rsidRPr="00AE0615">
        <w:t xml:space="preserve">Tabulka </w:t>
      </w:r>
      <w:r w:rsidR="00C140D0">
        <w:rPr>
          <w:noProof/>
        </w:rPr>
        <w:fldChar w:fldCharType="begin"/>
      </w:r>
      <w:r w:rsidR="00C140D0">
        <w:rPr>
          <w:noProof/>
        </w:rPr>
        <w:instrText xml:space="preserve"> SEQ Tabulka \* ARABIC </w:instrText>
      </w:r>
      <w:r w:rsidR="00C140D0">
        <w:rPr>
          <w:noProof/>
        </w:rPr>
        <w:fldChar w:fldCharType="separate"/>
      </w:r>
      <w:r w:rsidR="003A12AF">
        <w:rPr>
          <w:noProof/>
        </w:rPr>
        <w:t>2</w:t>
      </w:r>
      <w:r w:rsidR="00C140D0">
        <w:rPr>
          <w:noProof/>
        </w:rPr>
        <w:fldChar w:fldCharType="end"/>
      </w:r>
      <w:r>
        <w:t>:</w:t>
      </w:r>
      <w:r w:rsidRPr="00AE0615">
        <w:t xml:space="preserve"> Časový harmonogram přípravy a schválení návrhu střednědobého plánu</w:t>
      </w:r>
      <w:bookmarkEnd w:id="34"/>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57"/>
      </w:tblGrid>
      <w:tr w:rsidR="00AF4350" w:rsidRPr="00B80F3D" w:rsidTr="0018173A">
        <w:trPr>
          <w:cantSplit/>
          <w:trHeight w:val="400"/>
          <w:tblHeader/>
        </w:trPr>
        <w:tc>
          <w:tcPr>
            <w:tcW w:w="2405" w:type="dxa"/>
            <w:shd w:val="clear" w:color="auto" w:fill="F2F2F2" w:themeFill="background1" w:themeFillShade="F2"/>
            <w:vAlign w:val="center"/>
          </w:tcPr>
          <w:p w:rsidR="00AF4350" w:rsidRPr="0018173A" w:rsidRDefault="00AF4350" w:rsidP="0018173A">
            <w:pPr>
              <w:spacing w:before="0"/>
              <w:jc w:val="center"/>
              <w:rPr>
                <w:rFonts w:eastAsia="Calibri"/>
                <w:b/>
                <w:lang w:eastAsia="cs-CZ"/>
              </w:rPr>
            </w:pPr>
            <w:r w:rsidRPr="0018173A">
              <w:rPr>
                <w:rFonts w:eastAsia="Calibri"/>
                <w:b/>
                <w:lang w:eastAsia="cs-CZ"/>
              </w:rPr>
              <w:t>Termín</w:t>
            </w:r>
          </w:p>
        </w:tc>
        <w:tc>
          <w:tcPr>
            <w:tcW w:w="6657" w:type="dxa"/>
            <w:shd w:val="clear" w:color="auto" w:fill="F2F2F2" w:themeFill="background1" w:themeFillShade="F2"/>
            <w:vAlign w:val="center"/>
          </w:tcPr>
          <w:p w:rsidR="00AF4350" w:rsidRPr="0018173A" w:rsidRDefault="00AF4350" w:rsidP="0018173A">
            <w:pPr>
              <w:spacing w:before="0"/>
              <w:jc w:val="center"/>
              <w:rPr>
                <w:rFonts w:eastAsia="Calibri"/>
                <w:b/>
                <w:lang w:eastAsia="cs-CZ"/>
              </w:rPr>
            </w:pPr>
            <w:r w:rsidRPr="0018173A">
              <w:rPr>
                <w:rFonts w:eastAsia="Calibri"/>
                <w:b/>
                <w:lang w:eastAsia="cs-CZ"/>
              </w:rPr>
              <w:t>Činnost/proces</w:t>
            </w:r>
          </w:p>
        </w:tc>
      </w:tr>
      <w:tr w:rsidR="00AF4350" w:rsidRPr="00B80F3D" w:rsidTr="0018173A">
        <w:trPr>
          <w:cantSplit/>
        </w:trPr>
        <w:tc>
          <w:tcPr>
            <w:tcW w:w="2405" w:type="dxa"/>
            <w:shd w:val="clear" w:color="auto" w:fill="auto"/>
          </w:tcPr>
          <w:p w:rsidR="00AF4350" w:rsidRPr="0018173A" w:rsidRDefault="00AF4350" w:rsidP="0018173A">
            <w:pPr>
              <w:spacing w:before="0"/>
              <w:jc w:val="left"/>
              <w:rPr>
                <w:rFonts w:eastAsia="Calibri" w:cs="Segoe UI"/>
                <w:b/>
                <w:sz w:val="18"/>
                <w:szCs w:val="18"/>
                <w:lang w:eastAsia="cs-CZ"/>
              </w:rPr>
            </w:pPr>
            <w:r w:rsidRPr="0018173A">
              <w:rPr>
                <w:rFonts w:eastAsia="Calibri" w:cs="Segoe UI"/>
                <w:b/>
                <w:sz w:val="18"/>
                <w:szCs w:val="18"/>
                <w:lang w:eastAsia="cs-CZ"/>
              </w:rPr>
              <w:t xml:space="preserve">říjen – prosinec 2021 </w:t>
            </w:r>
          </w:p>
          <w:p w:rsidR="00AF4350" w:rsidRPr="0018173A" w:rsidRDefault="00AF4350" w:rsidP="0018173A">
            <w:pPr>
              <w:spacing w:before="0"/>
              <w:jc w:val="left"/>
              <w:rPr>
                <w:rFonts w:eastAsia="Calibri" w:cs="Segoe UI"/>
                <w:b/>
                <w:sz w:val="18"/>
                <w:szCs w:val="18"/>
                <w:lang w:eastAsia="cs-CZ"/>
              </w:rPr>
            </w:pPr>
          </w:p>
        </w:tc>
        <w:tc>
          <w:tcPr>
            <w:tcW w:w="6657" w:type="dxa"/>
            <w:shd w:val="clear" w:color="auto" w:fill="auto"/>
          </w:tcPr>
          <w:p w:rsidR="00AF4350" w:rsidRPr="0018173A" w:rsidRDefault="00AF4350" w:rsidP="0018173A">
            <w:pPr>
              <w:spacing w:before="0"/>
              <w:rPr>
                <w:rFonts w:eastAsia="Calibri" w:cs="Segoe UI"/>
                <w:sz w:val="18"/>
                <w:szCs w:val="18"/>
                <w:lang w:eastAsia="cs-CZ"/>
              </w:rPr>
            </w:pPr>
            <w:r w:rsidRPr="0018173A">
              <w:rPr>
                <w:rFonts w:eastAsia="Calibri" w:cs="Segoe UI"/>
                <w:sz w:val="18"/>
                <w:szCs w:val="18"/>
                <w:lang w:eastAsia="cs-CZ"/>
              </w:rPr>
              <w:t xml:space="preserve">Projednání a schválení </w:t>
            </w:r>
            <w:r w:rsidRPr="0018173A">
              <w:rPr>
                <w:rFonts w:cs="Segoe UI"/>
                <w:sz w:val="18"/>
                <w:szCs w:val="18"/>
                <w:lang w:eastAsia="cs-CZ"/>
              </w:rPr>
              <w:t>zpracování Střednědobého plánu 2024</w:t>
            </w:r>
            <w:r w:rsidRPr="0018173A">
              <w:rPr>
                <w:rFonts w:eastAsia="Arial Unicode MS" w:cs="Segoe UI"/>
                <w:sz w:val="18"/>
                <w:szCs w:val="18"/>
                <w:lang w:eastAsia="cs-CZ"/>
              </w:rPr>
              <w:t>–</w:t>
            </w:r>
            <w:r w:rsidRPr="0018173A">
              <w:rPr>
                <w:rFonts w:cs="Segoe UI"/>
                <w:sz w:val="18"/>
                <w:szCs w:val="18"/>
                <w:lang w:eastAsia="cs-CZ"/>
              </w:rPr>
              <w:t>2026 v ROK a ZOK</w:t>
            </w:r>
          </w:p>
          <w:p w:rsidR="00AF4350" w:rsidRPr="0018173A" w:rsidRDefault="00AF4350" w:rsidP="0018173A">
            <w:pPr>
              <w:spacing w:before="0"/>
              <w:rPr>
                <w:rFonts w:eastAsia="Calibri" w:cs="Segoe UI"/>
                <w:sz w:val="18"/>
                <w:szCs w:val="18"/>
                <w:lang w:eastAsia="cs-CZ"/>
              </w:rPr>
            </w:pPr>
            <w:r w:rsidRPr="0018173A">
              <w:rPr>
                <w:rFonts w:cs="Segoe UI"/>
                <w:sz w:val="18"/>
                <w:szCs w:val="18"/>
                <w:lang w:eastAsia="cs-CZ"/>
              </w:rPr>
              <w:t>Projednání a schválení Souhrnné evaluační zprávy o naplňování Střednědobého plánu rozvoje sociálních služeb v Olomouckém kraji pro roky 2018</w:t>
            </w:r>
            <w:r w:rsidRPr="0018173A">
              <w:rPr>
                <w:rFonts w:eastAsia="Arial Unicode MS" w:cs="Segoe UI"/>
                <w:sz w:val="18"/>
                <w:szCs w:val="18"/>
                <w:lang w:eastAsia="cs-CZ"/>
              </w:rPr>
              <w:t>–</w:t>
            </w:r>
            <w:r w:rsidRPr="0018173A">
              <w:rPr>
                <w:rFonts w:cs="Segoe UI"/>
                <w:sz w:val="18"/>
                <w:szCs w:val="18"/>
                <w:lang w:eastAsia="cs-CZ"/>
              </w:rPr>
              <w:t>2020 v ROK a ZOK</w:t>
            </w:r>
          </w:p>
          <w:p w:rsidR="00AF4350" w:rsidRPr="0018173A" w:rsidRDefault="00AF4350" w:rsidP="0018173A">
            <w:pPr>
              <w:spacing w:before="0"/>
              <w:rPr>
                <w:rFonts w:eastAsia="Calibri" w:cs="Segoe UI"/>
                <w:sz w:val="18"/>
                <w:szCs w:val="18"/>
                <w:lang w:eastAsia="cs-CZ"/>
              </w:rPr>
            </w:pPr>
            <w:r w:rsidRPr="0018173A">
              <w:rPr>
                <w:rFonts w:eastAsia="Calibri" w:cs="Segoe UI"/>
                <w:sz w:val="18"/>
                <w:szCs w:val="18"/>
                <w:lang w:eastAsia="cs-CZ"/>
              </w:rPr>
              <w:t>Aktualizace organizační struktury pro plánování sociálních služeb – členů jednotlivých pracovních skupin</w:t>
            </w:r>
          </w:p>
          <w:p w:rsidR="00AF4350" w:rsidRDefault="00AF4350" w:rsidP="0018173A">
            <w:pPr>
              <w:spacing w:before="0"/>
              <w:rPr>
                <w:rFonts w:eastAsia="Calibri" w:cs="Segoe UI"/>
                <w:sz w:val="18"/>
                <w:szCs w:val="18"/>
                <w:lang w:eastAsia="cs-CZ"/>
              </w:rPr>
            </w:pPr>
            <w:r w:rsidRPr="0018173A">
              <w:rPr>
                <w:rFonts w:eastAsia="Calibri" w:cs="Segoe UI"/>
                <w:sz w:val="18"/>
                <w:szCs w:val="18"/>
                <w:lang w:eastAsia="cs-CZ"/>
              </w:rPr>
              <w:t>Zveřejnění informace o schválení zpracování</w:t>
            </w:r>
            <w:r w:rsidRPr="0018173A">
              <w:rPr>
                <w:rFonts w:cs="Segoe UI"/>
                <w:sz w:val="18"/>
                <w:szCs w:val="18"/>
                <w:lang w:eastAsia="cs-CZ"/>
              </w:rPr>
              <w:t xml:space="preserve"> </w:t>
            </w:r>
            <w:r w:rsidRPr="0018173A">
              <w:rPr>
                <w:rFonts w:eastAsia="Calibri" w:cs="Segoe UI"/>
                <w:sz w:val="18"/>
                <w:szCs w:val="18"/>
                <w:lang w:eastAsia="cs-CZ"/>
              </w:rPr>
              <w:t>Střednědobého plánu 2024</w:t>
            </w:r>
            <w:r w:rsidRPr="0018173A">
              <w:rPr>
                <w:rFonts w:eastAsia="Arial Unicode MS" w:cs="Segoe UI"/>
                <w:sz w:val="18"/>
                <w:szCs w:val="18"/>
                <w:lang w:eastAsia="cs-CZ"/>
              </w:rPr>
              <w:t>–</w:t>
            </w:r>
            <w:r w:rsidRPr="0018173A">
              <w:rPr>
                <w:rFonts w:eastAsia="Calibri" w:cs="Segoe UI"/>
                <w:sz w:val="18"/>
                <w:szCs w:val="18"/>
                <w:lang w:eastAsia="cs-CZ"/>
              </w:rPr>
              <w:t>2026 spolu s popisem způsobu možnosti zapojení veřejnosti</w:t>
            </w:r>
          </w:p>
          <w:p w:rsidR="00AF4350" w:rsidRPr="0018173A" w:rsidRDefault="00AF4350" w:rsidP="0018173A">
            <w:pPr>
              <w:spacing w:before="0"/>
              <w:rPr>
                <w:rFonts w:eastAsia="Calibri" w:cs="Segoe UI"/>
                <w:sz w:val="18"/>
                <w:szCs w:val="18"/>
                <w:lang w:eastAsia="cs-CZ"/>
              </w:rPr>
            </w:pPr>
            <w:r w:rsidRPr="0018173A">
              <w:rPr>
                <w:rFonts w:eastAsia="Calibri" w:cs="Segoe UI"/>
                <w:sz w:val="18"/>
                <w:szCs w:val="18"/>
                <w:lang w:eastAsia="cs-CZ"/>
              </w:rPr>
              <w:t>Sběr podkladů pro analytickou část plánu</w:t>
            </w:r>
          </w:p>
        </w:tc>
      </w:tr>
      <w:tr w:rsidR="00AF4350" w:rsidRPr="00B80F3D" w:rsidTr="0018173A">
        <w:trPr>
          <w:cantSplit/>
        </w:trPr>
        <w:tc>
          <w:tcPr>
            <w:tcW w:w="2405" w:type="dxa"/>
            <w:shd w:val="clear" w:color="auto" w:fill="auto"/>
          </w:tcPr>
          <w:p w:rsidR="00AF4350" w:rsidRPr="0018173A" w:rsidRDefault="00AF4350" w:rsidP="0018173A">
            <w:pPr>
              <w:spacing w:before="0"/>
              <w:jc w:val="left"/>
              <w:rPr>
                <w:rFonts w:eastAsia="Calibri" w:cs="Segoe UI"/>
                <w:b/>
                <w:sz w:val="18"/>
                <w:szCs w:val="18"/>
                <w:lang w:eastAsia="cs-CZ"/>
              </w:rPr>
            </w:pPr>
            <w:r w:rsidRPr="0018173A">
              <w:rPr>
                <w:rFonts w:eastAsia="Calibri" w:cs="Segoe UI"/>
                <w:b/>
                <w:sz w:val="18"/>
                <w:szCs w:val="18"/>
                <w:lang w:eastAsia="cs-CZ"/>
              </w:rPr>
              <w:lastRenderedPageBreak/>
              <w:t>prosinec 2021 – březen 2022</w:t>
            </w:r>
          </w:p>
          <w:p w:rsidR="00AF4350" w:rsidRPr="0018173A" w:rsidRDefault="00AF4350" w:rsidP="0018173A">
            <w:pPr>
              <w:spacing w:before="0"/>
              <w:jc w:val="left"/>
              <w:rPr>
                <w:rFonts w:eastAsia="Calibri" w:cs="Segoe UI"/>
                <w:b/>
                <w:sz w:val="18"/>
                <w:szCs w:val="18"/>
                <w:lang w:eastAsia="cs-CZ"/>
              </w:rPr>
            </w:pPr>
          </w:p>
        </w:tc>
        <w:tc>
          <w:tcPr>
            <w:tcW w:w="6657" w:type="dxa"/>
            <w:shd w:val="clear" w:color="auto" w:fill="auto"/>
          </w:tcPr>
          <w:p w:rsidR="00AF4350" w:rsidRPr="0018173A" w:rsidRDefault="00AF4350" w:rsidP="0018173A">
            <w:pPr>
              <w:spacing w:before="0"/>
              <w:rPr>
                <w:rFonts w:eastAsia="Calibri" w:cs="Segoe UI"/>
                <w:sz w:val="18"/>
                <w:szCs w:val="18"/>
                <w:lang w:eastAsia="cs-CZ"/>
              </w:rPr>
            </w:pPr>
            <w:r w:rsidRPr="0018173A">
              <w:rPr>
                <w:rFonts w:eastAsia="Calibri" w:cs="Segoe UI"/>
                <w:sz w:val="18"/>
                <w:szCs w:val="18"/>
                <w:lang w:eastAsia="cs-CZ"/>
              </w:rPr>
              <w:t>Jednání pracovních skupin</w:t>
            </w:r>
          </w:p>
          <w:p w:rsidR="00AF4350" w:rsidRPr="0018173A" w:rsidRDefault="00AF4350" w:rsidP="0018173A">
            <w:pPr>
              <w:spacing w:before="0"/>
              <w:rPr>
                <w:rFonts w:eastAsia="Calibri" w:cs="Segoe UI"/>
                <w:b/>
                <w:sz w:val="18"/>
                <w:szCs w:val="18"/>
                <w:lang w:eastAsia="cs-CZ"/>
              </w:rPr>
            </w:pPr>
            <w:r w:rsidRPr="0018173A">
              <w:rPr>
                <w:rFonts w:eastAsia="Calibri" w:cs="Segoe UI"/>
                <w:b/>
                <w:sz w:val="18"/>
                <w:szCs w:val="18"/>
                <w:lang w:eastAsia="cs-CZ"/>
              </w:rPr>
              <w:t>Výstupy z pracovních skupin:</w:t>
            </w:r>
          </w:p>
          <w:p w:rsidR="00AF4350" w:rsidRPr="0018173A" w:rsidRDefault="00AF4350" w:rsidP="0018173A">
            <w:pPr>
              <w:pStyle w:val="Odstavecseseznamem"/>
              <w:numPr>
                <w:ilvl w:val="0"/>
                <w:numId w:val="46"/>
              </w:numPr>
              <w:spacing w:before="0"/>
              <w:rPr>
                <w:rFonts w:eastAsia="Calibri" w:cs="Segoe UI"/>
                <w:sz w:val="18"/>
                <w:szCs w:val="18"/>
              </w:rPr>
            </w:pPr>
            <w:r w:rsidRPr="0018173A">
              <w:rPr>
                <w:rFonts w:eastAsia="Calibri" w:cs="Segoe UI"/>
                <w:sz w:val="18"/>
                <w:szCs w:val="18"/>
              </w:rPr>
              <w:t>hodnocení potřeb a nepříznivých sociálních situací občanů kraje ve vztahu k sociálním službám</w:t>
            </w:r>
          </w:p>
          <w:p w:rsidR="00AF4350" w:rsidRPr="0018173A" w:rsidRDefault="00AF4350" w:rsidP="0018173A">
            <w:pPr>
              <w:pStyle w:val="Odstavecseseznamem"/>
              <w:numPr>
                <w:ilvl w:val="0"/>
                <w:numId w:val="46"/>
              </w:numPr>
              <w:spacing w:before="0"/>
              <w:rPr>
                <w:rFonts w:eastAsia="Calibri" w:cs="Segoe UI"/>
                <w:sz w:val="18"/>
                <w:szCs w:val="18"/>
              </w:rPr>
            </w:pPr>
            <w:r w:rsidRPr="0018173A">
              <w:rPr>
                <w:rFonts w:eastAsia="Calibri" w:cs="Segoe UI"/>
                <w:sz w:val="18"/>
                <w:szCs w:val="18"/>
              </w:rPr>
              <w:t xml:space="preserve">shrnutí aktuálních informací z obcí (potřebnost sociálních služeb na úrovni SO ORP, výskyt a charakter nepříznivých sociálních situací a potřeb) </w:t>
            </w:r>
          </w:p>
          <w:p w:rsidR="00AF4350" w:rsidRPr="0018173A" w:rsidRDefault="00AF4350" w:rsidP="0018173A">
            <w:pPr>
              <w:pStyle w:val="Odstavecseseznamem"/>
              <w:numPr>
                <w:ilvl w:val="0"/>
                <w:numId w:val="46"/>
              </w:numPr>
              <w:spacing w:before="0"/>
              <w:rPr>
                <w:rFonts w:eastAsia="Calibri" w:cs="Segoe UI"/>
                <w:sz w:val="18"/>
                <w:szCs w:val="18"/>
              </w:rPr>
            </w:pPr>
            <w:r w:rsidRPr="0018173A">
              <w:rPr>
                <w:rFonts w:eastAsia="Calibri" w:cs="Segoe UI"/>
                <w:sz w:val="18"/>
                <w:szCs w:val="18"/>
              </w:rPr>
              <w:t xml:space="preserve">shrnutí známých a zjištěných informací, rámcový výstup s návrhy opatření </w:t>
            </w:r>
          </w:p>
          <w:p w:rsidR="00AF4350" w:rsidRPr="0018173A" w:rsidRDefault="00AF4350" w:rsidP="0018173A">
            <w:pPr>
              <w:pStyle w:val="Odstavecseseznamem"/>
              <w:numPr>
                <w:ilvl w:val="0"/>
                <w:numId w:val="46"/>
              </w:numPr>
              <w:spacing w:before="0"/>
              <w:rPr>
                <w:rFonts w:eastAsia="Calibri" w:cs="Segoe UI"/>
                <w:sz w:val="18"/>
                <w:szCs w:val="18"/>
              </w:rPr>
            </w:pPr>
            <w:r w:rsidRPr="0018173A">
              <w:rPr>
                <w:rFonts w:eastAsia="Calibri" w:cs="Segoe UI"/>
                <w:sz w:val="18"/>
                <w:szCs w:val="18"/>
              </w:rPr>
              <w:t>zjištění současného stavu v oblasti sociálních služeb na území OK</w:t>
            </w:r>
          </w:p>
          <w:p w:rsidR="00AF4350" w:rsidRPr="0018173A" w:rsidRDefault="00AF4350" w:rsidP="0018173A">
            <w:pPr>
              <w:pStyle w:val="Odstavecseseznamem"/>
              <w:numPr>
                <w:ilvl w:val="0"/>
                <w:numId w:val="46"/>
              </w:numPr>
              <w:spacing w:before="0"/>
              <w:rPr>
                <w:rFonts w:eastAsia="Calibri" w:cs="Segoe UI"/>
                <w:sz w:val="18"/>
                <w:szCs w:val="18"/>
              </w:rPr>
            </w:pPr>
            <w:r w:rsidRPr="0018173A">
              <w:rPr>
                <w:rFonts w:eastAsia="Calibri" w:cs="Segoe UI"/>
                <w:sz w:val="18"/>
                <w:szCs w:val="18"/>
              </w:rPr>
              <w:t>SWOT analýza</w:t>
            </w:r>
          </w:p>
          <w:p w:rsidR="00AF4350" w:rsidRPr="0018173A" w:rsidRDefault="00AF4350" w:rsidP="0018173A">
            <w:pPr>
              <w:pStyle w:val="Odstavecseseznamem"/>
              <w:numPr>
                <w:ilvl w:val="0"/>
                <w:numId w:val="46"/>
              </w:numPr>
              <w:spacing w:before="0"/>
              <w:rPr>
                <w:rFonts w:eastAsia="Calibri" w:cs="Segoe UI"/>
                <w:sz w:val="18"/>
                <w:szCs w:val="18"/>
              </w:rPr>
            </w:pPr>
            <w:r w:rsidRPr="0018173A">
              <w:rPr>
                <w:rFonts w:eastAsia="Calibri" w:cs="Segoe UI"/>
                <w:sz w:val="18"/>
                <w:szCs w:val="18"/>
              </w:rPr>
              <w:t xml:space="preserve">zpracování naplnění cílů a opatření za danou PS za rok 2021 </w:t>
            </w:r>
          </w:p>
        </w:tc>
      </w:tr>
      <w:tr w:rsidR="00AF4350" w:rsidRPr="00B80F3D" w:rsidTr="0018173A">
        <w:trPr>
          <w:cantSplit/>
        </w:trPr>
        <w:tc>
          <w:tcPr>
            <w:tcW w:w="2405" w:type="dxa"/>
            <w:shd w:val="clear" w:color="auto" w:fill="auto"/>
          </w:tcPr>
          <w:p w:rsidR="00AF4350" w:rsidRPr="0018173A" w:rsidRDefault="00AF4350" w:rsidP="0018173A">
            <w:pPr>
              <w:spacing w:before="0"/>
              <w:jc w:val="left"/>
              <w:rPr>
                <w:rFonts w:eastAsia="Calibri" w:cs="Segoe UI"/>
                <w:b/>
                <w:sz w:val="18"/>
                <w:szCs w:val="18"/>
                <w:lang w:eastAsia="cs-CZ"/>
              </w:rPr>
            </w:pPr>
            <w:r w:rsidRPr="0018173A">
              <w:rPr>
                <w:rFonts w:eastAsia="Calibri" w:cs="Segoe UI"/>
                <w:b/>
                <w:sz w:val="18"/>
                <w:szCs w:val="18"/>
                <w:lang w:eastAsia="cs-CZ"/>
              </w:rPr>
              <w:t>duben 2022 – červenec 2022</w:t>
            </w:r>
          </w:p>
        </w:tc>
        <w:tc>
          <w:tcPr>
            <w:tcW w:w="6657" w:type="dxa"/>
            <w:shd w:val="clear" w:color="auto" w:fill="auto"/>
          </w:tcPr>
          <w:p w:rsidR="00AF4350" w:rsidRPr="0018173A" w:rsidRDefault="00AF4350" w:rsidP="0018173A">
            <w:pPr>
              <w:spacing w:before="0"/>
              <w:rPr>
                <w:rFonts w:eastAsia="Calibri" w:cs="Segoe UI"/>
                <w:sz w:val="18"/>
                <w:szCs w:val="18"/>
                <w:lang w:eastAsia="cs-CZ"/>
              </w:rPr>
            </w:pPr>
            <w:r w:rsidRPr="0018173A">
              <w:rPr>
                <w:rFonts w:eastAsia="Calibri" w:cs="Segoe UI"/>
                <w:sz w:val="18"/>
                <w:szCs w:val="18"/>
                <w:lang w:eastAsia="cs-CZ"/>
              </w:rPr>
              <w:t>Jednání pracovních skupin</w:t>
            </w:r>
          </w:p>
          <w:p w:rsidR="00AF4350" w:rsidRPr="0018173A" w:rsidRDefault="00AF4350" w:rsidP="0018173A">
            <w:pPr>
              <w:spacing w:before="0"/>
              <w:rPr>
                <w:rFonts w:eastAsia="Calibri" w:cs="Segoe UI"/>
                <w:b/>
                <w:sz w:val="18"/>
                <w:szCs w:val="18"/>
                <w:lang w:eastAsia="cs-CZ"/>
              </w:rPr>
            </w:pPr>
            <w:r w:rsidRPr="0018173A">
              <w:rPr>
                <w:rFonts w:eastAsia="Calibri" w:cs="Segoe UI"/>
                <w:b/>
                <w:sz w:val="18"/>
                <w:szCs w:val="18"/>
                <w:lang w:eastAsia="cs-CZ"/>
              </w:rPr>
              <w:t>Výstupy z pracovních skupin:</w:t>
            </w:r>
          </w:p>
          <w:p w:rsidR="00AF4350" w:rsidRPr="0018173A" w:rsidRDefault="00AF4350" w:rsidP="0018173A">
            <w:pPr>
              <w:pStyle w:val="Odstavecseseznamem"/>
              <w:numPr>
                <w:ilvl w:val="0"/>
                <w:numId w:val="45"/>
              </w:numPr>
              <w:spacing w:before="0"/>
              <w:rPr>
                <w:rFonts w:eastAsia="Calibri" w:cs="Segoe UI"/>
                <w:sz w:val="18"/>
                <w:szCs w:val="18"/>
              </w:rPr>
            </w:pPr>
            <w:r w:rsidRPr="0018173A">
              <w:rPr>
                <w:rFonts w:eastAsia="Calibri" w:cs="Segoe UI"/>
                <w:sz w:val="18"/>
                <w:szCs w:val="18"/>
              </w:rPr>
              <w:t>určení jednotlivých okruhů a oblastí cílů (rozvojové, útlumové), jejich rozpracování do vhodných řešení</w:t>
            </w:r>
          </w:p>
          <w:p w:rsidR="00AF4350" w:rsidRPr="0018173A" w:rsidRDefault="00AF4350" w:rsidP="0018173A">
            <w:pPr>
              <w:pStyle w:val="Odstavecseseznamem"/>
              <w:numPr>
                <w:ilvl w:val="0"/>
                <w:numId w:val="45"/>
              </w:numPr>
              <w:spacing w:before="0"/>
              <w:rPr>
                <w:rFonts w:eastAsia="Calibri" w:cs="Segoe UI"/>
                <w:sz w:val="18"/>
                <w:szCs w:val="18"/>
              </w:rPr>
            </w:pPr>
            <w:r w:rsidRPr="0018173A">
              <w:rPr>
                <w:rFonts w:eastAsia="Calibri" w:cs="Segoe UI"/>
                <w:sz w:val="18"/>
                <w:szCs w:val="18"/>
              </w:rPr>
              <w:t>formulace vhodných variant řešení</w:t>
            </w:r>
          </w:p>
          <w:p w:rsidR="00AF4350" w:rsidRPr="0018173A" w:rsidRDefault="00AF4350" w:rsidP="0018173A">
            <w:pPr>
              <w:pStyle w:val="Odstavecseseznamem"/>
              <w:numPr>
                <w:ilvl w:val="0"/>
                <w:numId w:val="45"/>
              </w:numPr>
              <w:spacing w:before="0"/>
              <w:rPr>
                <w:rFonts w:eastAsia="Calibri" w:cs="Segoe UI"/>
                <w:sz w:val="18"/>
                <w:szCs w:val="18"/>
              </w:rPr>
            </w:pPr>
            <w:r w:rsidRPr="0018173A">
              <w:rPr>
                <w:rFonts w:eastAsia="Calibri" w:cs="Segoe UI"/>
                <w:sz w:val="18"/>
                <w:szCs w:val="18"/>
              </w:rPr>
              <w:t>zvážení přínosů a rizik navrhovaných řešení</w:t>
            </w:r>
          </w:p>
          <w:p w:rsidR="00AF4350" w:rsidRPr="0018173A" w:rsidRDefault="00AF4350" w:rsidP="0018173A">
            <w:pPr>
              <w:pStyle w:val="Odstavecseseznamem"/>
              <w:numPr>
                <w:ilvl w:val="0"/>
                <w:numId w:val="45"/>
              </w:numPr>
              <w:spacing w:before="0"/>
              <w:rPr>
                <w:rFonts w:eastAsia="Calibri" w:cs="Segoe UI"/>
                <w:sz w:val="18"/>
                <w:szCs w:val="18"/>
              </w:rPr>
            </w:pPr>
            <w:r w:rsidRPr="0018173A">
              <w:rPr>
                <w:rFonts w:eastAsia="Calibri" w:cs="Segoe UI"/>
                <w:sz w:val="18"/>
                <w:szCs w:val="18"/>
              </w:rPr>
              <w:t>sumarizace dílčích zjištění do ucelené formy</w:t>
            </w:r>
          </w:p>
          <w:p w:rsidR="00AF4350" w:rsidRPr="0018173A" w:rsidRDefault="00AF4350" w:rsidP="0018173A">
            <w:pPr>
              <w:spacing w:before="0"/>
              <w:rPr>
                <w:rFonts w:eastAsia="Calibri" w:cs="Segoe UI"/>
                <w:sz w:val="18"/>
                <w:szCs w:val="18"/>
                <w:lang w:eastAsia="cs-CZ"/>
              </w:rPr>
            </w:pPr>
            <w:r w:rsidRPr="0018173A">
              <w:rPr>
                <w:rFonts w:eastAsia="Calibri" w:cs="Segoe UI"/>
                <w:sz w:val="18"/>
                <w:szCs w:val="18"/>
                <w:lang w:eastAsia="cs-CZ"/>
              </w:rPr>
              <w:t>Sběr podkladů pro strategickou část plánu</w:t>
            </w:r>
          </w:p>
          <w:p w:rsidR="00AF4350" w:rsidRPr="0018173A" w:rsidRDefault="00AF4350" w:rsidP="0018173A">
            <w:pPr>
              <w:spacing w:before="0"/>
              <w:rPr>
                <w:rFonts w:eastAsia="Calibri" w:cs="Segoe UI"/>
                <w:sz w:val="18"/>
                <w:szCs w:val="18"/>
                <w:lang w:eastAsia="cs-CZ"/>
              </w:rPr>
            </w:pPr>
          </w:p>
          <w:p w:rsidR="00AF4350" w:rsidRPr="0018173A" w:rsidRDefault="00AF4350" w:rsidP="0018173A">
            <w:pPr>
              <w:spacing w:before="0"/>
              <w:rPr>
                <w:rFonts w:eastAsia="Calibri" w:cs="Segoe UI"/>
                <w:b/>
                <w:sz w:val="18"/>
                <w:szCs w:val="18"/>
                <w:lang w:eastAsia="cs-CZ"/>
              </w:rPr>
            </w:pPr>
            <w:r w:rsidRPr="0018173A">
              <w:rPr>
                <w:rFonts w:eastAsia="Calibri" w:cs="Segoe UI"/>
                <w:b/>
                <w:sz w:val="18"/>
                <w:szCs w:val="18"/>
                <w:lang w:eastAsia="cs-CZ"/>
              </w:rPr>
              <w:t xml:space="preserve">Strategická část plánu: </w:t>
            </w:r>
          </w:p>
          <w:p w:rsidR="00AF4350" w:rsidRPr="0018173A" w:rsidRDefault="00AF4350" w:rsidP="0018173A">
            <w:pPr>
              <w:pStyle w:val="Odstavecseseznamem"/>
              <w:numPr>
                <w:ilvl w:val="0"/>
                <w:numId w:val="45"/>
              </w:numPr>
              <w:spacing w:before="0"/>
              <w:rPr>
                <w:rFonts w:eastAsia="Calibri" w:cs="Segoe UI"/>
                <w:sz w:val="18"/>
                <w:szCs w:val="18"/>
              </w:rPr>
            </w:pPr>
            <w:r w:rsidRPr="0018173A">
              <w:rPr>
                <w:rFonts w:eastAsia="Calibri" w:cs="Segoe UI"/>
                <w:sz w:val="18"/>
                <w:szCs w:val="18"/>
              </w:rPr>
              <w:t>srovnání zjištěných potřeb a dostupných zdrojů a navržení opatření a řešení – sumarizace všech zjištění do ucelené podoby</w:t>
            </w:r>
          </w:p>
          <w:p w:rsidR="00AF4350" w:rsidRPr="0018173A" w:rsidRDefault="00AF4350" w:rsidP="0018173A">
            <w:pPr>
              <w:pStyle w:val="Odstavecseseznamem"/>
              <w:numPr>
                <w:ilvl w:val="0"/>
                <w:numId w:val="45"/>
              </w:numPr>
              <w:spacing w:before="0"/>
              <w:rPr>
                <w:rFonts w:eastAsia="Calibri" w:cs="Segoe UI"/>
                <w:sz w:val="18"/>
                <w:szCs w:val="18"/>
              </w:rPr>
            </w:pPr>
            <w:r w:rsidRPr="0018173A">
              <w:rPr>
                <w:rFonts w:eastAsia="Calibri" w:cs="Segoe UI"/>
                <w:sz w:val="18"/>
                <w:szCs w:val="18"/>
              </w:rPr>
              <w:t>určení jednotlivých cílů, priorit a strategických cílů, jejich rozpracování do vhodných řešení a dílčích postupových kroků</w:t>
            </w:r>
          </w:p>
          <w:p w:rsidR="00AF4350" w:rsidRPr="0018173A" w:rsidRDefault="00AF4350" w:rsidP="0018173A">
            <w:pPr>
              <w:pStyle w:val="Odstavecseseznamem"/>
              <w:numPr>
                <w:ilvl w:val="0"/>
                <w:numId w:val="45"/>
              </w:numPr>
              <w:spacing w:before="0"/>
              <w:rPr>
                <w:rFonts w:eastAsia="Calibri" w:cs="Segoe UI"/>
                <w:sz w:val="18"/>
                <w:szCs w:val="18"/>
              </w:rPr>
            </w:pPr>
            <w:r w:rsidRPr="0018173A">
              <w:rPr>
                <w:rFonts w:eastAsia="Calibri" w:cs="Segoe UI"/>
                <w:sz w:val="18"/>
                <w:szCs w:val="18"/>
              </w:rPr>
              <w:t>zpracování návrhů specifických a rámcových cílů a opatření Střednědobého plánu 2024</w:t>
            </w:r>
            <w:r w:rsidRPr="0018173A">
              <w:rPr>
                <w:rFonts w:cs="Segoe UI"/>
                <w:sz w:val="18"/>
                <w:szCs w:val="18"/>
              </w:rPr>
              <w:t>–</w:t>
            </w:r>
            <w:r w:rsidRPr="0018173A">
              <w:rPr>
                <w:rFonts w:eastAsia="Calibri" w:cs="Segoe UI"/>
                <w:sz w:val="18"/>
                <w:szCs w:val="18"/>
              </w:rPr>
              <w:t>2026</w:t>
            </w:r>
          </w:p>
          <w:p w:rsidR="00AF4350" w:rsidRPr="0018173A" w:rsidRDefault="00AF4350" w:rsidP="0018173A">
            <w:pPr>
              <w:pStyle w:val="Odstavecseseznamem"/>
              <w:numPr>
                <w:ilvl w:val="0"/>
                <w:numId w:val="45"/>
              </w:numPr>
              <w:spacing w:before="0"/>
              <w:rPr>
                <w:rFonts w:eastAsia="Calibri" w:cs="Segoe UI"/>
                <w:sz w:val="18"/>
                <w:szCs w:val="18"/>
              </w:rPr>
            </w:pPr>
            <w:r w:rsidRPr="0018173A">
              <w:rPr>
                <w:rFonts w:eastAsia="Calibri" w:cs="Segoe UI"/>
                <w:sz w:val="18"/>
                <w:szCs w:val="18"/>
              </w:rPr>
              <w:t>revize, návrh finančního plánu pro oblast sociálních služeb na období platnosti Střednědobého plánu 2024</w:t>
            </w:r>
            <w:r w:rsidRPr="0018173A">
              <w:rPr>
                <w:rFonts w:cs="Segoe UI"/>
                <w:sz w:val="18"/>
                <w:szCs w:val="18"/>
              </w:rPr>
              <w:t>–</w:t>
            </w:r>
            <w:r w:rsidRPr="0018173A">
              <w:rPr>
                <w:rFonts w:eastAsia="Calibri" w:cs="Segoe UI"/>
                <w:sz w:val="18"/>
                <w:szCs w:val="18"/>
              </w:rPr>
              <w:t>2026</w:t>
            </w:r>
          </w:p>
        </w:tc>
      </w:tr>
      <w:tr w:rsidR="00AF4350" w:rsidRPr="00B80F3D" w:rsidTr="0018173A">
        <w:trPr>
          <w:cantSplit/>
        </w:trPr>
        <w:tc>
          <w:tcPr>
            <w:tcW w:w="2405" w:type="dxa"/>
            <w:shd w:val="clear" w:color="auto" w:fill="auto"/>
          </w:tcPr>
          <w:p w:rsidR="00AF4350" w:rsidRPr="0018173A" w:rsidRDefault="00AF4350" w:rsidP="0018173A">
            <w:pPr>
              <w:spacing w:before="0"/>
              <w:jc w:val="left"/>
              <w:rPr>
                <w:rFonts w:eastAsia="Calibri" w:cs="Segoe UI"/>
                <w:b/>
                <w:sz w:val="18"/>
                <w:szCs w:val="18"/>
                <w:lang w:eastAsia="cs-CZ"/>
              </w:rPr>
            </w:pPr>
            <w:r w:rsidRPr="0018173A">
              <w:rPr>
                <w:rFonts w:eastAsia="Calibri" w:cs="Segoe UI"/>
                <w:b/>
                <w:sz w:val="18"/>
                <w:szCs w:val="18"/>
                <w:lang w:eastAsia="cs-CZ"/>
              </w:rPr>
              <w:t>září 2022</w:t>
            </w:r>
          </w:p>
        </w:tc>
        <w:tc>
          <w:tcPr>
            <w:tcW w:w="6657" w:type="dxa"/>
            <w:shd w:val="clear" w:color="auto" w:fill="auto"/>
          </w:tcPr>
          <w:p w:rsidR="00AF4350" w:rsidRPr="0018173A" w:rsidRDefault="00AF4350" w:rsidP="0018173A">
            <w:pPr>
              <w:pStyle w:val="Odstavecseseznamem"/>
              <w:numPr>
                <w:ilvl w:val="0"/>
                <w:numId w:val="47"/>
              </w:numPr>
              <w:spacing w:before="0"/>
              <w:rPr>
                <w:rFonts w:eastAsia="Calibri" w:cs="Segoe UI"/>
                <w:sz w:val="18"/>
                <w:szCs w:val="18"/>
              </w:rPr>
            </w:pPr>
            <w:r w:rsidRPr="0018173A">
              <w:rPr>
                <w:rFonts w:eastAsia="Calibri" w:cs="Segoe UI"/>
                <w:sz w:val="18"/>
                <w:szCs w:val="18"/>
              </w:rPr>
              <w:t>jednání Skupiny ORP a Krajské koordinační skupiny – představení návrhu Střednědobého plánu 2024</w:t>
            </w:r>
            <w:r w:rsidRPr="0018173A">
              <w:rPr>
                <w:rFonts w:cs="Segoe UI"/>
                <w:sz w:val="18"/>
                <w:szCs w:val="18"/>
              </w:rPr>
              <w:t>–</w:t>
            </w:r>
            <w:r w:rsidRPr="0018173A">
              <w:rPr>
                <w:rFonts w:eastAsia="Calibri" w:cs="Segoe UI"/>
                <w:sz w:val="18"/>
                <w:szCs w:val="18"/>
              </w:rPr>
              <w:t xml:space="preserve">2026 </w:t>
            </w:r>
          </w:p>
          <w:p w:rsidR="00AF4350" w:rsidRPr="0018173A" w:rsidRDefault="00AF4350" w:rsidP="0018173A">
            <w:pPr>
              <w:pStyle w:val="Odstavecseseznamem"/>
              <w:numPr>
                <w:ilvl w:val="0"/>
                <w:numId w:val="47"/>
              </w:numPr>
              <w:spacing w:before="0"/>
              <w:rPr>
                <w:rFonts w:eastAsia="Calibri" w:cs="Segoe UI"/>
                <w:sz w:val="18"/>
                <w:szCs w:val="18"/>
              </w:rPr>
            </w:pPr>
            <w:r w:rsidRPr="0018173A">
              <w:rPr>
                <w:rFonts w:eastAsia="Calibri" w:cs="Segoe UI"/>
                <w:sz w:val="18"/>
                <w:szCs w:val="18"/>
              </w:rPr>
              <w:t>Setkání poskytovatelů sociálních služeb OK – představení návrhu Střednědobého plánu 2024</w:t>
            </w:r>
            <w:r w:rsidRPr="0018173A">
              <w:rPr>
                <w:rFonts w:cs="Segoe UI"/>
                <w:sz w:val="18"/>
                <w:szCs w:val="18"/>
              </w:rPr>
              <w:t>–</w:t>
            </w:r>
            <w:r w:rsidRPr="0018173A">
              <w:rPr>
                <w:rFonts w:eastAsia="Calibri" w:cs="Segoe UI"/>
                <w:sz w:val="18"/>
                <w:szCs w:val="18"/>
              </w:rPr>
              <w:t>2026</w:t>
            </w:r>
          </w:p>
        </w:tc>
      </w:tr>
      <w:tr w:rsidR="00AF4350" w:rsidRPr="00B80F3D" w:rsidTr="0018173A">
        <w:trPr>
          <w:cantSplit/>
        </w:trPr>
        <w:tc>
          <w:tcPr>
            <w:tcW w:w="2405" w:type="dxa"/>
            <w:shd w:val="clear" w:color="auto" w:fill="auto"/>
          </w:tcPr>
          <w:p w:rsidR="00AF4350" w:rsidRPr="0018173A" w:rsidRDefault="00AF4350" w:rsidP="0018173A">
            <w:pPr>
              <w:spacing w:before="0"/>
              <w:jc w:val="left"/>
              <w:rPr>
                <w:rFonts w:eastAsia="Calibri" w:cs="Segoe UI"/>
                <w:b/>
                <w:sz w:val="18"/>
                <w:szCs w:val="18"/>
                <w:lang w:eastAsia="cs-CZ"/>
              </w:rPr>
            </w:pPr>
            <w:r w:rsidRPr="0018173A">
              <w:rPr>
                <w:rFonts w:eastAsia="Calibri" w:cs="Segoe UI"/>
                <w:b/>
                <w:sz w:val="18"/>
                <w:szCs w:val="18"/>
                <w:lang w:eastAsia="cs-CZ"/>
              </w:rPr>
              <w:t>říjen 2022</w:t>
            </w:r>
          </w:p>
        </w:tc>
        <w:tc>
          <w:tcPr>
            <w:tcW w:w="6657" w:type="dxa"/>
            <w:shd w:val="clear" w:color="auto" w:fill="auto"/>
          </w:tcPr>
          <w:p w:rsidR="00AF4350" w:rsidRPr="0018173A" w:rsidRDefault="00AF4350" w:rsidP="0018173A">
            <w:pPr>
              <w:spacing w:before="0"/>
              <w:rPr>
                <w:rFonts w:eastAsia="Calibri" w:cs="Segoe UI"/>
                <w:sz w:val="18"/>
                <w:szCs w:val="18"/>
                <w:lang w:eastAsia="cs-CZ"/>
              </w:rPr>
            </w:pPr>
            <w:r w:rsidRPr="0018173A">
              <w:rPr>
                <w:rFonts w:eastAsia="Calibri" w:cs="Segoe UI"/>
                <w:sz w:val="18"/>
                <w:szCs w:val="18"/>
                <w:lang w:eastAsia="cs-CZ"/>
              </w:rPr>
              <w:t>Zpracování návrhu Střednědobého plánu 2024</w:t>
            </w:r>
            <w:r w:rsidRPr="0018173A">
              <w:rPr>
                <w:rFonts w:eastAsia="Arial Unicode MS" w:cs="Segoe UI"/>
                <w:sz w:val="18"/>
                <w:szCs w:val="18"/>
                <w:lang w:eastAsia="cs-CZ"/>
              </w:rPr>
              <w:t>–</w:t>
            </w:r>
            <w:r w:rsidRPr="0018173A">
              <w:rPr>
                <w:rFonts w:eastAsia="Calibri" w:cs="Segoe UI"/>
                <w:sz w:val="18"/>
                <w:szCs w:val="18"/>
                <w:lang w:eastAsia="cs-CZ"/>
              </w:rPr>
              <w:t>2026 v podobě dokumentu zpracovaného v souladu s aktuálními dokumenty MPSV upravujícími plánování sociálních služeb.</w:t>
            </w:r>
          </w:p>
        </w:tc>
      </w:tr>
      <w:tr w:rsidR="00AF4350" w:rsidRPr="00B80F3D" w:rsidTr="0018173A">
        <w:trPr>
          <w:cantSplit/>
        </w:trPr>
        <w:tc>
          <w:tcPr>
            <w:tcW w:w="2405" w:type="dxa"/>
            <w:shd w:val="clear" w:color="auto" w:fill="auto"/>
          </w:tcPr>
          <w:p w:rsidR="00AF4350" w:rsidRPr="0018173A" w:rsidRDefault="00AF4350" w:rsidP="0018173A">
            <w:pPr>
              <w:spacing w:before="0"/>
              <w:jc w:val="left"/>
              <w:rPr>
                <w:rFonts w:eastAsia="Calibri" w:cs="Segoe UI"/>
                <w:b/>
                <w:sz w:val="18"/>
                <w:szCs w:val="18"/>
                <w:lang w:eastAsia="cs-CZ"/>
              </w:rPr>
            </w:pPr>
            <w:r w:rsidRPr="0018173A">
              <w:rPr>
                <w:rFonts w:eastAsia="Calibri" w:cs="Segoe UI"/>
                <w:b/>
                <w:sz w:val="18"/>
                <w:szCs w:val="18"/>
                <w:lang w:eastAsia="cs-CZ"/>
              </w:rPr>
              <w:t>listopad 2022</w:t>
            </w:r>
          </w:p>
        </w:tc>
        <w:tc>
          <w:tcPr>
            <w:tcW w:w="6657" w:type="dxa"/>
            <w:shd w:val="clear" w:color="auto" w:fill="auto"/>
          </w:tcPr>
          <w:p w:rsidR="00AF4350" w:rsidRPr="0018173A" w:rsidRDefault="00AF4350" w:rsidP="0018173A">
            <w:pPr>
              <w:spacing w:before="0"/>
              <w:rPr>
                <w:rFonts w:eastAsia="Calibri" w:cs="Segoe UI"/>
                <w:sz w:val="18"/>
                <w:szCs w:val="18"/>
                <w:lang w:eastAsia="cs-CZ"/>
              </w:rPr>
            </w:pPr>
            <w:r w:rsidRPr="0018173A">
              <w:rPr>
                <w:rFonts w:eastAsia="Calibri" w:cs="Segoe UI"/>
                <w:sz w:val="18"/>
                <w:szCs w:val="18"/>
                <w:lang w:eastAsia="cs-CZ"/>
              </w:rPr>
              <w:t>Veřejné projednání Střednědobého plánu 2024</w:t>
            </w:r>
            <w:r w:rsidRPr="0018173A">
              <w:rPr>
                <w:rFonts w:eastAsia="Arial Unicode MS" w:cs="Segoe UI"/>
                <w:sz w:val="18"/>
                <w:szCs w:val="18"/>
                <w:lang w:eastAsia="cs-CZ"/>
              </w:rPr>
              <w:t>–</w:t>
            </w:r>
            <w:r w:rsidRPr="0018173A">
              <w:rPr>
                <w:rFonts w:eastAsia="Calibri" w:cs="Segoe UI"/>
                <w:sz w:val="18"/>
                <w:szCs w:val="18"/>
                <w:lang w:eastAsia="cs-CZ"/>
              </w:rPr>
              <w:t>2026</w:t>
            </w:r>
          </w:p>
          <w:p w:rsidR="00AF4350" w:rsidRPr="0018173A" w:rsidRDefault="00AF4350" w:rsidP="0018173A">
            <w:pPr>
              <w:pStyle w:val="Odstavecseseznamem"/>
              <w:numPr>
                <w:ilvl w:val="0"/>
                <w:numId w:val="45"/>
              </w:numPr>
              <w:spacing w:before="0"/>
              <w:rPr>
                <w:rFonts w:eastAsia="Calibri" w:cs="Segoe UI"/>
                <w:sz w:val="18"/>
                <w:szCs w:val="18"/>
              </w:rPr>
            </w:pPr>
            <w:r w:rsidRPr="0018173A">
              <w:rPr>
                <w:rFonts w:eastAsia="Calibri" w:cs="Segoe UI"/>
                <w:sz w:val="18"/>
                <w:szCs w:val="18"/>
              </w:rPr>
              <w:t>Zveřejnění informace o možnosti připomínkování Střednědobého plánu 2024</w:t>
            </w:r>
            <w:r w:rsidRPr="0018173A">
              <w:rPr>
                <w:rFonts w:cs="Segoe UI"/>
                <w:sz w:val="18"/>
                <w:szCs w:val="18"/>
              </w:rPr>
              <w:t>–</w:t>
            </w:r>
            <w:r w:rsidRPr="0018173A">
              <w:rPr>
                <w:rFonts w:eastAsia="Calibri" w:cs="Segoe UI"/>
                <w:sz w:val="18"/>
                <w:szCs w:val="18"/>
              </w:rPr>
              <w:t>2026 na úřední desce OK</w:t>
            </w:r>
          </w:p>
          <w:p w:rsidR="00AF4350" w:rsidRPr="0018173A" w:rsidRDefault="00AF4350" w:rsidP="0018173A">
            <w:pPr>
              <w:pStyle w:val="Odstavecseseznamem"/>
              <w:numPr>
                <w:ilvl w:val="0"/>
                <w:numId w:val="45"/>
              </w:numPr>
              <w:spacing w:before="0"/>
              <w:rPr>
                <w:rFonts w:eastAsia="Calibri" w:cs="Segoe UI"/>
                <w:sz w:val="18"/>
                <w:szCs w:val="18"/>
              </w:rPr>
            </w:pPr>
            <w:r w:rsidRPr="0018173A">
              <w:rPr>
                <w:rFonts w:eastAsia="Calibri" w:cs="Segoe UI"/>
                <w:sz w:val="18"/>
                <w:szCs w:val="18"/>
              </w:rPr>
              <w:t>Připomínkový proces v rámci KÚOK</w:t>
            </w:r>
          </w:p>
          <w:p w:rsidR="00AF4350" w:rsidRPr="0018173A" w:rsidRDefault="00AF4350" w:rsidP="0018173A">
            <w:pPr>
              <w:pStyle w:val="Odstavecseseznamem"/>
              <w:numPr>
                <w:ilvl w:val="0"/>
                <w:numId w:val="45"/>
              </w:numPr>
              <w:spacing w:before="0"/>
              <w:rPr>
                <w:rFonts w:eastAsia="Calibri" w:cs="Segoe UI"/>
                <w:sz w:val="18"/>
                <w:szCs w:val="18"/>
              </w:rPr>
            </w:pPr>
            <w:r w:rsidRPr="0018173A">
              <w:rPr>
                <w:rFonts w:eastAsia="Calibri" w:cs="Segoe UI"/>
                <w:sz w:val="18"/>
                <w:szCs w:val="18"/>
              </w:rPr>
              <w:t>Vypořádání připomínek</w:t>
            </w:r>
          </w:p>
        </w:tc>
      </w:tr>
      <w:tr w:rsidR="00AF4350" w:rsidRPr="00B80F3D" w:rsidTr="0018173A">
        <w:trPr>
          <w:cantSplit/>
        </w:trPr>
        <w:tc>
          <w:tcPr>
            <w:tcW w:w="2405" w:type="dxa"/>
            <w:shd w:val="clear" w:color="auto" w:fill="auto"/>
          </w:tcPr>
          <w:p w:rsidR="00AF4350" w:rsidRPr="0018173A" w:rsidRDefault="00AF4350" w:rsidP="0018173A">
            <w:pPr>
              <w:spacing w:before="0"/>
              <w:jc w:val="left"/>
              <w:rPr>
                <w:rFonts w:eastAsia="Calibri" w:cs="Segoe UI"/>
                <w:b/>
                <w:sz w:val="18"/>
                <w:szCs w:val="18"/>
                <w:lang w:eastAsia="cs-CZ"/>
              </w:rPr>
            </w:pPr>
            <w:r w:rsidRPr="0018173A">
              <w:rPr>
                <w:rFonts w:eastAsia="Calibri" w:cs="Segoe UI"/>
                <w:b/>
                <w:sz w:val="18"/>
                <w:szCs w:val="18"/>
                <w:lang w:eastAsia="cs-CZ"/>
              </w:rPr>
              <w:t>prosinec 2022</w:t>
            </w:r>
          </w:p>
        </w:tc>
        <w:tc>
          <w:tcPr>
            <w:tcW w:w="6657" w:type="dxa"/>
            <w:shd w:val="clear" w:color="auto" w:fill="auto"/>
          </w:tcPr>
          <w:p w:rsidR="00AF4350" w:rsidRPr="0018173A" w:rsidRDefault="00AF4350" w:rsidP="0018173A">
            <w:pPr>
              <w:spacing w:before="0"/>
              <w:rPr>
                <w:rFonts w:eastAsia="Calibri" w:cs="Segoe UI"/>
                <w:sz w:val="18"/>
                <w:szCs w:val="18"/>
                <w:lang w:eastAsia="cs-CZ"/>
              </w:rPr>
            </w:pPr>
            <w:r w:rsidRPr="0018173A">
              <w:rPr>
                <w:rFonts w:eastAsia="Calibri" w:cs="Segoe UI"/>
                <w:sz w:val="18"/>
                <w:szCs w:val="18"/>
                <w:lang w:eastAsia="cs-CZ"/>
              </w:rPr>
              <w:t>Projednání Střednědobého plánu 2024</w:t>
            </w:r>
            <w:r w:rsidRPr="0018173A">
              <w:rPr>
                <w:rFonts w:eastAsia="Arial Unicode MS" w:cs="Segoe UI"/>
                <w:sz w:val="18"/>
                <w:szCs w:val="18"/>
                <w:lang w:eastAsia="cs-CZ"/>
              </w:rPr>
              <w:t>–</w:t>
            </w:r>
            <w:r w:rsidRPr="0018173A">
              <w:rPr>
                <w:rFonts w:eastAsia="Calibri" w:cs="Segoe UI"/>
                <w:sz w:val="18"/>
                <w:szCs w:val="18"/>
                <w:lang w:eastAsia="cs-CZ"/>
              </w:rPr>
              <w:t>2026 v poradních orgánech ROK (věcně příslušných komisí)</w:t>
            </w:r>
          </w:p>
          <w:p w:rsidR="00AF4350" w:rsidRPr="0018173A" w:rsidRDefault="00AF4350" w:rsidP="0018173A">
            <w:pPr>
              <w:spacing w:before="0"/>
              <w:rPr>
                <w:rFonts w:eastAsia="Calibri" w:cs="Segoe UI"/>
                <w:sz w:val="18"/>
                <w:szCs w:val="18"/>
                <w:lang w:eastAsia="cs-CZ"/>
              </w:rPr>
            </w:pPr>
            <w:r w:rsidRPr="0018173A">
              <w:rPr>
                <w:rFonts w:eastAsia="Calibri" w:cs="Segoe UI"/>
                <w:sz w:val="18"/>
                <w:szCs w:val="18"/>
                <w:lang w:eastAsia="cs-CZ"/>
              </w:rPr>
              <w:t xml:space="preserve">Projednání a schválení Střednědobého plánu </w:t>
            </w:r>
            <w:r w:rsidRPr="0018173A">
              <w:rPr>
                <w:rFonts w:cs="Segoe UI"/>
                <w:sz w:val="18"/>
                <w:szCs w:val="18"/>
                <w:lang w:eastAsia="cs-CZ"/>
              </w:rPr>
              <w:t>2024</w:t>
            </w:r>
            <w:r w:rsidRPr="0018173A">
              <w:rPr>
                <w:rFonts w:eastAsia="Arial Unicode MS" w:cs="Segoe UI"/>
                <w:sz w:val="18"/>
                <w:szCs w:val="18"/>
                <w:lang w:eastAsia="cs-CZ"/>
              </w:rPr>
              <w:t>–</w:t>
            </w:r>
            <w:r w:rsidRPr="0018173A">
              <w:rPr>
                <w:rFonts w:cs="Segoe UI"/>
                <w:sz w:val="18"/>
                <w:szCs w:val="18"/>
                <w:lang w:eastAsia="cs-CZ"/>
              </w:rPr>
              <w:t>2026 v ROK, ZOK</w:t>
            </w:r>
          </w:p>
        </w:tc>
      </w:tr>
      <w:tr w:rsidR="00AF4350" w:rsidRPr="00B80F3D" w:rsidTr="0018173A">
        <w:trPr>
          <w:cantSplit/>
        </w:trPr>
        <w:tc>
          <w:tcPr>
            <w:tcW w:w="2405" w:type="dxa"/>
            <w:shd w:val="clear" w:color="auto" w:fill="auto"/>
          </w:tcPr>
          <w:p w:rsidR="00AF4350" w:rsidRPr="0018173A" w:rsidRDefault="00AF4350" w:rsidP="0018173A">
            <w:pPr>
              <w:spacing w:before="0"/>
              <w:jc w:val="left"/>
              <w:rPr>
                <w:rFonts w:eastAsia="Calibri" w:cs="Segoe UI"/>
                <w:b/>
                <w:sz w:val="18"/>
                <w:szCs w:val="18"/>
                <w:lang w:eastAsia="cs-CZ"/>
              </w:rPr>
            </w:pPr>
            <w:r w:rsidRPr="0018173A">
              <w:rPr>
                <w:rFonts w:eastAsia="Calibri" w:cs="Segoe UI"/>
                <w:b/>
                <w:sz w:val="18"/>
                <w:szCs w:val="18"/>
                <w:lang w:eastAsia="cs-CZ"/>
              </w:rPr>
              <w:t>leden 2023</w:t>
            </w:r>
          </w:p>
        </w:tc>
        <w:tc>
          <w:tcPr>
            <w:tcW w:w="6657" w:type="dxa"/>
            <w:shd w:val="clear" w:color="auto" w:fill="auto"/>
          </w:tcPr>
          <w:p w:rsidR="00AF4350" w:rsidRPr="0018173A" w:rsidRDefault="00AF4350" w:rsidP="0018173A">
            <w:pPr>
              <w:spacing w:before="0"/>
              <w:rPr>
                <w:rFonts w:eastAsia="Calibri" w:cs="Segoe UI"/>
                <w:sz w:val="18"/>
                <w:szCs w:val="18"/>
                <w:lang w:eastAsia="cs-CZ"/>
              </w:rPr>
            </w:pPr>
            <w:r w:rsidRPr="0018173A">
              <w:rPr>
                <w:rFonts w:eastAsia="Calibri" w:cs="Segoe UI"/>
                <w:sz w:val="18"/>
                <w:szCs w:val="18"/>
                <w:lang w:eastAsia="cs-CZ"/>
              </w:rPr>
              <w:t>Zveřejnění Střednědobého plánu 2024</w:t>
            </w:r>
            <w:r w:rsidRPr="0018173A">
              <w:rPr>
                <w:rFonts w:eastAsia="Arial Unicode MS" w:cs="Segoe UI"/>
                <w:sz w:val="18"/>
                <w:szCs w:val="18"/>
                <w:lang w:eastAsia="cs-CZ"/>
              </w:rPr>
              <w:t>–</w:t>
            </w:r>
            <w:r w:rsidRPr="0018173A">
              <w:rPr>
                <w:rFonts w:eastAsia="Calibri" w:cs="Segoe UI"/>
                <w:sz w:val="18"/>
                <w:szCs w:val="18"/>
                <w:lang w:eastAsia="cs-CZ"/>
              </w:rPr>
              <w:t>2026 v elektronické podobě</w:t>
            </w:r>
          </w:p>
          <w:p w:rsidR="00AF4350" w:rsidRPr="0018173A" w:rsidRDefault="00AF4350" w:rsidP="00DF3678">
            <w:pPr>
              <w:spacing w:before="0"/>
              <w:rPr>
                <w:rFonts w:eastAsia="Calibri" w:cs="Segoe UI"/>
                <w:sz w:val="18"/>
                <w:szCs w:val="18"/>
                <w:lang w:eastAsia="cs-CZ"/>
              </w:rPr>
            </w:pPr>
            <w:r w:rsidRPr="0018173A">
              <w:rPr>
                <w:rFonts w:eastAsia="Calibri" w:cs="Segoe UI"/>
                <w:sz w:val="18"/>
                <w:szCs w:val="18"/>
                <w:lang w:eastAsia="cs-CZ"/>
              </w:rPr>
              <w:t>Zahájení prováděcí/implementační fáze plánu - posouzení žádostí o zařazení nových služeb do sítě sociálních služeb OK na rok 2024 v souladu s</w:t>
            </w:r>
            <w:r w:rsidR="0075108A">
              <w:rPr>
                <w:rFonts w:eastAsia="Calibri" w:cs="Segoe UI"/>
                <w:sz w:val="18"/>
                <w:szCs w:val="18"/>
                <w:lang w:eastAsia="cs-CZ"/>
              </w:rPr>
              <w:t> </w:t>
            </w:r>
            <w:proofErr w:type="spellStart"/>
            <w:r w:rsidR="0075108A">
              <w:rPr>
                <w:rFonts w:eastAsia="Calibri" w:cs="Segoe UI"/>
                <w:sz w:val="18"/>
                <w:szCs w:val="18"/>
                <w:lang w:eastAsia="cs-CZ"/>
              </w:rPr>
              <w:t>POSTUP</w:t>
            </w:r>
            <w:r w:rsidR="00DF3678">
              <w:rPr>
                <w:rFonts w:eastAsia="Calibri" w:cs="Segoe UI"/>
                <w:sz w:val="18"/>
                <w:szCs w:val="18"/>
                <w:lang w:eastAsia="cs-CZ"/>
              </w:rPr>
              <w:t>e</w:t>
            </w:r>
            <w:r w:rsidR="0018173A" w:rsidRPr="0018173A">
              <w:rPr>
                <w:rFonts w:eastAsia="Calibri" w:cs="Segoe UI"/>
                <w:sz w:val="18"/>
                <w:szCs w:val="18"/>
                <w:lang w:eastAsia="cs-CZ"/>
              </w:rPr>
              <w:t>m</w:t>
            </w:r>
            <w:proofErr w:type="spellEnd"/>
          </w:p>
        </w:tc>
      </w:tr>
    </w:tbl>
    <w:p w:rsidR="00AF4350" w:rsidRPr="00AE0615" w:rsidRDefault="00AF4350" w:rsidP="00A34764">
      <w:pPr>
        <w:pStyle w:val="Nadpis2"/>
      </w:pPr>
      <w:bookmarkStart w:id="36" w:name="_Toc14167580"/>
      <w:bookmarkStart w:id="37" w:name="_Toc22896344"/>
      <w:bookmarkStart w:id="38" w:name="_Toc117606956"/>
      <w:r w:rsidRPr="00AE0615">
        <w:lastRenderedPageBreak/>
        <w:t>Organizační struktura plánování sociálních služeb</w:t>
      </w:r>
      <w:bookmarkEnd w:id="36"/>
      <w:bookmarkEnd w:id="37"/>
      <w:bookmarkEnd w:id="38"/>
      <w:r w:rsidRPr="00AE0615">
        <w:t xml:space="preserve"> </w:t>
      </w:r>
    </w:p>
    <w:p w:rsidR="00AF4350" w:rsidRDefault="00AF4350" w:rsidP="0018173A">
      <w:pPr>
        <w:keepLines/>
      </w:pPr>
      <w:r>
        <w:t>Transparentně nastavená o</w:t>
      </w:r>
      <w:r w:rsidRPr="00AE0615">
        <w:t>rganizační struktura pro plánování sociálních služeb na krajské úrovni zajišťuje účast všech zainteresovaných stran (veřejnost, poskytovatelé služeb a jejich zřizovatelé, uživatelé služeb, blízké osoby, zadavatelé) a podporuje vzájemnou komunikaci a sdílení relevantních informací.</w:t>
      </w:r>
    </w:p>
    <w:p w:rsidR="00AF4350" w:rsidRPr="00AE0615" w:rsidRDefault="00AF4350" w:rsidP="00694609">
      <w:pPr>
        <w:pStyle w:val="popistabulkySPRSS2024"/>
      </w:pPr>
      <w:bookmarkStart w:id="39" w:name="_Toc22567460"/>
      <w:bookmarkStart w:id="40" w:name="_Toc117607022"/>
      <w:r w:rsidRPr="00AE0615">
        <w:t xml:space="preserve">Obrázek </w:t>
      </w:r>
      <w:r w:rsidR="00C140D0">
        <w:rPr>
          <w:noProof/>
        </w:rPr>
        <w:fldChar w:fldCharType="begin"/>
      </w:r>
      <w:r w:rsidR="00C140D0">
        <w:rPr>
          <w:noProof/>
        </w:rPr>
        <w:instrText xml:space="preserve"> SEQ Obrázek \* ARABIC </w:instrText>
      </w:r>
      <w:r w:rsidR="00C140D0">
        <w:rPr>
          <w:noProof/>
        </w:rPr>
        <w:fldChar w:fldCharType="separate"/>
      </w:r>
      <w:r w:rsidR="003A12AF">
        <w:rPr>
          <w:noProof/>
        </w:rPr>
        <w:t>2</w:t>
      </w:r>
      <w:r w:rsidR="00C140D0">
        <w:rPr>
          <w:noProof/>
        </w:rPr>
        <w:fldChar w:fldCharType="end"/>
      </w:r>
      <w:r>
        <w:rPr>
          <w:noProof/>
        </w:rPr>
        <w:t>:</w:t>
      </w:r>
      <w:r w:rsidRPr="00AE0615">
        <w:t xml:space="preserve"> Schématické zobrazení organizační struktury plánování sociálních služeb na krajské úrovni</w:t>
      </w:r>
      <w:bookmarkEnd w:id="39"/>
      <w:bookmarkEnd w:id="40"/>
      <w:r w:rsidRPr="00AE0615">
        <w:t xml:space="preserve"> </w:t>
      </w:r>
    </w:p>
    <w:p w:rsidR="00AF4350" w:rsidRPr="00AE0615" w:rsidRDefault="00AF4350" w:rsidP="00A34764">
      <w:pPr>
        <w:rPr>
          <w:rFonts w:eastAsia="Calibri"/>
          <w:lang w:eastAsia="cs-CZ"/>
        </w:rPr>
      </w:pPr>
      <w:r w:rsidRPr="00AE0615">
        <w:rPr>
          <w:rFonts w:eastAsia="Calibri"/>
          <w:noProof/>
          <w:lang w:eastAsia="cs-CZ"/>
        </w:rPr>
        <w:drawing>
          <wp:inline distT="0" distB="0" distL="0" distR="0" wp14:anchorId="1F823090" wp14:editId="75B15E3B">
            <wp:extent cx="4919133" cy="4201248"/>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369"/>
                    <a:stretch/>
                  </pic:blipFill>
                  <pic:spPr bwMode="auto">
                    <a:xfrm>
                      <a:off x="0" y="0"/>
                      <a:ext cx="4988394" cy="4260401"/>
                    </a:xfrm>
                    <a:prstGeom prst="rect">
                      <a:avLst/>
                    </a:prstGeom>
                    <a:noFill/>
                    <a:ln>
                      <a:noFill/>
                    </a:ln>
                    <a:extLst>
                      <a:ext uri="{53640926-AAD7-44D8-BBD7-CCE9431645EC}">
                        <a14:shadowObscured xmlns:a14="http://schemas.microsoft.com/office/drawing/2010/main"/>
                      </a:ext>
                    </a:extLst>
                  </pic:spPr>
                </pic:pic>
              </a:graphicData>
            </a:graphic>
          </wp:inline>
        </w:drawing>
      </w:r>
    </w:p>
    <w:p w:rsidR="00AF4350" w:rsidRPr="001B5E02" w:rsidRDefault="00AF4350" w:rsidP="00A34764">
      <w:pPr>
        <w:pStyle w:val="Zdrojobjektu"/>
      </w:pPr>
      <w:r w:rsidRPr="001B5E02">
        <w:t>Zdroj: OSV KÚOK</w:t>
      </w:r>
    </w:p>
    <w:p w:rsidR="00AF4350" w:rsidRPr="001B5E02" w:rsidRDefault="00AF4350" w:rsidP="0018173A">
      <w:pPr>
        <w:pStyle w:val="Tun"/>
      </w:pPr>
      <w:r w:rsidRPr="001B5E02">
        <w:t>Rada a Zastupitelstvo Olomouckého kraje</w:t>
      </w:r>
    </w:p>
    <w:p w:rsidR="00AF4350" w:rsidRPr="00A34764" w:rsidRDefault="00AF4350" w:rsidP="0018173A">
      <w:pPr>
        <w:pStyle w:val="SPRSodrky"/>
      </w:pPr>
      <w:r w:rsidRPr="00A34764">
        <w:t>politické projednávání a rozhodování</w:t>
      </w:r>
    </w:p>
    <w:p w:rsidR="00AF4350" w:rsidRPr="001B5E02" w:rsidRDefault="00AF4350" w:rsidP="0018173A">
      <w:pPr>
        <w:rPr>
          <w:rFonts w:eastAsia="Arial Unicode MS"/>
          <w:lang w:eastAsia="cs-CZ"/>
        </w:rPr>
      </w:pPr>
      <w:r w:rsidRPr="00AE0615">
        <w:rPr>
          <w:rFonts w:eastAsia="Arial Unicode MS"/>
          <w:lang w:eastAsia="cs-CZ"/>
        </w:rPr>
        <w:t>Rada Olomouckého kraje projednává návrh Střednědobého plánu rozvoje sociálních služeb a</w:t>
      </w:r>
      <w:r>
        <w:rPr>
          <w:rFonts w:eastAsia="Arial Unicode MS"/>
          <w:lang w:eastAsia="cs-CZ"/>
        </w:rPr>
        <w:t> </w:t>
      </w:r>
      <w:r w:rsidRPr="00AE0615">
        <w:rPr>
          <w:rFonts w:eastAsia="Arial Unicode MS"/>
          <w:lang w:eastAsia="cs-CZ"/>
        </w:rPr>
        <w:t>doporučuje jej ke schválení Zastupitelstvu Olomouckého kraje. Zastupitelstvo Olomouckého kra</w:t>
      </w:r>
      <w:r>
        <w:rPr>
          <w:rFonts w:eastAsia="Arial Unicode MS"/>
          <w:lang w:eastAsia="cs-CZ"/>
        </w:rPr>
        <w:t xml:space="preserve">je schvaluje Střednědobý plán. </w:t>
      </w:r>
    </w:p>
    <w:p w:rsidR="00AF4350" w:rsidRPr="00845838" w:rsidRDefault="00AF4350" w:rsidP="0018173A">
      <w:pPr>
        <w:pStyle w:val="Tun"/>
        <w:rPr>
          <w:noProof/>
        </w:rPr>
      </w:pPr>
      <w:r w:rsidRPr="00845838">
        <w:rPr>
          <w:noProof/>
        </w:rPr>
        <w:t>Poradní orgány Rady Olomouckého kraje – Komise</w:t>
      </w:r>
    </w:p>
    <w:p w:rsidR="00AF4350" w:rsidRPr="006A1F59" w:rsidRDefault="00AF4350" w:rsidP="0018173A">
      <w:pPr>
        <w:pStyle w:val="SPRSodrky"/>
        <w:rPr>
          <w:noProof/>
        </w:rPr>
      </w:pPr>
      <w:r w:rsidRPr="006A1F59">
        <w:rPr>
          <w:noProof/>
        </w:rPr>
        <w:t>projednávání a doporučení</w:t>
      </w:r>
    </w:p>
    <w:p w:rsidR="00AF4350" w:rsidRPr="001B5E02" w:rsidRDefault="00AF4350" w:rsidP="0018173A">
      <w:pPr>
        <w:rPr>
          <w:noProof/>
          <w:lang w:eastAsia="cs-CZ"/>
        </w:rPr>
      </w:pPr>
      <w:r w:rsidRPr="001B5E02">
        <w:rPr>
          <w:noProof/>
          <w:lang w:eastAsia="cs-CZ"/>
        </w:rPr>
        <w:t xml:space="preserve">Komise pro rodinu a sociální záležitosti připomínkuje a projednává návrh Střednědobého plánu a doporučuje jej k projednání ROK. </w:t>
      </w:r>
    </w:p>
    <w:p w:rsidR="00AF4350" w:rsidRPr="00845838" w:rsidRDefault="00AF4350" w:rsidP="0018173A">
      <w:pPr>
        <w:pStyle w:val="Tun"/>
        <w:rPr>
          <w:noProof/>
        </w:rPr>
      </w:pPr>
      <w:r w:rsidRPr="00845838">
        <w:rPr>
          <w:noProof/>
        </w:rPr>
        <w:t>Koordinátor střednědobého plánování sociálních služeb</w:t>
      </w:r>
    </w:p>
    <w:p w:rsidR="00AF4350" w:rsidRPr="006A1F59" w:rsidRDefault="00AF4350" w:rsidP="0018173A">
      <w:pPr>
        <w:pStyle w:val="SPRSodrky"/>
        <w:rPr>
          <w:noProof/>
        </w:rPr>
      </w:pPr>
      <w:r w:rsidRPr="006A1F59">
        <w:rPr>
          <w:noProof/>
        </w:rPr>
        <w:t>koordinace a administrativní zajištění celého procesu</w:t>
      </w:r>
    </w:p>
    <w:p w:rsidR="00AF4350" w:rsidRPr="001B5E02" w:rsidRDefault="00AF4350" w:rsidP="0018173A">
      <w:pPr>
        <w:rPr>
          <w:rFonts w:eastAsia="Calibri"/>
          <w:lang w:eastAsia="cs-CZ"/>
        </w:rPr>
      </w:pPr>
      <w:r w:rsidRPr="006A1F59">
        <w:rPr>
          <w:rFonts w:eastAsia="Calibri"/>
          <w:lang w:eastAsia="cs-CZ"/>
        </w:rPr>
        <w:t>O</w:t>
      </w:r>
      <w:r w:rsidRPr="006A1F59">
        <w:rPr>
          <w:noProof/>
          <w:lang w:eastAsia="cs-CZ"/>
        </w:rPr>
        <w:t xml:space="preserve">dpovídá za koordinaci procesu plánování, </w:t>
      </w:r>
      <w:r w:rsidRPr="006A1F59">
        <w:rPr>
          <w:lang w:eastAsia="cs-CZ"/>
        </w:rPr>
        <w:t>průběžně zpracovává dílčí písemné výstupy včetně návrhu konečné podoby Střednědobého plánu. V realizační fázi zajišťuje monitoring a vyhodnocování procesu naplňování plánu.</w:t>
      </w:r>
      <w:r w:rsidRPr="006A1F59">
        <w:rPr>
          <w:noProof/>
          <w:lang w:eastAsia="cs-CZ"/>
        </w:rPr>
        <w:t xml:space="preserve"> </w:t>
      </w:r>
    </w:p>
    <w:p w:rsidR="00AF4350" w:rsidRPr="00845838" w:rsidRDefault="00AF4350" w:rsidP="0018173A">
      <w:pPr>
        <w:pStyle w:val="Tun"/>
        <w:rPr>
          <w:noProof/>
        </w:rPr>
      </w:pPr>
      <w:r w:rsidRPr="00845838">
        <w:rPr>
          <w:noProof/>
        </w:rPr>
        <w:lastRenderedPageBreak/>
        <w:t xml:space="preserve">Realizačně manažerský tým </w:t>
      </w:r>
    </w:p>
    <w:p w:rsidR="00AF4350" w:rsidRPr="00845838" w:rsidRDefault="00AF4350" w:rsidP="0018173A">
      <w:pPr>
        <w:pStyle w:val="SPRSodrky"/>
        <w:rPr>
          <w:i/>
          <w:noProof/>
        </w:rPr>
      </w:pPr>
      <w:r w:rsidRPr="00845838">
        <w:rPr>
          <w:noProof/>
        </w:rPr>
        <w:t>zajištění odborné a metodické stránky procesu tvorby i naplňování plánu, konzultace, připomínkování, svodná stanoviska, příprava materiálů k projednání dotčených orgánů ROK a ZOK.</w:t>
      </w:r>
    </w:p>
    <w:p w:rsidR="00AF4350" w:rsidRPr="00FE1DC4" w:rsidRDefault="00AF4350" w:rsidP="00A34764">
      <w:pPr>
        <w:rPr>
          <w:rFonts w:eastAsia="Calibri"/>
          <w:strike/>
          <w:lang w:eastAsia="cs-CZ"/>
        </w:rPr>
      </w:pPr>
      <w:r>
        <w:rPr>
          <w:rFonts w:eastAsia="Calibri"/>
          <w:lang w:eastAsia="cs-CZ"/>
        </w:rPr>
        <w:t>Realizačně manažerský tým (dále jen „RMT“) p</w:t>
      </w:r>
      <w:r w:rsidRPr="00FE1DC4">
        <w:rPr>
          <w:rFonts w:eastAsia="Calibri"/>
          <w:lang w:eastAsia="cs-CZ"/>
        </w:rPr>
        <w:t>lní roli řídící skupiny jako garanta procesu plánování a</w:t>
      </w:r>
      <w:r>
        <w:rPr>
          <w:rFonts w:eastAsia="Calibri"/>
          <w:lang w:eastAsia="cs-CZ"/>
        </w:rPr>
        <w:t> </w:t>
      </w:r>
      <w:r w:rsidRPr="00FE1DC4">
        <w:rPr>
          <w:rFonts w:eastAsia="Calibri"/>
          <w:lang w:eastAsia="cs-CZ"/>
        </w:rPr>
        <w:t xml:space="preserve">implementace. Je výkonným subjektem, jehož úkolem je příprava a zpracování Střednědobého plánu na základě výstupů z pracovních, konzultačních a vyjednávacích skupin, a v následné realizační fázi sledování postupu a míry plnění stanovených úkolů. </w:t>
      </w:r>
    </w:p>
    <w:p w:rsidR="00AF4350" w:rsidRPr="00845838" w:rsidRDefault="00AF4350" w:rsidP="0018173A">
      <w:pPr>
        <w:pStyle w:val="Tun"/>
        <w:rPr>
          <w:noProof/>
        </w:rPr>
      </w:pPr>
      <w:r w:rsidRPr="00845838">
        <w:rPr>
          <w:noProof/>
        </w:rPr>
        <w:t xml:space="preserve">Krajská koordinační skupina </w:t>
      </w:r>
    </w:p>
    <w:p w:rsidR="00AF4350" w:rsidRPr="00845838" w:rsidRDefault="00AF4350" w:rsidP="0018173A">
      <w:pPr>
        <w:pStyle w:val="SPRSodrky"/>
        <w:rPr>
          <w:noProof/>
        </w:rPr>
      </w:pPr>
      <w:r w:rsidRPr="00845838">
        <w:rPr>
          <w:noProof/>
        </w:rPr>
        <w:t>propojení komunitního plánování sociálních služeb na úrovní obcí (svazků obcí, mikroregionů) s krajskou úrovní plánování (výkon samosprávy v oblasti sociálních služeb); konzultace; koordinace výstupů; tvorba a připomínkování plánu a jeho aktivní naplňování.</w:t>
      </w:r>
    </w:p>
    <w:p w:rsidR="00AF4350" w:rsidRPr="00845838" w:rsidRDefault="00AF4350" w:rsidP="00A34764">
      <w:pPr>
        <w:rPr>
          <w:strike/>
          <w:noProof/>
          <w:lang w:eastAsia="cs-CZ"/>
        </w:rPr>
      </w:pPr>
      <w:r w:rsidRPr="00845838">
        <w:rPr>
          <w:noProof/>
          <w:lang w:eastAsia="cs-CZ"/>
        </w:rPr>
        <w:t>Krajská koordinační skupina (dále jen „KRKOS“) je složena z koordinátorů a metodiků komunitního plánování sociálních služeb na úrovni obcí.</w:t>
      </w:r>
    </w:p>
    <w:p w:rsidR="00AF4350" w:rsidRPr="00845838" w:rsidRDefault="00AF4350" w:rsidP="0018173A">
      <w:pPr>
        <w:pStyle w:val="Tun"/>
        <w:rPr>
          <w:noProof/>
        </w:rPr>
      </w:pPr>
      <w:r w:rsidRPr="00845838">
        <w:rPr>
          <w:noProof/>
        </w:rPr>
        <w:t>Skupina ORP</w:t>
      </w:r>
    </w:p>
    <w:p w:rsidR="00AF4350" w:rsidRPr="00845838" w:rsidRDefault="00AF4350" w:rsidP="0018173A">
      <w:pPr>
        <w:pStyle w:val="SPRSodrky"/>
        <w:rPr>
          <w:noProof/>
        </w:rPr>
      </w:pPr>
      <w:r w:rsidRPr="00845838">
        <w:rPr>
          <w:noProof/>
        </w:rPr>
        <w:t>propojení koordinace poskytování sociálních služeb na území správního obvodu obcí s rozšířenou působností s krajskou úrovní koordinace poskytování sociálních služeb (přenesený výkon státní správy v oblasti sociálních služeb); konzultace; kordinace výstupů; tvorba a připomínkování plánu a jeho aktivní naplňování.</w:t>
      </w:r>
    </w:p>
    <w:p w:rsidR="00AF4350" w:rsidRPr="00845838" w:rsidRDefault="00AF4350" w:rsidP="00A34764">
      <w:pPr>
        <w:rPr>
          <w:noProof/>
          <w:lang w:eastAsia="cs-CZ"/>
        </w:rPr>
      </w:pPr>
      <w:r w:rsidRPr="00845838">
        <w:rPr>
          <w:noProof/>
          <w:lang w:eastAsia="cs-CZ"/>
        </w:rPr>
        <w:t xml:space="preserve">Skupina ORP je složena z </w:t>
      </w:r>
      <w:r w:rsidRPr="00845838">
        <w:rPr>
          <w:rFonts w:eastAsia="Calibri"/>
          <w:lang w:eastAsia="cs-CZ"/>
        </w:rPr>
        <w:t xml:space="preserve">vedoucích odborů sociálních věcí obecních úřadů obcí s rozšířenou působností nebo jimi navržených zástupců. V organizační struktuře střednědobého plánování sociálních služeb jde o nezastupitelnou skupinu z hlediska mapování a nastavení finančně udržitelné sítě potřebných sociálních služeb z hlediska jejich místní a časové dostupnosti, kvality a efektivity v jednotlivých regionech OK. Tato kompetence je upravena ustanovením </w:t>
      </w:r>
      <w:r w:rsidRPr="00845838">
        <w:rPr>
          <w:rFonts w:eastAsia="Calibri"/>
          <w:bCs/>
          <w:lang w:eastAsia="cs-CZ"/>
        </w:rPr>
        <w:t xml:space="preserve">§ 92 písm. d) zákona </w:t>
      </w:r>
      <w:r w:rsidRPr="00845838">
        <w:rPr>
          <w:rFonts w:eastAsia="Calibri"/>
          <w:lang w:eastAsia="cs-CZ"/>
        </w:rPr>
        <w:t>o sociálních službách.</w:t>
      </w:r>
    </w:p>
    <w:p w:rsidR="00AF4350" w:rsidRPr="00845838" w:rsidRDefault="00AF4350" w:rsidP="0018173A">
      <w:pPr>
        <w:pStyle w:val="Tun"/>
        <w:rPr>
          <w:noProof/>
        </w:rPr>
      </w:pPr>
      <w:r w:rsidRPr="00845838">
        <w:rPr>
          <w:noProof/>
        </w:rPr>
        <w:t>Manažer pracovní skupiny</w:t>
      </w:r>
    </w:p>
    <w:p w:rsidR="00AF4350" w:rsidRPr="00845838" w:rsidRDefault="00AF4350" w:rsidP="0018173A">
      <w:pPr>
        <w:pStyle w:val="SPRSodrky"/>
        <w:rPr>
          <w:noProof/>
        </w:rPr>
      </w:pPr>
      <w:r w:rsidRPr="00845838">
        <w:rPr>
          <w:noProof/>
        </w:rPr>
        <w:t xml:space="preserve">zajištění odborné, metodické a administrativní činnosti pracovních skupin; zajištění komunikace mezi jednotlivými pracovními skupinami (horizontální spolupráce) a komunikace směrem k RMT (vertikální spolupráce); konzultace; kordinace výstupů; tvorba a připomínkování plánu a jeho aktivní naplňování. </w:t>
      </w:r>
    </w:p>
    <w:p w:rsidR="00AF4350" w:rsidRPr="00845838" w:rsidRDefault="00AF4350" w:rsidP="0018173A">
      <w:pPr>
        <w:rPr>
          <w:noProof/>
          <w:lang w:eastAsia="cs-CZ"/>
        </w:rPr>
      </w:pPr>
      <w:r w:rsidRPr="00845838">
        <w:rPr>
          <w:noProof/>
          <w:lang w:eastAsia="cs-CZ"/>
        </w:rPr>
        <w:t xml:space="preserve">Manažery pracovních skupin (dále jen „PS“) jsou vždy zaměstnanci KÚOK. Manažery PS jmenuje náměstek hejtmana pro sociální oblast. Manažer pracovní skupiny svolává a řídí jednání PS. Jednání se uskutečňují dle potřeb a pořizuje se z nich vždy písemný zápis. Za vyhotovení zápisu odpovídá manažer PS. </w:t>
      </w:r>
    </w:p>
    <w:p w:rsidR="00AF4350" w:rsidRPr="001B5E02" w:rsidRDefault="00AF4350" w:rsidP="0018173A">
      <w:pPr>
        <w:pStyle w:val="Tun"/>
        <w:rPr>
          <w:noProof/>
        </w:rPr>
      </w:pPr>
      <w:r w:rsidRPr="001B5E02">
        <w:rPr>
          <w:noProof/>
        </w:rPr>
        <w:t>Pracovní skupiny</w:t>
      </w:r>
    </w:p>
    <w:p w:rsidR="00AF4350" w:rsidRPr="00845838" w:rsidRDefault="00AF4350" w:rsidP="0018173A">
      <w:pPr>
        <w:pStyle w:val="SPRSodrky"/>
        <w:rPr>
          <w:noProof/>
        </w:rPr>
      </w:pPr>
      <w:r w:rsidRPr="00845838">
        <w:rPr>
          <w:noProof/>
        </w:rPr>
        <w:t>zajištění komunikace s poskytovateli a uživateli sociálních služeb, zjišťování potřeb; tvorba a připomínková</w:t>
      </w:r>
      <w:r>
        <w:rPr>
          <w:noProof/>
        </w:rPr>
        <w:t>ní plánu a jeho</w:t>
      </w:r>
      <w:r w:rsidRPr="00845838">
        <w:rPr>
          <w:noProof/>
        </w:rPr>
        <w:t xml:space="preserve"> aktivní naplňování. </w:t>
      </w:r>
    </w:p>
    <w:p w:rsidR="00AF4350" w:rsidRPr="00845838" w:rsidRDefault="00AF4350" w:rsidP="00A34764">
      <w:pPr>
        <w:rPr>
          <w:noProof/>
          <w:lang w:eastAsia="cs-CZ"/>
        </w:rPr>
      </w:pPr>
      <w:r w:rsidRPr="00845838">
        <w:rPr>
          <w:noProof/>
          <w:lang w:eastAsia="cs-CZ"/>
        </w:rPr>
        <w:t xml:space="preserve">Členění pracovních skupin: </w:t>
      </w:r>
    </w:p>
    <w:p w:rsidR="00FA4206" w:rsidRDefault="00FA4206" w:rsidP="00A34764">
      <w:pPr>
        <w:pStyle w:val="Odstavecseseznamem"/>
        <w:numPr>
          <w:ilvl w:val="0"/>
          <w:numId w:val="48"/>
        </w:numPr>
        <w:rPr>
          <w:rFonts w:cs="Segoe UI"/>
        </w:rPr>
        <w:sectPr w:rsidR="00FA4206" w:rsidSect="00874900">
          <w:footerReference w:type="even" r:id="rId12"/>
          <w:footerReference w:type="default" r:id="rId13"/>
          <w:pgSz w:w="11906" w:h="16838"/>
          <w:pgMar w:top="1417" w:right="1417" w:bottom="1417" w:left="1417" w:header="708" w:footer="708" w:gutter="0"/>
          <w:cols w:space="708"/>
          <w:docGrid w:linePitch="360"/>
        </w:sectPr>
      </w:pPr>
    </w:p>
    <w:p w:rsidR="00AF4350" w:rsidRPr="0018173A" w:rsidRDefault="00AF4350" w:rsidP="00A34764">
      <w:pPr>
        <w:pStyle w:val="Odstavecseseznamem"/>
        <w:numPr>
          <w:ilvl w:val="0"/>
          <w:numId w:val="48"/>
        </w:numPr>
        <w:rPr>
          <w:rFonts w:cs="Segoe UI"/>
        </w:rPr>
      </w:pPr>
      <w:r w:rsidRPr="0018173A">
        <w:rPr>
          <w:rFonts w:cs="Segoe UI"/>
        </w:rPr>
        <w:t>Děti, mládež a rodina</w:t>
      </w:r>
    </w:p>
    <w:p w:rsidR="00AF4350" w:rsidRPr="0018173A" w:rsidRDefault="00AF4350" w:rsidP="00A34764">
      <w:pPr>
        <w:pStyle w:val="Odstavecseseznamem"/>
        <w:numPr>
          <w:ilvl w:val="0"/>
          <w:numId w:val="48"/>
        </w:numPr>
        <w:rPr>
          <w:rFonts w:cs="Segoe UI"/>
        </w:rPr>
      </w:pPr>
      <w:r w:rsidRPr="0018173A">
        <w:rPr>
          <w:rFonts w:cs="Segoe UI"/>
        </w:rPr>
        <w:t>Osoby se zdravotním postižením</w:t>
      </w:r>
    </w:p>
    <w:p w:rsidR="00AF4350" w:rsidRPr="0018173A" w:rsidRDefault="00AF4350" w:rsidP="00A34764">
      <w:pPr>
        <w:pStyle w:val="Odstavecseseznamem"/>
        <w:numPr>
          <w:ilvl w:val="0"/>
          <w:numId w:val="48"/>
        </w:numPr>
        <w:rPr>
          <w:rFonts w:cs="Segoe UI"/>
        </w:rPr>
      </w:pPr>
      <w:r w:rsidRPr="0018173A">
        <w:rPr>
          <w:rFonts w:cs="Segoe UI"/>
        </w:rPr>
        <w:t>Senioři</w:t>
      </w:r>
    </w:p>
    <w:p w:rsidR="00AF4350" w:rsidRPr="0018173A" w:rsidRDefault="00AF4350" w:rsidP="00A34764">
      <w:pPr>
        <w:pStyle w:val="Odstavecseseznamem"/>
        <w:numPr>
          <w:ilvl w:val="0"/>
          <w:numId w:val="48"/>
        </w:numPr>
        <w:rPr>
          <w:rFonts w:cs="Segoe UI"/>
        </w:rPr>
      </w:pPr>
      <w:r w:rsidRPr="0018173A">
        <w:rPr>
          <w:rFonts w:cs="Segoe UI"/>
        </w:rPr>
        <w:t>Etnické menšiny a cizinci</w:t>
      </w:r>
    </w:p>
    <w:p w:rsidR="00AF4350" w:rsidRPr="0018173A" w:rsidRDefault="00AF4350" w:rsidP="00A34764">
      <w:pPr>
        <w:pStyle w:val="Odstavecseseznamem"/>
        <w:numPr>
          <w:ilvl w:val="0"/>
          <w:numId w:val="48"/>
        </w:numPr>
        <w:rPr>
          <w:rFonts w:cs="Segoe UI"/>
        </w:rPr>
      </w:pPr>
      <w:r w:rsidRPr="0018173A">
        <w:rPr>
          <w:rFonts w:cs="Segoe UI"/>
        </w:rPr>
        <w:t>Osoby sociálně vyloučené a osoby v krizi</w:t>
      </w:r>
    </w:p>
    <w:p w:rsidR="00AF4350" w:rsidRPr="0018173A" w:rsidRDefault="00AF4350" w:rsidP="00A34764">
      <w:pPr>
        <w:pStyle w:val="Odstavecseseznamem"/>
        <w:numPr>
          <w:ilvl w:val="0"/>
          <w:numId w:val="48"/>
        </w:numPr>
        <w:rPr>
          <w:rFonts w:cs="Segoe UI"/>
        </w:rPr>
      </w:pPr>
      <w:r w:rsidRPr="0018173A">
        <w:rPr>
          <w:rFonts w:cs="Segoe UI"/>
        </w:rPr>
        <w:t>Osoby ohrožené návykovým jednáním</w:t>
      </w:r>
    </w:p>
    <w:p w:rsidR="00FA4206" w:rsidRDefault="00FA4206" w:rsidP="00A34764">
      <w:pPr>
        <w:rPr>
          <w:noProof/>
          <w:lang w:eastAsia="cs-CZ"/>
        </w:rPr>
        <w:sectPr w:rsidR="00FA4206" w:rsidSect="00FA4206">
          <w:type w:val="continuous"/>
          <w:pgSz w:w="11906" w:h="16838"/>
          <w:pgMar w:top="1417" w:right="1417" w:bottom="1417" w:left="1417" w:header="708" w:footer="708" w:gutter="0"/>
          <w:cols w:num="2" w:space="2"/>
          <w:docGrid w:linePitch="360"/>
        </w:sectPr>
      </w:pPr>
    </w:p>
    <w:p w:rsidR="00AF4350" w:rsidRPr="00845838" w:rsidRDefault="00AF4350" w:rsidP="00A34764">
      <w:pPr>
        <w:rPr>
          <w:noProof/>
          <w:lang w:eastAsia="cs-CZ"/>
        </w:rPr>
      </w:pPr>
      <w:r w:rsidRPr="00845838">
        <w:rPr>
          <w:noProof/>
          <w:lang w:eastAsia="cs-CZ"/>
        </w:rPr>
        <w:t xml:space="preserve">PS jsou složeny ze zástupců zadavatelů, poskytovatelů a uživatelů sociálních služeb. Činnost jednotlivých PS se zaměřuje na zjišťování potřeb cílových skupin, z nich vyplývajících návrhů na poskytování potřebných druhů a forem sociálních služeb v požadovaném rozsahu a kvalitě, zajišťování vzájemných vazeb mezi nimi. PS zajišťují horizontální úroveň spolupráce a komunikace v případě služeb poskytovaných více cílovým skupinám uživatelů. </w:t>
      </w:r>
    </w:p>
    <w:p w:rsidR="00AF4350" w:rsidRPr="00AF397F" w:rsidRDefault="00AF4350" w:rsidP="00A34764">
      <w:pPr>
        <w:pStyle w:val="Nadpis2"/>
      </w:pPr>
      <w:bookmarkStart w:id="41" w:name="_Toc14167581"/>
      <w:bookmarkStart w:id="42" w:name="_Toc22896345"/>
      <w:bookmarkStart w:id="43" w:name="_Toc117606957"/>
      <w:r w:rsidRPr="005D7FB0">
        <w:lastRenderedPageBreak/>
        <w:t>Koordinace</w:t>
      </w:r>
      <w:r w:rsidRPr="00AF397F">
        <w:t xml:space="preserve"> činností při zpracování, naplňování a vyhodnocování Střednědobého plánu </w:t>
      </w:r>
      <w:bookmarkEnd w:id="41"/>
      <w:r>
        <w:t>2024</w:t>
      </w:r>
      <w:r w:rsidRPr="0066296F">
        <w:t>–</w:t>
      </w:r>
      <w:r w:rsidRPr="00AF397F">
        <w:t>202</w:t>
      </w:r>
      <w:bookmarkEnd w:id="42"/>
      <w:r>
        <w:t>6</w:t>
      </w:r>
      <w:bookmarkEnd w:id="43"/>
      <w:r w:rsidRPr="00AF397F">
        <w:t xml:space="preserve"> </w:t>
      </w:r>
    </w:p>
    <w:p w:rsidR="00AF4350" w:rsidRPr="00FC5325" w:rsidRDefault="00AF4350" w:rsidP="00A34764">
      <w:pPr>
        <w:pStyle w:val="Nadpis3"/>
      </w:pPr>
      <w:bookmarkStart w:id="44" w:name="_Toc22635688"/>
      <w:bookmarkStart w:id="45" w:name="_Toc22896346"/>
      <w:bookmarkStart w:id="46" w:name="_Toc117606958"/>
      <w:r w:rsidRPr="00FC5325">
        <w:t>Koordinace činností při zpracování Střednědobého plánu 2024</w:t>
      </w:r>
      <w:r w:rsidRPr="0066296F">
        <w:t>–</w:t>
      </w:r>
      <w:r w:rsidRPr="00FC5325">
        <w:t>202</w:t>
      </w:r>
      <w:bookmarkEnd w:id="44"/>
      <w:bookmarkEnd w:id="45"/>
      <w:r w:rsidRPr="00FC5325">
        <w:t>6</w:t>
      </w:r>
      <w:bookmarkEnd w:id="46"/>
    </w:p>
    <w:p w:rsidR="00AF4350" w:rsidRDefault="00AF4350" w:rsidP="0018173A">
      <w:r>
        <w:t>Střednědobý plán rozvoje sociálních služeb je strategický dokument, jehož zpracování, naplňování i vyhodnocování koordinuje OSV KÚOK, který</w:t>
      </w:r>
      <w:r w:rsidRPr="00975E2D">
        <w:t> </w:t>
      </w:r>
      <w:r w:rsidR="0075108A">
        <w:t xml:space="preserve">v </w:t>
      </w:r>
      <w:r w:rsidRPr="00975E2D">
        <w:t xml:space="preserve">rámci </w:t>
      </w:r>
      <w:r>
        <w:t>koordinace činností při</w:t>
      </w:r>
      <w:r w:rsidRPr="00975E2D">
        <w:t xml:space="preserve"> </w:t>
      </w:r>
      <w:r>
        <w:t xml:space="preserve">jeho </w:t>
      </w:r>
      <w:r w:rsidRPr="00975E2D">
        <w:t xml:space="preserve">zpracování </w:t>
      </w:r>
      <w:r>
        <w:t>připravil</w:t>
      </w:r>
      <w:r w:rsidRPr="00975E2D">
        <w:t xml:space="preserve"> již na podzim roku 2021 setkání municipalit na úrovni obcí I.</w:t>
      </w:r>
      <w:r>
        <w:t>,</w:t>
      </w:r>
      <w:r w:rsidRPr="00975E2D">
        <w:t xml:space="preserve"> II. a III. stupně. </w:t>
      </w:r>
      <w:r>
        <w:t>V rámci jednotlivých SO</w:t>
      </w:r>
      <w:r w:rsidR="0075108A">
        <w:t> </w:t>
      </w:r>
      <w:r>
        <w:t>ORP se uskutečnilo 13 setkání,</w:t>
      </w:r>
      <w:r w:rsidRPr="00975E2D">
        <w:t xml:space="preserve"> </w:t>
      </w:r>
      <w:r>
        <w:t>a to za účasti politické</w:t>
      </w:r>
      <w:r w:rsidRPr="00975E2D">
        <w:t xml:space="preserve"> reprezentace </w:t>
      </w:r>
      <w:r>
        <w:t xml:space="preserve">OK a </w:t>
      </w:r>
      <w:r w:rsidRPr="00975E2D">
        <w:t>obcí</w:t>
      </w:r>
      <w:r>
        <w:t>.</w:t>
      </w:r>
      <w:r w:rsidRPr="00975E2D">
        <w:t xml:space="preserve"> </w:t>
      </w:r>
      <w:r>
        <w:t>Setkání byla zaměřena na</w:t>
      </w:r>
      <w:r w:rsidRPr="00C8731F">
        <w:rPr>
          <w:rFonts w:asciiTheme="minorHAnsi" w:eastAsiaTheme="minorHAnsi" w:hAnsiTheme="minorHAnsi"/>
          <w:sz w:val="22"/>
        </w:rPr>
        <w:t xml:space="preserve"> </w:t>
      </w:r>
      <w:r w:rsidRPr="00C8731F">
        <w:t>strategická východiska</w:t>
      </w:r>
      <w:r w:rsidRPr="00C8731F" w:rsidDel="005039D2">
        <w:t xml:space="preserve"> </w:t>
      </w:r>
      <w:r>
        <w:t>a hlavní cíle</w:t>
      </w:r>
      <w:r w:rsidRPr="00975E2D">
        <w:t xml:space="preserve"> pro plánovací období 2024</w:t>
      </w:r>
      <w:r>
        <w:t>–</w:t>
      </w:r>
      <w:r w:rsidRPr="00975E2D">
        <w:t>2026</w:t>
      </w:r>
      <w:r>
        <w:t>, dále pak na</w:t>
      </w:r>
      <w:r w:rsidRPr="00975E2D">
        <w:t xml:space="preserve"> zásady směřování so</w:t>
      </w:r>
      <w:r>
        <w:t>ciálních služeb na úrovni kraje a časový harmonogramem tvorby strategického dokumentu. Zástupci obcí byli požádáni</w:t>
      </w:r>
      <w:r w:rsidRPr="002D2146">
        <w:t xml:space="preserve"> o</w:t>
      </w:r>
      <w:r>
        <w:t> </w:t>
      </w:r>
      <w:r w:rsidRPr="002D2146">
        <w:t>spolupráci a zapojení</w:t>
      </w:r>
      <w:r>
        <w:t xml:space="preserve"> se do přípravy</w:t>
      </w:r>
      <w:r w:rsidRPr="002D2146">
        <w:t xml:space="preserve"> </w:t>
      </w:r>
      <w:r>
        <w:t>Střednědobého plánu 2024–2026 a k zapojení se do</w:t>
      </w:r>
      <w:r w:rsidRPr="002D2146">
        <w:t xml:space="preserve"> spolufinancování sociálních služeb</w:t>
      </w:r>
      <w:r>
        <w:t xml:space="preserve">. Nezbytná vzájemná spolupráce mezi jednotlivými subjekty je důležitým prvkem k tomu, aby síť sociálních služeb, jejímž garantem je dle zákona o sociálních službách kraj, reagovala na zjištěné, opodstatněné a zatím nepokryté potřeby osob v území, ale zároveň byla udržitelná a její rozvoj byl finančně zabezpečen bez ohrožení stávajících poskytovatelů sociálních služeb již v síti zařazených. Stěžejní roli v plánovacím procesu sehrávají OÚORP, které v souladu s ustanovením § 92 písm. d) zákona o sociálních službách, koordinují poskytování sociálních služeb, realizují činnosti sociální práce směřující k řešení nepříznivé sociální situace a napomáhají k sociálnímu začleňování osob na svém území. Cílem všech zúčastněných je tak vytvoření nabídky sociálních služeb v co nejvyšší dostupné kvalitě péče, ať už sanující potřeby v přirozeném prostředí nebo v případě nezbytného propojení sociální a zdravotní celodenní péče v pobytové formě sociální služby. </w:t>
      </w:r>
    </w:p>
    <w:p w:rsidR="00AF4350" w:rsidRPr="003C6746" w:rsidRDefault="00AF4350" w:rsidP="0018173A">
      <w:r w:rsidRPr="003C6746">
        <w:t>Pro funkční a cyklický proces KPSS je</w:t>
      </w:r>
      <w:r>
        <w:t xml:space="preserve"> koordinace a</w:t>
      </w:r>
      <w:r w:rsidRPr="003C6746">
        <w:t xml:space="preserve"> zjišťování potřeb obyvatel v</w:t>
      </w:r>
      <w:r>
        <w:t> </w:t>
      </w:r>
      <w:r w:rsidRPr="003C6746">
        <w:t>území</w:t>
      </w:r>
      <w:r>
        <w:t xml:space="preserve"> SO ORP</w:t>
      </w:r>
      <w:r w:rsidRPr="003C6746">
        <w:t xml:space="preserve"> ve vztahu ke konkrétním druhům a typům sociálních služeb, mapování efektivity stávajících služeb, definování priorit a parametrů rozvoje včetně jeho financování</w:t>
      </w:r>
      <w:r>
        <w:t xml:space="preserve">, nezastupitelné a nezbytné. </w:t>
      </w:r>
      <w:r w:rsidRPr="003C6746">
        <w:t>Veškeré výstupy získané od jednotlivých OÚORP v průběhu</w:t>
      </w:r>
      <w:r w:rsidRPr="003C6746">
        <w:rPr>
          <w:rFonts w:eastAsiaTheme="minorHAnsi"/>
          <w:noProof/>
        </w:rPr>
        <w:t xml:space="preserve"> </w:t>
      </w:r>
      <w:r w:rsidRPr="003C6746">
        <w:t>zpr</w:t>
      </w:r>
      <w:r>
        <w:t>acování Střednědobého plánu 2024–2026</w:t>
      </w:r>
      <w:r w:rsidRPr="003C6746">
        <w:t xml:space="preserve"> byly pracovníky KÚOK sumarizovány a předá</w:t>
      </w:r>
      <w:r>
        <w:t>vá</w:t>
      </w:r>
      <w:r w:rsidRPr="003C6746">
        <w:t>ny jako jedny ze zásadních podkladů pro tvorbu průřezových a</w:t>
      </w:r>
      <w:r>
        <w:t> </w:t>
      </w:r>
      <w:r w:rsidRPr="003C6746">
        <w:t>specifických cílů do PS. V průběhu tvorby strategického dokumentu probíhala intenzivní jednání PS pro plánování sociálních služeb na krajské úrovni, na kterých byly vyhodnoceny veškeré získané výstupy z mapování výchozího stavu v oblasti sociálních služeb na území kraje. Činnost PS byla koordinována z pozice krajského koordinátora sociálních služeb a manažery jednotlivých PS. Kontinuálně probíhající výměna nezbytných podkladů na horizontální i vertikální úrovni plánování sociálních služeb zabezpečila dostatek aktuálních podkladů pro tvor</w:t>
      </w:r>
      <w:r>
        <w:t xml:space="preserve">bu strategické části dokumentu. </w:t>
      </w:r>
    </w:p>
    <w:p w:rsidR="00AF4350" w:rsidRPr="006643AC" w:rsidRDefault="00AF4350" w:rsidP="00A34764">
      <w:pPr>
        <w:pStyle w:val="Nadpis3"/>
      </w:pPr>
      <w:bookmarkStart w:id="47" w:name="_Toc22635689"/>
      <w:bookmarkStart w:id="48" w:name="_Toc22896347"/>
      <w:bookmarkStart w:id="49" w:name="_Toc117606959"/>
      <w:r w:rsidRPr="005D7FB0">
        <w:t>Naplňování</w:t>
      </w:r>
      <w:r w:rsidRPr="006643AC">
        <w:t xml:space="preserve"> a vyhodn</w:t>
      </w:r>
      <w:r>
        <w:t>ocování Střednědobého plánu 2024–</w:t>
      </w:r>
      <w:r w:rsidRPr="006643AC">
        <w:t>202</w:t>
      </w:r>
      <w:bookmarkEnd w:id="47"/>
      <w:bookmarkEnd w:id="48"/>
      <w:r>
        <w:t>6</w:t>
      </w:r>
      <w:bookmarkEnd w:id="49"/>
    </w:p>
    <w:p w:rsidR="00AF4350" w:rsidRDefault="00AF4350" w:rsidP="0018173A">
      <w:r>
        <w:t xml:space="preserve">Vyhodnocení naplňování průřezových a specifických cílů PS za daný rok platnosti Střednědobého plánu, je každoročně zpracováno jako samostatná příloha Akčního plánu. Po ukončení platnosti Střednědobého plánu 2024–2026 bude zpracována souhrnná evaluační zpráva s celkovým vyhodnocením nastavených cílů a opatření. Zprávy o naplňování Střednědobého plánu 2024–2026, budou uveřejňovány také jako samostatný dokument na webových stránkách OK v sekci sociální záležitosti. </w:t>
      </w:r>
    </w:p>
    <w:p w:rsidR="00AF4350" w:rsidRPr="006F1612" w:rsidRDefault="00AF4350" w:rsidP="0018173A">
      <w:r w:rsidRPr="006F1612">
        <w:t xml:space="preserve">Sledování průběhu plnění, aktuálního dění a situace v oblasti sociálních služeb v OK vede k vyhodnocení a předkládání vhodných řešení zaměřených na optimalizaci a aktualizaci stavu a procesu. Implementace tak umožní vyvodit závěry o </w:t>
      </w:r>
      <w:r>
        <w:t>míře naplnění stanovených cílů s přímým dopadem na aktualizaci Střednědobého plánu 2024–2026 prostřednictví Akčních plánů, či v návaznosti na tvorbu nového strategického dokumentu na následující plánovací období.</w:t>
      </w:r>
    </w:p>
    <w:p w:rsidR="00AF4350" w:rsidRDefault="00AF4350" w:rsidP="0018173A">
      <w:r w:rsidRPr="00523EC5">
        <w:br w:type="page"/>
      </w:r>
    </w:p>
    <w:p w:rsidR="00AF4350" w:rsidRPr="0018173A" w:rsidRDefault="00AF4350" w:rsidP="0018173A">
      <w:pPr>
        <w:keepNext/>
        <w:keepLines/>
        <w:pageBreakBefore/>
        <w:pBdr>
          <w:bottom w:val="single" w:sz="12" w:space="1" w:color="2F5496" w:themeColor="accent5" w:themeShade="BF"/>
        </w:pBdr>
        <w:spacing w:before="0" w:after="360"/>
        <w:jc w:val="center"/>
        <w:outlineLvl w:val="0"/>
        <w:rPr>
          <w:rFonts w:eastAsia="Arial Unicode MS" w:cs="Segoe UI"/>
          <w:bCs/>
          <w:caps/>
          <w:color w:val="2F5496" w:themeColor="accent5" w:themeShade="BF"/>
          <w:sz w:val="36"/>
          <w:szCs w:val="32"/>
        </w:rPr>
      </w:pPr>
      <w:bookmarkStart w:id="50" w:name="_Toc111537437"/>
      <w:bookmarkStart w:id="51" w:name="_Toc117606960"/>
      <w:r w:rsidRPr="0018173A">
        <w:rPr>
          <w:rFonts w:eastAsia="Arial Unicode MS" w:cs="Segoe UI"/>
          <w:bCs/>
          <w:caps/>
          <w:color w:val="2F5496" w:themeColor="accent5" w:themeShade="BF"/>
          <w:sz w:val="36"/>
          <w:szCs w:val="32"/>
        </w:rPr>
        <w:lastRenderedPageBreak/>
        <w:t xml:space="preserve">Část B – </w:t>
      </w:r>
      <w:r w:rsidR="008610B7" w:rsidRPr="0018173A">
        <w:rPr>
          <w:rFonts w:eastAsia="Arial Unicode MS" w:cs="Segoe UI"/>
          <w:bCs/>
          <w:color w:val="2F5496" w:themeColor="accent5" w:themeShade="BF"/>
          <w:sz w:val="36"/>
          <w:szCs w:val="32"/>
        </w:rPr>
        <w:t>ANALYTICKÁ</w:t>
      </w:r>
      <w:bookmarkEnd w:id="50"/>
      <w:bookmarkEnd w:id="51"/>
      <w:r w:rsidR="008610B7" w:rsidRPr="0018173A">
        <w:rPr>
          <w:rFonts w:eastAsia="Arial Unicode MS" w:cs="Segoe UI"/>
          <w:bCs/>
          <w:color w:val="2F5496" w:themeColor="accent5" w:themeShade="BF"/>
          <w:sz w:val="36"/>
          <w:szCs w:val="32"/>
        </w:rPr>
        <w:t xml:space="preserve"> </w:t>
      </w:r>
    </w:p>
    <w:p w:rsidR="00AF4350" w:rsidRPr="0039748C" w:rsidRDefault="00AF4350" w:rsidP="00A34764">
      <w:pPr>
        <w:rPr>
          <w:rFonts w:eastAsia="Arial Unicode MS"/>
          <w:lang w:eastAsia="cs-CZ"/>
        </w:rPr>
      </w:pPr>
      <w:r w:rsidRPr="0039748C">
        <w:rPr>
          <w:rFonts w:cs="Segoe UI"/>
          <w:color w:val="292929"/>
          <w:szCs w:val="20"/>
        </w:rPr>
        <w:t>Jedním z důležitých procesů, ze kterého vychází plánování sociálních služeb a jejich rozvoj, je</w:t>
      </w:r>
      <w:r w:rsidRPr="0039748C">
        <w:rPr>
          <w:rFonts w:ascii="Tahoma" w:hAnsi="Tahoma" w:cs="Tahoma"/>
          <w:color w:val="292929"/>
          <w:sz w:val="21"/>
          <w:szCs w:val="21"/>
        </w:rPr>
        <w:t xml:space="preserve"> </w:t>
      </w:r>
      <w:r w:rsidRPr="0039748C">
        <w:rPr>
          <w:rFonts w:cs="Segoe UI"/>
          <w:color w:val="292929"/>
          <w:szCs w:val="20"/>
        </w:rPr>
        <w:t>analýza dat</w:t>
      </w:r>
      <w:r w:rsidRPr="0039748C">
        <w:rPr>
          <w:rFonts w:ascii="Tahoma" w:hAnsi="Tahoma" w:cs="Tahoma"/>
          <w:color w:val="292929"/>
          <w:sz w:val="21"/>
          <w:szCs w:val="21"/>
        </w:rPr>
        <w:t xml:space="preserve"> </w:t>
      </w:r>
      <w:r w:rsidRPr="0039748C">
        <w:rPr>
          <w:rFonts w:eastAsia="Arial Unicode MS"/>
          <w:lang w:eastAsia="cs-CZ"/>
        </w:rPr>
        <w:t>popisujících sociální realitu. Shromažďování, zpracování a vyhodnocení specificky zaměřených dat vztahujících se k určitému území slouží v prvních fázích KPSS jako jeden z řady informačních podkladů, na základě kterých dochází k formulaci výchozích náhledů a rozvojových návrhů o dané oblasti. Následující část Střednědobého plánu 2024</w:t>
      </w:r>
      <w:r w:rsidRPr="00BC6AB1">
        <w:rPr>
          <w:rFonts w:eastAsia="Arial Unicode MS"/>
          <w:lang w:eastAsia="cs-CZ"/>
        </w:rPr>
        <w:t>–</w:t>
      </w:r>
      <w:r w:rsidRPr="0039748C">
        <w:rPr>
          <w:rFonts w:eastAsia="Arial Unicode MS"/>
          <w:lang w:eastAsia="cs-CZ"/>
        </w:rPr>
        <w:t xml:space="preserve">2026 obsahuje vybrané informace o obyvatelstvu a dalších trendech ze sociální oblasti identifikovatelných na území OK. Data pocházejí z veřejně dostupných zdrojů, zejména z portálu ČSÚ, Úřadu práce ČR, MPSV, České správy sociálního zabezpečení (dále jen „ČSSZ“), informačního systému Olomouckého kraje </w:t>
      </w:r>
      <w:proofErr w:type="spellStart"/>
      <w:r w:rsidRPr="0039748C">
        <w:rPr>
          <w:rFonts w:eastAsia="Arial Unicode MS"/>
          <w:lang w:eastAsia="cs-CZ"/>
        </w:rPr>
        <w:t>KISSoS</w:t>
      </w:r>
      <w:proofErr w:type="spellEnd"/>
      <w:r w:rsidRPr="0039748C">
        <w:rPr>
          <w:rFonts w:eastAsia="Arial Unicode MS"/>
          <w:lang w:eastAsia="cs-CZ"/>
        </w:rPr>
        <w:t xml:space="preserve"> a dalších institucí.  </w:t>
      </w:r>
    </w:p>
    <w:p w:rsidR="00AF4350" w:rsidRPr="0039748C" w:rsidRDefault="00AF4350" w:rsidP="00A34764">
      <w:pPr>
        <w:pStyle w:val="Nadpis1"/>
      </w:pPr>
      <w:r w:rsidRPr="0039748C">
        <w:t xml:space="preserve"> </w:t>
      </w:r>
      <w:bookmarkStart w:id="52" w:name="_Toc117606961"/>
      <w:r w:rsidRPr="0039748C">
        <w:t>Vybrané sociodemografické údaje o Olomouckém kraji</w:t>
      </w:r>
      <w:bookmarkEnd w:id="52"/>
    </w:p>
    <w:p w:rsidR="00AF4350" w:rsidRPr="0039748C" w:rsidRDefault="00AF4350" w:rsidP="00A34764">
      <w:pPr>
        <w:pStyle w:val="Nadpis2"/>
      </w:pPr>
      <w:bookmarkStart w:id="53" w:name="_Toc117606962"/>
      <w:r w:rsidRPr="0039748C">
        <w:t>Základní charakteristika Olomouckého kraje</w:t>
      </w:r>
      <w:bookmarkEnd w:id="53"/>
    </w:p>
    <w:p w:rsidR="00AF4350" w:rsidRPr="0039748C" w:rsidRDefault="00AF4350" w:rsidP="00A34764">
      <w:r w:rsidRPr="0039748C">
        <w:t>OK se rozkládá ve střední a severní části Moravy, jeho severní část zasahuje také na území českého Slezska. Rozkládá se na 5 272 km</w:t>
      </w:r>
      <w:r w:rsidRPr="0039748C">
        <w:rPr>
          <w:vertAlign w:val="superscript"/>
        </w:rPr>
        <w:t>2</w:t>
      </w:r>
      <w:r w:rsidRPr="0039748C">
        <w:t xml:space="preserve">, což představuje 6,7 % celkové rozlohy České republiky. Mezi 14 kraji České republiky se rozlohou řadí na osmé místo, tedy ke krajům spíše menším. Kraj na severu hraničí s Polskem, na východě sousedí s krajem Moravskoslezským, na jihu se Zlínským a Jihomoravským, na západě sdílí hranici s krajem Pardubickým. </w:t>
      </w:r>
    </w:p>
    <w:p w:rsidR="00AF4350" w:rsidRPr="0039748C" w:rsidRDefault="00AF4350" w:rsidP="00FA4206">
      <w:pPr>
        <w:pStyle w:val="popistabulkySPRSS2024"/>
      </w:pPr>
      <w:bookmarkStart w:id="54" w:name="_Toc117607053"/>
      <w:r w:rsidRPr="0039748C">
        <w:t xml:space="preserve">Mapa </w:t>
      </w:r>
      <w:r w:rsidRPr="0039748C">
        <w:rPr>
          <w:noProof/>
        </w:rPr>
        <w:fldChar w:fldCharType="begin"/>
      </w:r>
      <w:r w:rsidRPr="0039748C">
        <w:rPr>
          <w:noProof/>
        </w:rPr>
        <w:instrText xml:space="preserve"> SEQ Mapa \* ARABIC </w:instrText>
      </w:r>
      <w:r w:rsidRPr="0039748C">
        <w:rPr>
          <w:noProof/>
        </w:rPr>
        <w:fldChar w:fldCharType="separate"/>
      </w:r>
      <w:r w:rsidR="003A12AF">
        <w:rPr>
          <w:noProof/>
        </w:rPr>
        <w:t>1</w:t>
      </w:r>
      <w:r w:rsidRPr="0039748C">
        <w:rPr>
          <w:noProof/>
        </w:rPr>
        <w:fldChar w:fldCharType="end"/>
      </w:r>
      <w:r>
        <w:rPr>
          <w:noProof/>
        </w:rPr>
        <w:t>:</w:t>
      </w:r>
      <w:r w:rsidRPr="0039748C">
        <w:t xml:space="preserve"> Administrativní členění OK</w:t>
      </w:r>
      <w:bookmarkEnd w:id="54"/>
    </w:p>
    <w:p w:rsidR="00AF4350" w:rsidRPr="0039748C" w:rsidRDefault="00AF4350" w:rsidP="00FA4206">
      <w:pPr>
        <w:spacing w:before="0"/>
      </w:pPr>
      <w:r w:rsidRPr="0039748C">
        <w:rPr>
          <w:noProof/>
          <w:lang w:eastAsia="cs-CZ"/>
        </w:rPr>
        <w:drawing>
          <wp:inline distT="0" distB="0" distL="0" distR="0" wp14:anchorId="37AE139B" wp14:editId="78CA1B6A">
            <wp:extent cx="4747260" cy="4683854"/>
            <wp:effectExtent l="0" t="0" r="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K_Admin3.png"/>
                    <pic:cNvPicPr/>
                  </pic:nvPicPr>
                  <pic:blipFill>
                    <a:blip r:embed="rId14">
                      <a:extLst>
                        <a:ext uri="{28A0092B-C50C-407E-A947-70E740481C1C}">
                          <a14:useLocalDpi xmlns:a14="http://schemas.microsoft.com/office/drawing/2010/main" val="0"/>
                        </a:ext>
                      </a:extLst>
                    </a:blip>
                    <a:stretch>
                      <a:fillRect/>
                    </a:stretch>
                  </pic:blipFill>
                  <pic:spPr>
                    <a:xfrm>
                      <a:off x="0" y="0"/>
                      <a:ext cx="4772121" cy="4708382"/>
                    </a:xfrm>
                    <a:prstGeom prst="rect">
                      <a:avLst/>
                    </a:prstGeom>
                  </pic:spPr>
                </pic:pic>
              </a:graphicData>
            </a:graphic>
          </wp:inline>
        </w:drawing>
      </w:r>
    </w:p>
    <w:p w:rsidR="00AF4350" w:rsidRPr="0039748C" w:rsidRDefault="00AF4350" w:rsidP="00A34764">
      <w:r w:rsidRPr="0039748C">
        <w:rPr>
          <w:bdr w:val="none" w:sz="0" w:space="0" w:color="auto" w:frame="1"/>
          <w:lang w:eastAsia="cs-CZ"/>
        </w:rPr>
        <w:lastRenderedPageBreak/>
        <w:t xml:space="preserve">V OK je celkem 402 obcí, statut města má celkem 31 obcí, statut </w:t>
      </w:r>
      <w:r w:rsidRPr="0039748C">
        <w:t>městyse 12. V roce 2020 získala statut města obec Štěpánov. V kraji jsou dále tři statutární města Olomouc, Prostějov a Přerov.</w:t>
      </w:r>
    </w:p>
    <w:p w:rsidR="00AF4350" w:rsidRPr="0039748C" w:rsidRDefault="00AF4350" w:rsidP="00FA4206">
      <w:pPr>
        <w:pStyle w:val="popistabulkySPRSS2024"/>
      </w:pPr>
      <w:bookmarkStart w:id="55" w:name="_Toc117607063"/>
      <w:r w:rsidRPr="0039748C">
        <w:t xml:space="preserve">Tabulka </w:t>
      </w:r>
      <w:r w:rsidR="00412C70">
        <w:fldChar w:fldCharType="begin"/>
      </w:r>
      <w:r w:rsidR="00412C70">
        <w:instrText xml:space="preserve"> SEQ Tabulka \* ARABIC </w:instrText>
      </w:r>
      <w:r w:rsidR="00412C70">
        <w:fldChar w:fldCharType="separate"/>
      </w:r>
      <w:r w:rsidR="003A12AF">
        <w:rPr>
          <w:noProof/>
        </w:rPr>
        <w:t>3</w:t>
      </w:r>
      <w:r w:rsidR="00412C70">
        <w:rPr>
          <w:noProof/>
        </w:rPr>
        <w:fldChar w:fldCharType="end"/>
      </w:r>
      <w:r>
        <w:rPr>
          <w:noProof/>
        </w:rPr>
        <w:t>:</w:t>
      </w:r>
      <w:r w:rsidRPr="0039748C">
        <w:t xml:space="preserve"> Přehledová tabulka administrativního členění kraje</w:t>
      </w:r>
      <w:bookmarkEnd w:id="55"/>
    </w:p>
    <w:tbl>
      <w:tblPr>
        <w:tblStyle w:val="Tabulkasmkou4zvraznn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459"/>
        <w:gridCol w:w="1417"/>
        <w:gridCol w:w="1276"/>
        <w:gridCol w:w="1885"/>
        <w:gridCol w:w="1512"/>
      </w:tblGrid>
      <w:tr w:rsidR="00AF4350" w:rsidRPr="0039748C" w:rsidTr="00FA420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40"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AF4350" w:rsidRPr="00FA4206" w:rsidRDefault="00AF4350" w:rsidP="00FA4206">
            <w:pPr>
              <w:spacing w:before="0"/>
              <w:jc w:val="center"/>
              <w:rPr>
                <w:rFonts w:cs="Segoe UI"/>
                <w:color w:val="auto"/>
                <w:sz w:val="18"/>
                <w:szCs w:val="18"/>
                <w:lang w:eastAsia="cs-CZ"/>
              </w:rPr>
            </w:pPr>
            <w:r w:rsidRPr="00FA4206">
              <w:rPr>
                <w:rFonts w:cs="Segoe UI"/>
                <w:color w:val="auto"/>
                <w:sz w:val="18"/>
                <w:szCs w:val="18"/>
                <w:lang w:eastAsia="cs-CZ"/>
              </w:rPr>
              <w:t>KRAJ</w:t>
            </w:r>
          </w:p>
        </w:tc>
        <w:tc>
          <w:tcPr>
            <w:tcW w:w="1486"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AF4350" w:rsidRPr="00FA4206" w:rsidRDefault="00AF4350" w:rsidP="00FA4206">
            <w:pPr>
              <w:spacing w:before="0"/>
              <w:jc w:val="center"/>
              <w:cnfStyle w:val="100000000000" w:firstRow="1" w:lastRow="0" w:firstColumn="0" w:lastColumn="0" w:oddVBand="0" w:evenVBand="0" w:oddHBand="0" w:evenHBand="0" w:firstRowFirstColumn="0" w:firstRowLastColumn="0" w:lastRowFirstColumn="0" w:lastRowLastColumn="0"/>
              <w:rPr>
                <w:rFonts w:cs="Segoe UI"/>
                <w:color w:val="auto"/>
                <w:sz w:val="18"/>
                <w:szCs w:val="18"/>
                <w:lang w:eastAsia="cs-CZ"/>
              </w:rPr>
            </w:pPr>
            <w:r w:rsidRPr="00FA4206">
              <w:rPr>
                <w:rFonts w:cs="Segoe UI"/>
                <w:color w:val="auto"/>
                <w:sz w:val="18"/>
                <w:szCs w:val="18"/>
                <w:lang w:eastAsia="cs-CZ"/>
              </w:rPr>
              <w:t>OKRES</w:t>
            </w:r>
          </w:p>
        </w:tc>
        <w:tc>
          <w:tcPr>
            <w:tcW w:w="1874"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AF4350" w:rsidRPr="00FA4206" w:rsidRDefault="00AF4350" w:rsidP="00FA4206">
            <w:pPr>
              <w:spacing w:before="0"/>
              <w:jc w:val="center"/>
              <w:cnfStyle w:val="100000000000" w:firstRow="1" w:lastRow="0" w:firstColumn="0" w:lastColumn="0" w:oddVBand="0" w:evenVBand="0" w:oddHBand="0" w:evenHBand="0" w:firstRowFirstColumn="0" w:firstRowLastColumn="0" w:lastRowFirstColumn="0" w:lastRowLastColumn="0"/>
              <w:rPr>
                <w:rFonts w:cs="Segoe UI"/>
                <w:color w:val="auto"/>
                <w:sz w:val="18"/>
                <w:szCs w:val="18"/>
                <w:lang w:eastAsia="cs-CZ"/>
              </w:rPr>
            </w:pPr>
            <w:r w:rsidRPr="00FA4206">
              <w:rPr>
                <w:rFonts w:cs="Segoe UI"/>
                <w:color w:val="auto"/>
                <w:sz w:val="18"/>
                <w:szCs w:val="18"/>
                <w:lang w:eastAsia="cs-CZ"/>
              </w:rPr>
              <w:t>SO ORP</w:t>
            </w:r>
          </w:p>
        </w:tc>
      </w:tr>
      <w:tr w:rsidR="00AF4350" w:rsidRPr="0039748C" w:rsidTr="00FA420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shd w:val="clear" w:color="auto" w:fill="D9D9D9" w:themeFill="background1" w:themeFillShade="D9"/>
            <w:noWrap/>
            <w:vAlign w:val="center"/>
            <w:hideMark/>
          </w:tcPr>
          <w:p w:rsidR="00AF4350" w:rsidRPr="00FA4206" w:rsidRDefault="00AF4350" w:rsidP="00FA4206">
            <w:pPr>
              <w:spacing w:before="0"/>
              <w:jc w:val="center"/>
              <w:rPr>
                <w:sz w:val="18"/>
                <w:szCs w:val="18"/>
                <w:lang w:eastAsia="cs-CZ"/>
              </w:rPr>
            </w:pPr>
            <w:r w:rsidRPr="00FA4206">
              <w:rPr>
                <w:sz w:val="18"/>
                <w:szCs w:val="18"/>
                <w:lang w:eastAsia="cs-CZ"/>
              </w:rPr>
              <w:t>Název</w:t>
            </w:r>
          </w:p>
        </w:tc>
        <w:tc>
          <w:tcPr>
            <w:tcW w:w="805" w:type="pct"/>
            <w:shd w:val="clear" w:color="auto" w:fill="D9D9D9" w:themeFill="background1" w:themeFillShade="D9"/>
            <w:noWrap/>
            <w:vAlign w:val="center"/>
            <w:hideMark/>
          </w:tcPr>
          <w:p w:rsidR="00AF4350" w:rsidRPr="00FA4206" w:rsidRDefault="00AF4350" w:rsidP="00FA4206">
            <w:pPr>
              <w:spacing w:before="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cs-CZ"/>
              </w:rPr>
            </w:pPr>
            <w:r w:rsidRPr="00FA4206">
              <w:rPr>
                <w:rFonts w:cs="Segoe UI"/>
                <w:b/>
                <w:sz w:val="18"/>
                <w:szCs w:val="18"/>
                <w:lang w:eastAsia="cs-CZ"/>
              </w:rPr>
              <w:t>Počet obcí</w:t>
            </w:r>
          </w:p>
        </w:tc>
        <w:tc>
          <w:tcPr>
            <w:tcW w:w="782" w:type="pct"/>
            <w:shd w:val="clear" w:color="auto" w:fill="D9D9D9" w:themeFill="background1" w:themeFillShade="D9"/>
            <w:noWrap/>
            <w:vAlign w:val="center"/>
            <w:hideMark/>
          </w:tcPr>
          <w:p w:rsidR="00AF4350" w:rsidRPr="00FA4206" w:rsidRDefault="00AF4350" w:rsidP="00FA4206">
            <w:pPr>
              <w:spacing w:before="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cs-CZ"/>
              </w:rPr>
            </w:pPr>
            <w:r w:rsidRPr="00FA4206">
              <w:rPr>
                <w:rFonts w:cs="Segoe UI"/>
                <w:b/>
                <w:sz w:val="18"/>
                <w:szCs w:val="18"/>
                <w:lang w:eastAsia="cs-CZ"/>
              </w:rPr>
              <w:t>Název</w:t>
            </w:r>
          </w:p>
        </w:tc>
        <w:tc>
          <w:tcPr>
            <w:tcW w:w="704" w:type="pct"/>
            <w:shd w:val="clear" w:color="auto" w:fill="D9D9D9" w:themeFill="background1" w:themeFillShade="D9"/>
            <w:noWrap/>
            <w:vAlign w:val="center"/>
            <w:hideMark/>
          </w:tcPr>
          <w:p w:rsidR="00AF4350" w:rsidRPr="00FA4206" w:rsidRDefault="00AF4350" w:rsidP="00FA4206">
            <w:pPr>
              <w:spacing w:before="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cs-CZ"/>
              </w:rPr>
            </w:pPr>
            <w:r w:rsidRPr="00FA4206">
              <w:rPr>
                <w:rFonts w:cs="Segoe UI"/>
                <w:b/>
                <w:sz w:val="18"/>
                <w:szCs w:val="18"/>
                <w:lang w:eastAsia="cs-CZ"/>
              </w:rPr>
              <w:t>Počet obcí</w:t>
            </w:r>
          </w:p>
        </w:tc>
        <w:tc>
          <w:tcPr>
            <w:tcW w:w="1040" w:type="pct"/>
            <w:shd w:val="clear" w:color="auto" w:fill="D9D9D9" w:themeFill="background1" w:themeFillShade="D9"/>
            <w:noWrap/>
            <w:vAlign w:val="center"/>
            <w:hideMark/>
          </w:tcPr>
          <w:p w:rsidR="00AF4350" w:rsidRPr="00FA4206" w:rsidRDefault="00AF4350" w:rsidP="00FA4206">
            <w:pPr>
              <w:spacing w:before="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cs-CZ"/>
              </w:rPr>
            </w:pPr>
            <w:r w:rsidRPr="00FA4206">
              <w:rPr>
                <w:rFonts w:cs="Segoe UI"/>
                <w:b/>
                <w:sz w:val="18"/>
                <w:szCs w:val="18"/>
                <w:lang w:eastAsia="cs-CZ"/>
              </w:rPr>
              <w:t>Název</w:t>
            </w:r>
          </w:p>
        </w:tc>
        <w:tc>
          <w:tcPr>
            <w:tcW w:w="834" w:type="pct"/>
            <w:shd w:val="clear" w:color="auto" w:fill="D9D9D9" w:themeFill="background1" w:themeFillShade="D9"/>
            <w:noWrap/>
            <w:vAlign w:val="center"/>
            <w:hideMark/>
          </w:tcPr>
          <w:p w:rsidR="00AF4350" w:rsidRPr="00FA4206" w:rsidRDefault="00AF4350" w:rsidP="00FA4206">
            <w:pPr>
              <w:spacing w:before="0"/>
              <w:jc w:val="center"/>
              <w:cnfStyle w:val="000000100000" w:firstRow="0" w:lastRow="0" w:firstColumn="0" w:lastColumn="0" w:oddVBand="0" w:evenVBand="0" w:oddHBand="1" w:evenHBand="0" w:firstRowFirstColumn="0" w:firstRowLastColumn="0" w:lastRowFirstColumn="0" w:lastRowLastColumn="0"/>
              <w:rPr>
                <w:rFonts w:cs="Segoe UI"/>
                <w:b/>
                <w:sz w:val="18"/>
                <w:szCs w:val="18"/>
                <w:lang w:eastAsia="cs-CZ"/>
              </w:rPr>
            </w:pPr>
            <w:r w:rsidRPr="00FA4206">
              <w:rPr>
                <w:rFonts w:cs="Segoe UI"/>
                <w:b/>
                <w:sz w:val="18"/>
                <w:szCs w:val="18"/>
                <w:lang w:eastAsia="cs-CZ"/>
              </w:rPr>
              <w:t>Počet obcí</w:t>
            </w:r>
          </w:p>
        </w:tc>
      </w:tr>
      <w:tr w:rsidR="00AF4350" w:rsidRPr="0039748C" w:rsidTr="00AF4350">
        <w:trPr>
          <w:trHeight w:val="255"/>
        </w:trPr>
        <w:tc>
          <w:tcPr>
            <w:cnfStyle w:val="001000000000" w:firstRow="0" w:lastRow="0" w:firstColumn="1" w:lastColumn="0" w:oddVBand="0" w:evenVBand="0" w:oddHBand="0" w:evenHBand="0" w:firstRowFirstColumn="0" w:firstRowLastColumn="0" w:lastRowFirstColumn="0" w:lastRowLastColumn="0"/>
            <w:tcW w:w="835" w:type="pct"/>
            <w:vMerge w:val="restart"/>
            <w:noWrap/>
            <w:vAlign w:val="center"/>
            <w:hideMark/>
          </w:tcPr>
          <w:p w:rsidR="00AF4350" w:rsidRPr="0039748C" w:rsidRDefault="00AF4350" w:rsidP="00A34764">
            <w:pPr>
              <w:rPr>
                <w:lang w:eastAsia="cs-CZ"/>
              </w:rPr>
            </w:pPr>
            <w:r w:rsidRPr="0039748C">
              <w:rPr>
                <w:lang w:eastAsia="cs-CZ"/>
              </w:rPr>
              <w:t>Olomoucký</w:t>
            </w:r>
          </w:p>
        </w:tc>
        <w:tc>
          <w:tcPr>
            <w:tcW w:w="805" w:type="pct"/>
            <w:vMerge w:val="restart"/>
            <w:noWrap/>
            <w:vAlign w:val="center"/>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402</w:t>
            </w:r>
          </w:p>
        </w:tc>
        <w:tc>
          <w:tcPr>
            <w:tcW w:w="782" w:type="pct"/>
            <w:noWrap/>
            <w:vAlign w:val="center"/>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Jeseník</w:t>
            </w:r>
          </w:p>
        </w:tc>
        <w:tc>
          <w:tcPr>
            <w:tcW w:w="704" w:type="pct"/>
            <w:noWrap/>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24</w:t>
            </w:r>
          </w:p>
        </w:tc>
        <w:tc>
          <w:tcPr>
            <w:tcW w:w="1040" w:type="pct"/>
            <w:noWrap/>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Jeseník</w:t>
            </w:r>
          </w:p>
        </w:tc>
        <w:tc>
          <w:tcPr>
            <w:tcW w:w="834" w:type="pct"/>
            <w:noWrap/>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24</w:t>
            </w:r>
          </w:p>
        </w:tc>
      </w:tr>
      <w:tr w:rsidR="00AF4350" w:rsidRPr="0039748C" w:rsidTr="00AF43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rsidR="00AF4350" w:rsidRPr="0039748C" w:rsidRDefault="00AF4350" w:rsidP="00A34764">
            <w:pPr>
              <w:rPr>
                <w:lang w:eastAsia="cs-CZ"/>
              </w:rPr>
            </w:pPr>
          </w:p>
        </w:tc>
        <w:tc>
          <w:tcPr>
            <w:tcW w:w="805" w:type="pct"/>
            <w:vMerge/>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p>
        </w:tc>
        <w:tc>
          <w:tcPr>
            <w:tcW w:w="782" w:type="pct"/>
            <w:vMerge w:val="restart"/>
            <w:shd w:val="clear" w:color="auto" w:fill="F2F2F2" w:themeFill="background1" w:themeFillShade="F2"/>
            <w:noWrap/>
            <w:vAlign w:val="center"/>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Olomouc</w:t>
            </w:r>
          </w:p>
        </w:tc>
        <w:tc>
          <w:tcPr>
            <w:tcW w:w="704" w:type="pct"/>
            <w:vMerge w:val="restart"/>
            <w:shd w:val="clear" w:color="auto" w:fill="F2F2F2" w:themeFill="background1" w:themeFillShade="F2"/>
            <w:noWrap/>
            <w:vAlign w:val="center"/>
            <w:hideMark/>
          </w:tcPr>
          <w:p w:rsidR="00AF4350" w:rsidRPr="00FA4206" w:rsidRDefault="00AF4350" w:rsidP="00FA4206">
            <w:pPr>
              <w:spacing w:before="0"/>
              <w:jc w:val="right"/>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98</w:t>
            </w:r>
          </w:p>
        </w:tc>
        <w:tc>
          <w:tcPr>
            <w:tcW w:w="1040" w:type="pct"/>
            <w:shd w:val="clear" w:color="auto" w:fill="F2F2F2" w:themeFill="background1" w:themeFillShade="F2"/>
            <w:noWrap/>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Litovel</w:t>
            </w:r>
          </w:p>
        </w:tc>
        <w:tc>
          <w:tcPr>
            <w:tcW w:w="834" w:type="pct"/>
            <w:shd w:val="clear" w:color="auto" w:fill="F2F2F2" w:themeFill="background1" w:themeFillShade="F2"/>
            <w:noWrap/>
            <w:hideMark/>
          </w:tcPr>
          <w:p w:rsidR="00AF4350" w:rsidRPr="00FA4206" w:rsidRDefault="00AF4350" w:rsidP="00FA4206">
            <w:pPr>
              <w:spacing w:before="0"/>
              <w:jc w:val="right"/>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20</w:t>
            </w:r>
          </w:p>
        </w:tc>
      </w:tr>
      <w:tr w:rsidR="00AF4350" w:rsidRPr="0039748C" w:rsidTr="00AF4350">
        <w:trPr>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rsidR="00AF4350" w:rsidRPr="0039748C" w:rsidRDefault="00AF4350" w:rsidP="00A34764">
            <w:pPr>
              <w:rPr>
                <w:lang w:eastAsia="cs-CZ"/>
              </w:rPr>
            </w:pPr>
          </w:p>
        </w:tc>
        <w:tc>
          <w:tcPr>
            <w:tcW w:w="805" w:type="pct"/>
            <w:vMerge/>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782" w:type="pct"/>
            <w:vMerge/>
            <w:shd w:val="clear" w:color="auto" w:fill="F2F2F2" w:themeFill="background1" w:themeFillShade="F2"/>
            <w:vAlign w:val="center"/>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704" w:type="pct"/>
            <w:vMerge/>
            <w:shd w:val="clear" w:color="auto" w:fill="F2F2F2" w:themeFill="background1" w:themeFillShade="F2"/>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1040" w:type="pct"/>
            <w:shd w:val="clear" w:color="auto" w:fill="F2F2F2" w:themeFill="background1" w:themeFillShade="F2"/>
            <w:noWrap/>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Olomouc</w:t>
            </w:r>
          </w:p>
        </w:tc>
        <w:tc>
          <w:tcPr>
            <w:tcW w:w="834" w:type="pct"/>
            <w:shd w:val="clear" w:color="auto" w:fill="F2F2F2" w:themeFill="background1" w:themeFillShade="F2"/>
            <w:noWrap/>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46</w:t>
            </w:r>
          </w:p>
        </w:tc>
      </w:tr>
      <w:tr w:rsidR="00AF4350" w:rsidRPr="0039748C" w:rsidTr="00AF43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rsidR="00AF4350" w:rsidRPr="0039748C" w:rsidRDefault="00AF4350" w:rsidP="00A34764">
            <w:pPr>
              <w:rPr>
                <w:lang w:eastAsia="cs-CZ"/>
              </w:rPr>
            </w:pPr>
          </w:p>
        </w:tc>
        <w:tc>
          <w:tcPr>
            <w:tcW w:w="805" w:type="pct"/>
            <w:vMerge/>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p>
        </w:tc>
        <w:tc>
          <w:tcPr>
            <w:tcW w:w="782" w:type="pct"/>
            <w:vMerge/>
            <w:shd w:val="clear" w:color="auto" w:fill="F2F2F2" w:themeFill="background1" w:themeFillShade="F2"/>
            <w:vAlign w:val="center"/>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p>
        </w:tc>
        <w:tc>
          <w:tcPr>
            <w:tcW w:w="704" w:type="pct"/>
            <w:vMerge/>
            <w:shd w:val="clear" w:color="auto" w:fill="F2F2F2" w:themeFill="background1" w:themeFillShade="F2"/>
            <w:hideMark/>
          </w:tcPr>
          <w:p w:rsidR="00AF4350" w:rsidRPr="00FA4206" w:rsidRDefault="00AF4350" w:rsidP="00FA4206">
            <w:pPr>
              <w:spacing w:before="0"/>
              <w:jc w:val="right"/>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p>
        </w:tc>
        <w:tc>
          <w:tcPr>
            <w:tcW w:w="1040" w:type="pct"/>
            <w:shd w:val="clear" w:color="auto" w:fill="F2F2F2" w:themeFill="background1" w:themeFillShade="F2"/>
            <w:noWrap/>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Šternberk</w:t>
            </w:r>
          </w:p>
        </w:tc>
        <w:tc>
          <w:tcPr>
            <w:tcW w:w="834" w:type="pct"/>
            <w:shd w:val="clear" w:color="auto" w:fill="F2F2F2" w:themeFill="background1" w:themeFillShade="F2"/>
            <w:noWrap/>
            <w:hideMark/>
          </w:tcPr>
          <w:p w:rsidR="00AF4350" w:rsidRPr="00FA4206" w:rsidRDefault="00AF4350" w:rsidP="00FA4206">
            <w:pPr>
              <w:spacing w:before="0"/>
              <w:jc w:val="right"/>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22</w:t>
            </w:r>
          </w:p>
        </w:tc>
      </w:tr>
      <w:tr w:rsidR="00AF4350" w:rsidRPr="0039748C" w:rsidTr="00AF4350">
        <w:trPr>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rsidR="00AF4350" w:rsidRPr="0039748C" w:rsidRDefault="00AF4350" w:rsidP="00A34764">
            <w:pPr>
              <w:rPr>
                <w:lang w:eastAsia="cs-CZ"/>
              </w:rPr>
            </w:pPr>
          </w:p>
        </w:tc>
        <w:tc>
          <w:tcPr>
            <w:tcW w:w="805" w:type="pct"/>
            <w:vMerge/>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782" w:type="pct"/>
            <w:vMerge/>
            <w:shd w:val="clear" w:color="auto" w:fill="F2F2F2" w:themeFill="background1" w:themeFillShade="F2"/>
            <w:vAlign w:val="center"/>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704" w:type="pct"/>
            <w:vMerge/>
            <w:shd w:val="clear" w:color="auto" w:fill="F2F2F2" w:themeFill="background1" w:themeFillShade="F2"/>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1040" w:type="pct"/>
            <w:shd w:val="clear" w:color="auto" w:fill="F2F2F2" w:themeFill="background1" w:themeFillShade="F2"/>
            <w:noWrap/>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Uničov</w:t>
            </w:r>
          </w:p>
        </w:tc>
        <w:tc>
          <w:tcPr>
            <w:tcW w:w="834" w:type="pct"/>
            <w:shd w:val="clear" w:color="auto" w:fill="F2F2F2" w:themeFill="background1" w:themeFillShade="F2"/>
            <w:noWrap/>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10</w:t>
            </w:r>
          </w:p>
        </w:tc>
      </w:tr>
      <w:tr w:rsidR="00AF4350" w:rsidRPr="0039748C" w:rsidTr="00AF43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rsidR="00AF4350" w:rsidRPr="0039748C" w:rsidRDefault="00AF4350" w:rsidP="00A34764">
            <w:pPr>
              <w:rPr>
                <w:lang w:eastAsia="cs-CZ"/>
              </w:rPr>
            </w:pPr>
          </w:p>
        </w:tc>
        <w:tc>
          <w:tcPr>
            <w:tcW w:w="805" w:type="pct"/>
            <w:vMerge/>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p>
        </w:tc>
        <w:tc>
          <w:tcPr>
            <w:tcW w:w="782" w:type="pct"/>
            <w:vMerge w:val="restart"/>
            <w:shd w:val="clear" w:color="auto" w:fill="auto"/>
            <w:noWrap/>
            <w:vAlign w:val="center"/>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Prostějov</w:t>
            </w:r>
          </w:p>
        </w:tc>
        <w:tc>
          <w:tcPr>
            <w:tcW w:w="704" w:type="pct"/>
            <w:vMerge w:val="restart"/>
            <w:shd w:val="clear" w:color="auto" w:fill="auto"/>
            <w:noWrap/>
            <w:vAlign w:val="center"/>
            <w:hideMark/>
          </w:tcPr>
          <w:p w:rsidR="00AF4350" w:rsidRPr="00FA4206" w:rsidRDefault="00AF4350" w:rsidP="00FA4206">
            <w:pPr>
              <w:spacing w:before="0"/>
              <w:jc w:val="right"/>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97</w:t>
            </w:r>
          </w:p>
        </w:tc>
        <w:tc>
          <w:tcPr>
            <w:tcW w:w="1040" w:type="pct"/>
            <w:shd w:val="clear" w:color="auto" w:fill="auto"/>
            <w:noWrap/>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Konice</w:t>
            </w:r>
          </w:p>
        </w:tc>
        <w:tc>
          <w:tcPr>
            <w:tcW w:w="834" w:type="pct"/>
            <w:shd w:val="clear" w:color="auto" w:fill="auto"/>
            <w:noWrap/>
            <w:hideMark/>
          </w:tcPr>
          <w:p w:rsidR="00AF4350" w:rsidRPr="00FA4206" w:rsidRDefault="00AF4350" w:rsidP="00FA4206">
            <w:pPr>
              <w:spacing w:before="0"/>
              <w:jc w:val="right"/>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21</w:t>
            </w:r>
          </w:p>
        </w:tc>
      </w:tr>
      <w:tr w:rsidR="00AF4350" w:rsidRPr="0039748C" w:rsidTr="00AF4350">
        <w:trPr>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rsidR="00AF4350" w:rsidRPr="0039748C" w:rsidRDefault="00AF4350" w:rsidP="00A34764">
            <w:pPr>
              <w:rPr>
                <w:lang w:eastAsia="cs-CZ"/>
              </w:rPr>
            </w:pPr>
          </w:p>
        </w:tc>
        <w:tc>
          <w:tcPr>
            <w:tcW w:w="805" w:type="pct"/>
            <w:vMerge/>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782" w:type="pct"/>
            <w:vMerge/>
            <w:shd w:val="clear" w:color="auto" w:fill="auto"/>
            <w:vAlign w:val="center"/>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704" w:type="pct"/>
            <w:vMerge/>
            <w:shd w:val="clear" w:color="auto" w:fill="auto"/>
            <w:vAlign w:val="center"/>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1040" w:type="pct"/>
            <w:noWrap/>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Prostějov</w:t>
            </w:r>
          </w:p>
        </w:tc>
        <w:tc>
          <w:tcPr>
            <w:tcW w:w="834" w:type="pct"/>
            <w:noWrap/>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76</w:t>
            </w:r>
          </w:p>
        </w:tc>
      </w:tr>
      <w:tr w:rsidR="00AF4350" w:rsidRPr="0039748C" w:rsidTr="00AF43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rsidR="00AF4350" w:rsidRPr="0039748C" w:rsidRDefault="00AF4350" w:rsidP="00A34764">
            <w:pPr>
              <w:rPr>
                <w:lang w:eastAsia="cs-CZ"/>
              </w:rPr>
            </w:pPr>
          </w:p>
        </w:tc>
        <w:tc>
          <w:tcPr>
            <w:tcW w:w="805" w:type="pct"/>
            <w:vMerge/>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p>
        </w:tc>
        <w:tc>
          <w:tcPr>
            <w:tcW w:w="782" w:type="pct"/>
            <w:vMerge w:val="restart"/>
            <w:shd w:val="clear" w:color="auto" w:fill="F2F2F2" w:themeFill="background1" w:themeFillShade="F2"/>
            <w:noWrap/>
            <w:vAlign w:val="center"/>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Přerov</w:t>
            </w:r>
          </w:p>
        </w:tc>
        <w:tc>
          <w:tcPr>
            <w:tcW w:w="704" w:type="pct"/>
            <w:vMerge w:val="restart"/>
            <w:shd w:val="clear" w:color="auto" w:fill="F2F2F2" w:themeFill="background1" w:themeFillShade="F2"/>
            <w:noWrap/>
            <w:vAlign w:val="center"/>
            <w:hideMark/>
          </w:tcPr>
          <w:p w:rsidR="00AF4350" w:rsidRPr="00FA4206" w:rsidRDefault="00AF4350" w:rsidP="00FA4206">
            <w:pPr>
              <w:spacing w:before="0"/>
              <w:jc w:val="right"/>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105</w:t>
            </w:r>
          </w:p>
        </w:tc>
        <w:tc>
          <w:tcPr>
            <w:tcW w:w="1040" w:type="pct"/>
            <w:shd w:val="clear" w:color="auto" w:fill="F2F2F2" w:themeFill="background1" w:themeFillShade="F2"/>
            <w:noWrap/>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Hranice</w:t>
            </w:r>
          </w:p>
        </w:tc>
        <w:tc>
          <w:tcPr>
            <w:tcW w:w="834" w:type="pct"/>
            <w:shd w:val="clear" w:color="auto" w:fill="F2F2F2" w:themeFill="background1" w:themeFillShade="F2"/>
            <w:noWrap/>
            <w:hideMark/>
          </w:tcPr>
          <w:p w:rsidR="00AF4350" w:rsidRPr="00FA4206" w:rsidRDefault="00AF4350" w:rsidP="00FA4206">
            <w:pPr>
              <w:spacing w:before="0"/>
              <w:jc w:val="right"/>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32</w:t>
            </w:r>
          </w:p>
        </w:tc>
      </w:tr>
      <w:tr w:rsidR="00AF4350" w:rsidRPr="0039748C" w:rsidTr="00AF4350">
        <w:trPr>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rsidR="00AF4350" w:rsidRPr="0039748C" w:rsidRDefault="00AF4350" w:rsidP="00A34764">
            <w:pPr>
              <w:rPr>
                <w:lang w:eastAsia="cs-CZ"/>
              </w:rPr>
            </w:pPr>
          </w:p>
        </w:tc>
        <w:tc>
          <w:tcPr>
            <w:tcW w:w="805" w:type="pct"/>
            <w:vMerge/>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782" w:type="pct"/>
            <w:vMerge/>
            <w:shd w:val="clear" w:color="auto" w:fill="F2F2F2" w:themeFill="background1" w:themeFillShade="F2"/>
            <w:vAlign w:val="center"/>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704" w:type="pct"/>
            <w:vMerge/>
            <w:shd w:val="clear" w:color="auto" w:fill="F2F2F2" w:themeFill="background1" w:themeFillShade="F2"/>
            <w:vAlign w:val="center"/>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1040" w:type="pct"/>
            <w:shd w:val="clear" w:color="auto" w:fill="F2F2F2" w:themeFill="background1" w:themeFillShade="F2"/>
            <w:noWrap/>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Lipník nad Bečvou</w:t>
            </w:r>
          </w:p>
        </w:tc>
        <w:tc>
          <w:tcPr>
            <w:tcW w:w="834" w:type="pct"/>
            <w:shd w:val="clear" w:color="auto" w:fill="F2F2F2" w:themeFill="background1" w:themeFillShade="F2"/>
            <w:noWrap/>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14</w:t>
            </w:r>
          </w:p>
        </w:tc>
      </w:tr>
      <w:tr w:rsidR="00AF4350" w:rsidRPr="0039748C" w:rsidTr="00AF43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rsidR="00AF4350" w:rsidRPr="0039748C" w:rsidRDefault="00AF4350" w:rsidP="00A34764">
            <w:pPr>
              <w:rPr>
                <w:lang w:eastAsia="cs-CZ"/>
              </w:rPr>
            </w:pPr>
          </w:p>
        </w:tc>
        <w:tc>
          <w:tcPr>
            <w:tcW w:w="805" w:type="pct"/>
            <w:vMerge/>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p>
        </w:tc>
        <w:tc>
          <w:tcPr>
            <w:tcW w:w="782" w:type="pct"/>
            <w:vMerge/>
            <w:shd w:val="clear" w:color="auto" w:fill="F2F2F2" w:themeFill="background1" w:themeFillShade="F2"/>
            <w:vAlign w:val="center"/>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p>
        </w:tc>
        <w:tc>
          <w:tcPr>
            <w:tcW w:w="704" w:type="pct"/>
            <w:vMerge/>
            <w:shd w:val="clear" w:color="auto" w:fill="F2F2F2" w:themeFill="background1" w:themeFillShade="F2"/>
            <w:vAlign w:val="center"/>
            <w:hideMark/>
          </w:tcPr>
          <w:p w:rsidR="00AF4350" w:rsidRPr="00FA4206" w:rsidRDefault="00AF4350" w:rsidP="00FA4206">
            <w:pPr>
              <w:spacing w:before="0"/>
              <w:jc w:val="right"/>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p>
        </w:tc>
        <w:tc>
          <w:tcPr>
            <w:tcW w:w="1040" w:type="pct"/>
            <w:shd w:val="clear" w:color="auto" w:fill="F2F2F2" w:themeFill="background1" w:themeFillShade="F2"/>
            <w:noWrap/>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Přerov</w:t>
            </w:r>
          </w:p>
        </w:tc>
        <w:tc>
          <w:tcPr>
            <w:tcW w:w="834" w:type="pct"/>
            <w:shd w:val="clear" w:color="auto" w:fill="F2F2F2" w:themeFill="background1" w:themeFillShade="F2"/>
            <w:noWrap/>
            <w:hideMark/>
          </w:tcPr>
          <w:p w:rsidR="00AF4350" w:rsidRPr="00FA4206" w:rsidRDefault="00AF4350" w:rsidP="00FA4206">
            <w:pPr>
              <w:spacing w:before="0"/>
              <w:jc w:val="right"/>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59</w:t>
            </w:r>
          </w:p>
        </w:tc>
      </w:tr>
      <w:tr w:rsidR="00AF4350" w:rsidRPr="0039748C" w:rsidTr="00AF4350">
        <w:trPr>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rsidR="00AF4350" w:rsidRPr="0039748C" w:rsidRDefault="00AF4350" w:rsidP="00A34764">
            <w:pPr>
              <w:rPr>
                <w:lang w:eastAsia="cs-CZ"/>
              </w:rPr>
            </w:pPr>
          </w:p>
        </w:tc>
        <w:tc>
          <w:tcPr>
            <w:tcW w:w="805" w:type="pct"/>
            <w:vMerge/>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782" w:type="pct"/>
            <w:vMerge w:val="restart"/>
            <w:noWrap/>
            <w:vAlign w:val="center"/>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Šumperk</w:t>
            </w:r>
          </w:p>
        </w:tc>
        <w:tc>
          <w:tcPr>
            <w:tcW w:w="704" w:type="pct"/>
            <w:vMerge w:val="restart"/>
            <w:noWrap/>
            <w:vAlign w:val="center"/>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78</w:t>
            </w:r>
          </w:p>
        </w:tc>
        <w:tc>
          <w:tcPr>
            <w:tcW w:w="1040" w:type="pct"/>
            <w:noWrap/>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Mohelnice</w:t>
            </w:r>
          </w:p>
        </w:tc>
        <w:tc>
          <w:tcPr>
            <w:tcW w:w="834" w:type="pct"/>
            <w:noWrap/>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14</w:t>
            </w:r>
          </w:p>
        </w:tc>
      </w:tr>
      <w:tr w:rsidR="00AF4350" w:rsidRPr="0039748C" w:rsidTr="00AF435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rsidR="00AF4350" w:rsidRPr="0039748C" w:rsidRDefault="00AF4350" w:rsidP="00A34764">
            <w:pPr>
              <w:rPr>
                <w:lang w:eastAsia="cs-CZ"/>
              </w:rPr>
            </w:pPr>
          </w:p>
        </w:tc>
        <w:tc>
          <w:tcPr>
            <w:tcW w:w="805" w:type="pct"/>
            <w:vMerge/>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p>
        </w:tc>
        <w:tc>
          <w:tcPr>
            <w:tcW w:w="782" w:type="pct"/>
            <w:vMerge/>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p>
        </w:tc>
        <w:tc>
          <w:tcPr>
            <w:tcW w:w="704" w:type="pct"/>
            <w:vMerge/>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p>
        </w:tc>
        <w:tc>
          <w:tcPr>
            <w:tcW w:w="1040" w:type="pct"/>
            <w:shd w:val="clear" w:color="auto" w:fill="auto"/>
            <w:noWrap/>
            <w:hideMark/>
          </w:tcPr>
          <w:p w:rsidR="00AF4350" w:rsidRPr="00FA4206" w:rsidRDefault="00AF4350" w:rsidP="00FA4206">
            <w:pPr>
              <w:spacing w:before="0"/>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Šumperk</w:t>
            </w:r>
          </w:p>
        </w:tc>
        <w:tc>
          <w:tcPr>
            <w:tcW w:w="834" w:type="pct"/>
            <w:shd w:val="clear" w:color="auto" w:fill="auto"/>
            <w:noWrap/>
            <w:hideMark/>
          </w:tcPr>
          <w:p w:rsidR="00AF4350" w:rsidRPr="00FA4206" w:rsidRDefault="00AF4350" w:rsidP="00FA4206">
            <w:pPr>
              <w:spacing w:before="0"/>
              <w:jc w:val="right"/>
              <w:cnfStyle w:val="000000100000" w:firstRow="0" w:lastRow="0" w:firstColumn="0" w:lastColumn="0" w:oddVBand="0" w:evenVBand="0" w:oddHBand="1" w:evenHBand="0" w:firstRowFirstColumn="0" w:firstRowLastColumn="0" w:lastRowFirstColumn="0" w:lastRowLastColumn="0"/>
              <w:rPr>
                <w:rFonts w:cs="Segoe UI"/>
                <w:sz w:val="18"/>
                <w:szCs w:val="18"/>
                <w:lang w:eastAsia="cs-CZ"/>
              </w:rPr>
            </w:pPr>
            <w:r w:rsidRPr="00FA4206">
              <w:rPr>
                <w:rFonts w:cs="Segoe UI"/>
                <w:sz w:val="18"/>
                <w:szCs w:val="18"/>
                <w:lang w:eastAsia="cs-CZ"/>
              </w:rPr>
              <w:t>36</w:t>
            </w:r>
          </w:p>
        </w:tc>
      </w:tr>
      <w:tr w:rsidR="00AF4350" w:rsidRPr="0039748C" w:rsidTr="00AF4350">
        <w:trPr>
          <w:trHeight w:val="255"/>
        </w:trPr>
        <w:tc>
          <w:tcPr>
            <w:cnfStyle w:val="001000000000" w:firstRow="0" w:lastRow="0" w:firstColumn="1" w:lastColumn="0" w:oddVBand="0" w:evenVBand="0" w:oddHBand="0" w:evenHBand="0" w:firstRowFirstColumn="0" w:firstRowLastColumn="0" w:lastRowFirstColumn="0" w:lastRowLastColumn="0"/>
            <w:tcW w:w="835" w:type="pct"/>
            <w:vMerge/>
            <w:hideMark/>
          </w:tcPr>
          <w:p w:rsidR="00AF4350" w:rsidRPr="0039748C" w:rsidRDefault="00AF4350" w:rsidP="00A34764">
            <w:pPr>
              <w:rPr>
                <w:lang w:eastAsia="cs-CZ"/>
              </w:rPr>
            </w:pPr>
          </w:p>
        </w:tc>
        <w:tc>
          <w:tcPr>
            <w:tcW w:w="805" w:type="pct"/>
            <w:vMerge/>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782" w:type="pct"/>
            <w:vMerge/>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704" w:type="pct"/>
            <w:vMerge/>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p>
        </w:tc>
        <w:tc>
          <w:tcPr>
            <w:tcW w:w="1040" w:type="pct"/>
            <w:noWrap/>
            <w:hideMark/>
          </w:tcPr>
          <w:p w:rsidR="00AF4350" w:rsidRPr="00FA4206" w:rsidRDefault="00AF4350" w:rsidP="00FA4206">
            <w:pPr>
              <w:spacing w:before="0"/>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Zábřeh</w:t>
            </w:r>
          </w:p>
        </w:tc>
        <w:tc>
          <w:tcPr>
            <w:tcW w:w="834" w:type="pct"/>
            <w:noWrap/>
            <w:hideMark/>
          </w:tcPr>
          <w:p w:rsidR="00AF4350" w:rsidRPr="00FA4206" w:rsidRDefault="00AF4350" w:rsidP="00FA4206">
            <w:pPr>
              <w:spacing w:before="0"/>
              <w:jc w:val="right"/>
              <w:cnfStyle w:val="000000000000" w:firstRow="0" w:lastRow="0" w:firstColumn="0" w:lastColumn="0" w:oddVBand="0" w:evenVBand="0" w:oddHBand="0" w:evenHBand="0" w:firstRowFirstColumn="0" w:firstRowLastColumn="0" w:lastRowFirstColumn="0" w:lastRowLastColumn="0"/>
              <w:rPr>
                <w:rFonts w:cs="Segoe UI"/>
                <w:sz w:val="18"/>
                <w:szCs w:val="18"/>
                <w:lang w:eastAsia="cs-CZ"/>
              </w:rPr>
            </w:pPr>
            <w:r w:rsidRPr="00FA4206">
              <w:rPr>
                <w:rFonts w:cs="Segoe UI"/>
                <w:sz w:val="18"/>
                <w:szCs w:val="18"/>
                <w:lang w:eastAsia="cs-CZ"/>
              </w:rPr>
              <w:t>28</w:t>
            </w:r>
          </w:p>
        </w:tc>
      </w:tr>
    </w:tbl>
    <w:p w:rsidR="00AF4350" w:rsidRPr="0039748C" w:rsidRDefault="00AF4350" w:rsidP="00A34764">
      <w:pPr>
        <w:pStyle w:val="Nadpis2"/>
      </w:pPr>
      <w:bookmarkStart w:id="56" w:name="_Toc117606963"/>
      <w:r w:rsidRPr="0039748C">
        <w:t>Demografické údaje</w:t>
      </w:r>
      <w:bookmarkEnd w:id="56"/>
    </w:p>
    <w:p w:rsidR="00AF4350" w:rsidRPr="0039748C" w:rsidRDefault="00AF4350" w:rsidP="00694609">
      <w:pPr>
        <w:pStyle w:val="Tun"/>
      </w:pPr>
      <w:r w:rsidRPr="0039748C">
        <w:t>Vývoj počtu obyvatelstva OK</w:t>
      </w:r>
    </w:p>
    <w:p w:rsidR="00AF4350" w:rsidRPr="0039748C" w:rsidRDefault="00AF4350" w:rsidP="00A34764">
      <w:r w:rsidRPr="0039748C">
        <w:t xml:space="preserve">Na území OK žilo k 1. 1. 2022 celkem 622 930 obyvatel. Mezi jednotlivými správními obvody obcí s rozšířenou působností nejsou rozdíly pouze v jejich rozloze, v počtu obcí spadajících do správních obvodů, ale rovněž v zastoupení počtu obyvatel, kteří v jednotlivých SO ORP žijí. V severní části území OK, konkrétně ve SO ORP Jeseník žilo 36 752 obyvatel (6 % z celkové populace OK) a ve SO ORP Šumperk pak 67 419 obyvatel (11 % z celkové populace v OK). V centrální části území OK reprezentované správními obvody obcí s rozšířenou působností Zábřeh, Mohelnice, Uničov, Šternberk a Litovel, žilo dohromady 120 358 obyvatel, což představuje 19 % populace OK. V jižní části území kraje, ve zbylých šesti SO ORP, žilo celkem 64 % obyvatel kraje (398 401). Na celkovém podílu obyvatelstva OK se nejvíce podílí samotný SO ORP Olomouc, a to 26 % s celkovým počtem 164 208 obyvatel. Téměř 100 000 obyvatel (97 027; 16 %) žilo ve SO ORP Prostějov, 13 % obyvatel (78 086) žilo ve SO ORP Přerov, 5 % pak ve SO ORP Hranice (33 567). Pouze 2 % obyvatel žila ve SO ORP Lipník nad Bečvou (14 960) a SO ORP Konice (10 553). </w:t>
      </w:r>
    </w:p>
    <w:p w:rsidR="00AF4350" w:rsidRPr="0039748C" w:rsidRDefault="00AF4350" w:rsidP="00A34764">
      <w:r w:rsidRPr="0039748C">
        <w:t>Celkově se mezi lety 2018 až 2022 snížil počet obyvatel v kraji o 10 248 obyvatel, což představuje 1,6% populační pokles. Ztráta obyvatel se projevila i ve většině SO ORP, výjimku tvoří pouze SO ORP Olomouc, kde došlo k mírnému nárůstu o 213 obyvatel. Dlouhodobý úbytek obyvatel je patrný v SO ORP Jeseník, kde od roku 2018 do roku 2022 ubylo 1 907 obyvatel, což představuje 4,9% snížení populace. Výrazný úbytek je také v Přero</w:t>
      </w:r>
      <w:r>
        <w:t>vě (-</w:t>
      </w:r>
      <w:r w:rsidRPr="0039748C">
        <w:t xml:space="preserve">3,7 %) a Šumperku (-2,9 %). </w:t>
      </w:r>
    </w:p>
    <w:p w:rsidR="00AF4350" w:rsidRDefault="00AF4350" w:rsidP="00A34764">
      <w:r w:rsidRPr="0039748C">
        <w:t>Hustota zalidnění v OK klesla ve sledovaném období ze 120 na 118 osob na km</w:t>
      </w:r>
      <w:r w:rsidRPr="0039748C">
        <w:rPr>
          <w:vertAlign w:val="superscript"/>
        </w:rPr>
        <w:t>2</w:t>
      </w:r>
      <w:r w:rsidRPr="0039748C">
        <w:t xml:space="preserve"> (což je méně než hodnota ČR – 136), největší hustotu zalidnění mají SO ORP Olomouc (201), Přerov (195) a Prostějov (162), nejmenší naopak SO ORP Jeseník (51) a Konice (59).</w:t>
      </w:r>
    </w:p>
    <w:p w:rsidR="00AF4350" w:rsidRDefault="00AF4350" w:rsidP="00A34764"/>
    <w:p w:rsidR="00AF4350" w:rsidRPr="0039748C" w:rsidRDefault="00AF4350" w:rsidP="00A34764"/>
    <w:p w:rsidR="00AF4350" w:rsidRPr="0039748C" w:rsidRDefault="00AF4350" w:rsidP="00694609">
      <w:pPr>
        <w:pStyle w:val="popistabulkySPRSS2024"/>
      </w:pPr>
      <w:bookmarkStart w:id="57" w:name="_Toc117607064"/>
      <w:r w:rsidRPr="0039748C">
        <w:lastRenderedPageBreak/>
        <w:t xml:space="preserve">Tabulka </w:t>
      </w:r>
      <w:r w:rsidR="00412C70">
        <w:fldChar w:fldCharType="begin"/>
      </w:r>
      <w:r w:rsidR="00412C70">
        <w:instrText xml:space="preserve"> SEQ Tabulka \* ARABIC </w:instrText>
      </w:r>
      <w:r w:rsidR="00412C70">
        <w:fldChar w:fldCharType="separate"/>
      </w:r>
      <w:r w:rsidR="003A12AF">
        <w:rPr>
          <w:noProof/>
        </w:rPr>
        <w:t>4</w:t>
      </w:r>
      <w:r w:rsidR="00412C70">
        <w:rPr>
          <w:noProof/>
        </w:rPr>
        <w:fldChar w:fldCharType="end"/>
      </w:r>
      <w:r>
        <w:rPr>
          <w:noProof/>
        </w:rPr>
        <w:t>:</w:t>
      </w:r>
      <w:r w:rsidRPr="0039748C">
        <w:t xml:space="preserve"> Vývoj počtu obyvatel a hustoty zalidnění ve SO ORP mezi roky 2018 a 2022</w:t>
      </w:r>
      <w:bookmarkEnd w:id="57"/>
    </w:p>
    <w:tbl>
      <w:tblPr>
        <w:tblW w:w="5000" w:type="pct"/>
        <w:tblCellMar>
          <w:left w:w="70" w:type="dxa"/>
          <w:right w:w="70" w:type="dxa"/>
        </w:tblCellMar>
        <w:tblLook w:val="04A0" w:firstRow="1" w:lastRow="0" w:firstColumn="1" w:lastColumn="0" w:noHBand="0" w:noVBand="1"/>
      </w:tblPr>
      <w:tblGrid>
        <w:gridCol w:w="1936"/>
        <w:gridCol w:w="1010"/>
        <w:gridCol w:w="741"/>
        <w:gridCol w:w="338"/>
        <w:gridCol w:w="906"/>
        <w:gridCol w:w="1160"/>
        <w:gridCol w:w="707"/>
        <w:gridCol w:w="850"/>
        <w:gridCol w:w="339"/>
        <w:gridCol w:w="1075"/>
      </w:tblGrid>
      <w:tr w:rsidR="00694609" w:rsidRPr="0039748C" w:rsidTr="00694609">
        <w:trPr>
          <w:trHeight w:val="20"/>
        </w:trPr>
        <w:tc>
          <w:tcPr>
            <w:tcW w:w="106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94609" w:rsidRPr="0039748C" w:rsidRDefault="00694609" w:rsidP="00694609">
            <w:pPr>
              <w:keepNext/>
              <w:spacing w:before="0"/>
              <w:jc w:val="center"/>
              <w:rPr>
                <w:rFonts w:ascii="Calibri" w:hAnsi="Calibri" w:cs="Calibri"/>
                <w:b/>
                <w:bCs/>
                <w:color w:val="000000"/>
                <w:sz w:val="18"/>
                <w:szCs w:val="18"/>
                <w:lang w:eastAsia="cs-CZ"/>
              </w:rPr>
            </w:pPr>
            <w:r w:rsidRPr="0039748C">
              <w:rPr>
                <w:rFonts w:ascii="Calibri" w:hAnsi="Calibri" w:cs="Calibri"/>
                <w:b/>
                <w:bCs/>
                <w:color w:val="000000"/>
                <w:sz w:val="18"/>
                <w:szCs w:val="18"/>
                <w:lang w:eastAsia="cs-CZ"/>
              </w:rPr>
              <w:t>Území (kraj / SO ORP)</w:t>
            </w:r>
          </w:p>
        </w:tc>
        <w:tc>
          <w:tcPr>
            <w:tcW w:w="966" w:type="pct"/>
            <w:gridSpan w:val="2"/>
            <w:tcBorders>
              <w:top w:val="single" w:sz="4" w:space="0" w:color="auto"/>
              <w:left w:val="nil"/>
              <w:bottom w:val="single" w:sz="4" w:space="0" w:color="auto"/>
              <w:right w:val="single" w:sz="4" w:space="0" w:color="auto"/>
            </w:tcBorders>
            <w:shd w:val="clear" w:color="000000" w:fill="F2F2F2"/>
            <w:vAlign w:val="center"/>
            <w:hideMark/>
          </w:tcPr>
          <w:p w:rsidR="00694609" w:rsidRPr="0039748C" w:rsidRDefault="00694609" w:rsidP="00694609">
            <w:pPr>
              <w:keepNext/>
              <w:spacing w:before="0"/>
              <w:jc w:val="center"/>
              <w:rPr>
                <w:rFonts w:ascii="Calibri" w:hAnsi="Calibri" w:cs="Calibri"/>
                <w:b/>
                <w:bCs/>
                <w:color w:val="000000"/>
                <w:sz w:val="18"/>
                <w:szCs w:val="18"/>
                <w:lang w:eastAsia="cs-CZ"/>
              </w:rPr>
            </w:pPr>
            <w:r w:rsidRPr="0039748C">
              <w:rPr>
                <w:rFonts w:ascii="Calibri" w:hAnsi="Calibri" w:cs="Calibri"/>
                <w:b/>
                <w:bCs/>
                <w:color w:val="000000"/>
                <w:sz w:val="18"/>
                <w:szCs w:val="18"/>
                <w:lang w:eastAsia="cs-CZ"/>
              </w:rPr>
              <w:t>Počet obyvatel</w:t>
            </w:r>
          </w:p>
        </w:tc>
        <w:tc>
          <w:tcPr>
            <w:tcW w:w="1326" w:type="pct"/>
            <w:gridSpan w:val="3"/>
            <w:tcBorders>
              <w:top w:val="single" w:sz="4" w:space="0" w:color="auto"/>
              <w:left w:val="nil"/>
              <w:bottom w:val="single" w:sz="4" w:space="0" w:color="auto"/>
              <w:right w:val="single" w:sz="4" w:space="0" w:color="auto"/>
            </w:tcBorders>
            <w:shd w:val="clear" w:color="000000" w:fill="F2F2F2"/>
            <w:vAlign w:val="center"/>
            <w:hideMark/>
          </w:tcPr>
          <w:p w:rsidR="00694609" w:rsidRPr="0039748C" w:rsidRDefault="00694609" w:rsidP="00694609">
            <w:pPr>
              <w:keepNext/>
              <w:spacing w:before="0"/>
              <w:jc w:val="center"/>
              <w:rPr>
                <w:rFonts w:ascii="Calibri" w:hAnsi="Calibri" w:cs="Calibri"/>
                <w:b/>
                <w:bCs/>
                <w:color w:val="000000"/>
                <w:sz w:val="18"/>
                <w:szCs w:val="18"/>
                <w:lang w:eastAsia="cs-CZ"/>
              </w:rPr>
            </w:pPr>
            <w:r w:rsidRPr="0039748C">
              <w:rPr>
                <w:rFonts w:ascii="Calibri" w:hAnsi="Calibri" w:cs="Calibri"/>
                <w:b/>
                <w:bCs/>
                <w:color w:val="000000"/>
                <w:sz w:val="18"/>
                <w:szCs w:val="18"/>
                <w:lang w:eastAsia="cs-CZ"/>
              </w:rPr>
              <w:t>Rozdíl mezi roky 2018 a 2022</w:t>
            </w:r>
          </w:p>
        </w:tc>
        <w:tc>
          <w:tcPr>
            <w:tcW w:w="859" w:type="pct"/>
            <w:gridSpan w:val="2"/>
            <w:tcBorders>
              <w:top w:val="single" w:sz="4" w:space="0" w:color="auto"/>
              <w:left w:val="nil"/>
              <w:bottom w:val="single" w:sz="4" w:space="0" w:color="auto"/>
              <w:right w:val="single" w:sz="4" w:space="0" w:color="auto"/>
            </w:tcBorders>
            <w:shd w:val="clear" w:color="000000" w:fill="F2F2F2"/>
            <w:vAlign w:val="center"/>
            <w:hideMark/>
          </w:tcPr>
          <w:p w:rsidR="00694609" w:rsidRPr="0039748C" w:rsidRDefault="00694609" w:rsidP="00694609">
            <w:pPr>
              <w:keepNext/>
              <w:spacing w:before="0"/>
              <w:jc w:val="center"/>
              <w:rPr>
                <w:rFonts w:ascii="Calibri" w:hAnsi="Calibri" w:cs="Calibri"/>
                <w:b/>
                <w:bCs/>
                <w:color w:val="000000"/>
                <w:sz w:val="18"/>
                <w:szCs w:val="18"/>
                <w:lang w:eastAsia="cs-CZ"/>
              </w:rPr>
            </w:pPr>
            <w:r w:rsidRPr="0039748C">
              <w:rPr>
                <w:rFonts w:ascii="Calibri" w:hAnsi="Calibri" w:cs="Calibri"/>
                <w:b/>
                <w:bCs/>
                <w:color w:val="000000"/>
                <w:sz w:val="18"/>
                <w:szCs w:val="18"/>
                <w:lang w:eastAsia="cs-CZ"/>
              </w:rPr>
              <w:t>Hustota zalidnění (ob/km</w:t>
            </w:r>
            <w:r w:rsidRPr="0039748C">
              <w:rPr>
                <w:rFonts w:ascii="Calibri" w:hAnsi="Calibri" w:cs="Calibri"/>
                <w:b/>
                <w:bCs/>
                <w:color w:val="000000"/>
                <w:sz w:val="18"/>
                <w:szCs w:val="18"/>
                <w:vertAlign w:val="superscript"/>
                <w:lang w:eastAsia="cs-CZ"/>
              </w:rPr>
              <w:t>2</w:t>
            </w:r>
            <w:r w:rsidRPr="0039748C">
              <w:rPr>
                <w:rFonts w:ascii="Calibri" w:hAnsi="Calibri" w:cs="Calibri"/>
                <w:b/>
                <w:bCs/>
                <w:color w:val="000000"/>
                <w:sz w:val="18"/>
                <w:szCs w:val="18"/>
                <w:lang w:eastAsia="cs-CZ"/>
              </w:rPr>
              <w:t>)</w:t>
            </w:r>
          </w:p>
        </w:tc>
        <w:tc>
          <w:tcPr>
            <w:tcW w:w="78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94609" w:rsidRPr="0039748C" w:rsidRDefault="00694609" w:rsidP="00694609">
            <w:pPr>
              <w:keepNext/>
              <w:spacing w:before="0"/>
              <w:jc w:val="center"/>
              <w:rPr>
                <w:rFonts w:ascii="Calibri" w:hAnsi="Calibri" w:cs="Calibri"/>
                <w:b/>
                <w:bCs/>
                <w:color w:val="000000"/>
                <w:sz w:val="18"/>
                <w:szCs w:val="18"/>
                <w:lang w:eastAsia="cs-CZ"/>
              </w:rPr>
            </w:pPr>
            <w:r w:rsidRPr="0039748C">
              <w:rPr>
                <w:rFonts w:ascii="Calibri" w:hAnsi="Calibri" w:cs="Calibri"/>
                <w:b/>
                <w:bCs/>
                <w:color w:val="000000"/>
                <w:sz w:val="18"/>
                <w:szCs w:val="18"/>
                <w:lang w:eastAsia="cs-CZ"/>
              </w:rPr>
              <w:t xml:space="preserve">Rozdíl mezi roky 2018 a 2022 </w:t>
            </w:r>
          </w:p>
        </w:tc>
      </w:tr>
      <w:tr w:rsidR="00694609" w:rsidRPr="0039748C" w:rsidTr="00694609">
        <w:trPr>
          <w:trHeight w:val="20"/>
        </w:trPr>
        <w:tc>
          <w:tcPr>
            <w:tcW w:w="1068" w:type="pct"/>
            <w:vMerge/>
            <w:tcBorders>
              <w:top w:val="single" w:sz="4" w:space="0" w:color="auto"/>
              <w:left w:val="single" w:sz="4" w:space="0" w:color="auto"/>
              <w:bottom w:val="single" w:sz="4" w:space="0" w:color="auto"/>
              <w:right w:val="single" w:sz="4" w:space="0" w:color="auto"/>
            </w:tcBorders>
            <w:vAlign w:val="center"/>
            <w:hideMark/>
          </w:tcPr>
          <w:p w:rsidR="00694609" w:rsidRPr="0039748C" w:rsidRDefault="00694609" w:rsidP="00694609">
            <w:pPr>
              <w:keepNext/>
              <w:spacing w:before="0"/>
              <w:rPr>
                <w:rFonts w:ascii="Calibri" w:hAnsi="Calibri" w:cs="Calibri"/>
                <w:b/>
                <w:bCs/>
                <w:color w:val="000000"/>
                <w:sz w:val="18"/>
                <w:szCs w:val="18"/>
                <w:lang w:eastAsia="cs-CZ"/>
              </w:rPr>
            </w:pPr>
          </w:p>
        </w:tc>
        <w:tc>
          <w:tcPr>
            <w:tcW w:w="557" w:type="pct"/>
            <w:tcBorders>
              <w:top w:val="nil"/>
              <w:left w:val="nil"/>
              <w:bottom w:val="single" w:sz="4" w:space="0" w:color="auto"/>
              <w:right w:val="single" w:sz="4" w:space="0" w:color="auto"/>
            </w:tcBorders>
            <w:shd w:val="clear" w:color="000000" w:fill="F2F2F2"/>
            <w:vAlign w:val="center"/>
            <w:hideMark/>
          </w:tcPr>
          <w:p w:rsidR="00694609" w:rsidRPr="0039748C" w:rsidRDefault="00694609" w:rsidP="00694609">
            <w:pPr>
              <w:keepNext/>
              <w:spacing w:before="0"/>
              <w:jc w:val="center"/>
              <w:rPr>
                <w:rFonts w:ascii="Calibri" w:hAnsi="Calibri" w:cs="Calibri"/>
                <w:b/>
                <w:bCs/>
                <w:color w:val="000000"/>
                <w:sz w:val="18"/>
                <w:szCs w:val="18"/>
                <w:lang w:eastAsia="cs-CZ"/>
              </w:rPr>
            </w:pPr>
            <w:r w:rsidRPr="0039748C">
              <w:rPr>
                <w:rFonts w:ascii="Calibri" w:hAnsi="Calibri" w:cs="Calibri"/>
                <w:b/>
                <w:bCs/>
                <w:color w:val="000000"/>
                <w:sz w:val="18"/>
                <w:szCs w:val="18"/>
                <w:lang w:eastAsia="cs-CZ"/>
              </w:rPr>
              <w:t>2018</w:t>
            </w:r>
          </w:p>
        </w:tc>
        <w:tc>
          <w:tcPr>
            <w:tcW w:w="409" w:type="pct"/>
            <w:tcBorders>
              <w:top w:val="nil"/>
              <w:left w:val="nil"/>
              <w:bottom w:val="single" w:sz="4" w:space="0" w:color="auto"/>
              <w:right w:val="single" w:sz="4" w:space="0" w:color="auto"/>
            </w:tcBorders>
            <w:shd w:val="clear" w:color="000000" w:fill="F2F2F2"/>
            <w:vAlign w:val="center"/>
            <w:hideMark/>
          </w:tcPr>
          <w:p w:rsidR="00694609" w:rsidRPr="0039748C" w:rsidRDefault="00694609" w:rsidP="00694609">
            <w:pPr>
              <w:keepNext/>
              <w:spacing w:before="0"/>
              <w:jc w:val="center"/>
              <w:rPr>
                <w:rFonts w:ascii="Calibri" w:hAnsi="Calibri" w:cs="Calibri"/>
                <w:b/>
                <w:bCs/>
                <w:color w:val="000000"/>
                <w:sz w:val="18"/>
                <w:szCs w:val="18"/>
                <w:lang w:eastAsia="cs-CZ"/>
              </w:rPr>
            </w:pPr>
            <w:r w:rsidRPr="0039748C">
              <w:rPr>
                <w:rFonts w:ascii="Calibri" w:hAnsi="Calibri" w:cs="Calibri"/>
                <w:b/>
                <w:bCs/>
                <w:color w:val="000000"/>
                <w:sz w:val="18"/>
                <w:szCs w:val="18"/>
                <w:lang w:eastAsia="cs-CZ"/>
              </w:rPr>
              <w:t>2022</w:t>
            </w:r>
          </w:p>
        </w:tc>
        <w:tc>
          <w:tcPr>
            <w:tcW w:w="686" w:type="pct"/>
            <w:gridSpan w:val="2"/>
            <w:tcBorders>
              <w:top w:val="single" w:sz="4" w:space="0" w:color="auto"/>
              <w:left w:val="nil"/>
              <w:bottom w:val="single" w:sz="4" w:space="0" w:color="auto"/>
              <w:right w:val="single" w:sz="4" w:space="0" w:color="auto"/>
            </w:tcBorders>
            <w:shd w:val="clear" w:color="000000" w:fill="F2F2F2"/>
            <w:vAlign w:val="center"/>
            <w:hideMark/>
          </w:tcPr>
          <w:p w:rsidR="00694609" w:rsidRPr="0039748C" w:rsidRDefault="00694609" w:rsidP="00694609">
            <w:pPr>
              <w:keepNext/>
              <w:spacing w:before="0"/>
              <w:jc w:val="center"/>
              <w:rPr>
                <w:rFonts w:ascii="Calibri" w:hAnsi="Calibri" w:cs="Calibri"/>
                <w:b/>
                <w:bCs/>
                <w:color w:val="000000"/>
                <w:sz w:val="18"/>
                <w:szCs w:val="18"/>
                <w:lang w:eastAsia="cs-CZ"/>
              </w:rPr>
            </w:pPr>
            <w:r w:rsidRPr="0039748C">
              <w:rPr>
                <w:rFonts w:ascii="Calibri" w:hAnsi="Calibri" w:cs="Calibri"/>
                <w:b/>
                <w:bCs/>
                <w:color w:val="000000"/>
                <w:sz w:val="18"/>
                <w:szCs w:val="18"/>
                <w:lang w:eastAsia="cs-CZ"/>
              </w:rPr>
              <w:t>Počet obyvatel</w:t>
            </w:r>
          </w:p>
        </w:tc>
        <w:tc>
          <w:tcPr>
            <w:tcW w:w="640" w:type="pct"/>
            <w:tcBorders>
              <w:top w:val="nil"/>
              <w:left w:val="nil"/>
              <w:bottom w:val="single" w:sz="4" w:space="0" w:color="auto"/>
              <w:right w:val="single" w:sz="4" w:space="0" w:color="auto"/>
            </w:tcBorders>
            <w:shd w:val="clear" w:color="000000" w:fill="F2F2F2"/>
            <w:vAlign w:val="center"/>
            <w:hideMark/>
          </w:tcPr>
          <w:p w:rsidR="00694609" w:rsidRPr="0039748C" w:rsidRDefault="00694609" w:rsidP="00694609">
            <w:pPr>
              <w:keepNext/>
              <w:spacing w:before="0"/>
              <w:jc w:val="center"/>
              <w:rPr>
                <w:rFonts w:ascii="Calibri" w:hAnsi="Calibri" w:cs="Calibri"/>
                <w:b/>
                <w:bCs/>
                <w:color w:val="000000"/>
                <w:sz w:val="18"/>
                <w:szCs w:val="18"/>
                <w:lang w:eastAsia="cs-CZ"/>
              </w:rPr>
            </w:pPr>
            <w:r w:rsidRPr="0039748C">
              <w:rPr>
                <w:rFonts w:ascii="Calibri" w:hAnsi="Calibri" w:cs="Calibri"/>
                <w:b/>
                <w:bCs/>
                <w:color w:val="000000"/>
                <w:sz w:val="18"/>
                <w:szCs w:val="18"/>
                <w:lang w:eastAsia="cs-CZ"/>
              </w:rPr>
              <w:t>Podíl obyvatel</w:t>
            </w:r>
          </w:p>
        </w:tc>
        <w:tc>
          <w:tcPr>
            <w:tcW w:w="390" w:type="pct"/>
            <w:tcBorders>
              <w:top w:val="nil"/>
              <w:left w:val="nil"/>
              <w:bottom w:val="single" w:sz="4" w:space="0" w:color="auto"/>
              <w:right w:val="single" w:sz="4" w:space="0" w:color="auto"/>
            </w:tcBorders>
            <w:shd w:val="clear" w:color="000000" w:fill="F2F2F2"/>
            <w:vAlign w:val="center"/>
            <w:hideMark/>
          </w:tcPr>
          <w:p w:rsidR="00694609" w:rsidRPr="0039748C" w:rsidRDefault="00694609" w:rsidP="00694609">
            <w:pPr>
              <w:keepNext/>
              <w:spacing w:before="0"/>
              <w:jc w:val="center"/>
              <w:rPr>
                <w:rFonts w:ascii="Calibri" w:hAnsi="Calibri" w:cs="Calibri"/>
                <w:b/>
                <w:bCs/>
                <w:color w:val="000000"/>
                <w:sz w:val="18"/>
                <w:szCs w:val="18"/>
                <w:lang w:eastAsia="cs-CZ"/>
              </w:rPr>
            </w:pPr>
            <w:r w:rsidRPr="0039748C">
              <w:rPr>
                <w:rFonts w:ascii="Calibri" w:hAnsi="Calibri" w:cs="Calibri"/>
                <w:b/>
                <w:bCs/>
                <w:color w:val="000000"/>
                <w:sz w:val="18"/>
                <w:szCs w:val="18"/>
                <w:lang w:eastAsia="cs-CZ"/>
              </w:rPr>
              <w:t>2018</w:t>
            </w:r>
          </w:p>
        </w:tc>
        <w:tc>
          <w:tcPr>
            <w:tcW w:w="469" w:type="pct"/>
            <w:tcBorders>
              <w:top w:val="nil"/>
              <w:left w:val="nil"/>
              <w:bottom w:val="single" w:sz="4" w:space="0" w:color="auto"/>
              <w:right w:val="single" w:sz="4" w:space="0" w:color="auto"/>
            </w:tcBorders>
            <w:shd w:val="clear" w:color="000000" w:fill="F2F2F2"/>
            <w:vAlign w:val="center"/>
            <w:hideMark/>
          </w:tcPr>
          <w:p w:rsidR="00694609" w:rsidRPr="0039748C" w:rsidRDefault="00694609" w:rsidP="00694609">
            <w:pPr>
              <w:keepNext/>
              <w:spacing w:before="0"/>
              <w:jc w:val="center"/>
              <w:rPr>
                <w:rFonts w:ascii="Calibri" w:hAnsi="Calibri" w:cs="Calibri"/>
                <w:b/>
                <w:bCs/>
                <w:color w:val="000000"/>
                <w:sz w:val="18"/>
                <w:szCs w:val="18"/>
                <w:lang w:eastAsia="cs-CZ"/>
              </w:rPr>
            </w:pPr>
            <w:r w:rsidRPr="0039748C">
              <w:rPr>
                <w:rFonts w:ascii="Calibri" w:hAnsi="Calibri" w:cs="Calibri"/>
                <w:b/>
                <w:bCs/>
                <w:color w:val="000000"/>
                <w:sz w:val="18"/>
                <w:szCs w:val="18"/>
                <w:lang w:eastAsia="cs-CZ"/>
              </w:rPr>
              <w:t>2022</w:t>
            </w:r>
          </w:p>
        </w:tc>
        <w:tc>
          <w:tcPr>
            <w:tcW w:w="780" w:type="pct"/>
            <w:gridSpan w:val="2"/>
            <w:tcBorders>
              <w:top w:val="single" w:sz="4" w:space="0" w:color="auto"/>
              <w:left w:val="nil"/>
              <w:bottom w:val="single" w:sz="4" w:space="0" w:color="auto"/>
              <w:right w:val="single" w:sz="4" w:space="0" w:color="auto"/>
            </w:tcBorders>
            <w:shd w:val="clear" w:color="000000" w:fill="F2F2F2"/>
            <w:vAlign w:val="center"/>
            <w:hideMark/>
          </w:tcPr>
          <w:p w:rsidR="00694609" w:rsidRPr="0039748C" w:rsidRDefault="00694609" w:rsidP="00694609">
            <w:pPr>
              <w:keepNext/>
              <w:spacing w:before="0"/>
              <w:rPr>
                <w:rFonts w:ascii="Calibri" w:hAnsi="Calibri" w:cs="Calibri"/>
                <w:b/>
                <w:bCs/>
                <w:color w:val="000000"/>
                <w:sz w:val="18"/>
                <w:szCs w:val="18"/>
                <w:lang w:eastAsia="cs-CZ"/>
              </w:rPr>
            </w:pPr>
            <w:r w:rsidRPr="0039748C">
              <w:rPr>
                <w:rFonts w:ascii="Calibri" w:hAnsi="Calibri" w:cs="Calibri"/>
                <w:b/>
                <w:bCs/>
                <w:color w:val="000000"/>
                <w:sz w:val="18"/>
                <w:szCs w:val="18"/>
                <w:lang w:eastAsia="cs-CZ"/>
              </w:rPr>
              <w:t>Obyvatel na km</w:t>
            </w:r>
            <w:r w:rsidRPr="0039748C">
              <w:rPr>
                <w:rFonts w:ascii="Calibri" w:hAnsi="Calibri" w:cs="Calibri"/>
                <w:b/>
                <w:bCs/>
                <w:color w:val="000000"/>
                <w:sz w:val="18"/>
                <w:szCs w:val="18"/>
                <w:vertAlign w:val="superscript"/>
                <w:lang w:eastAsia="cs-CZ"/>
              </w:rPr>
              <w:t>2</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Hranice</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34 269</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33 567</w:t>
            </w:r>
          </w:p>
        </w:tc>
        <w:tc>
          <w:tcPr>
            <w:tcW w:w="186" w:type="pct"/>
            <w:tcBorders>
              <w:top w:val="nil"/>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-702 </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-2,0 %</w:t>
            </w:r>
          </w:p>
        </w:tc>
        <w:tc>
          <w:tcPr>
            <w:tcW w:w="390" w:type="pct"/>
            <w:tcBorders>
              <w:top w:val="single" w:sz="4" w:space="0" w:color="auto"/>
              <w:left w:val="single" w:sz="4" w:space="0" w:color="auto"/>
              <w:bottom w:val="single" w:sz="4" w:space="0" w:color="auto"/>
              <w:right w:val="single" w:sz="4" w:space="0" w:color="auto"/>
            </w:tcBorders>
            <w:shd w:val="clear" w:color="000000" w:fill="F6F7FC"/>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102,3</w:t>
            </w:r>
          </w:p>
        </w:tc>
        <w:tc>
          <w:tcPr>
            <w:tcW w:w="469" w:type="pct"/>
            <w:tcBorders>
              <w:top w:val="single" w:sz="4" w:space="0" w:color="auto"/>
              <w:left w:val="single" w:sz="4" w:space="0" w:color="auto"/>
              <w:bottom w:val="single" w:sz="4" w:space="0" w:color="auto"/>
              <w:right w:val="single" w:sz="4" w:space="0" w:color="auto"/>
            </w:tcBorders>
            <w:shd w:val="clear" w:color="000000" w:fill="EFF3FA"/>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100,2</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-1,5</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Jeseník</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38 659</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36 752</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-1 907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-4,9 %</w:t>
            </w:r>
          </w:p>
        </w:tc>
        <w:tc>
          <w:tcPr>
            <w:tcW w:w="390" w:type="pct"/>
            <w:tcBorders>
              <w:top w:val="single" w:sz="4" w:space="0" w:color="auto"/>
              <w:left w:val="single" w:sz="4" w:space="0" w:color="auto"/>
              <w:bottom w:val="single" w:sz="4" w:space="0" w:color="auto"/>
              <w:right w:val="single" w:sz="4" w:space="0" w:color="auto"/>
            </w:tcBorders>
            <w:shd w:val="clear" w:color="000000" w:fill="628FC8"/>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53,8</w:t>
            </w:r>
          </w:p>
        </w:tc>
        <w:tc>
          <w:tcPr>
            <w:tcW w:w="469" w:type="pct"/>
            <w:tcBorders>
              <w:top w:val="single" w:sz="4" w:space="0" w:color="auto"/>
              <w:left w:val="single" w:sz="4" w:space="0" w:color="auto"/>
              <w:bottom w:val="single" w:sz="4" w:space="0" w:color="auto"/>
              <w:right w:val="single" w:sz="4" w:space="0" w:color="auto"/>
            </w:tcBorders>
            <w:shd w:val="clear" w:color="000000" w:fill="5A8AC6"/>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51,1</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-2,7</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Konice</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10 744</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10 553</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-191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-1,8 %</w:t>
            </w:r>
          </w:p>
        </w:tc>
        <w:tc>
          <w:tcPr>
            <w:tcW w:w="390" w:type="pct"/>
            <w:tcBorders>
              <w:top w:val="single" w:sz="4" w:space="0" w:color="auto"/>
              <w:left w:val="single" w:sz="4" w:space="0" w:color="auto"/>
              <w:bottom w:val="single" w:sz="4" w:space="0" w:color="auto"/>
              <w:right w:val="single" w:sz="4" w:space="0" w:color="auto"/>
            </w:tcBorders>
            <w:shd w:val="clear" w:color="000000" w:fill="769DCF"/>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60,3</w:t>
            </w:r>
          </w:p>
        </w:tc>
        <w:tc>
          <w:tcPr>
            <w:tcW w:w="469" w:type="pct"/>
            <w:tcBorders>
              <w:top w:val="single" w:sz="4" w:space="0" w:color="auto"/>
              <w:left w:val="single" w:sz="4" w:space="0" w:color="auto"/>
              <w:bottom w:val="single" w:sz="4" w:space="0" w:color="auto"/>
              <w:right w:val="single" w:sz="4" w:space="0" w:color="auto"/>
            </w:tcBorders>
            <w:shd w:val="clear" w:color="000000" w:fill="729BCE"/>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59,2</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-1,1</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Lipník nad Bečvou</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15 177</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14 960</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-217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-1,4 %</w:t>
            </w:r>
          </w:p>
        </w:tc>
        <w:tc>
          <w:tcPr>
            <w:tcW w:w="390" w:type="pct"/>
            <w:tcBorders>
              <w:top w:val="single" w:sz="4" w:space="0" w:color="auto"/>
              <w:left w:val="single" w:sz="4" w:space="0" w:color="auto"/>
              <w:bottom w:val="single" w:sz="4" w:space="0" w:color="auto"/>
              <w:right w:val="single" w:sz="4" w:space="0" w:color="auto"/>
            </w:tcBorders>
            <w:shd w:val="clear" w:color="000000" w:fill="FCD9DC"/>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127,9</w:t>
            </w:r>
          </w:p>
        </w:tc>
        <w:tc>
          <w:tcPr>
            <w:tcW w:w="469" w:type="pct"/>
            <w:tcBorders>
              <w:top w:val="single" w:sz="4" w:space="0" w:color="auto"/>
              <w:left w:val="single" w:sz="4" w:space="0" w:color="auto"/>
              <w:bottom w:val="single" w:sz="4" w:space="0" w:color="auto"/>
              <w:right w:val="single" w:sz="4" w:space="0" w:color="auto"/>
            </w:tcBorders>
            <w:shd w:val="clear" w:color="000000" w:fill="FCDCDF"/>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126,1</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-1,8</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Litovel</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23 743</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23 524</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-219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-0,9 %</w:t>
            </w:r>
          </w:p>
        </w:tc>
        <w:tc>
          <w:tcPr>
            <w:tcW w:w="390" w:type="pct"/>
            <w:tcBorders>
              <w:top w:val="single" w:sz="4" w:space="0" w:color="auto"/>
              <w:left w:val="single" w:sz="4" w:space="0" w:color="auto"/>
              <w:bottom w:val="single" w:sz="4" w:space="0" w:color="auto"/>
              <w:right w:val="single" w:sz="4" w:space="0" w:color="auto"/>
            </w:tcBorders>
            <w:shd w:val="clear" w:color="000000" w:fill="E2EAF6"/>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95,9</w:t>
            </w:r>
          </w:p>
        </w:tc>
        <w:tc>
          <w:tcPr>
            <w:tcW w:w="469" w:type="pct"/>
            <w:tcBorders>
              <w:top w:val="single" w:sz="4" w:space="0" w:color="auto"/>
              <w:left w:val="single" w:sz="4" w:space="0" w:color="auto"/>
              <w:bottom w:val="single" w:sz="4" w:space="0" w:color="auto"/>
              <w:right w:val="single" w:sz="4" w:space="0" w:color="auto"/>
            </w:tcBorders>
            <w:shd w:val="clear" w:color="000000" w:fill="DFE8F5"/>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95,1</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-0,9</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Mohelnice</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18 261</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18 212</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-49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-0,3 %</w:t>
            </w:r>
          </w:p>
        </w:tc>
        <w:tc>
          <w:tcPr>
            <w:tcW w:w="390" w:type="pct"/>
            <w:tcBorders>
              <w:top w:val="single" w:sz="4" w:space="0" w:color="auto"/>
              <w:left w:val="single" w:sz="4" w:space="0" w:color="auto"/>
              <w:bottom w:val="single" w:sz="4" w:space="0" w:color="auto"/>
              <w:right w:val="single" w:sz="4" w:space="0" w:color="auto"/>
            </w:tcBorders>
            <w:shd w:val="clear" w:color="000000" w:fill="E5ECF7"/>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97,0</w:t>
            </w:r>
          </w:p>
        </w:tc>
        <w:tc>
          <w:tcPr>
            <w:tcW w:w="469" w:type="pct"/>
            <w:tcBorders>
              <w:top w:val="single" w:sz="4" w:space="0" w:color="auto"/>
              <w:left w:val="single" w:sz="4" w:space="0" w:color="auto"/>
              <w:bottom w:val="single" w:sz="4" w:space="0" w:color="auto"/>
              <w:right w:val="single" w:sz="4" w:space="0" w:color="auto"/>
            </w:tcBorders>
            <w:shd w:val="clear" w:color="000000" w:fill="E4EBF6"/>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96,7</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-0,3</w:t>
            </w:r>
          </w:p>
        </w:tc>
      </w:tr>
      <w:tr w:rsidR="00694609" w:rsidRPr="0039748C" w:rsidTr="00694609">
        <w:trPr>
          <w:trHeight w:val="21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Olomouc</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163 995</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164 208</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008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008000"/>
                <w:sz w:val="16"/>
                <w:szCs w:val="16"/>
              </w:rPr>
              <w:t xml:space="preserve">213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008000"/>
                <w:sz w:val="16"/>
                <w:szCs w:val="16"/>
                <w:lang w:eastAsia="cs-CZ"/>
              </w:rPr>
              <w:t xml:space="preserve"> 0,1 %</w:t>
            </w:r>
          </w:p>
        </w:tc>
        <w:tc>
          <w:tcPr>
            <w:tcW w:w="390" w:type="pct"/>
            <w:tcBorders>
              <w:top w:val="single" w:sz="4" w:space="0" w:color="auto"/>
              <w:left w:val="single" w:sz="4" w:space="0" w:color="auto"/>
              <w:bottom w:val="single" w:sz="4" w:space="0" w:color="auto"/>
              <w:right w:val="single" w:sz="4" w:space="0" w:color="auto"/>
            </w:tcBorders>
            <w:shd w:val="clear" w:color="000000" w:fill="F96C6E"/>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200,7</w:t>
            </w:r>
          </w:p>
        </w:tc>
        <w:tc>
          <w:tcPr>
            <w:tcW w:w="469" w:type="pct"/>
            <w:tcBorders>
              <w:top w:val="single" w:sz="4" w:space="0" w:color="auto"/>
              <w:left w:val="single" w:sz="4" w:space="0" w:color="auto"/>
              <w:bottom w:val="single" w:sz="4" w:space="0" w:color="auto"/>
              <w:right w:val="single" w:sz="4" w:space="0" w:color="auto"/>
            </w:tcBorders>
            <w:shd w:val="clear" w:color="000000" w:fill="F96B6D"/>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201,0</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008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008000"/>
                <w:sz w:val="16"/>
                <w:szCs w:val="16"/>
                <w:lang w:eastAsia="cs-CZ"/>
              </w:rPr>
              <w:t>0,3</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Prostějov</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97 925</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97 027</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-898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-0,9 %</w:t>
            </w:r>
          </w:p>
        </w:tc>
        <w:tc>
          <w:tcPr>
            <w:tcW w:w="390" w:type="pct"/>
            <w:tcBorders>
              <w:top w:val="single" w:sz="4" w:space="0" w:color="auto"/>
              <w:left w:val="single" w:sz="4" w:space="0" w:color="auto"/>
              <w:bottom w:val="single" w:sz="4" w:space="0" w:color="auto"/>
              <w:right w:val="single" w:sz="4" w:space="0" w:color="auto"/>
            </w:tcBorders>
            <w:shd w:val="clear" w:color="000000" w:fill="FAA4A6"/>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163,5</w:t>
            </w:r>
          </w:p>
        </w:tc>
        <w:tc>
          <w:tcPr>
            <w:tcW w:w="469" w:type="pct"/>
            <w:tcBorders>
              <w:top w:val="single" w:sz="4" w:space="0" w:color="auto"/>
              <w:left w:val="single" w:sz="4" w:space="0" w:color="auto"/>
              <w:bottom w:val="single" w:sz="4" w:space="0" w:color="auto"/>
              <w:right w:val="single" w:sz="4" w:space="0" w:color="auto"/>
            </w:tcBorders>
            <w:shd w:val="clear" w:color="000000" w:fill="FAA6A8"/>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162,0</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-1,5</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Přerov</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81 069</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78 086</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-2 983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-3,7 %</w:t>
            </w:r>
          </w:p>
        </w:tc>
        <w:tc>
          <w:tcPr>
            <w:tcW w:w="390" w:type="pct"/>
            <w:tcBorders>
              <w:top w:val="single" w:sz="4" w:space="0" w:color="auto"/>
              <w:left w:val="single" w:sz="4" w:space="0" w:color="auto"/>
              <w:bottom w:val="single" w:sz="4" w:space="0" w:color="auto"/>
              <w:right w:val="single" w:sz="4" w:space="0" w:color="auto"/>
            </w:tcBorders>
            <w:shd w:val="clear" w:color="000000" w:fill="F8696B"/>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202,3</w:t>
            </w:r>
          </w:p>
        </w:tc>
        <w:tc>
          <w:tcPr>
            <w:tcW w:w="469" w:type="pct"/>
            <w:tcBorders>
              <w:top w:val="single" w:sz="4" w:space="0" w:color="auto"/>
              <w:left w:val="single" w:sz="4" w:space="0" w:color="auto"/>
              <w:bottom w:val="single" w:sz="4" w:space="0" w:color="auto"/>
              <w:right w:val="single" w:sz="4" w:space="0" w:color="auto"/>
            </w:tcBorders>
            <w:shd w:val="clear" w:color="000000" w:fill="F97577"/>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194,8</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-7,4</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Šternberk</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24 199</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23 816</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-383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-1,6 %</w:t>
            </w:r>
          </w:p>
        </w:tc>
        <w:tc>
          <w:tcPr>
            <w:tcW w:w="390" w:type="pct"/>
            <w:tcBorders>
              <w:top w:val="single" w:sz="4" w:space="0" w:color="auto"/>
              <w:left w:val="single" w:sz="4" w:space="0" w:color="auto"/>
              <w:bottom w:val="single" w:sz="4" w:space="0" w:color="auto"/>
              <w:right w:val="single" w:sz="4" w:space="0" w:color="auto"/>
            </w:tcBorders>
            <w:shd w:val="clear" w:color="000000" w:fill="99B6DC"/>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72,0</w:t>
            </w:r>
          </w:p>
        </w:tc>
        <w:tc>
          <w:tcPr>
            <w:tcW w:w="469" w:type="pct"/>
            <w:tcBorders>
              <w:top w:val="single" w:sz="4" w:space="0" w:color="auto"/>
              <w:left w:val="single" w:sz="4" w:space="0" w:color="auto"/>
              <w:bottom w:val="single" w:sz="4" w:space="0" w:color="auto"/>
              <w:right w:val="single" w:sz="4" w:space="0" w:color="auto"/>
            </w:tcBorders>
            <w:shd w:val="clear" w:color="000000" w:fill="96B4DB"/>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70,9</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-1,1</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Šumperk</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69 451</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67 419</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-2 032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-2,9 %</w:t>
            </w:r>
          </w:p>
        </w:tc>
        <w:tc>
          <w:tcPr>
            <w:tcW w:w="390" w:type="pct"/>
            <w:tcBorders>
              <w:top w:val="single" w:sz="4" w:space="0" w:color="auto"/>
              <w:left w:val="single" w:sz="4" w:space="0" w:color="auto"/>
              <w:bottom w:val="single" w:sz="4" w:space="0" w:color="auto"/>
              <w:right w:val="single" w:sz="4" w:space="0" w:color="auto"/>
            </w:tcBorders>
            <w:shd w:val="clear" w:color="000000" w:fill="B5CAE6"/>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81,0</w:t>
            </w:r>
          </w:p>
        </w:tc>
        <w:tc>
          <w:tcPr>
            <w:tcW w:w="469" w:type="pct"/>
            <w:tcBorders>
              <w:top w:val="single" w:sz="4" w:space="0" w:color="auto"/>
              <w:left w:val="single" w:sz="4" w:space="0" w:color="auto"/>
              <w:bottom w:val="single" w:sz="4" w:space="0" w:color="auto"/>
              <w:right w:val="single" w:sz="4" w:space="0" w:color="auto"/>
            </w:tcBorders>
            <w:shd w:val="clear" w:color="000000" w:fill="ADC5E3"/>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78,6</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-2,4</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Uničov</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22 407</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22 040</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-367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-1,6 %</w:t>
            </w:r>
          </w:p>
        </w:tc>
        <w:tc>
          <w:tcPr>
            <w:tcW w:w="390" w:type="pct"/>
            <w:tcBorders>
              <w:top w:val="single" w:sz="4" w:space="0" w:color="auto"/>
              <w:left w:val="single" w:sz="4" w:space="0" w:color="auto"/>
              <w:bottom w:val="single" w:sz="4" w:space="0" w:color="auto"/>
              <w:right w:val="single" w:sz="4" w:space="0" w:color="auto"/>
            </w:tcBorders>
            <w:shd w:val="clear" w:color="000000" w:fill="FCF7FA"/>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108,0</w:t>
            </w:r>
          </w:p>
        </w:tc>
        <w:tc>
          <w:tcPr>
            <w:tcW w:w="469" w:type="pct"/>
            <w:tcBorders>
              <w:top w:val="single" w:sz="4" w:space="0" w:color="auto"/>
              <w:left w:val="single" w:sz="4" w:space="0" w:color="auto"/>
              <w:bottom w:val="single" w:sz="4" w:space="0" w:color="auto"/>
              <w:right w:val="single" w:sz="4" w:space="0" w:color="auto"/>
            </w:tcBorders>
            <w:shd w:val="clear" w:color="000000" w:fill="FCFAFD"/>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106,2</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-1,8</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Zábřeh</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33 279</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32 766</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-513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-1,5 %</w:t>
            </w:r>
          </w:p>
        </w:tc>
        <w:tc>
          <w:tcPr>
            <w:tcW w:w="390" w:type="pct"/>
            <w:tcBorders>
              <w:top w:val="single" w:sz="4" w:space="0" w:color="auto"/>
              <w:left w:val="single" w:sz="4" w:space="0" w:color="auto"/>
              <w:bottom w:val="single" w:sz="4" w:space="0" w:color="auto"/>
              <w:right w:val="single" w:sz="4" w:space="0" w:color="auto"/>
            </w:tcBorders>
            <w:shd w:val="clear" w:color="000000" w:fill="FCDEE1"/>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124,5</w:t>
            </w:r>
          </w:p>
        </w:tc>
        <w:tc>
          <w:tcPr>
            <w:tcW w:w="469" w:type="pct"/>
            <w:tcBorders>
              <w:top w:val="single" w:sz="4" w:space="0" w:color="auto"/>
              <w:left w:val="single" w:sz="4" w:space="0" w:color="auto"/>
              <w:bottom w:val="single" w:sz="4" w:space="0" w:color="auto"/>
              <w:right w:val="single" w:sz="4" w:space="0" w:color="auto"/>
            </w:tcBorders>
            <w:shd w:val="clear" w:color="000000" w:fill="FCE1E4"/>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122,6</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-1,9</w:t>
            </w:r>
          </w:p>
        </w:tc>
      </w:tr>
      <w:tr w:rsidR="00694609" w:rsidRPr="0039748C" w:rsidTr="00694609">
        <w:trPr>
          <w:trHeight w:val="20"/>
        </w:trPr>
        <w:tc>
          <w:tcPr>
            <w:tcW w:w="1068" w:type="pct"/>
            <w:tcBorders>
              <w:top w:val="nil"/>
              <w:left w:val="single" w:sz="4" w:space="0" w:color="auto"/>
              <w:bottom w:val="single" w:sz="4" w:space="0" w:color="auto"/>
              <w:right w:val="single" w:sz="4" w:space="0" w:color="auto"/>
            </w:tcBorders>
            <w:shd w:val="clear" w:color="auto" w:fill="auto"/>
            <w:vAlign w:val="center"/>
            <w:hideMark/>
          </w:tcPr>
          <w:p w:rsidR="00694609" w:rsidRPr="0039748C" w:rsidRDefault="00694609" w:rsidP="00694609">
            <w:pPr>
              <w:keepNext/>
              <w:spacing w:before="0"/>
              <w:rPr>
                <w:rFonts w:ascii="Calibri" w:hAnsi="Calibri" w:cs="Calibri"/>
                <w:color w:val="000000"/>
                <w:sz w:val="18"/>
                <w:szCs w:val="18"/>
                <w:lang w:eastAsia="cs-CZ"/>
              </w:rPr>
            </w:pPr>
            <w:r w:rsidRPr="0039748C">
              <w:rPr>
                <w:rFonts w:ascii="Calibri" w:hAnsi="Calibri" w:cs="Calibri"/>
                <w:color w:val="000000"/>
                <w:sz w:val="18"/>
                <w:szCs w:val="18"/>
                <w:lang w:eastAsia="cs-CZ"/>
              </w:rPr>
              <w:t>Celkem za OK</w:t>
            </w:r>
          </w:p>
        </w:tc>
        <w:tc>
          <w:tcPr>
            <w:tcW w:w="557"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633 178</w:t>
            </w:r>
          </w:p>
        </w:tc>
        <w:tc>
          <w:tcPr>
            <w:tcW w:w="409" w:type="pct"/>
            <w:tcBorders>
              <w:top w:val="nil"/>
              <w:left w:val="nil"/>
              <w:bottom w:val="single" w:sz="4" w:space="0" w:color="auto"/>
              <w:right w:val="single" w:sz="4" w:space="0" w:color="auto"/>
            </w:tcBorders>
            <w:shd w:val="clear" w:color="auto" w:fill="auto"/>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622 930</w:t>
            </w:r>
          </w:p>
        </w:tc>
        <w:tc>
          <w:tcPr>
            <w:tcW w:w="186"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00"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rPr>
              <w:t xml:space="preserve">-10 248 </w:t>
            </w:r>
          </w:p>
        </w:tc>
        <w:tc>
          <w:tcPr>
            <w:tcW w:w="640" w:type="pct"/>
            <w:tcBorders>
              <w:top w:val="nil"/>
              <w:left w:val="nil"/>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-1,6 %</w:t>
            </w:r>
          </w:p>
        </w:tc>
        <w:tc>
          <w:tcPr>
            <w:tcW w:w="390" w:type="pct"/>
            <w:tcBorders>
              <w:top w:val="single" w:sz="4" w:space="0" w:color="auto"/>
              <w:left w:val="single" w:sz="4" w:space="0" w:color="auto"/>
              <w:bottom w:val="single" w:sz="4" w:space="0" w:color="auto"/>
              <w:right w:val="single" w:sz="4" w:space="0" w:color="auto"/>
            </w:tcBorders>
            <w:shd w:val="clear" w:color="000000" w:fill="FCE5E8"/>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120,1</w:t>
            </w:r>
          </w:p>
        </w:tc>
        <w:tc>
          <w:tcPr>
            <w:tcW w:w="469" w:type="pct"/>
            <w:tcBorders>
              <w:top w:val="single" w:sz="4" w:space="0" w:color="auto"/>
              <w:left w:val="single" w:sz="4" w:space="0" w:color="auto"/>
              <w:bottom w:val="single" w:sz="4" w:space="0" w:color="auto"/>
              <w:right w:val="single" w:sz="4" w:space="0" w:color="auto"/>
            </w:tcBorders>
            <w:shd w:val="clear" w:color="000000" w:fill="FCE8EB"/>
            <w:vAlign w:val="center"/>
            <w:hideMark/>
          </w:tcPr>
          <w:p w:rsidR="00694609" w:rsidRPr="0039748C" w:rsidRDefault="00694609" w:rsidP="00694609">
            <w:pPr>
              <w:keepNext/>
              <w:spacing w:before="0"/>
              <w:jc w:val="right"/>
              <w:rPr>
                <w:rFonts w:ascii="Calibri" w:hAnsi="Calibri" w:cs="Calibri"/>
                <w:color w:val="000000"/>
                <w:sz w:val="18"/>
                <w:szCs w:val="18"/>
                <w:lang w:eastAsia="cs-CZ"/>
              </w:rPr>
            </w:pPr>
            <w:r w:rsidRPr="0039748C">
              <w:rPr>
                <w:rFonts w:ascii="Calibri" w:hAnsi="Calibri" w:cs="Calibri"/>
                <w:color w:val="000000"/>
                <w:sz w:val="18"/>
                <w:szCs w:val="18"/>
                <w:lang w:eastAsia="cs-CZ"/>
              </w:rPr>
              <w:t>118,2</w:t>
            </w:r>
          </w:p>
        </w:tc>
        <w:tc>
          <w:tcPr>
            <w:tcW w:w="187" w:type="pct"/>
            <w:tcBorders>
              <w:top w:val="single" w:sz="4" w:space="0" w:color="auto"/>
              <w:left w:val="nil"/>
              <w:bottom w:val="single" w:sz="4" w:space="0" w:color="auto"/>
            </w:tcBorders>
            <w:shd w:val="clear" w:color="auto" w:fill="auto"/>
            <w:noWrap/>
            <w:vAlign w:val="center"/>
            <w:hideMark/>
          </w:tcPr>
          <w:p w:rsidR="00694609" w:rsidRPr="0039748C" w:rsidRDefault="00694609" w:rsidP="00694609">
            <w:pPr>
              <w:keepNext/>
              <w:spacing w:before="0"/>
              <w:jc w:val="right"/>
              <w:rPr>
                <w:rFonts w:ascii="Calibri" w:hAnsi="Calibri" w:cs="Calibri"/>
                <w:szCs w:val="20"/>
                <w:lang w:eastAsia="cs-CZ"/>
              </w:rPr>
            </w:pPr>
            <w:r w:rsidRPr="0039748C">
              <w:rPr>
                <w:rFonts w:ascii="Arial" w:hAnsi="Arial" w:cs="Arial"/>
                <w:color w:val="FF0000"/>
                <w:szCs w:val="20"/>
                <w:lang w:eastAsia="cs-CZ"/>
              </w:rPr>
              <w:t>▼</w:t>
            </w:r>
          </w:p>
        </w:tc>
        <w:tc>
          <w:tcPr>
            <w:tcW w:w="593" w:type="pct"/>
            <w:tcBorders>
              <w:top w:val="single" w:sz="4" w:space="0" w:color="auto"/>
              <w:bottom w:val="single" w:sz="4" w:space="0" w:color="auto"/>
              <w:right w:val="single" w:sz="4" w:space="0" w:color="auto"/>
            </w:tcBorders>
            <w:shd w:val="clear" w:color="auto" w:fill="auto"/>
            <w:noWrap/>
            <w:vAlign w:val="bottom"/>
            <w:hideMark/>
          </w:tcPr>
          <w:p w:rsidR="00694609" w:rsidRPr="0039748C" w:rsidRDefault="00694609" w:rsidP="00694609">
            <w:pPr>
              <w:keepNext/>
              <w:spacing w:before="0"/>
              <w:jc w:val="right"/>
              <w:rPr>
                <w:rFonts w:ascii="Arial CE" w:hAnsi="Arial CE" w:cs="Calibri"/>
                <w:sz w:val="16"/>
                <w:szCs w:val="16"/>
                <w:lang w:eastAsia="cs-CZ"/>
              </w:rPr>
            </w:pPr>
            <w:r w:rsidRPr="0039748C">
              <w:rPr>
                <w:rFonts w:ascii="Arial CE" w:hAnsi="Arial CE" w:cs="Calibri"/>
                <w:color w:val="FF0000"/>
                <w:sz w:val="16"/>
                <w:szCs w:val="16"/>
                <w:lang w:eastAsia="cs-CZ"/>
              </w:rPr>
              <w:t xml:space="preserve"> -1,9</w:t>
            </w:r>
          </w:p>
        </w:tc>
      </w:tr>
    </w:tbl>
    <w:p w:rsidR="00AF4350" w:rsidRPr="0039748C" w:rsidRDefault="00AF4350" w:rsidP="00694609">
      <w:pPr>
        <w:pStyle w:val="Zdrojobjektu"/>
      </w:pPr>
      <w:r w:rsidRPr="0039748C">
        <w:t xml:space="preserve">Zdroj: ČSÚ, Veřejná databáze, data k </w:t>
      </w:r>
      <w:proofErr w:type="gramStart"/>
      <w:r w:rsidRPr="0039748C">
        <w:t>1.1</w:t>
      </w:r>
      <w:r>
        <w:t>.</w:t>
      </w:r>
      <w:r w:rsidRPr="0039748C">
        <w:t>, zpracování</w:t>
      </w:r>
      <w:proofErr w:type="gramEnd"/>
      <w:r w:rsidRPr="0039748C">
        <w:t xml:space="preserve"> ACCENDO (2022)</w:t>
      </w:r>
    </w:p>
    <w:p w:rsidR="00AF4350" w:rsidRDefault="00AF4350" w:rsidP="00694609">
      <w:pPr>
        <w:pStyle w:val="popistabulkySPRSS2024"/>
      </w:pPr>
      <w:bookmarkStart w:id="58" w:name="_Toc117607054"/>
      <w:r w:rsidRPr="0039748C">
        <w:t xml:space="preserve">Mapa </w:t>
      </w:r>
      <w:r w:rsidRPr="0039748C">
        <w:rPr>
          <w:noProof/>
        </w:rPr>
        <w:fldChar w:fldCharType="begin"/>
      </w:r>
      <w:r w:rsidRPr="0039748C">
        <w:rPr>
          <w:noProof/>
        </w:rPr>
        <w:instrText xml:space="preserve"> SEQ Mapa \* ARABIC </w:instrText>
      </w:r>
      <w:r w:rsidRPr="0039748C">
        <w:rPr>
          <w:noProof/>
        </w:rPr>
        <w:fldChar w:fldCharType="separate"/>
      </w:r>
      <w:r w:rsidR="003A12AF">
        <w:rPr>
          <w:noProof/>
        </w:rPr>
        <w:t>2</w:t>
      </w:r>
      <w:r w:rsidRPr="0039748C">
        <w:rPr>
          <w:noProof/>
        </w:rPr>
        <w:fldChar w:fldCharType="end"/>
      </w:r>
      <w:r>
        <w:rPr>
          <w:noProof/>
        </w:rPr>
        <w:t>:</w:t>
      </w:r>
      <w:r w:rsidRPr="0039748C">
        <w:t xml:space="preserve"> Změna počtu obyvatel ve SO ORP mezi roky 2018 a 2022</w:t>
      </w:r>
      <w:bookmarkEnd w:id="58"/>
    </w:p>
    <w:p w:rsidR="00AF4350" w:rsidRPr="0039748C" w:rsidRDefault="00AF4350" w:rsidP="00694609">
      <w:pPr>
        <w:spacing w:before="0"/>
        <w:rPr>
          <w:rFonts w:eastAsia="Arial Unicode MS"/>
          <w:lang w:eastAsia="cs-CZ"/>
        </w:rPr>
      </w:pPr>
      <w:r w:rsidRPr="0039748C">
        <w:rPr>
          <w:rFonts w:eastAsia="Arial Unicode MS"/>
          <w:noProof/>
          <w:lang w:eastAsia="cs-CZ"/>
        </w:rPr>
        <w:drawing>
          <wp:inline distT="0" distB="0" distL="0" distR="0" wp14:anchorId="3C71E01D" wp14:editId="0DA48CC5">
            <wp:extent cx="5299027" cy="5299027"/>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CES\04_Projekty\2020_KPSS_OLK_20-22\VRSTVY\OLK_GIS\OLK_ORP_POP_18-22.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99027" cy="5299027"/>
                    </a:xfrm>
                    <a:prstGeom prst="rect">
                      <a:avLst/>
                    </a:prstGeom>
                    <a:noFill/>
                    <a:ln>
                      <a:noFill/>
                    </a:ln>
                  </pic:spPr>
                </pic:pic>
              </a:graphicData>
            </a:graphic>
          </wp:inline>
        </w:drawing>
      </w:r>
    </w:p>
    <w:p w:rsidR="00AF4350" w:rsidRPr="0039748C" w:rsidRDefault="00AF4350" w:rsidP="00694609">
      <w:pPr>
        <w:pStyle w:val="Zdrojobjektu"/>
      </w:pPr>
      <w:r w:rsidRPr="0039748C">
        <w:t>Zdroj: ČSÚ, Veřejná databáze, data k 1.</w:t>
      </w:r>
      <w:r>
        <w:t xml:space="preserve"> </w:t>
      </w:r>
      <w:r w:rsidRPr="0039748C">
        <w:t>1.</w:t>
      </w:r>
      <w:r>
        <w:t xml:space="preserve"> </w:t>
      </w:r>
      <w:r w:rsidRPr="0039748C">
        <w:t>daného roku, zpracování ACCENDO (2022)</w:t>
      </w:r>
    </w:p>
    <w:p w:rsidR="00AF4350" w:rsidRPr="0039748C" w:rsidRDefault="00AF4350" w:rsidP="00A34764">
      <w:r w:rsidRPr="0039748C">
        <w:lastRenderedPageBreak/>
        <w:t>Do populačního vývoje zasáhlo onemocnění COVID-19, které v letech 2020 a 2021 způsobilo, že převážnou část populační změny v kraji ovlivnil zvýšený počet úmrtí. V předchozích letech měla výraznější vliv na počet obyvatel spíše jejich migrace.</w:t>
      </w:r>
    </w:p>
    <w:p w:rsidR="00AF4350" w:rsidRPr="0039748C" w:rsidRDefault="00AF4350" w:rsidP="00694609">
      <w:pPr>
        <w:pStyle w:val="popistabulkySPRSS2024"/>
      </w:pPr>
      <w:bookmarkStart w:id="59" w:name="_Toc117607027"/>
      <w:r w:rsidRPr="0039748C">
        <w:t xml:space="preserve">Graf </w:t>
      </w:r>
      <w:r w:rsidR="00412C70">
        <w:fldChar w:fldCharType="begin"/>
      </w:r>
      <w:r w:rsidR="00412C70">
        <w:instrText xml:space="preserve"> SEQ Graf \* ARABIC </w:instrText>
      </w:r>
      <w:r w:rsidR="00412C70">
        <w:fldChar w:fldCharType="separate"/>
      </w:r>
      <w:r w:rsidR="003A12AF">
        <w:rPr>
          <w:noProof/>
        </w:rPr>
        <w:t>1</w:t>
      </w:r>
      <w:r w:rsidR="00412C70">
        <w:rPr>
          <w:noProof/>
        </w:rPr>
        <w:fldChar w:fldCharType="end"/>
      </w:r>
      <w:r>
        <w:rPr>
          <w:noProof/>
        </w:rPr>
        <w:t>:</w:t>
      </w:r>
      <w:r w:rsidRPr="0039748C">
        <w:t xml:space="preserve"> Změna počtu obyvatel mezi lety 2011–2021 v OK</w:t>
      </w:r>
      <w:bookmarkEnd w:id="59"/>
    </w:p>
    <w:p w:rsidR="00AF4350" w:rsidRPr="0039748C" w:rsidRDefault="00AF4350" w:rsidP="00694609">
      <w:pPr>
        <w:spacing w:before="0"/>
      </w:pPr>
      <w:r w:rsidRPr="0039748C">
        <w:rPr>
          <w:noProof/>
          <w:lang w:eastAsia="cs-CZ"/>
        </w:rPr>
        <w:drawing>
          <wp:inline distT="0" distB="0" distL="0" distR="0" wp14:anchorId="24085023" wp14:editId="6DF71944">
            <wp:extent cx="5773420" cy="2755900"/>
            <wp:effectExtent l="0" t="0" r="0"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p>
    <w:p w:rsidR="00AF4350" w:rsidRPr="0039748C" w:rsidRDefault="00AF4350" w:rsidP="00694609">
      <w:pPr>
        <w:pStyle w:val="Zdrojobjektu"/>
      </w:pPr>
      <w:r w:rsidRPr="0039748C">
        <w:t>Zdroj: ČSÚ, Veřejná databáze (2022), zpracování ACCENDO (2022)</w:t>
      </w:r>
    </w:p>
    <w:p w:rsidR="00AF4350" w:rsidRPr="0039748C" w:rsidRDefault="00AF4350" w:rsidP="00694609">
      <w:pPr>
        <w:pStyle w:val="Zdrojobjektu"/>
      </w:pPr>
      <w:r w:rsidRPr="0039748C">
        <w:t>Pozn.: Primární data o přirozeném a migračním přírůstku vycházejí z Informačního systému evidence obyvatel, není v nich zahrnuta korekce ze Sčítání lidu domu a bytů z roku 2021</w:t>
      </w:r>
    </w:p>
    <w:p w:rsidR="00AF4350" w:rsidRPr="0039748C" w:rsidRDefault="00AF4350" w:rsidP="00A34764">
      <w:r w:rsidRPr="0039748C">
        <w:t xml:space="preserve">Celková velikost populace v OK se bude v příštích 10 letech zmenšovat, do roku 2032 je očekáván pokles o téměř 14 tis. obyvatel. Bude docházet ke stagnaci podílu dětské složky (0-14 let), nárůstu podílu seniorské složky (65 let a více) a snižování podílu osob v produktivním věku. To spolu s nárůstem naděje dožití bude vytvářet větší tlak na skladbu sociálních služeb určených pro osoby v seniorském věku. </w:t>
      </w:r>
    </w:p>
    <w:p w:rsidR="00AF4350" w:rsidRPr="0039748C" w:rsidRDefault="00AF4350" w:rsidP="00694609">
      <w:pPr>
        <w:pStyle w:val="popistabulkySPRSS2024"/>
      </w:pPr>
      <w:bookmarkStart w:id="60" w:name="_Toc117607028"/>
      <w:r w:rsidRPr="0039748C">
        <w:t xml:space="preserve">Graf </w:t>
      </w:r>
      <w:r w:rsidR="00412C70">
        <w:fldChar w:fldCharType="begin"/>
      </w:r>
      <w:r w:rsidR="00412C70">
        <w:instrText xml:space="preserve"> SEQ Graf \* ARABIC </w:instrText>
      </w:r>
      <w:r w:rsidR="00412C70">
        <w:fldChar w:fldCharType="separate"/>
      </w:r>
      <w:r w:rsidR="003A12AF">
        <w:rPr>
          <w:noProof/>
        </w:rPr>
        <w:t>2</w:t>
      </w:r>
      <w:r w:rsidR="00412C70">
        <w:rPr>
          <w:noProof/>
        </w:rPr>
        <w:fldChar w:fldCharType="end"/>
      </w:r>
      <w:r>
        <w:rPr>
          <w:noProof/>
        </w:rPr>
        <w:t>:</w:t>
      </w:r>
      <w:r w:rsidRPr="0039748C">
        <w:t xml:space="preserve"> Vývoj počtu obyvatel a podílu seniorské a dětské složky mezi lety 2002 až 2032 v OK</w:t>
      </w:r>
      <w:bookmarkEnd w:id="60"/>
    </w:p>
    <w:p w:rsidR="00AF4350" w:rsidRPr="00694609" w:rsidRDefault="00AF4350" w:rsidP="00694609">
      <w:pPr>
        <w:spacing w:before="0"/>
        <w:rPr>
          <w:rStyle w:val="ZdrojobjektuChar"/>
        </w:rPr>
      </w:pPr>
      <w:r w:rsidRPr="0039748C">
        <w:rPr>
          <w:noProof/>
          <w:szCs w:val="18"/>
          <w:lang w:eastAsia="cs-CZ"/>
        </w:rPr>
        <w:drawing>
          <wp:inline distT="0" distB="0" distL="0" distR="0" wp14:anchorId="3B913BA4" wp14:editId="4DA9D8D2">
            <wp:extent cx="5761355" cy="2889885"/>
            <wp:effectExtent l="0" t="0" r="0" b="571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889885"/>
                    </a:xfrm>
                    <a:prstGeom prst="rect">
                      <a:avLst/>
                    </a:prstGeom>
                    <a:noFill/>
                  </pic:spPr>
                </pic:pic>
              </a:graphicData>
            </a:graphic>
          </wp:inline>
        </w:drawing>
      </w:r>
      <w:r w:rsidRPr="00694609">
        <w:rPr>
          <w:rStyle w:val="ZdrojobjektuChar"/>
        </w:rPr>
        <w:t>Zdroj: ČSÚ, vlastní prognózy obyvatel OK, data k 1. 1. daného roku, zpracování ACCENDO (2022)</w:t>
      </w:r>
    </w:p>
    <w:p w:rsidR="00AF4350" w:rsidRPr="0039748C" w:rsidRDefault="00AF4350" w:rsidP="00694609">
      <w:pPr>
        <w:keepNext/>
        <w:keepLines/>
      </w:pPr>
      <w:r w:rsidRPr="0039748C">
        <w:lastRenderedPageBreak/>
        <w:t>Mezi lety 2022–2032 vzroste počet seniorů ve věku 65 let a více o 10 % (ze 133 tis. na 147 tis. osob), počet seniorů ve věku 80 let a více pak vzroste o 50 % (z 19 tis. na 29 tis. osob). Produktivní věková skupina (15-64 let) klesne v tomto období o 5,4 % (z 391 tis. na 370 tis. osob), počet dětí do 14 let pak klesne o 6,5 % (z 98 tis. na 92 tis. osob).</w:t>
      </w:r>
    </w:p>
    <w:p w:rsidR="00AF4350" w:rsidRPr="0039748C" w:rsidRDefault="00AF4350" w:rsidP="00694609">
      <w:pPr>
        <w:pStyle w:val="popistabulkySPRSS2024"/>
      </w:pPr>
      <w:bookmarkStart w:id="61" w:name="_Toc117607029"/>
      <w:r w:rsidRPr="0039748C">
        <w:t xml:space="preserve">Graf </w:t>
      </w:r>
      <w:r w:rsidR="00412C70">
        <w:fldChar w:fldCharType="begin"/>
      </w:r>
      <w:r w:rsidR="00412C70">
        <w:instrText xml:space="preserve"> SEQ Graf \* ARABIC </w:instrText>
      </w:r>
      <w:r w:rsidR="00412C70">
        <w:fldChar w:fldCharType="separate"/>
      </w:r>
      <w:r w:rsidR="003A12AF">
        <w:rPr>
          <w:noProof/>
        </w:rPr>
        <w:t>3</w:t>
      </w:r>
      <w:r w:rsidR="00412C70">
        <w:rPr>
          <w:noProof/>
        </w:rPr>
        <w:fldChar w:fldCharType="end"/>
      </w:r>
      <w:r>
        <w:rPr>
          <w:noProof/>
        </w:rPr>
        <w:t>:</w:t>
      </w:r>
      <w:r w:rsidRPr="0039748C">
        <w:t xml:space="preserve"> Věková pyramida OK, srovnání roků 2022 a prognózy do roku 2032</w:t>
      </w:r>
      <w:bookmarkEnd w:id="61"/>
    </w:p>
    <w:p w:rsidR="00AF4350" w:rsidRPr="0039748C" w:rsidRDefault="00AF4350" w:rsidP="00694609">
      <w:pPr>
        <w:spacing w:before="0"/>
        <w:rPr>
          <w:lang w:eastAsia="cs-CZ"/>
        </w:rPr>
      </w:pPr>
      <w:r w:rsidRPr="0039748C">
        <w:rPr>
          <w:noProof/>
          <w:lang w:eastAsia="cs-CZ"/>
        </w:rPr>
        <w:drawing>
          <wp:inline distT="0" distB="0" distL="0" distR="0" wp14:anchorId="07EFCCC1" wp14:editId="158EC123">
            <wp:extent cx="5547995" cy="391414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7995" cy="3914140"/>
                    </a:xfrm>
                    <a:prstGeom prst="rect">
                      <a:avLst/>
                    </a:prstGeom>
                    <a:noFill/>
                  </pic:spPr>
                </pic:pic>
              </a:graphicData>
            </a:graphic>
          </wp:inline>
        </w:drawing>
      </w:r>
    </w:p>
    <w:p w:rsidR="00AF4350" w:rsidRPr="0039748C" w:rsidRDefault="00AF4350" w:rsidP="00694609">
      <w:pPr>
        <w:pStyle w:val="Zdrojobjektu"/>
      </w:pPr>
      <w:r w:rsidRPr="0039748C">
        <w:t>Zdroj: ČSÚ, Veřejná databáze, data k 1.</w:t>
      </w:r>
      <w:r>
        <w:t xml:space="preserve"> </w:t>
      </w:r>
      <w:r w:rsidRPr="0039748C">
        <w:t>1.</w:t>
      </w:r>
      <w:r>
        <w:t xml:space="preserve"> </w:t>
      </w:r>
      <w:r w:rsidRPr="0039748C">
        <w:t>daného roku, zpracování ACCENDO (2022)</w:t>
      </w:r>
    </w:p>
    <w:p w:rsidR="00AF4350" w:rsidRPr="0039748C" w:rsidRDefault="00AF4350" w:rsidP="00694609">
      <w:pPr>
        <w:pStyle w:val="popistabulkySPRSS2024"/>
      </w:pPr>
      <w:bookmarkStart w:id="62" w:name="_Toc117607065"/>
      <w:r w:rsidRPr="0039748C">
        <w:t xml:space="preserve">Tabulka </w:t>
      </w:r>
      <w:r w:rsidR="00412C70">
        <w:fldChar w:fldCharType="begin"/>
      </w:r>
      <w:r w:rsidR="00412C70">
        <w:instrText xml:space="preserve"> SEQ Tabulka \* ARABIC </w:instrText>
      </w:r>
      <w:r w:rsidR="00412C70">
        <w:fldChar w:fldCharType="separate"/>
      </w:r>
      <w:r w:rsidR="003A12AF">
        <w:rPr>
          <w:noProof/>
        </w:rPr>
        <w:t>5</w:t>
      </w:r>
      <w:r w:rsidR="00412C70">
        <w:rPr>
          <w:noProof/>
        </w:rPr>
        <w:fldChar w:fldCharType="end"/>
      </w:r>
      <w:r>
        <w:rPr>
          <w:noProof/>
        </w:rPr>
        <w:t>:</w:t>
      </w:r>
      <w:r w:rsidRPr="0039748C">
        <w:t xml:space="preserve"> Vývoj věkových skupin obyvatel OK mezi roky 2022 a 2032</w:t>
      </w:r>
      <w:bookmarkEnd w:id="62"/>
    </w:p>
    <w:tbl>
      <w:tblPr>
        <w:tblW w:w="0" w:type="auto"/>
        <w:tblLayout w:type="fixed"/>
        <w:tblCellMar>
          <w:left w:w="70" w:type="dxa"/>
          <w:right w:w="70" w:type="dxa"/>
        </w:tblCellMar>
        <w:tblLook w:val="04A0" w:firstRow="1" w:lastRow="0" w:firstColumn="1" w:lastColumn="0" w:noHBand="0" w:noVBand="1"/>
      </w:tblPr>
      <w:tblGrid>
        <w:gridCol w:w="694"/>
        <w:gridCol w:w="932"/>
        <w:gridCol w:w="729"/>
        <w:gridCol w:w="729"/>
        <w:gridCol w:w="455"/>
        <w:gridCol w:w="905"/>
        <w:gridCol w:w="1221"/>
        <w:gridCol w:w="851"/>
        <w:gridCol w:w="992"/>
        <w:gridCol w:w="425"/>
        <w:gridCol w:w="1129"/>
      </w:tblGrid>
      <w:tr w:rsidR="00694609" w:rsidRPr="00694609" w:rsidTr="00694609">
        <w:trPr>
          <w:trHeight w:val="480"/>
        </w:trPr>
        <w:tc>
          <w:tcPr>
            <w:tcW w:w="69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Pohlaví</w:t>
            </w:r>
          </w:p>
        </w:tc>
        <w:tc>
          <w:tcPr>
            <w:tcW w:w="93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Věková skupina</w:t>
            </w:r>
          </w:p>
        </w:tc>
        <w:tc>
          <w:tcPr>
            <w:tcW w:w="1458" w:type="dxa"/>
            <w:gridSpan w:val="2"/>
            <w:tcBorders>
              <w:top w:val="single" w:sz="4" w:space="0" w:color="auto"/>
              <w:left w:val="nil"/>
              <w:bottom w:val="single" w:sz="4" w:space="0" w:color="auto"/>
              <w:right w:val="single" w:sz="4" w:space="0" w:color="000000"/>
            </w:tcBorders>
            <w:shd w:val="clear" w:color="000000" w:fill="F2F2F2"/>
            <w:noWrap/>
            <w:vAlign w:val="center"/>
            <w:hideMark/>
          </w:tcPr>
          <w:p w:rsidR="00694609" w:rsidRPr="00694609" w:rsidRDefault="00694609" w:rsidP="00694609">
            <w:pPr>
              <w:spacing w:before="0"/>
              <w:jc w:val="center"/>
              <w:rPr>
                <w:rFonts w:ascii="Calibri" w:hAnsi="Calibri" w:cs="Calibri"/>
                <w:b/>
                <w:bCs/>
                <w:color w:val="000000"/>
                <w:sz w:val="18"/>
                <w:szCs w:val="18"/>
                <w:lang w:eastAsia="cs-CZ"/>
              </w:rPr>
            </w:pPr>
            <w:r w:rsidRPr="00694609">
              <w:rPr>
                <w:rFonts w:ascii="Calibri" w:hAnsi="Calibri" w:cs="Calibri"/>
                <w:b/>
                <w:bCs/>
                <w:color w:val="000000"/>
                <w:sz w:val="18"/>
                <w:szCs w:val="18"/>
                <w:lang w:eastAsia="cs-CZ"/>
              </w:rPr>
              <w:t>Počet obyvatel</w:t>
            </w:r>
          </w:p>
        </w:tc>
        <w:tc>
          <w:tcPr>
            <w:tcW w:w="2581" w:type="dxa"/>
            <w:gridSpan w:val="3"/>
            <w:tcBorders>
              <w:top w:val="single" w:sz="4" w:space="0" w:color="auto"/>
              <w:left w:val="nil"/>
              <w:bottom w:val="single" w:sz="4" w:space="0" w:color="auto"/>
              <w:right w:val="single" w:sz="4" w:space="0" w:color="000000"/>
            </w:tcBorders>
            <w:shd w:val="clear" w:color="000000" w:fill="F2F2F2"/>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Změna počtu obyvatel</w:t>
            </w:r>
            <w:r w:rsidRPr="00694609">
              <w:rPr>
                <w:rFonts w:ascii="Calibri" w:hAnsi="Calibri" w:cs="Calibri"/>
                <w:b/>
                <w:bCs/>
                <w:sz w:val="18"/>
                <w:szCs w:val="18"/>
                <w:lang w:eastAsia="cs-CZ"/>
              </w:rPr>
              <w:br/>
              <w:t>2022–2032</w:t>
            </w:r>
          </w:p>
        </w:tc>
        <w:tc>
          <w:tcPr>
            <w:tcW w:w="1843" w:type="dxa"/>
            <w:gridSpan w:val="2"/>
            <w:tcBorders>
              <w:top w:val="single" w:sz="4" w:space="0" w:color="auto"/>
              <w:left w:val="nil"/>
              <w:bottom w:val="single" w:sz="4" w:space="0" w:color="auto"/>
              <w:right w:val="single" w:sz="4" w:space="0" w:color="000000"/>
            </w:tcBorders>
            <w:shd w:val="clear" w:color="000000" w:fill="F2F2F2"/>
            <w:noWrap/>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Podíl věkové složky</w:t>
            </w:r>
          </w:p>
        </w:tc>
        <w:tc>
          <w:tcPr>
            <w:tcW w:w="1554" w:type="dxa"/>
            <w:gridSpan w:val="2"/>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Změna podílu věkové složky 2022–2032</w:t>
            </w:r>
          </w:p>
        </w:tc>
      </w:tr>
      <w:tr w:rsidR="00694609" w:rsidRPr="00694609" w:rsidTr="00694609">
        <w:trPr>
          <w:trHeight w:val="288"/>
        </w:trPr>
        <w:tc>
          <w:tcPr>
            <w:tcW w:w="694" w:type="dxa"/>
            <w:vMerge/>
            <w:tcBorders>
              <w:top w:val="single" w:sz="4" w:space="0" w:color="auto"/>
              <w:left w:val="single" w:sz="4" w:space="0" w:color="auto"/>
              <w:bottom w:val="single" w:sz="4" w:space="0" w:color="000000"/>
              <w:right w:val="single" w:sz="4" w:space="0" w:color="auto"/>
            </w:tcBorders>
            <w:vAlign w:val="center"/>
            <w:hideMark/>
          </w:tcPr>
          <w:p w:rsidR="00694609" w:rsidRPr="00694609" w:rsidRDefault="00694609" w:rsidP="00694609">
            <w:pPr>
              <w:spacing w:before="0"/>
              <w:jc w:val="left"/>
              <w:rPr>
                <w:rFonts w:ascii="Calibri" w:hAnsi="Calibri" w:cs="Calibri"/>
                <w:b/>
                <w:bCs/>
                <w:sz w:val="18"/>
                <w:szCs w:val="18"/>
                <w:lang w:eastAsia="cs-CZ"/>
              </w:rPr>
            </w:pPr>
          </w:p>
        </w:tc>
        <w:tc>
          <w:tcPr>
            <w:tcW w:w="932" w:type="dxa"/>
            <w:vMerge/>
            <w:tcBorders>
              <w:top w:val="single" w:sz="4" w:space="0" w:color="auto"/>
              <w:left w:val="single" w:sz="4" w:space="0" w:color="auto"/>
              <w:bottom w:val="single" w:sz="4" w:space="0" w:color="000000"/>
              <w:right w:val="single" w:sz="4" w:space="0" w:color="auto"/>
            </w:tcBorders>
            <w:vAlign w:val="center"/>
            <w:hideMark/>
          </w:tcPr>
          <w:p w:rsidR="00694609" w:rsidRPr="00694609" w:rsidRDefault="00694609" w:rsidP="00694609">
            <w:pPr>
              <w:spacing w:before="0"/>
              <w:jc w:val="left"/>
              <w:rPr>
                <w:rFonts w:ascii="Calibri" w:hAnsi="Calibri" w:cs="Calibri"/>
                <w:b/>
                <w:bCs/>
                <w:sz w:val="18"/>
                <w:szCs w:val="18"/>
                <w:lang w:eastAsia="cs-CZ"/>
              </w:rPr>
            </w:pPr>
          </w:p>
        </w:tc>
        <w:tc>
          <w:tcPr>
            <w:tcW w:w="729" w:type="dxa"/>
            <w:tcBorders>
              <w:top w:val="nil"/>
              <w:left w:val="nil"/>
              <w:bottom w:val="single" w:sz="4" w:space="0" w:color="auto"/>
              <w:right w:val="single" w:sz="4" w:space="0" w:color="auto"/>
            </w:tcBorders>
            <w:shd w:val="clear" w:color="000000" w:fill="F2F2F2"/>
            <w:noWrap/>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2022</w:t>
            </w:r>
          </w:p>
        </w:tc>
        <w:tc>
          <w:tcPr>
            <w:tcW w:w="729" w:type="dxa"/>
            <w:tcBorders>
              <w:top w:val="nil"/>
              <w:left w:val="nil"/>
              <w:bottom w:val="single" w:sz="4" w:space="0" w:color="auto"/>
              <w:right w:val="single" w:sz="4" w:space="0" w:color="auto"/>
            </w:tcBorders>
            <w:shd w:val="clear" w:color="000000" w:fill="F2F2F2"/>
            <w:noWrap/>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2032</w:t>
            </w:r>
          </w:p>
        </w:tc>
        <w:tc>
          <w:tcPr>
            <w:tcW w:w="1360" w:type="dxa"/>
            <w:gridSpan w:val="2"/>
            <w:tcBorders>
              <w:top w:val="single" w:sz="4" w:space="0" w:color="auto"/>
              <w:left w:val="nil"/>
              <w:bottom w:val="single" w:sz="4" w:space="0" w:color="auto"/>
              <w:right w:val="single" w:sz="4" w:space="0" w:color="000000"/>
            </w:tcBorders>
            <w:shd w:val="clear" w:color="000000" w:fill="F2F2F2"/>
            <w:noWrap/>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Absolutní</w:t>
            </w:r>
          </w:p>
        </w:tc>
        <w:tc>
          <w:tcPr>
            <w:tcW w:w="1221" w:type="dxa"/>
            <w:tcBorders>
              <w:top w:val="nil"/>
              <w:left w:val="nil"/>
              <w:bottom w:val="single" w:sz="4" w:space="0" w:color="auto"/>
              <w:right w:val="single" w:sz="4" w:space="0" w:color="auto"/>
            </w:tcBorders>
            <w:shd w:val="clear" w:color="000000" w:fill="F2F2F2"/>
            <w:noWrap/>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Relativní</w:t>
            </w:r>
          </w:p>
        </w:tc>
        <w:tc>
          <w:tcPr>
            <w:tcW w:w="851" w:type="dxa"/>
            <w:tcBorders>
              <w:top w:val="nil"/>
              <w:left w:val="nil"/>
              <w:bottom w:val="single" w:sz="4" w:space="0" w:color="auto"/>
              <w:right w:val="single" w:sz="4" w:space="0" w:color="auto"/>
            </w:tcBorders>
            <w:shd w:val="clear" w:color="000000" w:fill="F2F2F2"/>
            <w:noWrap/>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2022</w:t>
            </w:r>
          </w:p>
        </w:tc>
        <w:tc>
          <w:tcPr>
            <w:tcW w:w="992" w:type="dxa"/>
            <w:tcBorders>
              <w:top w:val="nil"/>
              <w:left w:val="nil"/>
              <w:bottom w:val="single" w:sz="4" w:space="0" w:color="auto"/>
              <w:right w:val="single" w:sz="4" w:space="0" w:color="auto"/>
            </w:tcBorders>
            <w:shd w:val="clear" w:color="000000" w:fill="F2F2F2"/>
            <w:noWrap/>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2032</w:t>
            </w:r>
          </w:p>
        </w:tc>
        <w:tc>
          <w:tcPr>
            <w:tcW w:w="1554" w:type="dxa"/>
            <w:gridSpan w:val="2"/>
            <w:vMerge/>
            <w:tcBorders>
              <w:top w:val="nil"/>
              <w:left w:val="nil"/>
              <w:bottom w:val="single" w:sz="4" w:space="0" w:color="auto"/>
              <w:right w:val="single" w:sz="4" w:space="0" w:color="auto"/>
            </w:tcBorders>
            <w:vAlign w:val="center"/>
            <w:hideMark/>
          </w:tcPr>
          <w:p w:rsidR="00694609" w:rsidRPr="00694609" w:rsidRDefault="00694609" w:rsidP="00694609">
            <w:pPr>
              <w:spacing w:before="0"/>
              <w:jc w:val="left"/>
              <w:rPr>
                <w:rFonts w:ascii="Calibri" w:hAnsi="Calibri" w:cs="Calibri"/>
                <w:b/>
                <w:bCs/>
                <w:sz w:val="18"/>
                <w:szCs w:val="18"/>
                <w:lang w:eastAsia="cs-CZ"/>
              </w:rPr>
            </w:pPr>
          </w:p>
        </w:tc>
      </w:tr>
      <w:tr w:rsidR="00694609" w:rsidRPr="00694609" w:rsidTr="00694609">
        <w:trPr>
          <w:trHeight w:val="288"/>
        </w:trPr>
        <w:tc>
          <w:tcPr>
            <w:tcW w:w="694" w:type="dxa"/>
            <w:vMerge w:val="restart"/>
            <w:tcBorders>
              <w:top w:val="nil"/>
              <w:left w:val="single" w:sz="4" w:space="0" w:color="auto"/>
              <w:bottom w:val="single" w:sz="4" w:space="0" w:color="auto"/>
              <w:right w:val="single" w:sz="4" w:space="0" w:color="auto"/>
            </w:tcBorders>
            <w:shd w:val="clear" w:color="000000" w:fill="F2F2F2"/>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Celkem</w:t>
            </w:r>
          </w:p>
        </w:tc>
        <w:tc>
          <w:tcPr>
            <w:tcW w:w="932" w:type="dxa"/>
            <w:tcBorders>
              <w:top w:val="nil"/>
              <w:left w:val="nil"/>
              <w:bottom w:val="single" w:sz="4" w:space="0" w:color="auto"/>
              <w:right w:val="single" w:sz="4" w:space="0" w:color="auto"/>
            </w:tcBorders>
            <w:shd w:val="clear" w:color="000000" w:fill="F2F2F2"/>
            <w:vAlign w:val="center"/>
            <w:hideMark/>
          </w:tcPr>
          <w:p w:rsidR="00694609" w:rsidRPr="00694609" w:rsidRDefault="00694609" w:rsidP="00694609">
            <w:pPr>
              <w:spacing w:before="0"/>
              <w:jc w:val="left"/>
              <w:rPr>
                <w:rFonts w:ascii="Calibri" w:hAnsi="Calibri" w:cs="Calibri"/>
                <w:b/>
                <w:bCs/>
                <w:sz w:val="18"/>
                <w:szCs w:val="18"/>
                <w:lang w:eastAsia="cs-CZ"/>
              </w:rPr>
            </w:pPr>
            <w:r w:rsidRPr="00694609">
              <w:rPr>
                <w:rFonts w:ascii="Calibri" w:hAnsi="Calibri" w:cs="Calibri"/>
                <w:b/>
                <w:bCs/>
                <w:sz w:val="18"/>
                <w:szCs w:val="18"/>
                <w:lang w:eastAsia="cs-CZ"/>
              </w:rPr>
              <w:t>0-14</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98 227</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91 815</w:t>
            </w:r>
          </w:p>
        </w:tc>
        <w:tc>
          <w:tcPr>
            <w:tcW w:w="45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905"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-6 412 </w:t>
            </w:r>
          </w:p>
        </w:tc>
        <w:tc>
          <w:tcPr>
            <w:tcW w:w="122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-6,5 % </w:t>
            </w:r>
          </w:p>
        </w:tc>
        <w:tc>
          <w:tcPr>
            <w:tcW w:w="85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15,8 %</w:t>
            </w:r>
          </w:p>
        </w:tc>
        <w:tc>
          <w:tcPr>
            <w:tcW w:w="992"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15,1 %</w:t>
            </w:r>
          </w:p>
        </w:tc>
        <w:tc>
          <w:tcPr>
            <w:tcW w:w="42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11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-0,7 % </w:t>
            </w:r>
          </w:p>
        </w:tc>
      </w:tr>
      <w:tr w:rsidR="00694609" w:rsidRPr="00694609" w:rsidTr="00694609">
        <w:trPr>
          <w:trHeight w:val="288"/>
        </w:trPr>
        <w:tc>
          <w:tcPr>
            <w:tcW w:w="694" w:type="dxa"/>
            <w:vMerge/>
            <w:tcBorders>
              <w:top w:val="nil"/>
              <w:left w:val="single" w:sz="4" w:space="0" w:color="auto"/>
              <w:bottom w:val="single" w:sz="4" w:space="0" w:color="auto"/>
              <w:right w:val="single" w:sz="4" w:space="0" w:color="auto"/>
            </w:tcBorders>
            <w:vAlign w:val="center"/>
            <w:hideMark/>
          </w:tcPr>
          <w:p w:rsidR="00694609" w:rsidRPr="00694609" w:rsidRDefault="00694609" w:rsidP="00694609">
            <w:pPr>
              <w:spacing w:before="0"/>
              <w:jc w:val="left"/>
              <w:rPr>
                <w:rFonts w:ascii="Calibri" w:hAnsi="Calibri" w:cs="Calibri"/>
                <w:b/>
                <w:bCs/>
                <w:sz w:val="18"/>
                <w:szCs w:val="18"/>
                <w:lang w:eastAsia="cs-CZ"/>
              </w:rPr>
            </w:pPr>
          </w:p>
        </w:tc>
        <w:tc>
          <w:tcPr>
            <w:tcW w:w="932" w:type="dxa"/>
            <w:tcBorders>
              <w:top w:val="nil"/>
              <w:left w:val="nil"/>
              <w:bottom w:val="single" w:sz="4" w:space="0" w:color="auto"/>
              <w:right w:val="single" w:sz="4" w:space="0" w:color="auto"/>
            </w:tcBorders>
            <w:shd w:val="clear" w:color="000000" w:fill="F2F2F2"/>
            <w:vAlign w:val="center"/>
            <w:hideMark/>
          </w:tcPr>
          <w:p w:rsidR="00694609" w:rsidRPr="00694609" w:rsidRDefault="00694609" w:rsidP="00694609">
            <w:pPr>
              <w:spacing w:before="0"/>
              <w:jc w:val="left"/>
              <w:rPr>
                <w:rFonts w:ascii="Calibri" w:hAnsi="Calibri" w:cs="Calibri"/>
                <w:b/>
                <w:bCs/>
                <w:sz w:val="18"/>
                <w:szCs w:val="18"/>
                <w:lang w:eastAsia="cs-CZ"/>
              </w:rPr>
            </w:pPr>
            <w:r w:rsidRPr="00694609">
              <w:rPr>
                <w:rFonts w:ascii="Calibri" w:hAnsi="Calibri" w:cs="Calibri"/>
                <w:b/>
                <w:bCs/>
                <w:sz w:val="18"/>
                <w:szCs w:val="18"/>
                <w:lang w:eastAsia="cs-CZ"/>
              </w:rPr>
              <w:t>15-64</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390 774</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369 836</w:t>
            </w:r>
          </w:p>
        </w:tc>
        <w:tc>
          <w:tcPr>
            <w:tcW w:w="45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905"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-20 938 </w:t>
            </w:r>
          </w:p>
        </w:tc>
        <w:tc>
          <w:tcPr>
            <w:tcW w:w="122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-5,4 % </w:t>
            </w:r>
          </w:p>
        </w:tc>
        <w:tc>
          <w:tcPr>
            <w:tcW w:w="85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62,7 %</w:t>
            </w:r>
          </w:p>
        </w:tc>
        <w:tc>
          <w:tcPr>
            <w:tcW w:w="992"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60,7 %</w:t>
            </w:r>
          </w:p>
        </w:tc>
        <w:tc>
          <w:tcPr>
            <w:tcW w:w="42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11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-2,0 % </w:t>
            </w:r>
          </w:p>
        </w:tc>
      </w:tr>
      <w:tr w:rsidR="00694609" w:rsidRPr="00694609" w:rsidTr="00694609">
        <w:trPr>
          <w:trHeight w:val="288"/>
        </w:trPr>
        <w:tc>
          <w:tcPr>
            <w:tcW w:w="694" w:type="dxa"/>
            <w:vMerge/>
            <w:tcBorders>
              <w:top w:val="nil"/>
              <w:left w:val="single" w:sz="4" w:space="0" w:color="auto"/>
              <w:bottom w:val="single" w:sz="4" w:space="0" w:color="auto"/>
              <w:right w:val="single" w:sz="4" w:space="0" w:color="auto"/>
            </w:tcBorders>
            <w:vAlign w:val="center"/>
            <w:hideMark/>
          </w:tcPr>
          <w:p w:rsidR="00694609" w:rsidRPr="00694609" w:rsidRDefault="00694609" w:rsidP="00694609">
            <w:pPr>
              <w:spacing w:before="0"/>
              <w:jc w:val="left"/>
              <w:rPr>
                <w:rFonts w:ascii="Calibri" w:hAnsi="Calibri" w:cs="Calibri"/>
                <w:b/>
                <w:bCs/>
                <w:sz w:val="18"/>
                <w:szCs w:val="18"/>
                <w:lang w:eastAsia="cs-CZ"/>
              </w:rPr>
            </w:pPr>
          </w:p>
        </w:tc>
        <w:tc>
          <w:tcPr>
            <w:tcW w:w="932" w:type="dxa"/>
            <w:tcBorders>
              <w:top w:val="nil"/>
              <w:left w:val="nil"/>
              <w:bottom w:val="single" w:sz="4" w:space="0" w:color="auto"/>
              <w:right w:val="single" w:sz="4" w:space="0" w:color="auto"/>
            </w:tcBorders>
            <w:shd w:val="clear" w:color="000000" w:fill="F2F2F2"/>
            <w:vAlign w:val="center"/>
            <w:hideMark/>
          </w:tcPr>
          <w:p w:rsidR="00694609" w:rsidRPr="00694609" w:rsidRDefault="00694609" w:rsidP="00694609">
            <w:pPr>
              <w:spacing w:before="0"/>
              <w:jc w:val="left"/>
              <w:rPr>
                <w:rFonts w:ascii="Calibri" w:hAnsi="Calibri" w:cs="Calibri"/>
                <w:b/>
                <w:bCs/>
                <w:sz w:val="18"/>
                <w:szCs w:val="18"/>
                <w:lang w:eastAsia="cs-CZ"/>
              </w:rPr>
            </w:pPr>
            <w:r w:rsidRPr="00694609">
              <w:rPr>
                <w:rFonts w:ascii="Calibri" w:hAnsi="Calibri" w:cs="Calibri"/>
                <w:b/>
                <w:bCs/>
                <w:sz w:val="18"/>
                <w:szCs w:val="18"/>
                <w:lang w:eastAsia="cs-CZ"/>
              </w:rPr>
              <w:t>65+</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133 929</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147 389</w:t>
            </w:r>
          </w:p>
        </w:tc>
        <w:tc>
          <w:tcPr>
            <w:tcW w:w="45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w:t>
            </w:r>
            <w:r w:rsidRPr="00694609">
              <w:rPr>
                <w:rFonts w:ascii="Arial" w:hAnsi="Arial" w:cs="Arial"/>
                <w:color w:val="008000"/>
                <w:sz w:val="18"/>
                <w:szCs w:val="18"/>
                <w:lang w:eastAsia="cs-CZ"/>
              </w:rPr>
              <w:t>▲</w:t>
            </w:r>
          </w:p>
        </w:tc>
        <w:tc>
          <w:tcPr>
            <w:tcW w:w="905"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13 460 </w:t>
            </w:r>
          </w:p>
        </w:tc>
        <w:tc>
          <w:tcPr>
            <w:tcW w:w="122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10,0 % </w:t>
            </w:r>
          </w:p>
        </w:tc>
        <w:tc>
          <w:tcPr>
            <w:tcW w:w="85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21,5 %</w:t>
            </w:r>
          </w:p>
        </w:tc>
        <w:tc>
          <w:tcPr>
            <w:tcW w:w="992"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24,2 %</w:t>
            </w:r>
          </w:p>
        </w:tc>
        <w:tc>
          <w:tcPr>
            <w:tcW w:w="42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w:t>
            </w:r>
            <w:r w:rsidRPr="00694609">
              <w:rPr>
                <w:rFonts w:ascii="Arial" w:hAnsi="Arial" w:cs="Arial"/>
                <w:color w:val="008000"/>
                <w:sz w:val="18"/>
                <w:szCs w:val="18"/>
                <w:lang w:eastAsia="cs-CZ"/>
              </w:rPr>
              <w:t>▲</w:t>
            </w:r>
          </w:p>
        </w:tc>
        <w:tc>
          <w:tcPr>
            <w:tcW w:w="11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2,7 % </w:t>
            </w:r>
          </w:p>
        </w:tc>
      </w:tr>
      <w:tr w:rsidR="00694609" w:rsidRPr="00694609" w:rsidTr="00694609">
        <w:trPr>
          <w:trHeight w:val="288"/>
        </w:trPr>
        <w:tc>
          <w:tcPr>
            <w:tcW w:w="694" w:type="dxa"/>
            <w:vMerge/>
            <w:tcBorders>
              <w:top w:val="nil"/>
              <w:left w:val="single" w:sz="4" w:space="0" w:color="auto"/>
              <w:bottom w:val="single" w:sz="4" w:space="0" w:color="auto"/>
              <w:right w:val="single" w:sz="4" w:space="0" w:color="auto"/>
            </w:tcBorders>
            <w:vAlign w:val="center"/>
            <w:hideMark/>
          </w:tcPr>
          <w:p w:rsidR="00694609" w:rsidRPr="00694609" w:rsidRDefault="00694609" w:rsidP="00694609">
            <w:pPr>
              <w:spacing w:before="0"/>
              <w:jc w:val="left"/>
              <w:rPr>
                <w:rFonts w:ascii="Calibri" w:hAnsi="Calibri" w:cs="Calibri"/>
                <w:b/>
                <w:bCs/>
                <w:sz w:val="18"/>
                <w:szCs w:val="18"/>
                <w:lang w:eastAsia="cs-CZ"/>
              </w:rPr>
            </w:pPr>
          </w:p>
        </w:tc>
        <w:tc>
          <w:tcPr>
            <w:tcW w:w="932" w:type="dxa"/>
            <w:tcBorders>
              <w:top w:val="nil"/>
              <w:left w:val="nil"/>
              <w:bottom w:val="single" w:sz="4" w:space="0" w:color="auto"/>
              <w:right w:val="single" w:sz="4" w:space="0" w:color="auto"/>
            </w:tcBorders>
            <w:shd w:val="clear" w:color="000000" w:fill="F2F2F2"/>
            <w:vAlign w:val="center"/>
            <w:hideMark/>
          </w:tcPr>
          <w:p w:rsidR="00694609" w:rsidRPr="00694609" w:rsidRDefault="00694609" w:rsidP="00694609">
            <w:pPr>
              <w:spacing w:before="0"/>
              <w:jc w:val="left"/>
              <w:rPr>
                <w:rFonts w:ascii="Calibri" w:hAnsi="Calibri" w:cs="Calibri"/>
                <w:b/>
                <w:bCs/>
                <w:sz w:val="18"/>
                <w:szCs w:val="18"/>
                <w:lang w:eastAsia="cs-CZ"/>
              </w:rPr>
            </w:pPr>
            <w:r w:rsidRPr="00694609">
              <w:rPr>
                <w:rFonts w:ascii="Calibri" w:hAnsi="Calibri" w:cs="Calibri"/>
                <w:b/>
                <w:bCs/>
                <w:sz w:val="18"/>
                <w:szCs w:val="18"/>
                <w:lang w:eastAsia="cs-CZ"/>
              </w:rPr>
              <w:t>Celkem</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622 930</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609 040</w:t>
            </w:r>
          </w:p>
        </w:tc>
        <w:tc>
          <w:tcPr>
            <w:tcW w:w="45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905"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-13 890 </w:t>
            </w:r>
          </w:p>
        </w:tc>
        <w:tc>
          <w:tcPr>
            <w:tcW w:w="122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-2,2 % </w:t>
            </w:r>
          </w:p>
        </w:tc>
        <w:tc>
          <w:tcPr>
            <w:tcW w:w="85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100,0 %</w:t>
            </w:r>
          </w:p>
        </w:tc>
        <w:tc>
          <w:tcPr>
            <w:tcW w:w="992"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100,0 %</w:t>
            </w:r>
          </w:p>
        </w:tc>
        <w:tc>
          <w:tcPr>
            <w:tcW w:w="42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w:t>
            </w:r>
          </w:p>
        </w:tc>
        <w:tc>
          <w:tcPr>
            <w:tcW w:w="11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w:t>
            </w:r>
          </w:p>
        </w:tc>
      </w:tr>
      <w:tr w:rsidR="00694609" w:rsidRPr="00694609" w:rsidTr="00694609">
        <w:trPr>
          <w:trHeight w:val="288"/>
        </w:trPr>
        <w:tc>
          <w:tcPr>
            <w:tcW w:w="694" w:type="dxa"/>
            <w:vMerge w:val="restart"/>
            <w:tcBorders>
              <w:top w:val="nil"/>
              <w:left w:val="single" w:sz="4" w:space="0" w:color="auto"/>
              <w:bottom w:val="single" w:sz="4" w:space="0" w:color="auto"/>
              <w:right w:val="single" w:sz="4" w:space="0" w:color="auto"/>
            </w:tcBorders>
            <w:shd w:val="clear" w:color="000000" w:fill="F2F2F2"/>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Muži</w:t>
            </w:r>
          </w:p>
        </w:tc>
        <w:tc>
          <w:tcPr>
            <w:tcW w:w="932" w:type="dxa"/>
            <w:tcBorders>
              <w:top w:val="nil"/>
              <w:left w:val="nil"/>
              <w:bottom w:val="single" w:sz="4" w:space="0" w:color="auto"/>
              <w:right w:val="single" w:sz="4" w:space="0" w:color="auto"/>
            </w:tcBorders>
            <w:shd w:val="clear" w:color="000000" w:fill="F2F2F2"/>
            <w:vAlign w:val="center"/>
            <w:hideMark/>
          </w:tcPr>
          <w:p w:rsidR="00694609" w:rsidRPr="00694609" w:rsidRDefault="00694609" w:rsidP="00694609">
            <w:pPr>
              <w:spacing w:before="0"/>
              <w:jc w:val="left"/>
              <w:rPr>
                <w:rFonts w:ascii="Calibri" w:hAnsi="Calibri" w:cs="Calibri"/>
                <w:b/>
                <w:bCs/>
                <w:sz w:val="18"/>
                <w:szCs w:val="18"/>
                <w:lang w:eastAsia="cs-CZ"/>
              </w:rPr>
            </w:pPr>
            <w:r w:rsidRPr="00694609">
              <w:rPr>
                <w:rFonts w:ascii="Calibri" w:hAnsi="Calibri" w:cs="Calibri"/>
                <w:b/>
                <w:bCs/>
                <w:sz w:val="18"/>
                <w:szCs w:val="18"/>
                <w:lang w:eastAsia="cs-CZ"/>
              </w:rPr>
              <w:t>0-14</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50 084</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47 135</w:t>
            </w:r>
          </w:p>
        </w:tc>
        <w:tc>
          <w:tcPr>
            <w:tcW w:w="45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905"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-2 949 </w:t>
            </w:r>
          </w:p>
        </w:tc>
        <w:tc>
          <w:tcPr>
            <w:tcW w:w="122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-5,9 % </w:t>
            </w:r>
          </w:p>
        </w:tc>
        <w:tc>
          <w:tcPr>
            <w:tcW w:w="85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16,4 %</w:t>
            </w:r>
          </w:p>
        </w:tc>
        <w:tc>
          <w:tcPr>
            <w:tcW w:w="992"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15,7 %</w:t>
            </w:r>
          </w:p>
        </w:tc>
        <w:tc>
          <w:tcPr>
            <w:tcW w:w="42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11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-0,7 % </w:t>
            </w:r>
          </w:p>
        </w:tc>
      </w:tr>
      <w:tr w:rsidR="00694609" w:rsidRPr="00694609" w:rsidTr="00694609">
        <w:trPr>
          <w:trHeight w:val="288"/>
        </w:trPr>
        <w:tc>
          <w:tcPr>
            <w:tcW w:w="694" w:type="dxa"/>
            <w:vMerge/>
            <w:tcBorders>
              <w:top w:val="nil"/>
              <w:left w:val="single" w:sz="4" w:space="0" w:color="auto"/>
              <w:bottom w:val="single" w:sz="4" w:space="0" w:color="auto"/>
              <w:right w:val="single" w:sz="4" w:space="0" w:color="auto"/>
            </w:tcBorders>
            <w:vAlign w:val="center"/>
            <w:hideMark/>
          </w:tcPr>
          <w:p w:rsidR="00694609" w:rsidRPr="00694609" w:rsidRDefault="00694609" w:rsidP="00694609">
            <w:pPr>
              <w:spacing w:before="0"/>
              <w:jc w:val="left"/>
              <w:rPr>
                <w:rFonts w:ascii="Calibri" w:hAnsi="Calibri" w:cs="Calibri"/>
                <w:b/>
                <w:bCs/>
                <w:sz w:val="18"/>
                <w:szCs w:val="18"/>
                <w:lang w:eastAsia="cs-CZ"/>
              </w:rPr>
            </w:pPr>
          </w:p>
        </w:tc>
        <w:tc>
          <w:tcPr>
            <w:tcW w:w="932" w:type="dxa"/>
            <w:tcBorders>
              <w:top w:val="nil"/>
              <w:left w:val="nil"/>
              <w:bottom w:val="single" w:sz="4" w:space="0" w:color="auto"/>
              <w:right w:val="single" w:sz="4" w:space="0" w:color="auto"/>
            </w:tcBorders>
            <w:shd w:val="clear" w:color="000000" w:fill="F2F2F2"/>
            <w:vAlign w:val="center"/>
            <w:hideMark/>
          </w:tcPr>
          <w:p w:rsidR="00694609" w:rsidRPr="00694609" w:rsidRDefault="00694609" w:rsidP="00694609">
            <w:pPr>
              <w:spacing w:before="0"/>
              <w:jc w:val="left"/>
              <w:rPr>
                <w:rFonts w:ascii="Calibri" w:hAnsi="Calibri" w:cs="Calibri"/>
                <w:b/>
                <w:bCs/>
                <w:sz w:val="18"/>
                <w:szCs w:val="18"/>
                <w:lang w:eastAsia="cs-CZ"/>
              </w:rPr>
            </w:pPr>
            <w:r w:rsidRPr="00694609">
              <w:rPr>
                <w:rFonts w:ascii="Calibri" w:hAnsi="Calibri" w:cs="Calibri"/>
                <w:b/>
                <w:bCs/>
                <w:sz w:val="18"/>
                <w:szCs w:val="18"/>
                <w:lang w:eastAsia="cs-CZ"/>
              </w:rPr>
              <w:t>15-64</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199 588</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189 555</w:t>
            </w:r>
          </w:p>
        </w:tc>
        <w:tc>
          <w:tcPr>
            <w:tcW w:w="45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905"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-10 033 </w:t>
            </w:r>
          </w:p>
        </w:tc>
        <w:tc>
          <w:tcPr>
            <w:tcW w:w="122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-5,0 % </w:t>
            </w:r>
          </w:p>
        </w:tc>
        <w:tc>
          <w:tcPr>
            <w:tcW w:w="85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65,3 %</w:t>
            </w:r>
          </w:p>
        </w:tc>
        <w:tc>
          <w:tcPr>
            <w:tcW w:w="992"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63,3 %</w:t>
            </w:r>
          </w:p>
        </w:tc>
        <w:tc>
          <w:tcPr>
            <w:tcW w:w="42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11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-2,1 % </w:t>
            </w:r>
          </w:p>
        </w:tc>
      </w:tr>
      <w:tr w:rsidR="00694609" w:rsidRPr="00694609" w:rsidTr="00694609">
        <w:trPr>
          <w:trHeight w:val="288"/>
        </w:trPr>
        <w:tc>
          <w:tcPr>
            <w:tcW w:w="694" w:type="dxa"/>
            <w:vMerge/>
            <w:tcBorders>
              <w:top w:val="nil"/>
              <w:left w:val="single" w:sz="4" w:space="0" w:color="auto"/>
              <w:bottom w:val="single" w:sz="4" w:space="0" w:color="auto"/>
              <w:right w:val="single" w:sz="4" w:space="0" w:color="auto"/>
            </w:tcBorders>
            <w:vAlign w:val="center"/>
            <w:hideMark/>
          </w:tcPr>
          <w:p w:rsidR="00694609" w:rsidRPr="00694609" w:rsidRDefault="00694609" w:rsidP="00694609">
            <w:pPr>
              <w:spacing w:before="0"/>
              <w:jc w:val="left"/>
              <w:rPr>
                <w:rFonts w:ascii="Calibri" w:hAnsi="Calibri" w:cs="Calibri"/>
                <w:b/>
                <w:bCs/>
                <w:sz w:val="18"/>
                <w:szCs w:val="18"/>
                <w:lang w:eastAsia="cs-CZ"/>
              </w:rPr>
            </w:pPr>
          </w:p>
        </w:tc>
        <w:tc>
          <w:tcPr>
            <w:tcW w:w="932" w:type="dxa"/>
            <w:tcBorders>
              <w:top w:val="nil"/>
              <w:left w:val="nil"/>
              <w:bottom w:val="single" w:sz="4" w:space="0" w:color="auto"/>
              <w:right w:val="single" w:sz="4" w:space="0" w:color="auto"/>
            </w:tcBorders>
            <w:shd w:val="clear" w:color="000000" w:fill="F2F2F2"/>
            <w:vAlign w:val="center"/>
            <w:hideMark/>
          </w:tcPr>
          <w:p w:rsidR="00694609" w:rsidRPr="00694609" w:rsidRDefault="00694609" w:rsidP="00694609">
            <w:pPr>
              <w:spacing w:before="0"/>
              <w:jc w:val="left"/>
              <w:rPr>
                <w:rFonts w:ascii="Calibri" w:hAnsi="Calibri" w:cs="Calibri"/>
                <w:b/>
                <w:bCs/>
                <w:sz w:val="18"/>
                <w:szCs w:val="18"/>
                <w:lang w:eastAsia="cs-CZ"/>
              </w:rPr>
            </w:pPr>
            <w:r w:rsidRPr="00694609">
              <w:rPr>
                <w:rFonts w:ascii="Calibri" w:hAnsi="Calibri" w:cs="Calibri"/>
                <w:b/>
                <w:bCs/>
                <w:sz w:val="18"/>
                <w:szCs w:val="18"/>
                <w:lang w:eastAsia="cs-CZ"/>
              </w:rPr>
              <w:t>65+</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55 777</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62 931</w:t>
            </w:r>
          </w:p>
        </w:tc>
        <w:tc>
          <w:tcPr>
            <w:tcW w:w="45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w:t>
            </w:r>
            <w:r w:rsidRPr="00694609">
              <w:rPr>
                <w:rFonts w:ascii="Arial" w:hAnsi="Arial" w:cs="Arial"/>
                <w:color w:val="008000"/>
                <w:sz w:val="18"/>
                <w:szCs w:val="18"/>
                <w:lang w:eastAsia="cs-CZ"/>
              </w:rPr>
              <w:t>▲</w:t>
            </w:r>
          </w:p>
        </w:tc>
        <w:tc>
          <w:tcPr>
            <w:tcW w:w="905"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7 154 </w:t>
            </w:r>
          </w:p>
        </w:tc>
        <w:tc>
          <w:tcPr>
            <w:tcW w:w="122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12,8 % </w:t>
            </w:r>
          </w:p>
        </w:tc>
        <w:tc>
          <w:tcPr>
            <w:tcW w:w="85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18,3 %</w:t>
            </w:r>
          </w:p>
        </w:tc>
        <w:tc>
          <w:tcPr>
            <w:tcW w:w="992"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21,0 %</w:t>
            </w:r>
          </w:p>
        </w:tc>
        <w:tc>
          <w:tcPr>
            <w:tcW w:w="42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w:t>
            </w:r>
            <w:r w:rsidRPr="00694609">
              <w:rPr>
                <w:rFonts w:ascii="Arial" w:hAnsi="Arial" w:cs="Arial"/>
                <w:color w:val="008000"/>
                <w:sz w:val="18"/>
                <w:szCs w:val="18"/>
                <w:lang w:eastAsia="cs-CZ"/>
              </w:rPr>
              <w:t>▲</w:t>
            </w:r>
          </w:p>
        </w:tc>
        <w:tc>
          <w:tcPr>
            <w:tcW w:w="11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2,7 % </w:t>
            </w:r>
          </w:p>
        </w:tc>
      </w:tr>
      <w:tr w:rsidR="00694609" w:rsidRPr="00694609" w:rsidTr="00694609">
        <w:trPr>
          <w:trHeight w:val="288"/>
        </w:trPr>
        <w:tc>
          <w:tcPr>
            <w:tcW w:w="694" w:type="dxa"/>
            <w:vMerge/>
            <w:tcBorders>
              <w:top w:val="nil"/>
              <w:left w:val="single" w:sz="4" w:space="0" w:color="auto"/>
              <w:bottom w:val="single" w:sz="4" w:space="0" w:color="auto"/>
              <w:right w:val="single" w:sz="4" w:space="0" w:color="auto"/>
            </w:tcBorders>
            <w:vAlign w:val="center"/>
            <w:hideMark/>
          </w:tcPr>
          <w:p w:rsidR="00694609" w:rsidRPr="00694609" w:rsidRDefault="00694609" w:rsidP="00694609">
            <w:pPr>
              <w:spacing w:before="0"/>
              <w:jc w:val="left"/>
              <w:rPr>
                <w:rFonts w:ascii="Calibri" w:hAnsi="Calibri" w:cs="Calibri"/>
                <w:b/>
                <w:bCs/>
                <w:sz w:val="18"/>
                <w:szCs w:val="18"/>
                <w:lang w:eastAsia="cs-CZ"/>
              </w:rPr>
            </w:pPr>
          </w:p>
        </w:tc>
        <w:tc>
          <w:tcPr>
            <w:tcW w:w="932" w:type="dxa"/>
            <w:tcBorders>
              <w:top w:val="nil"/>
              <w:left w:val="nil"/>
              <w:bottom w:val="single" w:sz="4" w:space="0" w:color="auto"/>
              <w:right w:val="single" w:sz="4" w:space="0" w:color="auto"/>
            </w:tcBorders>
            <w:shd w:val="clear" w:color="000000" w:fill="F2F2F2"/>
            <w:vAlign w:val="center"/>
            <w:hideMark/>
          </w:tcPr>
          <w:p w:rsidR="00694609" w:rsidRPr="00694609" w:rsidRDefault="00694609" w:rsidP="00694609">
            <w:pPr>
              <w:spacing w:before="0"/>
              <w:jc w:val="left"/>
              <w:rPr>
                <w:rFonts w:ascii="Calibri" w:hAnsi="Calibri" w:cs="Calibri"/>
                <w:b/>
                <w:bCs/>
                <w:sz w:val="18"/>
                <w:szCs w:val="18"/>
                <w:lang w:eastAsia="cs-CZ"/>
              </w:rPr>
            </w:pPr>
            <w:r w:rsidRPr="00694609">
              <w:rPr>
                <w:rFonts w:ascii="Calibri" w:hAnsi="Calibri" w:cs="Calibri"/>
                <w:b/>
                <w:bCs/>
                <w:sz w:val="18"/>
                <w:szCs w:val="18"/>
                <w:lang w:eastAsia="cs-CZ"/>
              </w:rPr>
              <w:t>Celkem</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305 449</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299 622</w:t>
            </w:r>
          </w:p>
        </w:tc>
        <w:tc>
          <w:tcPr>
            <w:tcW w:w="45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905"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-5 827 </w:t>
            </w:r>
          </w:p>
        </w:tc>
        <w:tc>
          <w:tcPr>
            <w:tcW w:w="122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-1,9 % </w:t>
            </w:r>
          </w:p>
        </w:tc>
        <w:tc>
          <w:tcPr>
            <w:tcW w:w="85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100,0 %</w:t>
            </w:r>
          </w:p>
        </w:tc>
        <w:tc>
          <w:tcPr>
            <w:tcW w:w="992"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100,0 %</w:t>
            </w:r>
          </w:p>
        </w:tc>
        <w:tc>
          <w:tcPr>
            <w:tcW w:w="42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w:t>
            </w:r>
          </w:p>
        </w:tc>
        <w:tc>
          <w:tcPr>
            <w:tcW w:w="11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w:t>
            </w:r>
          </w:p>
        </w:tc>
      </w:tr>
      <w:tr w:rsidR="00694609" w:rsidRPr="00694609" w:rsidTr="00694609">
        <w:trPr>
          <w:trHeight w:val="288"/>
        </w:trPr>
        <w:tc>
          <w:tcPr>
            <w:tcW w:w="694" w:type="dxa"/>
            <w:vMerge w:val="restart"/>
            <w:tcBorders>
              <w:top w:val="nil"/>
              <w:left w:val="single" w:sz="4" w:space="0" w:color="auto"/>
              <w:bottom w:val="single" w:sz="4" w:space="0" w:color="auto"/>
              <w:right w:val="single" w:sz="4" w:space="0" w:color="auto"/>
            </w:tcBorders>
            <w:shd w:val="clear" w:color="000000" w:fill="F2F2F2"/>
            <w:vAlign w:val="center"/>
            <w:hideMark/>
          </w:tcPr>
          <w:p w:rsidR="00694609" w:rsidRPr="00694609" w:rsidRDefault="00694609" w:rsidP="00694609">
            <w:pPr>
              <w:spacing w:before="0"/>
              <w:jc w:val="center"/>
              <w:rPr>
                <w:rFonts w:ascii="Calibri" w:hAnsi="Calibri" w:cs="Calibri"/>
                <w:b/>
                <w:bCs/>
                <w:sz w:val="18"/>
                <w:szCs w:val="18"/>
                <w:lang w:eastAsia="cs-CZ"/>
              </w:rPr>
            </w:pPr>
            <w:r w:rsidRPr="00694609">
              <w:rPr>
                <w:rFonts w:ascii="Calibri" w:hAnsi="Calibri" w:cs="Calibri"/>
                <w:b/>
                <w:bCs/>
                <w:sz w:val="18"/>
                <w:szCs w:val="18"/>
                <w:lang w:eastAsia="cs-CZ"/>
              </w:rPr>
              <w:t>Ženy</w:t>
            </w:r>
          </w:p>
        </w:tc>
        <w:tc>
          <w:tcPr>
            <w:tcW w:w="932" w:type="dxa"/>
            <w:tcBorders>
              <w:top w:val="nil"/>
              <w:left w:val="nil"/>
              <w:bottom w:val="single" w:sz="4" w:space="0" w:color="auto"/>
              <w:right w:val="single" w:sz="4" w:space="0" w:color="auto"/>
            </w:tcBorders>
            <w:shd w:val="clear" w:color="000000" w:fill="F2F2F2"/>
            <w:vAlign w:val="center"/>
            <w:hideMark/>
          </w:tcPr>
          <w:p w:rsidR="00694609" w:rsidRPr="00694609" w:rsidRDefault="00694609" w:rsidP="00694609">
            <w:pPr>
              <w:spacing w:before="0"/>
              <w:jc w:val="left"/>
              <w:rPr>
                <w:rFonts w:ascii="Calibri" w:hAnsi="Calibri" w:cs="Calibri"/>
                <w:b/>
                <w:bCs/>
                <w:sz w:val="18"/>
                <w:szCs w:val="18"/>
                <w:lang w:eastAsia="cs-CZ"/>
              </w:rPr>
            </w:pPr>
            <w:r w:rsidRPr="00694609">
              <w:rPr>
                <w:rFonts w:ascii="Calibri" w:hAnsi="Calibri" w:cs="Calibri"/>
                <w:b/>
                <w:bCs/>
                <w:sz w:val="18"/>
                <w:szCs w:val="18"/>
                <w:lang w:eastAsia="cs-CZ"/>
              </w:rPr>
              <w:t>0-14</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48 143</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44 680</w:t>
            </w:r>
          </w:p>
        </w:tc>
        <w:tc>
          <w:tcPr>
            <w:tcW w:w="45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905"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-3 463 </w:t>
            </w:r>
          </w:p>
        </w:tc>
        <w:tc>
          <w:tcPr>
            <w:tcW w:w="122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-7,2 % </w:t>
            </w:r>
          </w:p>
        </w:tc>
        <w:tc>
          <w:tcPr>
            <w:tcW w:w="85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15,2 %</w:t>
            </w:r>
          </w:p>
        </w:tc>
        <w:tc>
          <w:tcPr>
            <w:tcW w:w="992"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14,4 %</w:t>
            </w:r>
          </w:p>
        </w:tc>
        <w:tc>
          <w:tcPr>
            <w:tcW w:w="42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11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-0,7 % </w:t>
            </w:r>
          </w:p>
        </w:tc>
      </w:tr>
      <w:tr w:rsidR="00694609" w:rsidRPr="00694609" w:rsidTr="00694609">
        <w:trPr>
          <w:trHeight w:val="288"/>
        </w:trPr>
        <w:tc>
          <w:tcPr>
            <w:tcW w:w="694" w:type="dxa"/>
            <w:vMerge/>
            <w:tcBorders>
              <w:top w:val="nil"/>
              <w:left w:val="single" w:sz="4" w:space="0" w:color="auto"/>
              <w:bottom w:val="single" w:sz="4" w:space="0" w:color="auto"/>
              <w:right w:val="single" w:sz="4" w:space="0" w:color="auto"/>
            </w:tcBorders>
            <w:vAlign w:val="center"/>
            <w:hideMark/>
          </w:tcPr>
          <w:p w:rsidR="00694609" w:rsidRPr="00694609" w:rsidRDefault="00694609" w:rsidP="00694609">
            <w:pPr>
              <w:spacing w:before="0"/>
              <w:jc w:val="left"/>
              <w:rPr>
                <w:rFonts w:ascii="Calibri" w:hAnsi="Calibri" w:cs="Calibri"/>
                <w:b/>
                <w:bCs/>
                <w:sz w:val="18"/>
                <w:szCs w:val="18"/>
                <w:lang w:eastAsia="cs-CZ"/>
              </w:rPr>
            </w:pPr>
          </w:p>
        </w:tc>
        <w:tc>
          <w:tcPr>
            <w:tcW w:w="932" w:type="dxa"/>
            <w:tcBorders>
              <w:top w:val="nil"/>
              <w:left w:val="nil"/>
              <w:bottom w:val="single" w:sz="4" w:space="0" w:color="auto"/>
              <w:right w:val="single" w:sz="4" w:space="0" w:color="auto"/>
            </w:tcBorders>
            <w:shd w:val="clear" w:color="000000" w:fill="F2F2F2"/>
            <w:vAlign w:val="center"/>
            <w:hideMark/>
          </w:tcPr>
          <w:p w:rsidR="00694609" w:rsidRPr="00694609" w:rsidRDefault="00694609" w:rsidP="00694609">
            <w:pPr>
              <w:spacing w:before="0"/>
              <w:jc w:val="left"/>
              <w:rPr>
                <w:rFonts w:ascii="Calibri" w:hAnsi="Calibri" w:cs="Calibri"/>
                <w:b/>
                <w:bCs/>
                <w:sz w:val="18"/>
                <w:szCs w:val="18"/>
                <w:lang w:eastAsia="cs-CZ"/>
              </w:rPr>
            </w:pPr>
            <w:r w:rsidRPr="00694609">
              <w:rPr>
                <w:rFonts w:ascii="Calibri" w:hAnsi="Calibri" w:cs="Calibri"/>
                <w:b/>
                <w:bCs/>
                <w:sz w:val="18"/>
                <w:szCs w:val="18"/>
                <w:lang w:eastAsia="cs-CZ"/>
              </w:rPr>
              <w:t>15-64</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191 186</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180 280</w:t>
            </w:r>
          </w:p>
        </w:tc>
        <w:tc>
          <w:tcPr>
            <w:tcW w:w="45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905"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-10 906 </w:t>
            </w:r>
          </w:p>
        </w:tc>
        <w:tc>
          <w:tcPr>
            <w:tcW w:w="122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-5,7 % </w:t>
            </w:r>
          </w:p>
        </w:tc>
        <w:tc>
          <w:tcPr>
            <w:tcW w:w="85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60,2 %</w:t>
            </w:r>
          </w:p>
        </w:tc>
        <w:tc>
          <w:tcPr>
            <w:tcW w:w="992"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58,3 %</w:t>
            </w:r>
          </w:p>
        </w:tc>
        <w:tc>
          <w:tcPr>
            <w:tcW w:w="42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11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-2,0 % </w:t>
            </w:r>
          </w:p>
        </w:tc>
      </w:tr>
      <w:tr w:rsidR="00694609" w:rsidRPr="00694609" w:rsidTr="00694609">
        <w:trPr>
          <w:trHeight w:val="288"/>
        </w:trPr>
        <w:tc>
          <w:tcPr>
            <w:tcW w:w="694" w:type="dxa"/>
            <w:vMerge/>
            <w:tcBorders>
              <w:top w:val="nil"/>
              <w:left w:val="single" w:sz="4" w:space="0" w:color="auto"/>
              <w:bottom w:val="single" w:sz="4" w:space="0" w:color="auto"/>
              <w:right w:val="single" w:sz="4" w:space="0" w:color="auto"/>
            </w:tcBorders>
            <w:vAlign w:val="center"/>
            <w:hideMark/>
          </w:tcPr>
          <w:p w:rsidR="00694609" w:rsidRPr="00694609" w:rsidRDefault="00694609" w:rsidP="00694609">
            <w:pPr>
              <w:spacing w:before="0"/>
              <w:jc w:val="left"/>
              <w:rPr>
                <w:rFonts w:ascii="Calibri" w:hAnsi="Calibri" w:cs="Calibri"/>
                <w:b/>
                <w:bCs/>
                <w:sz w:val="18"/>
                <w:szCs w:val="18"/>
                <w:lang w:eastAsia="cs-CZ"/>
              </w:rPr>
            </w:pPr>
          </w:p>
        </w:tc>
        <w:tc>
          <w:tcPr>
            <w:tcW w:w="932" w:type="dxa"/>
            <w:tcBorders>
              <w:top w:val="nil"/>
              <w:left w:val="nil"/>
              <w:bottom w:val="single" w:sz="4" w:space="0" w:color="auto"/>
              <w:right w:val="single" w:sz="4" w:space="0" w:color="auto"/>
            </w:tcBorders>
            <w:shd w:val="clear" w:color="000000" w:fill="F2F2F2"/>
            <w:vAlign w:val="center"/>
            <w:hideMark/>
          </w:tcPr>
          <w:p w:rsidR="00694609" w:rsidRPr="00694609" w:rsidRDefault="00694609" w:rsidP="00694609">
            <w:pPr>
              <w:spacing w:before="0"/>
              <w:jc w:val="left"/>
              <w:rPr>
                <w:rFonts w:ascii="Calibri" w:hAnsi="Calibri" w:cs="Calibri"/>
                <w:b/>
                <w:bCs/>
                <w:sz w:val="18"/>
                <w:szCs w:val="18"/>
                <w:lang w:eastAsia="cs-CZ"/>
              </w:rPr>
            </w:pPr>
            <w:r w:rsidRPr="00694609">
              <w:rPr>
                <w:rFonts w:ascii="Calibri" w:hAnsi="Calibri" w:cs="Calibri"/>
                <w:b/>
                <w:bCs/>
                <w:sz w:val="18"/>
                <w:szCs w:val="18"/>
                <w:lang w:eastAsia="cs-CZ"/>
              </w:rPr>
              <w:t>65+</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78 152</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84 458</w:t>
            </w:r>
          </w:p>
        </w:tc>
        <w:tc>
          <w:tcPr>
            <w:tcW w:w="45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w:t>
            </w:r>
            <w:r w:rsidRPr="00694609">
              <w:rPr>
                <w:rFonts w:ascii="Arial" w:hAnsi="Arial" w:cs="Arial"/>
                <w:color w:val="008000"/>
                <w:sz w:val="18"/>
                <w:szCs w:val="18"/>
                <w:lang w:eastAsia="cs-CZ"/>
              </w:rPr>
              <w:t>▲</w:t>
            </w:r>
          </w:p>
        </w:tc>
        <w:tc>
          <w:tcPr>
            <w:tcW w:w="905"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6 306 </w:t>
            </w:r>
          </w:p>
        </w:tc>
        <w:tc>
          <w:tcPr>
            <w:tcW w:w="122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8,1 % </w:t>
            </w:r>
          </w:p>
        </w:tc>
        <w:tc>
          <w:tcPr>
            <w:tcW w:w="85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24,6 %</w:t>
            </w:r>
          </w:p>
        </w:tc>
        <w:tc>
          <w:tcPr>
            <w:tcW w:w="992"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27,3 %</w:t>
            </w:r>
          </w:p>
        </w:tc>
        <w:tc>
          <w:tcPr>
            <w:tcW w:w="42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w:t>
            </w:r>
            <w:r w:rsidRPr="00694609">
              <w:rPr>
                <w:rFonts w:ascii="Arial" w:hAnsi="Arial" w:cs="Arial"/>
                <w:color w:val="008000"/>
                <w:sz w:val="18"/>
                <w:szCs w:val="18"/>
                <w:lang w:eastAsia="cs-CZ"/>
              </w:rPr>
              <w:t>▲</w:t>
            </w:r>
          </w:p>
        </w:tc>
        <w:tc>
          <w:tcPr>
            <w:tcW w:w="11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008000"/>
                <w:sz w:val="18"/>
                <w:szCs w:val="18"/>
                <w:lang w:eastAsia="cs-CZ"/>
              </w:rPr>
              <w:t xml:space="preserve"> 2,7 % </w:t>
            </w:r>
          </w:p>
        </w:tc>
      </w:tr>
      <w:tr w:rsidR="00694609" w:rsidRPr="00694609" w:rsidTr="00694609">
        <w:trPr>
          <w:trHeight w:val="288"/>
        </w:trPr>
        <w:tc>
          <w:tcPr>
            <w:tcW w:w="694" w:type="dxa"/>
            <w:vMerge/>
            <w:tcBorders>
              <w:top w:val="nil"/>
              <w:left w:val="single" w:sz="4" w:space="0" w:color="auto"/>
              <w:bottom w:val="single" w:sz="4" w:space="0" w:color="auto"/>
              <w:right w:val="single" w:sz="4" w:space="0" w:color="auto"/>
            </w:tcBorders>
            <w:vAlign w:val="center"/>
            <w:hideMark/>
          </w:tcPr>
          <w:p w:rsidR="00694609" w:rsidRPr="00694609" w:rsidRDefault="00694609" w:rsidP="00694609">
            <w:pPr>
              <w:spacing w:before="0"/>
              <w:jc w:val="left"/>
              <w:rPr>
                <w:rFonts w:ascii="Calibri" w:hAnsi="Calibri" w:cs="Calibri"/>
                <w:b/>
                <w:bCs/>
                <w:sz w:val="18"/>
                <w:szCs w:val="18"/>
                <w:lang w:eastAsia="cs-CZ"/>
              </w:rPr>
            </w:pPr>
          </w:p>
        </w:tc>
        <w:tc>
          <w:tcPr>
            <w:tcW w:w="932" w:type="dxa"/>
            <w:tcBorders>
              <w:top w:val="nil"/>
              <w:left w:val="nil"/>
              <w:bottom w:val="single" w:sz="4" w:space="0" w:color="auto"/>
              <w:right w:val="single" w:sz="4" w:space="0" w:color="auto"/>
            </w:tcBorders>
            <w:shd w:val="clear" w:color="000000" w:fill="F2F2F2"/>
            <w:vAlign w:val="center"/>
            <w:hideMark/>
          </w:tcPr>
          <w:p w:rsidR="00694609" w:rsidRPr="00694609" w:rsidRDefault="00694609" w:rsidP="00694609">
            <w:pPr>
              <w:spacing w:before="0"/>
              <w:jc w:val="left"/>
              <w:rPr>
                <w:rFonts w:ascii="Calibri" w:hAnsi="Calibri" w:cs="Calibri"/>
                <w:b/>
                <w:bCs/>
                <w:sz w:val="18"/>
                <w:szCs w:val="18"/>
                <w:lang w:eastAsia="cs-CZ"/>
              </w:rPr>
            </w:pPr>
            <w:r w:rsidRPr="00694609">
              <w:rPr>
                <w:rFonts w:ascii="Calibri" w:hAnsi="Calibri" w:cs="Calibri"/>
                <w:b/>
                <w:bCs/>
                <w:sz w:val="18"/>
                <w:szCs w:val="18"/>
                <w:lang w:eastAsia="cs-CZ"/>
              </w:rPr>
              <w:t>Celkem</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317 481</w:t>
            </w:r>
          </w:p>
        </w:tc>
        <w:tc>
          <w:tcPr>
            <w:tcW w:w="7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309 418</w:t>
            </w:r>
          </w:p>
        </w:tc>
        <w:tc>
          <w:tcPr>
            <w:tcW w:w="45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w:t>
            </w:r>
            <w:r w:rsidRPr="00694609">
              <w:rPr>
                <w:rFonts w:ascii="Arial" w:hAnsi="Arial" w:cs="Arial"/>
                <w:color w:val="FF0000"/>
                <w:sz w:val="18"/>
                <w:szCs w:val="18"/>
                <w:lang w:eastAsia="cs-CZ"/>
              </w:rPr>
              <w:t>▼</w:t>
            </w:r>
          </w:p>
        </w:tc>
        <w:tc>
          <w:tcPr>
            <w:tcW w:w="905"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-8 063 </w:t>
            </w:r>
          </w:p>
        </w:tc>
        <w:tc>
          <w:tcPr>
            <w:tcW w:w="122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color w:val="FF0000"/>
                <w:sz w:val="18"/>
                <w:szCs w:val="18"/>
                <w:lang w:eastAsia="cs-CZ"/>
              </w:rPr>
              <w:t xml:space="preserve"> -2,5 % </w:t>
            </w:r>
          </w:p>
        </w:tc>
        <w:tc>
          <w:tcPr>
            <w:tcW w:w="851"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100,0 %</w:t>
            </w:r>
          </w:p>
        </w:tc>
        <w:tc>
          <w:tcPr>
            <w:tcW w:w="992"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100,0 %</w:t>
            </w:r>
          </w:p>
        </w:tc>
        <w:tc>
          <w:tcPr>
            <w:tcW w:w="425" w:type="dxa"/>
            <w:tcBorders>
              <w:top w:val="nil"/>
              <w:left w:val="nil"/>
              <w:bottom w:val="single" w:sz="4" w:space="0" w:color="auto"/>
              <w:right w:val="nil"/>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w:t>
            </w:r>
          </w:p>
        </w:tc>
        <w:tc>
          <w:tcPr>
            <w:tcW w:w="1129" w:type="dxa"/>
            <w:tcBorders>
              <w:top w:val="nil"/>
              <w:left w:val="nil"/>
              <w:bottom w:val="single" w:sz="4" w:space="0" w:color="auto"/>
              <w:right w:val="single" w:sz="4" w:space="0" w:color="auto"/>
            </w:tcBorders>
            <w:shd w:val="clear" w:color="auto" w:fill="auto"/>
            <w:noWrap/>
            <w:vAlign w:val="center"/>
            <w:hideMark/>
          </w:tcPr>
          <w:p w:rsidR="00694609" w:rsidRPr="00694609" w:rsidRDefault="00694609" w:rsidP="00694609">
            <w:pPr>
              <w:spacing w:before="0"/>
              <w:jc w:val="right"/>
              <w:rPr>
                <w:rFonts w:asciiTheme="minorHAnsi" w:hAnsiTheme="minorHAnsi" w:cstheme="minorHAnsi"/>
                <w:sz w:val="18"/>
                <w:szCs w:val="18"/>
                <w:lang w:eastAsia="cs-CZ"/>
              </w:rPr>
            </w:pPr>
            <w:r w:rsidRPr="00694609">
              <w:rPr>
                <w:rFonts w:asciiTheme="minorHAnsi" w:hAnsiTheme="minorHAnsi" w:cstheme="minorHAnsi"/>
                <w:sz w:val="18"/>
                <w:szCs w:val="18"/>
                <w:lang w:eastAsia="cs-CZ"/>
              </w:rPr>
              <w:t>-</w:t>
            </w:r>
          </w:p>
        </w:tc>
      </w:tr>
    </w:tbl>
    <w:p w:rsidR="00AF4350" w:rsidRPr="0039748C" w:rsidRDefault="00AF4350" w:rsidP="00694609">
      <w:pPr>
        <w:pStyle w:val="Zdrojobjektu"/>
      </w:pPr>
      <w:r w:rsidRPr="0039748C">
        <w:t>Zdroj: ČSÚ, vlastní prognózy obyvatel OK, data k 1. 1. daného roku, zpracování ACCENDO (2022)</w:t>
      </w:r>
    </w:p>
    <w:p w:rsidR="00AF4350" w:rsidRPr="0039748C" w:rsidRDefault="00AF4350" w:rsidP="00A34764">
      <w:pPr>
        <w:rPr>
          <w:lang w:eastAsia="cs-CZ"/>
        </w:rPr>
      </w:pPr>
    </w:p>
    <w:p w:rsidR="00AF4350" w:rsidRPr="0039748C" w:rsidRDefault="00AF4350" w:rsidP="00694609">
      <w:pPr>
        <w:pStyle w:val="Tun"/>
      </w:pPr>
      <w:r w:rsidRPr="0039748C">
        <w:lastRenderedPageBreak/>
        <w:t>Průměrný věk a index stáří</w:t>
      </w:r>
    </w:p>
    <w:p w:rsidR="00AF4350" w:rsidRPr="0039748C" w:rsidRDefault="00AF4350" w:rsidP="00694609">
      <w:r w:rsidRPr="0039748C">
        <w:t>Průměrný věk obyvatel kraje 43,3 let je vzhledem k republikovému průměru 42,8 vyšší. Nejstaršími SO ORP jsou Konice, Jeseník, Přerov a Šumperk, kde ukazatel dosahuje hodnot vyšších než 44 let, naopak nejmladšími SO ORP jsou Olomouc a Šternberk, kde je pod hodnotou 43 let. Průměrný věk se zvyšuje ve všech správních obvodech, nejrychleji pak roste v SO ORP Jeseník, kde mezi lety 2002–2022 vzrostl o 6,9 let (v celém kraji vzrostl za toto období průměrně o 4,6 let, v rámci ČR pouze o 3,8 let).</w:t>
      </w:r>
    </w:p>
    <w:p w:rsidR="00AF4350" w:rsidRPr="0039748C" w:rsidRDefault="00AF4350" w:rsidP="00694609">
      <w:r w:rsidRPr="0039748C">
        <w:t xml:space="preserve">V rámci mezikrajského srovnání patří OK s hodnotou 43,3 let ke krajům s vyšším průměrným věkem. Nejmladší obyvatelstvo měly kraje Středočeský (41,5 let), hlavní město Praha (42,3 let), Ústecký (42,7 let), Jihomoravský (42,7 let), Liberecký (42,7 let) a Pardubický (42,8 let). Za nimi následovaly kraje na úrovni Olomouckého, a to Plzeňský (43,1 let), Jihočeský (43,2 let), Vysočina (43,2 let) a Moravskoslezský (43,3 let). Mírně starší obyvatelstvo měly kraje Karlovarský (43,6), Královéhradecký (43,6 let) a Zlínský (43,6 let). </w:t>
      </w:r>
    </w:p>
    <w:p w:rsidR="00AF4350" w:rsidRPr="0039748C" w:rsidRDefault="00AF4350" w:rsidP="00694609">
      <w:r w:rsidRPr="0039748C">
        <w:t xml:space="preserve">Index stáří představuje „poměr počtu obyvatel ve věku 65 a více let k počtu obyvatel ve věku 0–14 let.“ Je tak jednou z charakteristik věkové struktury obyvatel zaměřující se na stárnutí populace. </w:t>
      </w:r>
    </w:p>
    <w:p w:rsidR="00AF4350" w:rsidRPr="0039748C" w:rsidRDefault="00AF4350" w:rsidP="00694609">
      <w:r w:rsidRPr="0039748C">
        <w:t xml:space="preserve">V OK je patrné dlouhodobé zvyšování indexu, již v roce 2012 převyšovaly počty osob ve věku 65 a více let počty dětí ve všech SO ORP OK, při srovnání desetiletých časových řezů je zřetelný nárůst hodnot ve všech správních obvodech. V roce 2022 byla hodnota indexu stáří v OK (136,3) nad republikovým průměrem (128,1). Nejvíce seniorů na sto dětí bylo ve SO ORP Jeseník (166), Konice (163), Přerov (154) a Šumperk (152). Nejmenší rozdíl mezi počtem dětí a seniorů byl zaznamenán ve SO ORP Olomouc (122), Šternberk (129), Litovel (130) a Lipník n. B. (132). Tento trend je možné vysvětlit snižující se porodností, postupným nárůstem naděje dožití obyvatel a stárnutím populačně silných ročníků. </w:t>
      </w:r>
    </w:p>
    <w:p w:rsidR="00AF4350" w:rsidRPr="0039748C" w:rsidRDefault="00AF4350" w:rsidP="00694609">
      <w:pPr>
        <w:rPr>
          <w:highlight w:val="yellow"/>
        </w:rPr>
      </w:pPr>
      <w:r w:rsidRPr="0039748C">
        <w:t>V rámci mezikrajského srovnání patří OK s hodnotou 134,3 na úroveň Libereckého kraje (134,5) a hlavního města Prahy (133,6). Nejvyšších hodnot dosahoval index v Pardubickém (142,9), Jihomoravském (141,8) a Zlínském kraji (140,8). Naopak nejnižší hodnoty indexu byly zjištěny v Ústeckém (125,5) a Středočeském kraji (123,4).</w:t>
      </w:r>
    </w:p>
    <w:p w:rsidR="00AF4350" w:rsidRPr="0039748C" w:rsidRDefault="00AF4350" w:rsidP="00694609">
      <w:pPr>
        <w:pStyle w:val="popistabulkySPRSS2024"/>
      </w:pPr>
      <w:bookmarkStart w:id="63" w:name="_Toc117607066"/>
      <w:r w:rsidRPr="0039748C">
        <w:t xml:space="preserve">Tabulka </w:t>
      </w:r>
      <w:r w:rsidR="00412C70">
        <w:fldChar w:fldCharType="begin"/>
      </w:r>
      <w:r w:rsidR="00412C70">
        <w:instrText xml:space="preserve"> SEQ Tabulka \* ARABIC </w:instrText>
      </w:r>
      <w:r w:rsidR="00412C70">
        <w:fldChar w:fldCharType="separate"/>
      </w:r>
      <w:r w:rsidR="003A12AF">
        <w:rPr>
          <w:noProof/>
        </w:rPr>
        <w:t>6</w:t>
      </w:r>
      <w:r w:rsidR="00412C70">
        <w:rPr>
          <w:noProof/>
        </w:rPr>
        <w:fldChar w:fldCharType="end"/>
      </w:r>
      <w:r>
        <w:rPr>
          <w:noProof/>
        </w:rPr>
        <w:t>:</w:t>
      </w:r>
      <w:r w:rsidRPr="0039748C">
        <w:t xml:space="preserve"> Průměrný věk a index stáří ve SO ORP OK v letech 2018–2022</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6"/>
        <w:gridCol w:w="1122"/>
        <w:gridCol w:w="1122"/>
        <w:gridCol w:w="1122"/>
        <w:gridCol w:w="1042"/>
        <w:gridCol w:w="1160"/>
        <w:gridCol w:w="1158"/>
      </w:tblGrid>
      <w:tr w:rsidR="00694609" w:rsidRPr="00694609" w:rsidTr="00694609">
        <w:trPr>
          <w:trHeight w:val="57"/>
        </w:trPr>
        <w:tc>
          <w:tcPr>
            <w:tcW w:w="1289" w:type="pct"/>
            <w:vMerge w:val="restart"/>
            <w:shd w:val="clear" w:color="000000" w:fill="F2F2F2"/>
            <w:tcMar>
              <w:top w:w="15" w:type="dxa"/>
              <w:left w:w="15" w:type="dxa"/>
              <w:bottom w:w="0" w:type="dxa"/>
              <w:right w:w="15" w:type="dxa"/>
            </w:tcMar>
            <w:vAlign w:val="center"/>
            <w:hideMark/>
          </w:tcPr>
          <w:p w:rsidR="00694609" w:rsidRPr="00694609" w:rsidRDefault="00694609" w:rsidP="00694609">
            <w:pPr>
              <w:spacing w:before="0" w:line="259" w:lineRule="auto"/>
              <w:jc w:val="center"/>
              <w:rPr>
                <w:rFonts w:ascii="Calibri" w:eastAsiaTheme="minorHAnsi" w:hAnsi="Calibri" w:cs="Calibri"/>
                <w:b/>
                <w:bCs/>
                <w:color w:val="000000"/>
                <w:sz w:val="18"/>
                <w:szCs w:val="18"/>
              </w:rPr>
            </w:pPr>
            <w:r w:rsidRPr="00694609">
              <w:rPr>
                <w:rFonts w:ascii="Calibri" w:eastAsiaTheme="minorHAnsi" w:hAnsi="Calibri" w:cs="Calibri"/>
                <w:b/>
                <w:bCs/>
                <w:color w:val="000000"/>
                <w:sz w:val="18"/>
                <w:szCs w:val="18"/>
              </w:rPr>
              <w:t>Území (kraj / SO ORP)</w:t>
            </w:r>
          </w:p>
        </w:tc>
        <w:tc>
          <w:tcPr>
            <w:tcW w:w="1857" w:type="pct"/>
            <w:gridSpan w:val="3"/>
            <w:shd w:val="clear" w:color="000000" w:fill="F2F2F2"/>
            <w:noWrap/>
            <w:tcMar>
              <w:top w:w="15" w:type="dxa"/>
              <w:left w:w="15" w:type="dxa"/>
              <w:bottom w:w="0" w:type="dxa"/>
              <w:right w:w="15" w:type="dxa"/>
            </w:tcMar>
            <w:vAlign w:val="bottom"/>
            <w:hideMark/>
          </w:tcPr>
          <w:p w:rsidR="00694609" w:rsidRPr="00694609" w:rsidRDefault="00694609" w:rsidP="00694609">
            <w:pPr>
              <w:spacing w:before="0" w:line="259" w:lineRule="auto"/>
              <w:jc w:val="center"/>
              <w:rPr>
                <w:rFonts w:ascii="Calibri" w:eastAsiaTheme="minorHAnsi" w:hAnsi="Calibri" w:cs="Calibri"/>
                <w:b/>
                <w:bCs/>
                <w:color w:val="000000"/>
                <w:sz w:val="18"/>
                <w:szCs w:val="18"/>
              </w:rPr>
            </w:pPr>
            <w:r w:rsidRPr="00694609">
              <w:rPr>
                <w:rFonts w:ascii="Calibri" w:eastAsiaTheme="minorHAnsi" w:hAnsi="Calibri" w:cs="Calibri"/>
                <w:b/>
                <w:bCs/>
                <w:color w:val="000000"/>
                <w:sz w:val="18"/>
                <w:szCs w:val="18"/>
              </w:rPr>
              <w:t>Průměrný věk</w:t>
            </w:r>
          </w:p>
        </w:tc>
        <w:tc>
          <w:tcPr>
            <w:tcW w:w="1854" w:type="pct"/>
            <w:gridSpan w:val="3"/>
            <w:shd w:val="clear" w:color="000000" w:fill="F2F2F2"/>
            <w:noWrap/>
            <w:tcMar>
              <w:top w:w="15" w:type="dxa"/>
              <w:left w:w="15" w:type="dxa"/>
              <w:bottom w:w="0" w:type="dxa"/>
              <w:right w:w="15" w:type="dxa"/>
            </w:tcMar>
            <w:vAlign w:val="bottom"/>
            <w:hideMark/>
          </w:tcPr>
          <w:p w:rsidR="00694609" w:rsidRPr="00694609" w:rsidRDefault="00694609" w:rsidP="00694609">
            <w:pPr>
              <w:spacing w:before="0" w:line="259" w:lineRule="auto"/>
              <w:jc w:val="center"/>
              <w:rPr>
                <w:rFonts w:ascii="Calibri" w:eastAsiaTheme="minorHAnsi" w:hAnsi="Calibri" w:cs="Calibri"/>
                <w:b/>
                <w:bCs/>
                <w:color w:val="000000"/>
                <w:sz w:val="18"/>
                <w:szCs w:val="18"/>
              </w:rPr>
            </w:pPr>
            <w:r w:rsidRPr="00694609">
              <w:rPr>
                <w:rFonts w:ascii="Calibri" w:eastAsiaTheme="minorHAnsi" w:hAnsi="Calibri" w:cs="Calibri"/>
                <w:b/>
                <w:bCs/>
                <w:color w:val="000000"/>
                <w:sz w:val="18"/>
                <w:szCs w:val="18"/>
              </w:rPr>
              <w:t>Index stáří</w:t>
            </w:r>
          </w:p>
        </w:tc>
      </w:tr>
      <w:tr w:rsidR="00694609" w:rsidRPr="00694609" w:rsidTr="00694609">
        <w:trPr>
          <w:trHeight w:val="57"/>
        </w:trPr>
        <w:tc>
          <w:tcPr>
            <w:tcW w:w="1289" w:type="pct"/>
            <w:vMerge/>
            <w:vAlign w:val="center"/>
            <w:hideMark/>
          </w:tcPr>
          <w:p w:rsidR="00694609" w:rsidRPr="00694609" w:rsidRDefault="00694609" w:rsidP="00694609">
            <w:pPr>
              <w:spacing w:before="0" w:line="259" w:lineRule="auto"/>
              <w:rPr>
                <w:rFonts w:ascii="Calibri" w:eastAsiaTheme="minorHAnsi" w:hAnsi="Calibri" w:cs="Calibri"/>
                <w:b/>
                <w:bCs/>
                <w:color w:val="000000"/>
                <w:sz w:val="18"/>
                <w:szCs w:val="18"/>
              </w:rPr>
            </w:pPr>
          </w:p>
        </w:tc>
        <w:tc>
          <w:tcPr>
            <w:tcW w:w="619" w:type="pct"/>
            <w:shd w:val="clear" w:color="000000" w:fill="F2F2F2"/>
            <w:noWrap/>
            <w:tcMar>
              <w:top w:w="15" w:type="dxa"/>
              <w:left w:w="15" w:type="dxa"/>
              <w:bottom w:w="0" w:type="dxa"/>
              <w:right w:w="15" w:type="dxa"/>
            </w:tcMar>
            <w:vAlign w:val="center"/>
            <w:hideMark/>
          </w:tcPr>
          <w:p w:rsidR="00694609" w:rsidRPr="00694609" w:rsidRDefault="00694609" w:rsidP="00694609">
            <w:pPr>
              <w:spacing w:before="0" w:line="259" w:lineRule="auto"/>
              <w:jc w:val="center"/>
              <w:rPr>
                <w:rFonts w:ascii="Calibri" w:eastAsiaTheme="minorHAnsi" w:hAnsi="Calibri" w:cs="Calibri"/>
                <w:b/>
                <w:bCs/>
                <w:color w:val="000000"/>
                <w:sz w:val="18"/>
                <w:szCs w:val="18"/>
              </w:rPr>
            </w:pPr>
            <w:r w:rsidRPr="00694609">
              <w:rPr>
                <w:rFonts w:ascii="Calibri" w:eastAsiaTheme="minorHAnsi" w:hAnsi="Calibri" w:cs="Calibri"/>
                <w:b/>
                <w:bCs/>
                <w:color w:val="000000"/>
                <w:sz w:val="18"/>
                <w:szCs w:val="18"/>
              </w:rPr>
              <w:t>2002</w:t>
            </w:r>
          </w:p>
        </w:tc>
        <w:tc>
          <w:tcPr>
            <w:tcW w:w="619" w:type="pct"/>
            <w:shd w:val="clear" w:color="000000" w:fill="F2F2F2"/>
            <w:noWrap/>
            <w:tcMar>
              <w:top w:w="15" w:type="dxa"/>
              <w:left w:w="15" w:type="dxa"/>
              <w:bottom w:w="0" w:type="dxa"/>
              <w:right w:w="15" w:type="dxa"/>
            </w:tcMar>
            <w:vAlign w:val="center"/>
            <w:hideMark/>
          </w:tcPr>
          <w:p w:rsidR="00694609" w:rsidRPr="00694609" w:rsidRDefault="00694609" w:rsidP="00694609">
            <w:pPr>
              <w:spacing w:before="0" w:line="259" w:lineRule="auto"/>
              <w:jc w:val="center"/>
              <w:rPr>
                <w:rFonts w:ascii="Calibri" w:eastAsiaTheme="minorHAnsi" w:hAnsi="Calibri" w:cs="Calibri"/>
                <w:b/>
                <w:bCs/>
                <w:color w:val="000000"/>
                <w:sz w:val="18"/>
                <w:szCs w:val="18"/>
              </w:rPr>
            </w:pPr>
            <w:r w:rsidRPr="00694609">
              <w:rPr>
                <w:rFonts w:ascii="Calibri" w:eastAsiaTheme="minorHAnsi" w:hAnsi="Calibri" w:cs="Calibri"/>
                <w:b/>
                <w:bCs/>
                <w:color w:val="000000"/>
                <w:sz w:val="18"/>
                <w:szCs w:val="18"/>
              </w:rPr>
              <w:t>2012</w:t>
            </w:r>
          </w:p>
        </w:tc>
        <w:tc>
          <w:tcPr>
            <w:tcW w:w="619" w:type="pct"/>
            <w:shd w:val="clear" w:color="000000" w:fill="F2F2F2"/>
            <w:noWrap/>
            <w:tcMar>
              <w:top w:w="15" w:type="dxa"/>
              <w:left w:w="15" w:type="dxa"/>
              <w:bottom w:w="0" w:type="dxa"/>
              <w:right w:w="15" w:type="dxa"/>
            </w:tcMar>
            <w:vAlign w:val="center"/>
            <w:hideMark/>
          </w:tcPr>
          <w:p w:rsidR="00694609" w:rsidRPr="00694609" w:rsidRDefault="00694609" w:rsidP="00694609">
            <w:pPr>
              <w:spacing w:before="0" w:line="259" w:lineRule="auto"/>
              <w:jc w:val="center"/>
              <w:rPr>
                <w:rFonts w:ascii="Calibri" w:eastAsiaTheme="minorHAnsi" w:hAnsi="Calibri" w:cs="Calibri"/>
                <w:b/>
                <w:bCs/>
                <w:color w:val="000000"/>
                <w:sz w:val="18"/>
                <w:szCs w:val="18"/>
              </w:rPr>
            </w:pPr>
            <w:r w:rsidRPr="00694609">
              <w:rPr>
                <w:rFonts w:ascii="Calibri" w:eastAsiaTheme="minorHAnsi" w:hAnsi="Calibri" w:cs="Calibri"/>
                <w:b/>
                <w:bCs/>
                <w:color w:val="000000"/>
                <w:sz w:val="18"/>
                <w:szCs w:val="18"/>
              </w:rPr>
              <w:t>2022</w:t>
            </w:r>
          </w:p>
        </w:tc>
        <w:tc>
          <w:tcPr>
            <w:tcW w:w="575" w:type="pct"/>
            <w:shd w:val="clear" w:color="000000" w:fill="F2F2F2"/>
            <w:noWrap/>
            <w:tcMar>
              <w:top w:w="15" w:type="dxa"/>
              <w:left w:w="15" w:type="dxa"/>
              <w:bottom w:w="0" w:type="dxa"/>
              <w:right w:w="15" w:type="dxa"/>
            </w:tcMar>
            <w:vAlign w:val="center"/>
            <w:hideMark/>
          </w:tcPr>
          <w:p w:rsidR="00694609" w:rsidRPr="00694609" w:rsidRDefault="00694609" w:rsidP="00694609">
            <w:pPr>
              <w:spacing w:before="0" w:line="259" w:lineRule="auto"/>
              <w:jc w:val="center"/>
              <w:rPr>
                <w:rFonts w:ascii="Calibri" w:eastAsiaTheme="minorHAnsi" w:hAnsi="Calibri" w:cs="Calibri"/>
                <w:b/>
                <w:bCs/>
                <w:color w:val="000000"/>
                <w:sz w:val="18"/>
                <w:szCs w:val="18"/>
              </w:rPr>
            </w:pPr>
            <w:r w:rsidRPr="00694609">
              <w:rPr>
                <w:rFonts w:ascii="Calibri" w:eastAsiaTheme="minorHAnsi" w:hAnsi="Calibri" w:cs="Calibri"/>
                <w:b/>
                <w:bCs/>
                <w:color w:val="000000"/>
                <w:sz w:val="18"/>
                <w:szCs w:val="18"/>
              </w:rPr>
              <w:t>2002</w:t>
            </w:r>
          </w:p>
        </w:tc>
        <w:tc>
          <w:tcPr>
            <w:tcW w:w="640" w:type="pct"/>
            <w:shd w:val="clear" w:color="000000" w:fill="F2F2F2"/>
            <w:noWrap/>
            <w:tcMar>
              <w:top w:w="15" w:type="dxa"/>
              <w:left w:w="15" w:type="dxa"/>
              <w:bottom w:w="0" w:type="dxa"/>
              <w:right w:w="15" w:type="dxa"/>
            </w:tcMar>
            <w:vAlign w:val="center"/>
            <w:hideMark/>
          </w:tcPr>
          <w:p w:rsidR="00694609" w:rsidRPr="00694609" w:rsidRDefault="00694609" w:rsidP="00694609">
            <w:pPr>
              <w:spacing w:before="0" w:line="259" w:lineRule="auto"/>
              <w:jc w:val="center"/>
              <w:rPr>
                <w:rFonts w:ascii="Calibri" w:eastAsiaTheme="minorHAnsi" w:hAnsi="Calibri" w:cs="Calibri"/>
                <w:b/>
                <w:bCs/>
                <w:color w:val="000000"/>
                <w:sz w:val="18"/>
                <w:szCs w:val="18"/>
              </w:rPr>
            </w:pPr>
            <w:r w:rsidRPr="00694609">
              <w:rPr>
                <w:rFonts w:ascii="Calibri" w:eastAsiaTheme="minorHAnsi" w:hAnsi="Calibri" w:cs="Calibri"/>
                <w:b/>
                <w:bCs/>
                <w:color w:val="000000"/>
                <w:sz w:val="18"/>
                <w:szCs w:val="18"/>
              </w:rPr>
              <w:t>2012</w:t>
            </w:r>
          </w:p>
        </w:tc>
        <w:tc>
          <w:tcPr>
            <w:tcW w:w="639" w:type="pct"/>
            <w:shd w:val="clear" w:color="000000" w:fill="F2F2F2"/>
            <w:noWrap/>
            <w:tcMar>
              <w:top w:w="15" w:type="dxa"/>
              <w:left w:w="15" w:type="dxa"/>
              <w:bottom w:w="0" w:type="dxa"/>
              <w:right w:w="15" w:type="dxa"/>
            </w:tcMar>
            <w:vAlign w:val="center"/>
            <w:hideMark/>
          </w:tcPr>
          <w:p w:rsidR="00694609" w:rsidRPr="00694609" w:rsidRDefault="00694609" w:rsidP="00694609">
            <w:pPr>
              <w:spacing w:before="0" w:line="259" w:lineRule="auto"/>
              <w:jc w:val="center"/>
              <w:rPr>
                <w:rFonts w:ascii="Calibri" w:eastAsiaTheme="minorHAnsi" w:hAnsi="Calibri" w:cs="Calibri"/>
                <w:b/>
                <w:bCs/>
                <w:color w:val="000000"/>
                <w:sz w:val="18"/>
                <w:szCs w:val="18"/>
              </w:rPr>
            </w:pPr>
            <w:r w:rsidRPr="00694609">
              <w:rPr>
                <w:rFonts w:ascii="Calibri" w:eastAsiaTheme="minorHAnsi" w:hAnsi="Calibri" w:cs="Calibri"/>
                <w:b/>
                <w:bCs/>
                <w:color w:val="000000"/>
                <w:sz w:val="18"/>
                <w:szCs w:val="18"/>
              </w:rPr>
              <w:t>2022</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b/>
                <w:color w:val="000000"/>
                <w:sz w:val="18"/>
                <w:szCs w:val="18"/>
              </w:rPr>
            </w:pPr>
            <w:r w:rsidRPr="00694609">
              <w:rPr>
                <w:rFonts w:ascii="Calibri" w:eastAsiaTheme="minorHAnsi" w:hAnsi="Calibri" w:cs="Calibri"/>
                <w:b/>
                <w:color w:val="000000"/>
                <w:sz w:val="18"/>
                <w:szCs w:val="18"/>
              </w:rPr>
              <w:t>OK</w:t>
            </w:r>
          </w:p>
        </w:tc>
        <w:tc>
          <w:tcPr>
            <w:tcW w:w="619" w:type="pct"/>
            <w:shd w:val="clear" w:color="000000" w:fill="8FAFD8"/>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b/>
                <w:color w:val="000000"/>
                <w:sz w:val="18"/>
                <w:szCs w:val="18"/>
              </w:rPr>
            </w:pPr>
            <w:r w:rsidRPr="00694609">
              <w:rPr>
                <w:rFonts w:ascii="Calibri" w:eastAsiaTheme="minorHAnsi" w:hAnsi="Calibri" w:cs="Calibri"/>
                <w:b/>
                <w:color w:val="000000"/>
                <w:sz w:val="18"/>
                <w:szCs w:val="18"/>
              </w:rPr>
              <w:t>38,7</w:t>
            </w:r>
          </w:p>
        </w:tc>
        <w:tc>
          <w:tcPr>
            <w:tcW w:w="619" w:type="pct"/>
            <w:shd w:val="clear" w:color="000000" w:fill="FCF8FB"/>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b/>
                <w:color w:val="000000"/>
                <w:sz w:val="18"/>
                <w:szCs w:val="18"/>
              </w:rPr>
            </w:pPr>
            <w:r w:rsidRPr="00694609">
              <w:rPr>
                <w:rFonts w:ascii="Calibri" w:eastAsiaTheme="minorHAnsi" w:hAnsi="Calibri" w:cs="Calibri"/>
                <w:b/>
                <w:color w:val="000000"/>
                <w:sz w:val="18"/>
                <w:szCs w:val="18"/>
              </w:rPr>
              <w:t>41,2</w:t>
            </w:r>
          </w:p>
        </w:tc>
        <w:tc>
          <w:tcPr>
            <w:tcW w:w="619" w:type="pct"/>
            <w:shd w:val="clear" w:color="000000" w:fill="FA9EA1"/>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b/>
                <w:color w:val="000000"/>
                <w:sz w:val="18"/>
                <w:szCs w:val="18"/>
              </w:rPr>
            </w:pPr>
            <w:r w:rsidRPr="00694609">
              <w:rPr>
                <w:rFonts w:ascii="Calibri" w:eastAsiaTheme="minorHAnsi" w:hAnsi="Calibri" w:cs="Calibri"/>
                <w:b/>
                <w:color w:val="000000"/>
                <w:sz w:val="18"/>
                <w:szCs w:val="18"/>
              </w:rPr>
              <w:t>43,3</w:t>
            </w:r>
          </w:p>
        </w:tc>
        <w:tc>
          <w:tcPr>
            <w:tcW w:w="575" w:type="pct"/>
            <w:shd w:val="clear" w:color="000000" w:fill="96B4DB"/>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b/>
                <w:color w:val="000000"/>
                <w:sz w:val="18"/>
                <w:szCs w:val="18"/>
              </w:rPr>
            </w:pPr>
            <w:r w:rsidRPr="00694609">
              <w:rPr>
                <w:rFonts w:ascii="Calibri" w:eastAsiaTheme="minorHAnsi" w:hAnsi="Calibri" w:cs="Calibri"/>
                <w:b/>
                <w:color w:val="000000"/>
                <w:sz w:val="18"/>
                <w:szCs w:val="18"/>
              </w:rPr>
              <w:t>84,0</w:t>
            </w:r>
          </w:p>
        </w:tc>
        <w:tc>
          <w:tcPr>
            <w:tcW w:w="640" w:type="pct"/>
            <w:shd w:val="clear" w:color="000000" w:fill="FCFBFE"/>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b/>
                <w:color w:val="000000"/>
                <w:sz w:val="18"/>
                <w:szCs w:val="18"/>
              </w:rPr>
            </w:pPr>
            <w:r w:rsidRPr="00694609">
              <w:rPr>
                <w:rFonts w:ascii="Calibri" w:eastAsiaTheme="minorHAnsi" w:hAnsi="Calibri" w:cs="Calibri"/>
                <w:b/>
                <w:color w:val="000000"/>
                <w:sz w:val="18"/>
                <w:szCs w:val="18"/>
              </w:rPr>
              <w:t>112,9</w:t>
            </w:r>
          </w:p>
        </w:tc>
        <w:tc>
          <w:tcPr>
            <w:tcW w:w="639" w:type="pct"/>
            <w:shd w:val="clear" w:color="000000" w:fill="FBBABC"/>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b/>
                <w:color w:val="000000"/>
                <w:sz w:val="18"/>
                <w:szCs w:val="18"/>
              </w:rPr>
            </w:pPr>
            <w:r w:rsidRPr="00694609">
              <w:rPr>
                <w:rFonts w:ascii="Calibri" w:eastAsiaTheme="minorHAnsi" w:hAnsi="Calibri" w:cs="Calibri"/>
                <w:b/>
                <w:color w:val="000000"/>
                <w:sz w:val="18"/>
                <w:szCs w:val="18"/>
              </w:rPr>
              <w:t>136,3</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Konice</w:t>
            </w:r>
          </w:p>
        </w:tc>
        <w:tc>
          <w:tcPr>
            <w:tcW w:w="619" w:type="pct"/>
            <w:shd w:val="clear" w:color="000000" w:fill="9DB9DD"/>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39,0</w:t>
            </w:r>
          </w:p>
        </w:tc>
        <w:tc>
          <w:tcPr>
            <w:tcW w:w="619" w:type="pct"/>
            <w:shd w:val="clear" w:color="000000" w:fill="FCDFE2"/>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41,8</w:t>
            </w:r>
          </w:p>
        </w:tc>
        <w:tc>
          <w:tcPr>
            <w:tcW w:w="619" w:type="pct"/>
            <w:shd w:val="clear" w:color="000000" w:fill="F8696B"/>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44,6</w:t>
            </w:r>
          </w:p>
        </w:tc>
        <w:tc>
          <w:tcPr>
            <w:tcW w:w="575" w:type="pct"/>
            <w:shd w:val="clear" w:color="000000" w:fill="C0D2EA"/>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95,6</w:t>
            </w:r>
          </w:p>
        </w:tc>
        <w:tc>
          <w:tcPr>
            <w:tcW w:w="640" w:type="pct"/>
            <w:shd w:val="clear" w:color="000000" w:fill="FCE7EA"/>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120,0</w:t>
            </w:r>
          </w:p>
        </w:tc>
        <w:tc>
          <w:tcPr>
            <w:tcW w:w="639" w:type="pct"/>
            <w:shd w:val="clear" w:color="000000" w:fill="F97274"/>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162,5</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Jeseník</w:t>
            </w:r>
          </w:p>
        </w:tc>
        <w:tc>
          <w:tcPr>
            <w:tcW w:w="619" w:type="pct"/>
            <w:shd w:val="clear" w:color="000000" w:fill="5E8DC7"/>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37,6</w:t>
            </w:r>
          </w:p>
        </w:tc>
        <w:tc>
          <w:tcPr>
            <w:tcW w:w="619" w:type="pct"/>
            <w:shd w:val="clear" w:color="000000" w:fill="FCFBFD"/>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41,2</w:t>
            </w:r>
          </w:p>
        </w:tc>
        <w:tc>
          <w:tcPr>
            <w:tcW w:w="619" w:type="pct"/>
            <w:shd w:val="clear" w:color="000000" w:fill="F96E70"/>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44,5</w:t>
            </w:r>
          </w:p>
        </w:tc>
        <w:tc>
          <w:tcPr>
            <w:tcW w:w="575" w:type="pct"/>
            <w:shd w:val="clear" w:color="000000" w:fill="5A8AC6"/>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67,1</w:t>
            </w:r>
          </w:p>
        </w:tc>
        <w:tc>
          <w:tcPr>
            <w:tcW w:w="640" w:type="pct"/>
            <w:shd w:val="clear" w:color="000000" w:fill="E6EDF7"/>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106,2</w:t>
            </w:r>
          </w:p>
        </w:tc>
        <w:tc>
          <w:tcPr>
            <w:tcW w:w="639" w:type="pct"/>
            <w:shd w:val="clear" w:color="000000" w:fill="F8696B"/>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165,6</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Přerov</w:t>
            </w:r>
          </w:p>
        </w:tc>
        <w:tc>
          <w:tcPr>
            <w:tcW w:w="619" w:type="pct"/>
            <w:shd w:val="clear" w:color="000000" w:fill="AAC2E2"/>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39,3</w:t>
            </w:r>
          </w:p>
        </w:tc>
        <w:tc>
          <w:tcPr>
            <w:tcW w:w="619" w:type="pct"/>
            <w:shd w:val="clear" w:color="000000" w:fill="FBD7D9"/>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42,0</w:t>
            </w:r>
          </w:p>
        </w:tc>
        <w:tc>
          <w:tcPr>
            <w:tcW w:w="619" w:type="pct"/>
            <w:shd w:val="clear" w:color="000000" w:fill="F96F71"/>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44,4</w:t>
            </w:r>
          </w:p>
        </w:tc>
        <w:tc>
          <w:tcPr>
            <w:tcW w:w="575" w:type="pct"/>
            <w:shd w:val="clear" w:color="000000" w:fill="ACC3E2"/>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90,0</w:t>
            </w:r>
          </w:p>
        </w:tc>
        <w:tc>
          <w:tcPr>
            <w:tcW w:w="640" w:type="pct"/>
            <w:shd w:val="clear" w:color="000000" w:fill="FBCED0"/>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129,2</w:t>
            </w:r>
          </w:p>
        </w:tc>
        <w:tc>
          <w:tcPr>
            <w:tcW w:w="639" w:type="pct"/>
            <w:shd w:val="clear" w:color="000000" w:fill="F9898B"/>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154,2</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Šumperk</w:t>
            </w:r>
          </w:p>
        </w:tc>
        <w:tc>
          <w:tcPr>
            <w:tcW w:w="619" w:type="pct"/>
            <w:shd w:val="clear" w:color="000000" w:fill="86A9D5"/>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38,5</w:t>
            </w:r>
          </w:p>
        </w:tc>
        <w:tc>
          <w:tcPr>
            <w:tcW w:w="619" w:type="pct"/>
            <w:shd w:val="clear" w:color="000000" w:fill="FCECEF"/>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41,5</w:t>
            </w:r>
          </w:p>
        </w:tc>
        <w:tc>
          <w:tcPr>
            <w:tcW w:w="619" w:type="pct"/>
            <w:shd w:val="clear" w:color="000000" w:fill="F97F81"/>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44,1</w:t>
            </w:r>
          </w:p>
        </w:tc>
        <w:tc>
          <w:tcPr>
            <w:tcW w:w="575" w:type="pct"/>
            <w:shd w:val="clear" w:color="000000" w:fill="8BACD7"/>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80,7</w:t>
            </w:r>
          </w:p>
        </w:tc>
        <w:tc>
          <w:tcPr>
            <w:tcW w:w="640" w:type="pct"/>
            <w:shd w:val="clear" w:color="000000" w:fill="FCFCFF"/>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112,3</w:t>
            </w:r>
          </w:p>
        </w:tc>
        <w:tc>
          <w:tcPr>
            <w:tcW w:w="639" w:type="pct"/>
            <w:shd w:val="clear" w:color="000000" w:fill="FA8F91"/>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152,1</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Uničov</w:t>
            </w:r>
          </w:p>
        </w:tc>
        <w:tc>
          <w:tcPr>
            <w:tcW w:w="619" w:type="pct"/>
            <w:shd w:val="clear" w:color="000000" w:fill="6B96CC"/>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37,9</w:t>
            </w:r>
          </w:p>
        </w:tc>
        <w:tc>
          <w:tcPr>
            <w:tcW w:w="619" w:type="pct"/>
            <w:shd w:val="clear" w:color="000000" w:fill="F4F6FC"/>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41,0</w:t>
            </w:r>
          </w:p>
        </w:tc>
        <w:tc>
          <w:tcPr>
            <w:tcW w:w="619" w:type="pct"/>
            <w:shd w:val="clear" w:color="000000" w:fill="FA9A9C"/>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43,4</w:t>
            </w:r>
          </w:p>
        </w:tc>
        <w:tc>
          <w:tcPr>
            <w:tcW w:w="575" w:type="pct"/>
            <w:shd w:val="clear" w:color="000000" w:fill="749CCF"/>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74,4</w:t>
            </w:r>
          </w:p>
        </w:tc>
        <w:tc>
          <w:tcPr>
            <w:tcW w:w="640" w:type="pct"/>
            <w:shd w:val="clear" w:color="000000" w:fill="FBFBFE"/>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111,9</w:t>
            </w:r>
          </w:p>
        </w:tc>
        <w:tc>
          <w:tcPr>
            <w:tcW w:w="639" w:type="pct"/>
            <w:shd w:val="clear" w:color="000000" w:fill="FAB2B5"/>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139,1</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Zábřeh</w:t>
            </w:r>
          </w:p>
        </w:tc>
        <w:tc>
          <w:tcPr>
            <w:tcW w:w="619" w:type="pct"/>
            <w:shd w:val="clear" w:color="000000" w:fill="7099CD"/>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38,0</w:t>
            </w:r>
          </w:p>
        </w:tc>
        <w:tc>
          <w:tcPr>
            <w:tcW w:w="619" w:type="pct"/>
            <w:shd w:val="clear" w:color="000000" w:fill="EFF3FA"/>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40,8</w:t>
            </w:r>
          </w:p>
        </w:tc>
        <w:tc>
          <w:tcPr>
            <w:tcW w:w="619" w:type="pct"/>
            <w:shd w:val="clear" w:color="000000" w:fill="FAA4A7"/>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43,2</w:t>
            </w:r>
          </w:p>
        </w:tc>
        <w:tc>
          <w:tcPr>
            <w:tcW w:w="575" w:type="pct"/>
            <w:shd w:val="clear" w:color="000000" w:fill="729BCE"/>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73,9</w:t>
            </w:r>
          </w:p>
        </w:tc>
        <w:tc>
          <w:tcPr>
            <w:tcW w:w="640" w:type="pct"/>
            <w:shd w:val="clear" w:color="000000" w:fill="F0F3FA"/>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108,9</w:t>
            </w:r>
          </w:p>
        </w:tc>
        <w:tc>
          <w:tcPr>
            <w:tcW w:w="639" w:type="pct"/>
            <w:shd w:val="clear" w:color="000000" w:fill="FBBFC1"/>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134,5</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Hranice</w:t>
            </w:r>
          </w:p>
        </w:tc>
        <w:tc>
          <w:tcPr>
            <w:tcW w:w="619" w:type="pct"/>
            <w:shd w:val="clear" w:color="000000" w:fill="5A8AC6"/>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37,5</w:t>
            </w:r>
          </w:p>
        </w:tc>
        <w:tc>
          <w:tcPr>
            <w:tcW w:w="619" w:type="pct"/>
            <w:shd w:val="clear" w:color="000000" w:fill="E0E8F5"/>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40,5</w:t>
            </w:r>
          </w:p>
        </w:tc>
        <w:tc>
          <w:tcPr>
            <w:tcW w:w="619" w:type="pct"/>
            <w:shd w:val="clear" w:color="000000" w:fill="FAA9AB"/>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43,1</w:t>
            </w:r>
          </w:p>
        </w:tc>
        <w:tc>
          <w:tcPr>
            <w:tcW w:w="575" w:type="pct"/>
            <w:shd w:val="clear" w:color="000000" w:fill="618FC8"/>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69,2</w:t>
            </w:r>
          </w:p>
        </w:tc>
        <w:tc>
          <w:tcPr>
            <w:tcW w:w="640" w:type="pct"/>
            <w:shd w:val="clear" w:color="000000" w:fill="E1E9F5"/>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104,9</w:t>
            </w:r>
          </w:p>
        </w:tc>
        <w:tc>
          <w:tcPr>
            <w:tcW w:w="639" w:type="pct"/>
            <w:shd w:val="clear" w:color="000000" w:fill="FBBEC0"/>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135,0</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Prostějov</w:t>
            </w:r>
          </w:p>
        </w:tc>
        <w:tc>
          <w:tcPr>
            <w:tcW w:w="619" w:type="pct"/>
            <w:shd w:val="clear" w:color="000000" w:fill="AAC2E2"/>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39,3</w:t>
            </w:r>
          </w:p>
        </w:tc>
        <w:tc>
          <w:tcPr>
            <w:tcW w:w="619" w:type="pct"/>
            <w:shd w:val="clear" w:color="000000" w:fill="FCF5F8"/>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41,3</w:t>
            </w:r>
          </w:p>
        </w:tc>
        <w:tc>
          <w:tcPr>
            <w:tcW w:w="619" w:type="pct"/>
            <w:shd w:val="clear" w:color="000000" w:fill="FAA9AC"/>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43,1</w:t>
            </w:r>
          </w:p>
        </w:tc>
        <w:tc>
          <w:tcPr>
            <w:tcW w:w="575" w:type="pct"/>
            <w:shd w:val="clear" w:color="000000" w:fill="BED0E9"/>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95,0</w:t>
            </w:r>
          </w:p>
        </w:tc>
        <w:tc>
          <w:tcPr>
            <w:tcW w:w="640" w:type="pct"/>
            <w:shd w:val="clear" w:color="000000" w:fill="FCF6F9"/>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114,4</w:t>
            </w:r>
          </w:p>
        </w:tc>
        <w:tc>
          <w:tcPr>
            <w:tcW w:w="639" w:type="pct"/>
            <w:shd w:val="clear" w:color="000000" w:fill="FBC6C9"/>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131,8</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Litovel</w:t>
            </w:r>
          </w:p>
        </w:tc>
        <w:tc>
          <w:tcPr>
            <w:tcW w:w="619" w:type="pct"/>
            <w:shd w:val="clear" w:color="000000" w:fill="94B2DA"/>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38,8</w:t>
            </w:r>
          </w:p>
        </w:tc>
        <w:tc>
          <w:tcPr>
            <w:tcW w:w="619" w:type="pct"/>
            <w:shd w:val="clear" w:color="000000" w:fill="FCF7FA"/>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41,3</w:t>
            </w:r>
          </w:p>
        </w:tc>
        <w:tc>
          <w:tcPr>
            <w:tcW w:w="619" w:type="pct"/>
            <w:shd w:val="clear" w:color="000000" w:fill="FAA9AC"/>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43,1</w:t>
            </w:r>
          </w:p>
        </w:tc>
        <w:tc>
          <w:tcPr>
            <w:tcW w:w="575" w:type="pct"/>
            <w:shd w:val="clear" w:color="000000" w:fill="9EBADE"/>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86,1</w:t>
            </w:r>
          </w:p>
        </w:tc>
        <w:tc>
          <w:tcPr>
            <w:tcW w:w="640" w:type="pct"/>
            <w:shd w:val="clear" w:color="000000" w:fill="FCFAFD"/>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113,0</w:t>
            </w:r>
          </w:p>
        </w:tc>
        <w:tc>
          <w:tcPr>
            <w:tcW w:w="639" w:type="pct"/>
            <w:shd w:val="clear" w:color="000000" w:fill="FBCBCD"/>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130,2</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Mohelnice</w:t>
            </w:r>
          </w:p>
        </w:tc>
        <w:tc>
          <w:tcPr>
            <w:tcW w:w="619" w:type="pct"/>
            <w:shd w:val="clear" w:color="000000" w:fill="6B96CC"/>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37,9</w:t>
            </w:r>
          </w:p>
        </w:tc>
        <w:tc>
          <w:tcPr>
            <w:tcW w:w="619" w:type="pct"/>
            <w:shd w:val="clear" w:color="000000" w:fill="F9FAFE"/>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41,1</w:t>
            </w:r>
          </w:p>
        </w:tc>
        <w:tc>
          <w:tcPr>
            <w:tcW w:w="619" w:type="pct"/>
            <w:shd w:val="clear" w:color="000000" w:fill="FAACAF"/>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43,0</w:t>
            </w:r>
          </w:p>
        </w:tc>
        <w:tc>
          <w:tcPr>
            <w:tcW w:w="575" w:type="pct"/>
            <w:shd w:val="clear" w:color="000000" w:fill="7099CD"/>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73,4</w:t>
            </w:r>
          </w:p>
        </w:tc>
        <w:tc>
          <w:tcPr>
            <w:tcW w:w="640" w:type="pct"/>
            <w:shd w:val="clear" w:color="000000" w:fill="FCFBFE"/>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112,7</w:t>
            </w:r>
          </w:p>
        </w:tc>
        <w:tc>
          <w:tcPr>
            <w:tcW w:w="639" w:type="pct"/>
            <w:shd w:val="clear" w:color="000000" w:fill="FBC4C7"/>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132,6</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Lipník nad Bečvou</w:t>
            </w:r>
          </w:p>
        </w:tc>
        <w:tc>
          <w:tcPr>
            <w:tcW w:w="619" w:type="pct"/>
            <w:shd w:val="clear" w:color="000000" w:fill="7DA3D2"/>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38,3</w:t>
            </w:r>
          </w:p>
        </w:tc>
        <w:tc>
          <w:tcPr>
            <w:tcW w:w="619" w:type="pct"/>
            <w:shd w:val="clear" w:color="000000" w:fill="E9EFF8"/>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40,7</w:t>
            </w:r>
          </w:p>
        </w:tc>
        <w:tc>
          <w:tcPr>
            <w:tcW w:w="619" w:type="pct"/>
            <w:shd w:val="clear" w:color="000000" w:fill="FAADB0"/>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43,0</w:t>
            </w:r>
          </w:p>
        </w:tc>
        <w:tc>
          <w:tcPr>
            <w:tcW w:w="575" w:type="pct"/>
            <w:shd w:val="clear" w:color="000000" w:fill="90B0D9"/>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82,2</w:t>
            </w:r>
          </w:p>
        </w:tc>
        <w:tc>
          <w:tcPr>
            <w:tcW w:w="640" w:type="pct"/>
            <w:shd w:val="clear" w:color="000000" w:fill="F1F4FB"/>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109,2</w:t>
            </w:r>
          </w:p>
        </w:tc>
        <w:tc>
          <w:tcPr>
            <w:tcW w:w="639" w:type="pct"/>
            <w:shd w:val="clear" w:color="000000" w:fill="FBCACC"/>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130,6</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Šternberk</w:t>
            </w:r>
          </w:p>
        </w:tc>
        <w:tc>
          <w:tcPr>
            <w:tcW w:w="619" w:type="pct"/>
            <w:shd w:val="clear" w:color="000000" w:fill="98B6DC"/>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38,9</w:t>
            </w:r>
          </w:p>
        </w:tc>
        <w:tc>
          <w:tcPr>
            <w:tcW w:w="619" w:type="pct"/>
            <w:shd w:val="clear" w:color="000000" w:fill="F1F4FB"/>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40,9</w:t>
            </w:r>
          </w:p>
        </w:tc>
        <w:tc>
          <w:tcPr>
            <w:tcW w:w="619" w:type="pct"/>
            <w:shd w:val="clear" w:color="000000" w:fill="FBB8BA"/>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42,7</w:t>
            </w:r>
          </w:p>
        </w:tc>
        <w:tc>
          <w:tcPr>
            <w:tcW w:w="575" w:type="pct"/>
            <w:shd w:val="clear" w:color="000000" w:fill="82A6D4"/>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78,3</w:t>
            </w:r>
          </w:p>
        </w:tc>
        <w:tc>
          <w:tcPr>
            <w:tcW w:w="640" w:type="pct"/>
            <w:shd w:val="clear" w:color="000000" w:fill="E3EAF6"/>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105,3</w:t>
            </w:r>
          </w:p>
        </w:tc>
        <w:tc>
          <w:tcPr>
            <w:tcW w:w="639" w:type="pct"/>
            <w:shd w:val="clear" w:color="000000" w:fill="FBCFD2"/>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128,7</w:t>
            </w:r>
          </w:p>
        </w:tc>
      </w:tr>
      <w:tr w:rsidR="00694609" w:rsidRPr="00694609" w:rsidTr="00694609">
        <w:trPr>
          <w:trHeight w:val="57"/>
        </w:trPr>
        <w:tc>
          <w:tcPr>
            <w:tcW w:w="1289" w:type="pct"/>
            <w:shd w:val="clear" w:color="auto" w:fill="auto"/>
            <w:tcMar>
              <w:top w:w="15" w:type="dxa"/>
              <w:left w:w="15" w:type="dxa"/>
              <w:bottom w:w="0" w:type="dxa"/>
              <w:right w:w="15" w:type="dxa"/>
            </w:tcMar>
            <w:vAlign w:val="center"/>
            <w:hideMark/>
          </w:tcPr>
          <w:p w:rsidR="00694609" w:rsidRPr="00694609" w:rsidRDefault="00694609" w:rsidP="00694609">
            <w:pPr>
              <w:spacing w:before="0" w:line="259" w:lineRule="auto"/>
              <w:jc w:val="left"/>
              <w:rPr>
                <w:rFonts w:ascii="Calibri" w:eastAsiaTheme="minorHAnsi" w:hAnsi="Calibri" w:cs="Calibri"/>
                <w:color w:val="000000"/>
                <w:sz w:val="18"/>
                <w:szCs w:val="18"/>
              </w:rPr>
            </w:pPr>
            <w:r w:rsidRPr="00694609">
              <w:rPr>
                <w:rFonts w:ascii="Calibri" w:eastAsiaTheme="minorHAnsi" w:hAnsi="Calibri" w:cs="Calibri"/>
                <w:color w:val="000000"/>
                <w:sz w:val="18"/>
                <w:szCs w:val="18"/>
              </w:rPr>
              <w:t>Olomouc</w:t>
            </w:r>
          </w:p>
        </w:tc>
        <w:tc>
          <w:tcPr>
            <w:tcW w:w="619" w:type="pct"/>
            <w:shd w:val="clear" w:color="000000" w:fill="9DB9DD"/>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39,0</w:t>
            </w:r>
          </w:p>
        </w:tc>
        <w:tc>
          <w:tcPr>
            <w:tcW w:w="619" w:type="pct"/>
            <w:shd w:val="clear" w:color="000000" w:fill="F6F8FD"/>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41,0</w:t>
            </w:r>
          </w:p>
        </w:tc>
        <w:tc>
          <w:tcPr>
            <w:tcW w:w="619" w:type="pct"/>
            <w:shd w:val="clear" w:color="000000" w:fill="FBBEC1"/>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42,6</w:t>
            </w:r>
          </w:p>
        </w:tc>
        <w:tc>
          <w:tcPr>
            <w:tcW w:w="575" w:type="pct"/>
            <w:shd w:val="clear" w:color="000000" w:fill="ABC3E2"/>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89,7</w:t>
            </w:r>
          </w:p>
        </w:tc>
        <w:tc>
          <w:tcPr>
            <w:tcW w:w="640" w:type="pct"/>
            <w:shd w:val="clear" w:color="000000" w:fill="F2F5FB"/>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109,5</w:t>
            </w:r>
          </w:p>
        </w:tc>
        <w:tc>
          <w:tcPr>
            <w:tcW w:w="639" w:type="pct"/>
            <w:shd w:val="clear" w:color="000000" w:fill="FCE2E5"/>
            <w:noWrap/>
            <w:tcMar>
              <w:top w:w="15" w:type="dxa"/>
              <w:left w:w="15" w:type="dxa"/>
              <w:bottom w:w="0" w:type="dxa"/>
              <w:right w:w="15" w:type="dxa"/>
            </w:tcMar>
            <w:vAlign w:val="bottom"/>
            <w:hideMark/>
          </w:tcPr>
          <w:p w:rsidR="00694609" w:rsidRPr="00694609" w:rsidRDefault="00694609" w:rsidP="00694609">
            <w:pPr>
              <w:spacing w:before="0" w:line="259" w:lineRule="auto"/>
              <w:jc w:val="right"/>
              <w:rPr>
                <w:rFonts w:ascii="Calibri" w:eastAsiaTheme="minorHAnsi" w:hAnsi="Calibri" w:cs="Calibri"/>
                <w:color w:val="000000"/>
                <w:sz w:val="18"/>
                <w:szCs w:val="18"/>
              </w:rPr>
            </w:pPr>
            <w:r w:rsidRPr="00694609">
              <w:rPr>
                <w:rFonts w:ascii="Calibri" w:eastAsiaTheme="minorHAnsi" w:hAnsi="Calibri" w:cs="Calibri"/>
                <w:color w:val="000000"/>
                <w:sz w:val="18"/>
                <w:szCs w:val="18"/>
              </w:rPr>
              <w:t>121,8</w:t>
            </w:r>
          </w:p>
        </w:tc>
      </w:tr>
    </w:tbl>
    <w:p w:rsidR="00AF4350" w:rsidRPr="0039748C" w:rsidRDefault="00AF4350" w:rsidP="00694609">
      <w:pPr>
        <w:pStyle w:val="Zdrojobjektu"/>
      </w:pPr>
      <w:r w:rsidRPr="0039748C">
        <w:t>Zdroj: ČSÚ, Veřejná databáze, data k 1.</w:t>
      </w:r>
      <w:r>
        <w:t xml:space="preserve"> </w:t>
      </w:r>
      <w:r w:rsidRPr="0039748C">
        <w:t>1.</w:t>
      </w:r>
      <w:r>
        <w:t xml:space="preserve"> </w:t>
      </w:r>
      <w:r w:rsidRPr="0039748C">
        <w:t>daného roku, zpracování ACCENDO (2022)</w:t>
      </w:r>
    </w:p>
    <w:p w:rsidR="00AF4350" w:rsidRPr="0039748C" w:rsidRDefault="00AF4350" w:rsidP="00A34764">
      <w:pPr>
        <w:rPr>
          <w:lang w:eastAsia="cs-CZ"/>
        </w:rPr>
      </w:pPr>
    </w:p>
    <w:p w:rsidR="00AF4350" w:rsidRPr="0039748C" w:rsidRDefault="00AF4350" w:rsidP="00694609">
      <w:pPr>
        <w:pStyle w:val="Tun"/>
      </w:pPr>
      <w:r w:rsidRPr="0039748C">
        <w:lastRenderedPageBreak/>
        <w:t>Zaměstnanost a nezaměstnanost</w:t>
      </w:r>
    </w:p>
    <w:p w:rsidR="00AF4350" w:rsidRPr="0039748C" w:rsidRDefault="00AF4350" w:rsidP="00694609">
      <w:pPr>
        <w:keepLines/>
        <w:rPr>
          <w:lang w:eastAsia="cs-CZ"/>
        </w:rPr>
      </w:pPr>
      <w:r w:rsidRPr="0039748C">
        <w:rPr>
          <w:lang w:eastAsia="cs-CZ"/>
        </w:rPr>
        <w:t xml:space="preserve">Vývoj počtu zaměstnaných a nezaměstnaných osob za 10 let od roku 2011 prošel několika fázemi. Na začátku sledovaného období byl počet zaměstnaných na hodnotě 282 tis. Mezi lety 2013 až 2018 docházelo k jeho růstu až na hodnotu 312 tis., v roce 2019 došlo k mírnému poklesu o 5 tis. osob, v roce 2020 pak následoval výraznější pokles o 11 tis., v roce 2021 počet zaměstnaných opět mírně vzrostl na hodnotu 297 tis. </w:t>
      </w:r>
    </w:p>
    <w:p w:rsidR="00AF4350" w:rsidRPr="0039748C" w:rsidRDefault="00AF4350" w:rsidP="00A34764">
      <w:pPr>
        <w:rPr>
          <w:lang w:eastAsia="cs-CZ"/>
        </w:rPr>
      </w:pPr>
      <w:r w:rsidRPr="0039748C">
        <w:rPr>
          <w:lang w:eastAsia="cs-CZ"/>
        </w:rPr>
        <w:t>Počet nezaměstnaných mezi lety 2011 až 2013 mírně vzrostl z původních 23 tis. na 28 tis., mezi lety 2015</w:t>
      </w:r>
      <w:r w:rsidRPr="0039748C">
        <w:t>–</w:t>
      </w:r>
      <w:r w:rsidRPr="0039748C">
        <w:rPr>
          <w:lang w:eastAsia="cs-CZ"/>
        </w:rPr>
        <w:t>2017 nastal prudký pokles na hodnotu 12 tis., v následujících letech pokles nezaměstnaných zmírnil své tempo, klesal však až do roku 2020 na 8 tis., v roce 2021 byl zaznamenán jeho mírný nárůst o 1 tis. osob, v roce 2022 následoval pokles zpět na hodnotu 8 tis. osob.</w:t>
      </w:r>
    </w:p>
    <w:p w:rsidR="00AF4350" w:rsidRPr="0039748C" w:rsidRDefault="00AF4350" w:rsidP="00694609">
      <w:pPr>
        <w:pStyle w:val="popistabulkySPRSS2024"/>
      </w:pPr>
      <w:bookmarkStart w:id="64" w:name="_Toc117607030"/>
      <w:r w:rsidRPr="0039748C">
        <w:t xml:space="preserve">Graf </w:t>
      </w:r>
      <w:r w:rsidR="00412C70">
        <w:fldChar w:fldCharType="begin"/>
      </w:r>
      <w:r w:rsidR="00412C70">
        <w:instrText xml:space="preserve"> SEQ Graf \* ARABIC </w:instrText>
      </w:r>
      <w:r w:rsidR="00412C70">
        <w:fldChar w:fldCharType="separate"/>
      </w:r>
      <w:r w:rsidR="003A12AF">
        <w:rPr>
          <w:noProof/>
        </w:rPr>
        <w:t>4</w:t>
      </w:r>
      <w:r w:rsidR="00412C70">
        <w:rPr>
          <w:noProof/>
        </w:rPr>
        <w:fldChar w:fldCharType="end"/>
      </w:r>
      <w:r>
        <w:rPr>
          <w:noProof/>
        </w:rPr>
        <w:t>:</w:t>
      </w:r>
      <w:r w:rsidRPr="0039748C">
        <w:t xml:space="preserve"> Vývoj počtu zaměstnaných a nezaměstnaných mezi lety 2012 a 2022 v OK</w:t>
      </w:r>
      <w:bookmarkEnd w:id="64"/>
    </w:p>
    <w:p w:rsidR="00AF4350" w:rsidRPr="0039748C" w:rsidRDefault="00AF4350" w:rsidP="00694609">
      <w:pPr>
        <w:spacing w:before="0"/>
        <w:rPr>
          <w:lang w:eastAsia="cs-CZ"/>
        </w:rPr>
      </w:pPr>
      <w:r w:rsidRPr="0039748C">
        <w:rPr>
          <w:noProof/>
          <w:lang w:eastAsia="cs-CZ"/>
        </w:rPr>
        <w:drawing>
          <wp:inline distT="0" distB="0" distL="0" distR="0" wp14:anchorId="209417F6" wp14:editId="6C67ED57">
            <wp:extent cx="5773420" cy="1920240"/>
            <wp:effectExtent l="0" t="0" r="0" b="381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420" cy="1920240"/>
                    </a:xfrm>
                    <a:prstGeom prst="rect">
                      <a:avLst/>
                    </a:prstGeom>
                    <a:noFill/>
                  </pic:spPr>
                </pic:pic>
              </a:graphicData>
            </a:graphic>
          </wp:inline>
        </w:drawing>
      </w:r>
    </w:p>
    <w:p w:rsidR="00AF4350" w:rsidRPr="0039748C" w:rsidRDefault="00AF4350" w:rsidP="00694609">
      <w:pPr>
        <w:pStyle w:val="Zdrojobjektu"/>
      </w:pPr>
      <w:r w:rsidRPr="0039748C">
        <w:t>Zdroj: ČSÚ, Výběrové šetření pracovních sil (2022), zpracování ACCENDO (2022)</w:t>
      </w:r>
    </w:p>
    <w:p w:rsidR="00AF4350" w:rsidRPr="0039748C" w:rsidRDefault="00AF4350" w:rsidP="00A34764">
      <w:pPr>
        <w:rPr>
          <w:lang w:eastAsia="cs-CZ"/>
        </w:rPr>
      </w:pPr>
    </w:p>
    <w:p w:rsidR="00AF4350" w:rsidRPr="0039748C" w:rsidRDefault="00AF4350" w:rsidP="00A34764">
      <w:pPr>
        <w:rPr>
          <w:lang w:eastAsia="cs-CZ"/>
        </w:rPr>
      </w:pPr>
      <w:r w:rsidRPr="0039748C">
        <w:rPr>
          <w:lang w:eastAsia="cs-CZ"/>
        </w:rPr>
        <w:t>V roce 2021 byl podíl ekonomicky aktivních</w:t>
      </w:r>
      <w:r w:rsidRPr="0039748C">
        <w:rPr>
          <w:vertAlign w:val="superscript"/>
          <w:lang w:eastAsia="cs-CZ"/>
        </w:rPr>
        <w:footnoteReference w:id="2"/>
      </w:r>
      <w:r w:rsidRPr="0039748C">
        <w:rPr>
          <w:lang w:eastAsia="cs-CZ"/>
        </w:rPr>
        <w:t xml:space="preserve"> obyvatel v OK ve věku 15–64 let 72 %, což představuje 284 tis. osob, u mužů byl tento podíl 78 %, u žen pak 64 %. Ve věkové skupině 15–19 let bylo ekonomicky aktivních 3 % mužů a 2 % žen, což představuje celkem 741 osob, ve věkové skupině 20–24 let bylo zaměstnáno 57 % mužů a 32 % žen, dohromady v této věkové skupině pracovalo celkem 12,8 tis. osob. Ve věkové skupině 25–29 let pracovalo již 86 % mužů (15,4 tis.), u žen bylo toto procento nižší (66 % / 11,3 tis.), což je způsobeno především odchodem na rodičovskou dovolenou. Ještě výraznější byl rozdíl mezi pohlavími ve věkové kohortě 30–34 let, kdy procento ekonomicky aktivních mužů bylo na hodnotě 94 % (19,7 tis.), zatímco ženy byly ekonomicky aktivní z 56 % (11 tis.). Ve starších věkových kohortách se podíl ekonomicky aktivních přibližoval podílu ekonomicky aktivních mužů. V nejstarší sledované věkové skupině 60–64 let pak výrazně klesl podíl ekonomicky aktivního obyvatelstva, u mužů činil 54 % (10 tis.), u žen pak 29 % (5,8 tis.). </w:t>
      </w:r>
    </w:p>
    <w:p w:rsidR="00AF4350" w:rsidRPr="0039748C" w:rsidRDefault="00AF4350" w:rsidP="00694609">
      <w:pPr>
        <w:pStyle w:val="popistabulkySPRSS2024"/>
      </w:pPr>
      <w:bookmarkStart w:id="65" w:name="_Toc117607031"/>
      <w:r w:rsidRPr="0039748C">
        <w:lastRenderedPageBreak/>
        <w:t xml:space="preserve">Graf </w:t>
      </w:r>
      <w:r w:rsidR="00412C70">
        <w:fldChar w:fldCharType="begin"/>
      </w:r>
      <w:r w:rsidR="00412C70">
        <w:instrText xml:space="preserve"> SEQ Graf \* ARA</w:instrText>
      </w:r>
      <w:r w:rsidR="00412C70">
        <w:instrText xml:space="preserve">BIC </w:instrText>
      </w:r>
      <w:r w:rsidR="00412C70">
        <w:fldChar w:fldCharType="separate"/>
      </w:r>
      <w:r w:rsidR="003A12AF">
        <w:rPr>
          <w:noProof/>
        </w:rPr>
        <w:t>5</w:t>
      </w:r>
      <w:r w:rsidR="00412C70">
        <w:rPr>
          <w:noProof/>
        </w:rPr>
        <w:fldChar w:fldCharType="end"/>
      </w:r>
      <w:r>
        <w:rPr>
          <w:noProof/>
        </w:rPr>
        <w:t>:</w:t>
      </w:r>
      <w:r w:rsidRPr="0039748C">
        <w:t xml:space="preserve"> Ekonomické postavení obyvatelstva podle pětiletých věkových skupin v OK v roce 2021</w:t>
      </w:r>
      <w:bookmarkEnd w:id="65"/>
    </w:p>
    <w:p w:rsidR="00AF4350" w:rsidRPr="0039748C" w:rsidRDefault="00CB6415" w:rsidP="00694609">
      <w:pPr>
        <w:spacing w:before="0"/>
        <w:rPr>
          <w:lang w:eastAsia="cs-CZ"/>
        </w:rPr>
      </w:pPr>
      <w:r>
        <w:rPr>
          <w:noProof/>
          <w:lang w:eastAsia="cs-CZ"/>
        </w:rPr>
        <w:drawing>
          <wp:inline distT="0" distB="0" distL="0" distR="0" wp14:anchorId="2FED718D" wp14:editId="7C7403D3">
            <wp:extent cx="5956300" cy="3883660"/>
            <wp:effectExtent l="0" t="0" r="635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300" cy="3883660"/>
                    </a:xfrm>
                    <a:prstGeom prst="rect">
                      <a:avLst/>
                    </a:prstGeom>
                    <a:noFill/>
                  </pic:spPr>
                </pic:pic>
              </a:graphicData>
            </a:graphic>
          </wp:inline>
        </w:drawing>
      </w:r>
    </w:p>
    <w:p w:rsidR="00AF4350" w:rsidRPr="0039748C" w:rsidRDefault="00AF4350" w:rsidP="00694609">
      <w:pPr>
        <w:pStyle w:val="Zdrojobjektu"/>
      </w:pPr>
      <w:r w:rsidRPr="0039748C">
        <w:t>Zdroj: ČSÚ, Výběrové šetření pracovních sil (2022), zpracování ACCENDO (2022)</w:t>
      </w:r>
    </w:p>
    <w:p w:rsidR="00AF4350" w:rsidRPr="0039748C" w:rsidRDefault="00AF4350" w:rsidP="00A34764">
      <w:pPr>
        <w:rPr>
          <w:lang w:eastAsia="cs-CZ"/>
        </w:rPr>
      </w:pPr>
    </w:p>
    <w:p w:rsidR="00AF4350" w:rsidRPr="0039748C" w:rsidRDefault="00AF4350" w:rsidP="00A34764">
      <w:pPr>
        <w:rPr>
          <w:lang w:eastAsia="cs-CZ"/>
        </w:rPr>
      </w:pPr>
      <w:r w:rsidRPr="0039748C">
        <w:rPr>
          <w:lang w:eastAsia="cs-CZ"/>
        </w:rPr>
        <w:t>Podíl nezaměstnaných mezi lety 2018 a 2019 pokračoval v sestupném trendu z předchozích let, na krajské úrovni byl 2,7 % v roce 2019, v roce 2020 se vlivem pandemie COVID-19 mírně zvýšil na hodnotu 3,5 %, v roce 2021 pak zůstal zhruba na stejné úrovni (3,6 %). Krajské hodnoty pak byly na úrovni republikových. Největší nezaměstnanost je dlouhodobě v okrese Jeseník, následují okresy Přerov a Šumperk. Naopak nejnižší je v okresech Prostějov a Olomouc.</w:t>
      </w:r>
    </w:p>
    <w:p w:rsidR="00AF4350" w:rsidRPr="0039748C" w:rsidRDefault="00AF4350" w:rsidP="00694609">
      <w:pPr>
        <w:pStyle w:val="popistabulkySPRSS2024"/>
      </w:pPr>
      <w:bookmarkStart w:id="66" w:name="_Toc117607032"/>
      <w:r w:rsidRPr="0039748C">
        <w:t xml:space="preserve">Graf </w:t>
      </w:r>
      <w:r w:rsidR="00412C70">
        <w:fldChar w:fldCharType="begin"/>
      </w:r>
      <w:r w:rsidR="00412C70">
        <w:instrText xml:space="preserve"> SEQ Graf \* ARABIC </w:instrText>
      </w:r>
      <w:r w:rsidR="00412C70">
        <w:fldChar w:fldCharType="separate"/>
      </w:r>
      <w:r w:rsidR="003A12AF">
        <w:rPr>
          <w:noProof/>
        </w:rPr>
        <w:t>6</w:t>
      </w:r>
      <w:r w:rsidR="00412C70">
        <w:rPr>
          <w:noProof/>
        </w:rPr>
        <w:fldChar w:fldCharType="end"/>
      </w:r>
      <w:r>
        <w:rPr>
          <w:noProof/>
        </w:rPr>
        <w:t>:</w:t>
      </w:r>
      <w:r w:rsidRPr="0039748C">
        <w:t xml:space="preserve"> Podíl nezaměstnaných osob v okresech OK – roční průměry</w:t>
      </w:r>
      <w:bookmarkEnd w:id="66"/>
    </w:p>
    <w:p w:rsidR="00AF4350" w:rsidRPr="0039748C" w:rsidRDefault="00AF4350" w:rsidP="00694609">
      <w:pPr>
        <w:spacing w:before="0"/>
        <w:rPr>
          <w:lang w:eastAsia="cs-CZ"/>
        </w:rPr>
      </w:pPr>
      <w:r w:rsidRPr="0039748C">
        <w:rPr>
          <w:noProof/>
          <w:lang w:eastAsia="cs-CZ"/>
        </w:rPr>
        <w:drawing>
          <wp:inline distT="0" distB="0" distL="0" distR="0" wp14:anchorId="69799A9D" wp14:editId="792D6959">
            <wp:extent cx="5767070" cy="2536190"/>
            <wp:effectExtent l="0" t="0" r="508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070" cy="2536190"/>
                    </a:xfrm>
                    <a:prstGeom prst="rect">
                      <a:avLst/>
                    </a:prstGeom>
                    <a:noFill/>
                  </pic:spPr>
                </pic:pic>
              </a:graphicData>
            </a:graphic>
          </wp:inline>
        </w:drawing>
      </w:r>
    </w:p>
    <w:p w:rsidR="00AF4350" w:rsidRPr="0039748C" w:rsidRDefault="00AF4350" w:rsidP="00694609">
      <w:pPr>
        <w:pStyle w:val="Zdrojobjektu"/>
      </w:pPr>
      <w:r w:rsidRPr="0039748C">
        <w:t>Zdroj: Úřad práce ČR (2022), zpracování ACCENDO (2022)</w:t>
      </w:r>
    </w:p>
    <w:p w:rsidR="00AF4350" w:rsidRPr="0039748C" w:rsidRDefault="00AF4350" w:rsidP="00694609">
      <w:pPr>
        <w:pStyle w:val="Tun"/>
      </w:pPr>
      <w:r w:rsidRPr="0039748C">
        <w:lastRenderedPageBreak/>
        <w:t>Ekonomická situace obyvatel</w:t>
      </w:r>
    </w:p>
    <w:p w:rsidR="00AF4350" w:rsidRPr="0039748C" w:rsidRDefault="00AF4350" w:rsidP="00A34764">
      <w:r w:rsidRPr="0039748C">
        <w:t>V prvním čtvrtletí roku 2022 byl průměrný plat v OK 33 720 Kč, což je o 1 898 Kč méně, než celorepublikový průměr. Z hlediska srovnání mezi jednotlivými kraji mají zaměstnanci v OK čtvrtou nejnižší průměrnou mzdu.</w:t>
      </w:r>
    </w:p>
    <w:p w:rsidR="00AF4350" w:rsidRPr="0039748C" w:rsidRDefault="00AF4350" w:rsidP="00694609">
      <w:pPr>
        <w:pStyle w:val="popistabulkySPRSS2024"/>
      </w:pPr>
      <w:bookmarkStart w:id="67" w:name="_Toc117607033"/>
      <w:r w:rsidRPr="0039748C">
        <w:t xml:space="preserve">Graf </w:t>
      </w:r>
      <w:r w:rsidR="00412C70">
        <w:fldChar w:fldCharType="begin"/>
      </w:r>
      <w:r w:rsidR="00412C70">
        <w:instrText xml:space="preserve"> SEQ G</w:instrText>
      </w:r>
      <w:r w:rsidR="00412C70">
        <w:instrText xml:space="preserve">raf \* ARABIC </w:instrText>
      </w:r>
      <w:r w:rsidR="00412C70">
        <w:fldChar w:fldCharType="separate"/>
      </w:r>
      <w:r w:rsidR="003A12AF">
        <w:rPr>
          <w:noProof/>
        </w:rPr>
        <w:t>7</w:t>
      </w:r>
      <w:r w:rsidR="00412C70">
        <w:rPr>
          <w:noProof/>
        </w:rPr>
        <w:fldChar w:fldCharType="end"/>
      </w:r>
      <w:r>
        <w:rPr>
          <w:noProof/>
        </w:rPr>
        <w:t>:</w:t>
      </w:r>
      <w:r w:rsidRPr="0039748C">
        <w:t xml:space="preserve"> Průměrné hrubé měsíční mzdy podle krajů v I. čtvrtletí roku 2022 v Kč</w:t>
      </w:r>
      <w:bookmarkEnd w:id="67"/>
    </w:p>
    <w:p w:rsidR="00AF4350" w:rsidRPr="0039748C" w:rsidRDefault="00AF4350" w:rsidP="00694609">
      <w:pPr>
        <w:spacing w:before="0"/>
        <w:rPr>
          <w:lang w:eastAsia="cs-CZ"/>
        </w:rPr>
      </w:pPr>
      <w:r w:rsidRPr="0039748C">
        <w:rPr>
          <w:noProof/>
          <w:lang w:eastAsia="cs-CZ"/>
        </w:rPr>
        <w:drawing>
          <wp:inline distT="0" distB="0" distL="0" distR="0" wp14:anchorId="5E2F863F" wp14:editId="603E1619">
            <wp:extent cx="5773420" cy="3103245"/>
            <wp:effectExtent l="0" t="0" r="0" b="190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3103245"/>
                    </a:xfrm>
                    <a:prstGeom prst="rect">
                      <a:avLst/>
                    </a:prstGeom>
                    <a:noFill/>
                  </pic:spPr>
                </pic:pic>
              </a:graphicData>
            </a:graphic>
          </wp:inline>
        </w:drawing>
      </w:r>
    </w:p>
    <w:p w:rsidR="00AF4350" w:rsidRPr="0039748C" w:rsidRDefault="00AF4350" w:rsidP="00694609">
      <w:pPr>
        <w:pStyle w:val="Zdrojobjektu"/>
      </w:pPr>
      <w:r w:rsidRPr="0039748C">
        <w:t>Zdroj: ČSÚ (2022), zpracování ACCENDO (2022)</w:t>
      </w:r>
    </w:p>
    <w:p w:rsidR="00AF4350" w:rsidRPr="0039748C" w:rsidRDefault="00AF4350" w:rsidP="00A34764">
      <w:pPr>
        <w:rPr>
          <w:lang w:eastAsia="cs-CZ"/>
        </w:rPr>
      </w:pPr>
      <w:r w:rsidRPr="0039748C">
        <w:rPr>
          <w:lang w:eastAsia="cs-CZ"/>
        </w:rPr>
        <w:t>Od roku 2018 je viditelné postupné zvyšování mezd. Zatímco průměrná hrubá mzda v roce 2018 činila 29 388 Kč a medián hrubé mzdy byl na hodnotě 26 388 Kč, v roce 2018 činila průměrná hrubá mzda 35 178 Kč a její medián 31 189 Kč.</w:t>
      </w:r>
    </w:p>
    <w:p w:rsidR="00AF4350" w:rsidRPr="0039748C" w:rsidRDefault="00AF4350" w:rsidP="00A34764">
      <w:pPr>
        <w:rPr>
          <w:lang w:eastAsia="cs-CZ"/>
        </w:rPr>
      </w:pPr>
      <w:r w:rsidRPr="0039748C">
        <w:rPr>
          <w:lang w:eastAsia="cs-CZ"/>
        </w:rPr>
        <w:t xml:space="preserve">Vývoj mezd je níže znázorněn pomocí </w:t>
      </w:r>
      <w:proofErr w:type="spellStart"/>
      <w:r w:rsidRPr="0039748C">
        <w:rPr>
          <w:lang w:eastAsia="cs-CZ"/>
        </w:rPr>
        <w:t>boxplotů</w:t>
      </w:r>
      <w:proofErr w:type="spellEnd"/>
      <w:r w:rsidRPr="0039748C">
        <w:rPr>
          <w:lang w:eastAsia="cs-CZ"/>
        </w:rPr>
        <w:t xml:space="preserve"> (krabicových grafů), kde je zároveň modrými obdélníky </w:t>
      </w:r>
      <w:r>
        <w:rPr>
          <w:lang w:eastAsia="cs-CZ"/>
        </w:rPr>
        <w:t xml:space="preserve">znázorněn </w:t>
      </w:r>
      <w:r w:rsidRPr="0039748C">
        <w:rPr>
          <w:lang w:eastAsia="cs-CZ"/>
        </w:rPr>
        <w:t xml:space="preserve">1. a 3. </w:t>
      </w:r>
      <w:proofErr w:type="spellStart"/>
      <w:r w:rsidRPr="0039748C">
        <w:rPr>
          <w:lang w:eastAsia="cs-CZ"/>
        </w:rPr>
        <w:t>kvartil</w:t>
      </w:r>
      <w:proofErr w:type="spellEnd"/>
      <w:r w:rsidRPr="0039748C">
        <w:rPr>
          <w:lang w:eastAsia="cs-CZ"/>
        </w:rPr>
        <w:t>. V tomto rozmezí se nacházelo 50 % hrubých měsíčních mezd, v rozmezí vyznačeném černými liniemi bylo 80 % hrubých měsíčních mezd, tedy pouze 10 % jich bylo vyšších a 10 % nižších.</w:t>
      </w:r>
    </w:p>
    <w:p w:rsidR="00AF4350" w:rsidRPr="0039748C" w:rsidRDefault="00AF4350" w:rsidP="00694609">
      <w:pPr>
        <w:pStyle w:val="popistabulkySPRSS2024"/>
      </w:pPr>
      <w:bookmarkStart w:id="68" w:name="_Toc117607034"/>
      <w:r w:rsidRPr="0039748C">
        <w:t xml:space="preserve">Graf </w:t>
      </w:r>
      <w:r w:rsidR="00412C70">
        <w:fldChar w:fldCharType="begin"/>
      </w:r>
      <w:r w:rsidR="00412C70">
        <w:instrText xml:space="preserve"> SEQ Graf \* ARABIC </w:instrText>
      </w:r>
      <w:r w:rsidR="00412C70">
        <w:fldChar w:fldCharType="separate"/>
      </w:r>
      <w:r w:rsidR="003A12AF">
        <w:rPr>
          <w:noProof/>
        </w:rPr>
        <w:t>8</w:t>
      </w:r>
      <w:r w:rsidR="00412C70">
        <w:rPr>
          <w:noProof/>
        </w:rPr>
        <w:fldChar w:fldCharType="end"/>
      </w:r>
      <w:r>
        <w:rPr>
          <w:noProof/>
        </w:rPr>
        <w:t>:</w:t>
      </w:r>
      <w:r w:rsidRPr="0039748C">
        <w:t xml:space="preserve"> Vývoj mezd v OK v letech 2018–2021</w:t>
      </w:r>
      <w:bookmarkEnd w:id="68"/>
    </w:p>
    <w:p w:rsidR="00AF4350" w:rsidRPr="0039748C" w:rsidRDefault="00AF4350" w:rsidP="00694609">
      <w:pPr>
        <w:spacing w:before="0"/>
      </w:pPr>
      <w:r w:rsidRPr="0039748C">
        <w:rPr>
          <w:noProof/>
          <w:lang w:eastAsia="cs-CZ"/>
        </w:rPr>
        <w:drawing>
          <wp:inline distT="0" distB="0" distL="0" distR="0" wp14:anchorId="48E2968C" wp14:editId="37B64E0E">
            <wp:extent cx="5773420" cy="2298700"/>
            <wp:effectExtent l="0" t="0" r="0" b="635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3420" cy="2298700"/>
                    </a:xfrm>
                    <a:prstGeom prst="rect">
                      <a:avLst/>
                    </a:prstGeom>
                    <a:noFill/>
                  </pic:spPr>
                </pic:pic>
              </a:graphicData>
            </a:graphic>
          </wp:inline>
        </w:drawing>
      </w:r>
    </w:p>
    <w:p w:rsidR="00AF4350" w:rsidRPr="0039748C" w:rsidRDefault="00AF4350" w:rsidP="00694609">
      <w:pPr>
        <w:pStyle w:val="Zdrojobjektu"/>
      </w:pPr>
      <w:r w:rsidRPr="0039748C">
        <w:t>Zdroj: MPSV, Regionální statistika ceny práce (2022), zpracování ACCENDO (2022)</w:t>
      </w:r>
    </w:p>
    <w:p w:rsidR="00AF4350" w:rsidRDefault="00AF4350" w:rsidP="007A1AB1">
      <w:pPr>
        <w:pStyle w:val="Zdrojobjektu"/>
      </w:pPr>
      <w:r w:rsidRPr="0039748C">
        <w:t xml:space="preserve">Pozn.: V grafu jsou označeny pro jednotlivé roky tyto hodnoty (odspodu): 1. decil, 1. </w:t>
      </w:r>
      <w:proofErr w:type="spellStart"/>
      <w:r w:rsidRPr="0039748C">
        <w:t>kvartil</w:t>
      </w:r>
      <w:proofErr w:type="spellEnd"/>
      <w:r>
        <w:t xml:space="preserve">, medián, 3. </w:t>
      </w:r>
      <w:proofErr w:type="spellStart"/>
      <w:r>
        <w:t>kvartil</w:t>
      </w:r>
      <w:proofErr w:type="spellEnd"/>
      <w:r>
        <w:t>, 9. decil.</w:t>
      </w:r>
    </w:p>
    <w:p w:rsidR="00AF4350" w:rsidRDefault="00AF4350" w:rsidP="007A1AB1">
      <w:pPr>
        <w:pStyle w:val="Zdrojobjektu"/>
      </w:pPr>
      <w:r w:rsidRPr="0039748C">
        <w:t>Křížek značí průměr.</w:t>
      </w:r>
    </w:p>
    <w:p w:rsidR="00AF4350" w:rsidRPr="0039748C" w:rsidRDefault="00AF4350" w:rsidP="007A1AB1">
      <w:pPr>
        <w:pStyle w:val="Tun"/>
      </w:pPr>
      <w:r w:rsidRPr="0039748C">
        <w:lastRenderedPageBreak/>
        <w:t>Důchody</w:t>
      </w:r>
    </w:p>
    <w:p w:rsidR="00AF4350" w:rsidRPr="0039748C" w:rsidRDefault="00AF4350" w:rsidP="00A34764">
      <w:r w:rsidRPr="0039748C">
        <w:t xml:space="preserve">Průměrná výše starobních důchodů v OK, která činí 15 000 Kč, je v mezikrajském srovnání druhá nejnižší. Průměrná výše důchodu v ČR je pak vyšší o 425 Kč. Průměrná výše důchodů se každoročně zvyšuje zhruba o 1 000 Kč, v roce 2018 byla v OK 12 054 Kč. </w:t>
      </w:r>
    </w:p>
    <w:p w:rsidR="00AF4350" w:rsidRPr="0039748C" w:rsidRDefault="00AF4350" w:rsidP="007A1AB1">
      <w:pPr>
        <w:pStyle w:val="popistabulkySPRSS2024"/>
      </w:pPr>
      <w:bookmarkStart w:id="69" w:name="_Toc117607035"/>
      <w:r w:rsidRPr="0039748C">
        <w:t xml:space="preserve">Graf </w:t>
      </w:r>
      <w:r w:rsidR="00412C70">
        <w:fldChar w:fldCharType="begin"/>
      </w:r>
      <w:r w:rsidR="00412C70">
        <w:instrText xml:space="preserve"> SEQ Graf \* ARABIC </w:instrText>
      </w:r>
      <w:r w:rsidR="00412C70">
        <w:fldChar w:fldCharType="separate"/>
      </w:r>
      <w:r w:rsidR="003A12AF">
        <w:rPr>
          <w:noProof/>
        </w:rPr>
        <w:t>9</w:t>
      </w:r>
      <w:r w:rsidR="00412C70">
        <w:rPr>
          <w:noProof/>
        </w:rPr>
        <w:fldChar w:fldCharType="end"/>
      </w:r>
      <w:r w:rsidRPr="0039748C">
        <w:t xml:space="preserve">: </w:t>
      </w:r>
      <w:r w:rsidRPr="0039748C">
        <w:rPr>
          <w:shd w:val="clear" w:color="auto" w:fill="FFFFFF"/>
        </w:rPr>
        <w:t>Rozložení příjemců starobního důchodu (sólo) podle průměrné měsíční výše</w:t>
      </w:r>
      <w:bookmarkEnd w:id="69"/>
    </w:p>
    <w:p w:rsidR="00AF4350" w:rsidRPr="007A1AB1" w:rsidRDefault="00AF4350" w:rsidP="007A1AB1">
      <w:pPr>
        <w:spacing w:before="0"/>
        <w:rPr>
          <w:rStyle w:val="ZdrojobjektuChar"/>
        </w:rPr>
      </w:pPr>
      <w:r w:rsidRPr="0039748C">
        <w:rPr>
          <w:noProof/>
          <w:lang w:eastAsia="cs-CZ"/>
        </w:rPr>
        <w:drawing>
          <wp:inline distT="0" distB="0" distL="0" distR="0" wp14:anchorId="67DD36B7" wp14:editId="2C88FD32">
            <wp:extent cx="5773420" cy="2792095"/>
            <wp:effectExtent l="0" t="0" r="0" b="825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3420" cy="2792095"/>
                    </a:xfrm>
                    <a:prstGeom prst="rect">
                      <a:avLst/>
                    </a:prstGeom>
                    <a:noFill/>
                  </pic:spPr>
                </pic:pic>
              </a:graphicData>
            </a:graphic>
          </wp:inline>
        </w:drawing>
      </w:r>
      <w:r w:rsidRPr="007A1AB1">
        <w:rPr>
          <w:rStyle w:val="ZdrojobjektuChar"/>
        </w:rPr>
        <w:t>Zdroj: Česká správa sociálního zabezpečení (2022), zpracování ACCENDO (2022)</w:t>
      </w:r>
    </w:p>
    <w:p w:rsidR="00AF4350" w:rsidRPr="0039748C" w:rsidRDefault="00AF4350" w:rsidP="00A34764"/>
    <w:p w:rsidR="00AF4350" w:rsidRPr="0039748C" w:rsidRDefault="00AF4350" w:rsidP="00A34764">
      <w:r w:rsidRPr="0039748C">
        <w:t>Tabulka níže znázorňuje vývoj průměrné výše starobních důchodů v okresech OK. Nejvyšší důchody jsou v okrese Olomouc (15 238 Kč), následuje Přerov (15 003), Prostějov (14 905) a Šumperk (14 822 Kč), nejnižší důchody jsou pak v okrese Jeseník (14 473). Největší rozdíl ve výši důchodů mezi muži a ženami je v SO ORP Přerov (2 845 Kč), nejmenší naopak v okrese Olomouc (2 520 Kč).</w:t>
      </w:r>
    </w:p>
    <w:p w:rsidR="00AF4350" w:rsidRPr="0039748C" w:rsidRDefault="00AF4350" w:rsidP="007A1AB1">
      <w:pPr>
        <w:pStyle w:val="popistabulkySPRSS2024"/>
      </w:pPr>
      <w:bookmarkStart w:id="70" w:name="_Toc117607067"/>
      <w:r w:rsidRPr="0039748C">
        <w:t xml:space="preserve">Tabulka </w:t>
      </w:r>
      <w:r w:rsidR="00412C70">
        <w:fldChar w:fldCharType="begin"/>
      </w:r>
      <w:r w:rsidR="00412C70">
        <w:instrText xml:space="preserve"> SEQ Tabulka \* ARABIC </w:instrText>
      </w:r>
      <w:r w:rsidR="00412C70">
        <w:fldChar w:fldCharType="separate"/>
      </w:r>
      <w:r w:rsidR="003A12AF">
        <w:rPr>
          <w:noProof/>
        </w:rPr>
        <w:t>7</w:t>
      </w:r>
      <w:r w:rsidR="00412C70">
        <w:rPr>
          <w:noProof/>
        </w:rPr>
        <w:fldChar w:fldCharType="end"/>
      </w:r>
      <w:r w:rsidRPr="0039748C">
        <w:t>:</w:t>
      </w:r>
      <w:r w:rsidRPr="0039748C">
        <w:rPr>
          <w:shd w:val="clear" w:color="auto" w:fill="FFFFFF"/>
        </w:rPr>
        <w:t xml:space="preserve"> Rozložení příjemců starobního důchodu (sólo) podle průměrné měsíční výše</w:t>
      </w:r>
      <w:bookmarkEnd w:id="70"/>
    </w:p>
    <w:tbl>
      <w:tblPr>
        <w:tblW w:w="5000" w:type="pct"/>
        <w:tblLayout w:type="fixed"/>
        <w:tblCellMar>
          <w:left w:w="70" w:type="dxa"/>
          <w:right w:w="70" w:type="dxa"/>
        </w:tblCellMar>
        <w:tblLook w:val="04A0" w:firstRow="1" w:lastRow="0" w:firstColumn="1" w:lastColumn="0" w:noHBand="0" w:noVBand="1"/>
      </w:tblPr>
      <w:tblGrid>
        <w:gridCol w:w="1837"/>
        <w:gridCol w:w="902"/>
        <w:gridCol w:w="903"/>
        <w:gridCol w:w="903"/>
        <w:gridCol w:w="904"/>
        <w:gridCol w:w="903"/>
        <w:gridCol w:w="903"/>
        <w:gridCol w:w="903"/>
        <w:gridCol w:w="904"/>
      </w:tblGrid>
      <w:tr w:rsidR="007A1AB1" w:rsidRPr="007A1AB1" w:rsidTr="00DD1B74">
        <w:trPr>
          <w:trHeight w:val="288"/>
        </w:trPr>
        <w:tc>
          <w:tcPr>
            <w:tcW w:w="1014"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Okres</w:t>
            </w:r>
          </w:p>
        </w:tc>
        <w:tc>
          <w:tcPr>
            <w:tcW w:w="1993" w:type="pct"/>
            <w:gridSpan w:val="4"/>
            <w:tcBorders>
              <w:top w:val="single" w:sz="4" w:space="0" w:color="auto"/>
              <w:left w:val="nil"/>
              <w:bottom w:val="single" w:sz="4" w:space="0" w:color="auto"/>
              <w:right w:val="single" w:sz="4" w:space="0" w:color="000000"/>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Průměrná měsíční výše starobních důchodů (v Kč)</w:t>
            </w:r>
          </w:p>
        </w:tc>
        <w:tc>
          <w:tcPr>
            <w:tcW w:w="1993" w:type="pct"/>
            <w:gridSpan w:val="4"/>
            <w:tcBorders>
              <w:top w:val="single" w:sz="4" w:space="0" w:color="auto"/>
              <w:left w:val="nil"/>
              <w:bottom w:val="single" w:sz="4" w:space="0" w:color="auto"/>
              <w:right w:val="single" w:sz="4" w:space="0" w:color="000000"/>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Rozdíl v průměrném starobním důchodu mezi muži a ženami (v Kč)</w:t>
            </w:r>
          </w:p>
        </w:tc>
      </w:tr>
      <w:tr w:rsidR="007A1AB1" w:rsidRPr="007A1AB1" w:rsidTr="00DD1B74">
        <w:trPr>
          <w:trHeight w:val="288"/>
        </w:trPr>
        <w:tc>
          <w:tcPr>
            <w:tcW w:w="1014" w:type="pct"/>
            <w:vMerge/>
            <w:tcBorders>
              <w:top w:val="single" w:sz="4" w:space="0" w:color="auto"/>
              <w:left w:val="single" w:sz="4" w:space="0" w:color="auto"/>
              <w:bottom w:val="single" w:sz="4" w:space="0" w:color="000000"/>
              <w:right w:val="single" w:sz="4" w:space="0" w:color="auto"/>
            </w:tcBorders>
            <w:vAlign w:val="center"/>
            <w:hideMark/>
          </w:tcPr>
          <w:p w:rsidR="007A1AB1" w:rsidRPr="007A1AB1" w:rsidRDefault="007A1AB1" w:rsidP="007A1AB1">
            <w:pPr>
              <w:keepNext/>
              <w:spacing w:before="0"/>
              <w:jc w:val="left"/>
              <w:rPr>
                <w:rFonts w:ascii="Calibri" w:hAnsi="Calibri" w:cs="Calibri"/>
                <w:b/>
                <w:bCs/>
                <w:color w:val="000000"/>
                <w:sz w:val="18"/>
                <w:szCs w:val="18"/>
                <w:lang w:eastAsia="cs-CZ"/>
              </w:rPr>
            </w:pPr>
          </w:p>
        </w:tc>
        <w:tc>
          <w:tcPr>
            <w:tcW w:w="498"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2018</w:t>
            </w:r>
          </w:p>
        </w:tc>
        <w:tc>
          <w:tcPr>
            <w:tcW w:w="498"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2019</w:t>
            </w:r>
          </w:p>
        </w:tc>
        <w:tc>
          <w:tcPr>
            <w:tcW w:w="498"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2020</w:t>
            </w:r>
          </w:p>
        </w:tc>
        <w:tc>
          <w:tcPr>
            <w:tcW w:w="499"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2021</w:t>
            </w:r>
          </w:p>
        </w:tc>
        <w:tc>
          <w:tcPr>
            <w:tcW w:w="498"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2018</w:t>
            </w:r>
          </w:p>
        </w:tc>
        <w:tc>
          <w:tcPr>
            <w:tcW w:w="498"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2019</w:t>
            </w:r>
          </w:p>
        </w:tc>
        <w:tc>
          <w:tcPr>
            <w:tcW w:w="498"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2020</w:t>
            </w:r>
          </w:p>
        </w:tc>
        <w:tc>
          <w:tcPr>
            <w:tcW w:w="499"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2021</w:t>
            </w:r>
          </w:p>
        </w:tc>
      </w:tr>
      <w:tr w:rsidR="007A1AB1" w:rsidRPr="007A1AB1" w:rsidTr="00DD1B74">
        <w:trPr>
          <w:trHeight w:val="288"/>
        </w:trPr>
        <w:tc>
          <w:tcPr>
            <w:tcW w:w="10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AB1" w:rsidRPr="007A1AB1" w:rsidRDefault="007A1AB1" w:rsidP="007A1AB1">
            <w:pPr>
              <w:keepNext/>
              <w:spacing w:before="0"/>
              <w:jc w:val="left"/>
              <w:rPr>
                <w:rFonts w:ascii="Calibri" w:hAnsi="Calibri" w:cs="Calibri"/>
                <w:color w:val="000000"/>
                <w:sz w:val="18"/>
                <w:szCs w:val="18"/>
                <w:lang w:eastAsia="cs-CZ"/>
              </w:rPr>
            </w:pPr>
            <w:r w:rsidRPr="007A1AB1">
              <w:rPr>
                <w:rFonts w:ascii="Calibri" w:eastAsiaTheme="minorHAnsi" w:hAnsi="Calibri" w:cs="Calibri"/>
                <w:color w:val="000000"/>
                <w:sz w:val="18"/>
                <w:szCs w:val="18"/>
              </w:rPr>
              <w:t>Olomouc</w:t>
            </w:r>
          </w:p>
        </w:tc>
        <w:tc>
          <w:tcPr>
            <w:tcW w:w="498" w:type="pct"/>
            <w:tcBorders>
              <w:top w:val="single" w:sz="4" w:space="0" w:color="auto"/>
              <w:left w:val="single" w:sz="4" w:space="0" w:color="auto"/>
              <w:bottom w:val="single" w:sz="4" w:space="0" w:color="auto"/>
              <w:right w:val="single" w:sz="4" w:space="0" w:color="auto"/>
            </w:tcBorders>
            <w:shd w:val="clear" w:color="000000" w:fill="8DAED8"/>
            <w:noWrap/>
            <w:vAlign w:val="center"/>
            <w:hideMark/>
          </w:tcPr>
          <w:p w:rsidR="007A1AB1" w:rsidRPr="007A1AB1" w:rsidRDefault="007A1AB1" w:rsidP="007A1AB1">
            <w:pPr>
              <w:keepNext/>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12 253</w:t>
            </w:r>
          </w:p>
        </w:tc>
        <w:tc>
          <w:tcPr>
            <w:tcW w:w="498" w:type="pct"/>
            <w:tcBorders>
              <w:top w:val="single" w:sz="4" w:space="0" w:color="auto"/>
              <w:left w:val="single" w:sz="4" w:space="0" w:color="auto"/>
              <w:bottom w:val="single" w:sz="4" w:space="0" w:color="auto"/>
              <w:right w:val="single" w:sz="4" w:space="0" w:color="auto"/>
            </w:tcBorders>
            <w:shd w:val="clear" w:color="000000" w:fill="ECF1F9"/>
            <w:noWrap/>
            <w:vAlign w:val="center"/>
            <w:hideMark/>
          </w:tcPr>
          <w:p w:rsidR="007A1AB1" w:rsidRPr="007A1AB1" w:rsidRDefault="007A1AB1" w:rsidP="007A1AB1">
            <w:pPr>
              <w:keepNext/>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13 304</w:t>
            </w:r>
          </w:p>
        </w:tc>
        <w:tc>
          <w:tcPr>
            <w:tcW w:w="498" w:type="pct"/>
            <w:tcBorders>
              <w:top w:val="single" w:sz="4" w:space="0" w:color="auto"/>
              <w:left w:val="single" w:sz="4" w:space="0" w:color="auto"/>
              <w:bottom w:val="single" w:sz="4" w:space="0" w:color="auto"/>
              <w:right w:val="single" w:sz="4" w:space="0" w:color="auto"/>
            </w:tcBorders>
            <w:shd w:val="clear" w:color="000000" w:fill="FBB7BA"/>
            <w:noWrap/>
            <w:vAlign w:val="center"/>
            <w:hideMark/>
          </w:tcPr>
          <w:p w:rsidR="007A1AB1" w:rsidRPr="007A1AB1" w:rsidRDefault="007A1AB1" w:rsidP="007A1AB1">
            <w:pPr>
              <w:keepNext/>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14 305</w:t>
            </w:r>
          </w:p>
        </w:tc>
        <w:tc>
          <w:tcPr>
            <w:tcW w:w="499"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A1AB1" w:rsidRPr="007A1AB1" w:rsidRDefault="007A1AB1" w:rsidP="007A1AB1">
            <w:pPr>
              <w:keepNext/>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15 238</w:t>
            </w:r>
          </w:p>
        </w:tc>
        <w:tc>
          <w:tcPr>
            <w:tcW w:w="498" w:type="pct"/>
            <w:tcBorders>
              <w:top w:val="single" w:sz="4" w:space="0" w:color="auto"/>
              <w:left w:val="single" w:sz="4" w:space="0" w:color="auto"/>
              <w:bottom w:val="single" w:sz="4" w:space="0" w:color="auto"/>
              <w:right w:val="single" w:sz="4" w:space="0" w:color="auto"/>
            </w:tcBorders>
            <w:shd w:val="clear" w:color="000000" w:fill="5A8AC6"/>
            <w:noWrap/>
            <w:vAlign w:val="center"/>
            <w:hideMark/>
          </w:tcPr>
          <w:p w:rsidR="007A1AB1" w:rsidRPr="007A1AB1" w:rsidRDefault="007A1AB1" w:rsidP="007A1AB1">
            <w:pPr>
              <w:keepNext/>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2 141</w:t>
            </w:r>
          </w:p>
        </w:tc>
        <w:tc>
          <w:tcPr>
            <w:tcW w:w="498" w:type="pct"/>
            <w:tcBorders>
              <w:top w:val="single" w:sz="4" w:space="0" w:color="auto"/>
              <w:left w:val="single" w:sz="4" w:space="0" w:color="auto"/>
              <w:bottom w:val="single" w:sz="4" w:space="0" w:color="auto"/>
              <w:right w:val="single" w:sz="4" w:space="0" w:color="auto"/>
            </w:tcBorders>
            <w:shd w:val="clear" w:color="000000" w:fill="8AABD6"/>
            <w:noWrap/>
            <w:vAlign w:val="center"/>
            <w:hideMark/>
          </w:tcPr>
          <w:p w:rsidR="007A1AB1" w:rsidRPr="007A1AB1" w:rsidRDefault="007A1AB1" w:rsidP="007A1AB1">
            <w:pPr>
              <w:keepNext/>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2 220</w:t>
            </w:r>
          </w:p>
        </w:tc>
        <w:tc>
          <w:tcPr>
            <w:tcW w:w="498" w:type="pct"/>
            <w:tcBorders>
              <w:top w:val="single" w:sz="4" w:space="0" w:color="auto"/>
              <w:left w:val="single" w:sz="4" w:space="0" w:color="auto"/>
              <w:bottom w:val="single" w:sz="4" w:space="0" w:color="auto"/>
              <w:right w:val="single" w:sz="4" w:space="0" w:color="auto"/>
            </w:tcBorders>
            <w:shd w:val="clear" w:color="000000" w:fill="E6ECF7"/>
            <w:noWrap/>
            <w:vAlign w:val="center"/>
            <w:hideMark/>
          </w:tcPr>
          <w:p w:rsidR="007A1AB1" w:rsidRPr="007A1AB1" w:rsidRDefault="007A1AB1" w:rsidP="007A1AB1">
            <w:pPr>
              <w:keepNext/>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2 371</w:t>
            </w:r>
          </w:p>
        </w:tc>
        <w:tc>
          <w:tcPr>
            <w:tcW w:w="499" w:type="pct"/>
            <w:tcBorders>
              <w:top w:val="single" w:sz="4" w:space="0" w:color="auto"/>
              <w:left w:val="single" w:sz="4" w:space="0" w:color="auto"/>
              <w:bottom w:val="single" w:sz="4" w:space="0" w:color="auto"/>
              <w:right w:val="single" w:sz="4" w:space="0" w:color="auto"/>
            </w:tcBorders>
            <w:shd w:val="clear" w:color="000000" w:fill="FBD6D9"/>
            <w:noWrap/>
            <w:vAlign w:val="center"/>
            <w:hideMark/>
          </w:tcPr>
          <w:p w:rsidR="007A1AB1" w:rsidRPr="007A1AB1" w:rsidRDefault="007A1AB1" w:rsidP="007A1AB1">
            <w:pPr>
              <w:keepNext/>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2 520</w:t>
            </w:r>
          </w:p>
        </w:tc>
      </w:tr>
      <w:tr w:rsidR="007A1AB1" w:rsidRPr="007A1AB1" w:rsidTr="00DD1B74">
        <w:trPr>
          <w:trHeight w:val="288"/>
        </w:trPr>
        <w:tc>
          <w:tcPr>
            <w:tcW w:w="1014" w:type="pct"/>
            <w:tcBorders>
              <w:top w:val="nil"/>
              <w:left w:val="single" w:sz="4" w:space="0" w:color="auto"/>
              <w:bottom w:val="single" w:sz="4" w:space="0" w:color="auto"/>
              <w:right w:val="single" w:sz="4" w:space="0" w:color="auto"/>
            </w:tcBorders>
            <w:shd w:val="clear" w:color="auto" w:fill="auto"/>
            <w:noWrap/>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eastAsiaTheme="minorHAnsi" w:hAnsi="Calibri" w:cs="Calibri"/>
                <w:color w:val="000000"/>
                <w:sz w:val="18"/>
                <w:szCs w:val="18"/>
              </w:rPr>
              <w:t>Přerov</w:t>
            </w:r>
          </w:p>
        </w:tc>
        <w:tc>
          <w:tcPr>
            <w:tcW w:w="498" w:type="pct"/>
            <w:tcBorders>
              <w:top w:val="single" w:sz="4" w:space="0" w:color="auto"/>
              <w:left w:val="single" w:sz="4" w:space="0" w:color="auto"/>
              <w:bottom w:val="single" w:sz="4" w:space="0" w:color="auto"/>
              <w:right w:val="single" w:sz="4" w:space="0" w:color="auto"/>
            </w:tcBorders>
            <w:shd w:val="clear" w:color="000000" w:fill="779ED0"/>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12 009</w:t>
            </w:r>
          </w:p>
        </w:tc>
        <w:tc>
          <w:tcPr>
            <w:tcW w:w="498" w:type="pct"/>
            <w:tcBorders>
              <w:top w:val="single" w:sz="4" w:space="0" w:color="auto"/>
              <w:left w:val="single" w:sz="4" w:space="0" w:color="auto"/>
              <w:bottom w:val="single" w:sz="4" w:space="0" w:color="auto"/>
              <w:right w:val="single" w:sz="4" w:space="0" w:color="auto"/>
            </w:tcBorders>
            <w:shd w:val="clear" w:color="000000" w:fill="D7E2F2"/>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13 075</w:t>
            </w:r>
          </w:p>
        </w:tc>
        <w:tc>
          <w:tcPr>
            <w:tcW w:w="498" w:type="pct"/>
            <w:tcBorders>
              <w:top w:val="single" w:sz="4" w:space="0" w:color="auto"/>
              <w:left w:val="single" w:sz="4" w:space="0" w:color="auto"/>
              <w:bottom w:val="single" w:sz="4" w:space="0" w:color="auto"/>
              <w:right w:val="single" w:sz="4" w:space="0" w:color="auto"/>
            </w:tcBorders>
            <w:shd w:val="clear" w:color="000000" w:fill="FBCACD"/>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14 079</w:t>
            </w:r>
          </w:p>
        </w:tc>
        <w:tc>
          <w:tcPr>
            <w:tcW w:w="499" w:type="pct"/>
            <w:tcBorders>
              <w:top w:val="single" w:sz="4" w:space="0" w:color="auto"/>
              <w:left w:val="single" w:sz="4" w:space="0" w:color="auto"/>
              <w:bottom w:val="single" w:sz="4" w:space="0" w:color="auto"/>
              <w:right w:val="single" w:sz="4" w:space="0" w:color="auto"/>
            </w:tcBorders>
            <w:shd w:val="clear" w:color="000000" w:fill="F97D7F"/>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15 003</w:t>
            </w:r>
          </w:p>
        </w:tc>
        <w:tc>
          <w:tcPr>
            <w:tcW w:w="498" w:type="pct"/>
            <w:tcBorders>
              <w:top w:val="single" w:sz="4" w:space="0" w:color="auto"/>
              <w:left w:val="single" w:sz="4" w:space="0" w:color="auto"/>
              <w:bottom w:val="single" w:sz="4" w:space="0" w:color="auto"/>
              <w:right w:val="single" w:sz="4" w:space="0" w:color="auto"/>
            </w:tcBorders>
            <w:shd w:val="clear" w:color="000000" w:fill="E0E8F5"/>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2 361</w:t>
            </w:r>
          </w:p>
        </w:tc>
        <w:tc>
          <w:tcPr>
            <w:tcW w:w="498" w:type="pct"/>
            <w:tcBorders>
              <w:top w:val="single" w:sz="4" w:space="0" w:color="auto"/>
              <w:left w:val="single" w:sz="4" w:space="0" w:color="auto"/>
              <w:bottom w:val="single" w:sz="4" w:space="0" w:color="auto"/>
              <w:right w:val="single" w:sz="4" w:space="0" w:color="auto"/>
            </w:tcBorders>
            <w:shd w:val="clear" w:color="000000" w:fill="FCDCDF"/>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2 504</w:t>
            </w:r>
          </w:p>
        </w:tc>
        <w:tc>
          <w:tcPr>
            <w:tcW w:w="498" w:type="pct"/>
            <w:tcBorders>
              <w:top w:val="single" w:sz="4" w:space="0" w:color="auto"/>
              <w:left w:val="single" w:sz="4" w:space="0" w:color="auto"/>
              <w:bottom w:val="single" w:sz="4" w:space="0" w:color="auto"/>
              <w:right w:val="single" w:sz="4" w:space="0" w:color="auto"/>
            </w:tcBorders>
            <w:shd w:val="clear" w:color="000000" w:fill="FAA7A9"/>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2 663</w:t>
            </w:r>
          </w:p>
        </w:tc>
        <w:tc>
          <w:tcPr>
            <w:tcW w:w="499"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2 845</w:t>
            </w:r>
          </w:p>
        </w:tc>
      </w:tr>
      <w:tr w:rsidR="007A1AB1" w:rsidRPr="007A1AB1" w:rsidTr="00DD1B74">
        <w:trPr>
          <w:trHeight w:val="288"/>
        </w:trPr>
        <w:tc>
          <w:tcPr>
            <w:tcW w:w="1014" w:type="pct"/>
            <w:tcBorders>
              <w:top w:val="nil"/>
              <w:left w:val="single" w:sz="4" w:space="0" w:color="auto"/>
              <w:bottom w:val="single" w:sz="4" w:space="0" w:color="auto"/>
              <w:right w:val="single" w:sz="4" w:space="0" w:color="auto"/>
            </w:tcBorders>
            <w:shd w:val="clear" w:color="auto" w:fill="auto"/>
            <w:noWrap/>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eastAsiaTheme="minorHAnsi" w:hAnsi="Calibri" w:cs="Calibri"/>
                <w:color w:val="000000"/>
                <w:sz w:val="18"/>
                <w:szCs w:val="18"/>
              </w:rPr>
              <w:t>Prostějov</w:t>
            </w:r>
          </w:p>
        </w:tc>
        <w:tc>
          <w:tcPr>
            <w:tcW w:w="498" w:type="pct"/>
            <w:tcBorders>
              <w:top w:val="single" w:sz="4" w:space="0" w:color="auto"/>
              <w:left w:val="single" w:sz="4" w:space="0" w:color="auto"/>
              <w:bottom w:val="single" w:sz="4" w:space="0" w:color="auto"/>
              <w:right w:val="single" w:sz="4" w:space="0" w:color="auto"/>
            </w:tcBorders>
            <w:shd w:val="clear" w:color="000000" w:fill="779FD0"/>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12 015</w:t>
            </w:r>
          </w:p>
        </w:tc>
        <w:tc>
          <w:tcPr>
            <w:tcW w:w="498" w:type="pct"/>
            <w:tcBorders>
              <w:top w:val="single" w:sz="4" w:space="0" w:color="auto"/>
              <w:left w:val="single" w:sz="4" w:space="0" w:color="auto"/>
              <w:bottom w:val="single" w:sz="4" w:space="0" w:color="auto"/>
              <w:right w:val="single" w:sz="4" w:space="0" w:color="auto"/>
            </w:tcBorders>
            <w:shd w:val="clear" w:color="000000" w:fill="D4E0F1"/>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13 037</w:t>
            </w:r>
          </w:p>
        </w:tc>
        <w:tc>
          <w:tcPr>
            <w:tcW w:w="498" w:type="pct"/>
            <w:tcBorders>
              <w:top w:val="single" w:sz="4" w:space="0" w:color="auto"/>
              <w:left w:val="single" w:sz="4" w:space="0" w:color="auto"/>
              <w:bottom w:val="single" w:sz="4" w:space="0" w:color="auto"/>
              <w:right w:val="single" w:sz="4" w:space="0" w:color="auto"/>
            </w:tcBorders>
            <w:shd w:val="clear" w:color="000000" w:fill="FBCFD2"/>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14 018</w:t>
            </w:r>
          </w:p>
        </w:tc>
        <w:tc>
          <w:tcPr>
            <w:tcW w:w="499" w:type="pct"/>
            <w:tcBorders>
              <w:top w:val="single" w:sz="4" w:space="0" w:color="auto"/>
              <w:left w:val="single" w:sz="4" w:space="0" w:color="auto"/>
              <w:bottom w:val="single" w:sz="4" w:space="0" w:color="auto"/>
              <w:right w:val="single" w:sz="4" w:space="0" w:color="auto"/>
            </w:tcBorders>
            <w:shd w:val="clear" w:color="000000" w:fill="F98587"/>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14 905</w:t>
            </w:r>
          </w:p>
        </w:tc>
        <w:tc>
          <w:tcPr>
            <w:tcW w:w="498" w:type="pct"/>
            <w:tcBorders>
              <w:top w:val="single" w:sz="4" w:space="0" w:color="auto"/>
              <w:left w:val="single" w:sz="4" w:space="0" w:color="auto"/>
              <w:bottom w:val="single" w:sz="4" w:space="0" w:color="auto"/>
              <w:right w:val="single" w:sz="4" w:space="0" w:color="auto"/>
            </w:tcBorders>
            <w:shd w:val="clear" w:color="000000" w:fill="608EC8"/>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2 151</w:t>
            </w:r>
          </w:p>
        </w:tc>
        <w:tc>
          <w:tcPr>
            <w:tcW w:w="498" w:type="pct"/>
            <w:tcBorders>
              <w:top w:val="single" w:sz="4" w:space="0" w:color="auto"/>
              <w:left w:val="single" w:sz="4" w:space="0" w:color="auto"/>
              <w:bottom w:val="single" w:sz="4" w:space="0" w:color="auto"/>
              <w:right w:val="single" w:sz="4" w:space="0" w:color="auto"/>
            </w:tcBorders>
            <w:shd w:val="clear" w:color="000000" w:fill="92B1D9"/>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2 233</w:t>
            </w:r>
          </w:p>
        </w:tc>
        <w:tc>
          <w:tcPr>
            <w:tcW w:w="498" w:type="pct"/>
            <w:tcBorders>
              <w:top w:val="single" w:sz="4" w:space="0" w:color="auto"/>
              <w:left w:val="single" w:sz="4" w:space="0" w:color="auto"/>
              <w:bottom w:val="single" w:sz="4" w:space="0" w:color="auto"/>
              <w:right w:val="single" w:sz="4" w:space="0" w:color="auto"/>
            </w:tcBorders>
            <w:shd w:val="clear" w:color="000000" w:fill="F1F4FB"/>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2 390</w:t>
            </w:r>
          </w:p>
        </w:tc>
        <w:tc>
          <w:tcPr>
            <w:tcW w:w="499" w:type="pct"/>
            <w:tcBorders>
              <w:top w:val="single" w:sz="4" w:space="0" w:color="auto"/>
              <w:left w:val="single" w:sz="4" w:space="0" w:color="auto"/>
              <w:bottom w:val="single" w:sz="4" w:space="0" w:color="auto"/>
              <w:right w:val="single" w:sz="4" w:space="0" w:color="auto"/>
            </w:tcBorders>
            <w:shd w:val="clear" w:color="000000" w:fill="FBC5C7"/>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2 573</w:t>
            </w:r>
          </w:p>
        </w:tc>
      </w:tr>
      <w:tr w:rsidR="007A1AB1" w:rsidRPr="007A1AB1" w:rsidTr="00DD1B74">
        <w:trPr>
          <w:trHeight w:val="288"/>
        </w:trPr>
        <w:tc>
          <w:tcPr>
            <w:tcW w:w="1014" w:type="pct"/>
            <w:tcBorders>
              <w:top w:val="nil"/>
              <w:left w:val="single" w:sz="4" w:space="0" w:color="auto"/>
              <w:bottom w:val="single" w:sz="4" w:space="0" w:color="auto"/>
              <w:right w:val="single" w:sz="4" w:space="0" w:color="auto"/>
            </w:tcBorders>
            <w:shd w:val="clear" w:color="auto" w:fill="auto"/>
            <w:noWrap/>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eastAsiaTheme="minorHAnsi" w:hAnsi="Calibri" w:cs="Calibri"/>
                <w:color w:val="000000"/>
                <w:sz w:val="18"/>
                <w:szCs w:val="18"/>
              </w:rPr>
              <w:t>Šumperk</w:t>
            </w:r>
          </w:p>
        </w:tc>
        <w:tc>
          <w:tcPr>
            <w:tcW w:w="498" w:type="pct"/>
            <w:tcBorders>
              <w:top w:val="single" w:sz="4" w:space="0" w:color="auto"/>
              <w:left w:val="single" w:sz="4" w:space="0" w:color="auto"/>
              <w:bottom w:val="single" w:sz="4" w:space="0" w:color="auto"/>
              <w:right w:val="single" w:sz="4" w:space="0" w:color="auto"/>
            </w:tcBorders>
            <w:shd w:val="clear" w:color="000000" w:fill="6D97CC"/>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11 902</w:t>
            </w:r>
          </w:p>
        </w:tc>
        <w:tc>
          <w:tcPr>
            <w:tcW w:w="498" w:type="pct"/>
            <w:tcBorders>
              <w:top w:val="single" w:sz="4" w:space="0" w:color="auto"/>
              <w:left w:val="single" w:sz="4" w:space="0" w:color="auto"/>
              <w:bottom w:val="single" w:sz="4" w:space="0" w:color="auto"/>
              <w:right w:val="single" w:sz="4" w:space="0" w:color="auto"/>
            </w:tcBorders>
            <w:shd w:val="clear" w:color="000000" w:fill="CBD9ED"/>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12 935</w:t>
            </w:r>
          </w:p>
        </w:tc>
        <w:tc>
          <w:tcPr>
            <w:tcW w:w="498" w:type="pct"/>
            <w:tcBorders>
              <w:top w:val="single" w:sz="4" w:space="0" w:color="auto"/>
              <w:left w:val="single" w:sz="4" w:space="0" w:color="auto"/>
              <w:bottom w:val="single" w:sz="4" w:space="0" w:color="auto"/>
              <w:right w:val="single" w:sz="4" w:space="0" w:color="auto"/>
            </w:tcBorders>
            <w:shd w:val="clear" w:color="000000" w:fill="FCD8DB"/>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13 907</w:t>
            </w:r>
          </w:p>
        </w:tc>
        <w:tc>
          <w:tcPr>
            <w:tcW w:w="499" w:type="pct"/>
            <w:tcBorders>
              <w:top w:val="single" w:sz="4" w:space="0" w:color="auto"/>
              <w:left w:val="single" w:sz="4" w:space="0" w:color="auto"/>
              <w:bottom w:val="single" w:sz="4" w:space="0" w:color="auto"/>
              <w:right w:val="single" w:sz="4" w:space="0" w:color="auto"/>
            </w:tcBorders>
            <w:shd w:val="clear" w:color="000000" w:fill="F98C8E"/>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14 822</w:t>
            </w:r>
          </w:p>
        </w:tc>
        <w:tc>
          <w:tcPr>
            <w:tcW w:w="498" w:type="pct"/>
            <w:tcBorders>
              <w:top w:val="single" w:sz="4" w:space="0" w:color="auto"/>
              <w:left w:val="single" w:sz="4" w:space="0" w:color="auto"/>
              <w:bottom w:val="single" w:sz="4" w:space="0" w:color="auto"/>
              <w:right w:val="single" w:sz="4" w:space="0" w:color="auto"/>
            </w:tcBorders>
            <w:shd w:val="clear" w:color="000000" w:fill="9EBADE"/>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2 253</w:t>
            </w:r>
          </w:p>
        </w:tc>
        <w:tc>
          <w:tcPr>
            <w:tcW w:w="498" w:type="pct"/>
            <w:tcBorders>
              <w:top w:val="single" w:sz="4" w:space="0" w:color="auto"/>
              <w:left w:val="single" w:sz="4" w:space="0" w:color="auto"/>
              <w:bottom w:val="single" w:sz="4" w:space="0" w:color="auto"/>
              <w:right w:val="single" w:sz="4" w:space="0" w:color="auto"/>
            </w:tcBorders>
            <w:shd w:val="clear" w:color="000000" w:fill="EBF0F9"/>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2 379</w:t>
            </w:r>
          </w:p>
        </w:tc>
        <w:tc>
          <w:tcPr>
            <w:tcW w:w="498" w:type="pct"/>
            <w:tcBorders>
              <w:top w:val="single" w:sz="4" w:space="0" w:color="auto"/>
              <w:left w:val="single" w:sz="4" w:space="0" w:color="auto"/>
              <w:bottom w:val="single" w:sz="4" w:space="0" w:color="auto"/>
              <w:right w:val="single" w:sz="4" w:space="0" w:color="auto"/>
            </w:tcBorders>
            <w:shd w:val="clear" w:color="000000" w:fill="FCD8DB"/>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2 515</w:t>
            </w:r>
          </w:p>
        </w:tc>
        <w:tc>
          <w:tcPr>
            <w:tcW w:w="499" w:type="pct"/>
            <w:tcBorders>
              <w:top w:val="single" w:sz="4" w:space="0" w:color="auto"/>
              <w:left w:val="single" w:sz="4" w:space="0" w:color="auto"/>
              <w:bottom w:val="single" w:sz="4" w:space="0" w:color="auto"/>
              <w:right w:val="single" w:sz="4" w:space="0" w:color="auto"/>
            </w:tcBorders>
            <w:shd w:val="clear" w:color="000000" w:fill="FAA2A4"/>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2 677</w:t>
            </w:r>
          </w:p>
        </w:tc>
      </w:tr>
      <w:tr w:rsidR="007A1AB1" w:rsidRPr="007A1AB1" w:rsidTr="00DD1B74">
        <w:trPr>
          <w:trHeight w:val="288"/>
        </w:trPr>
        <w:tc>
          <w:tcPr>
            <w:tcW w:w="1014" w:type="pct"/>
            <w:tcBorders>
              <w:top w:val="nil"/>
              <w:left w:val="single" w:sz="4" w:space="0" w:color="auto"/>
              <w:bottom w:val="single" w:sz="4" w:space="0" w:color="auto"/>
              <w:right w:val="single" w:sz="4" w:space="0" w:color="auto"/>
            </w:tcBorders>
            <w:shd w:val="clear" w:color="auto" w:fill="auto"/>
            <w:noWrap/>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eastAsiaTheme="minorHAnsi" w:hAnsi="Calibri" w:cs="Calibri"/>
                <w:color w:val="000000"/>
                <w:sz w:val="18"/>
                <w:szCs w:val="18"/>
              </w:rPr>
              <w:t>Jeseník</w:t>
            </w:r>
          </w:p>
        </w:tc>
        <w:tc>
          <w:tcPr>
            <w:tcW w:w="498" w:type="pct"/>
            <w:tcBorders>
              <w:top w:val="single" w:sz="4" w:space="0" w:color="auto"/>
              <w:left w:val="single" w:sz="4" w:space="0" w:color="auto"/>
              <w:bottom w:val="single" w:sz="4" w:space="0" w:color="auto"/>
              <w:right w:val="single" w:sz="4" w:space="0" w:color="auto"/>
            </w:tcBorders>
            <w:shd w:val="clear" w:color="000000" w:fill="5A8AC6"/>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11 684</w:t>
            </w:r>
          </w:p>
        </w:tc>
        <w:tc>
          <w:tcPr>
            <w:tcW w:w="498" w:type="pct"/>
            <w:tcBorders>
              <w:top w:val="single" w:sz="4" w:space="0" w:color="auto"/>
              <w:left w:val="single" w:sz="4" w:space="0" w:color="auto"/>
              <w:bottom w:val="single" w:sz="4" w:space="0" w:color="auto"/>
              <w:right w:val="single" w:sz="4" w:space="0" w:color="auto"/>
            </w:tcBorders>
            <w:shd w:val="clear" w:color="000000" w:fill="B5CAE6"/>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12 689</w:t>
            </w:r>
          </w:p>
        </w:tc>
        <w:tc>
          <w:tcPr>
            <w:tcW w:w="498" w:type="pct"/>
            <w:tcBorders>
              <w:top w:val="single" w:sz="4" w:space="0" w:color="auto"/>
              <w:left w:val="single" w:sz="4" w:space="0" w:color="auto"/>
              <w:bottom w:val="single" w:sz="4" w:space="0" w:color="auto"/>
              <w:right w:val="single" w:sz="4" w:space="0" w:color="auto"/>
            </w:tcBorders>
            <w:shd w:val="clear" w:color="000000" w:fill="FCEEF1"/>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13 641</w:t>
            </w:r>
          </w:p>
        </w:tc>
        <w:tc>
          <w:tcPr>
            <w:tcW w:w="499" w:type="pct"/>
            <w:tcBorders>
              <w:top w:val="single" w:sz="4" w:space="0" w:color="auto"/>
              <w:left w:val="single" w:sz="4" w:space="0" w:color="auto"/>
              <w:bottom w:val="single" w:sz="4" w:space="0" w:color="auto"/>
              <w:right w:val="single" w:sz="4" w:space="0" w:color="auto"/>
            </w:tcBorders>
            <w:shd w:val="clear" w:color="000000" w:fill="FAA9AC"/>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14 473</w:t>
            </w:r>
          </w:p>
        </w:tc>
        <w:tc>
          <w:tcPr>
            <w:tcW w:w="498" w:type="pct"/>
            <w:tcBorders>
              <w:top w:val="single" w:sz="4" w:space="0" w:color="auto"/>
              <w:left w:val="single" w:sz="4" w:space="0" w:color="auto"/>
              <w:bottom w:val="single" w:sz="4" w:space="0" w:color="auto"/>
              <w:right w:val="single" w:sz="4" w:space="0" w:color="auto"/>
            </w:tcBorders>
            <w:shd w:val="clear" w:color="000000" w:fill="D8E2F2"/>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2 348</w:t>
            </w:r>
          </w:p>
        </w:tc>
        <w:tc>
          <w:tcPr>
            <w:tcW w:w="498" w:type="pct"/>
            <w:tcBorders>
              <w:top w:val="single" w:sz="4" w:space="0" w:color="auto"/>
              <w:left w:val="single" w:sz="4" w:space="0" w:color="auto"/>
              <w:bottom w:val="single" w:sz="4" w:space="0" w:color="auto"/>
              <w:right w:val="single" w:sz="4" w:space="0" w:color="auto"/>
            </w:tcBorders>
            <w:shd w:val="clear" w:color="000000" w:fill="FCF7FA"/>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2 423</w:t>
            </w:r>
          </w:p>
        </w:tc>
        <w:tc>
          <w:tcPr>
            <w:tcW w:w="498" w:type="pct"/>
            <w:tcBorders>
              <w:top w:val="single" w:sz="4" w:space="0" w:color="auto"/>
              <w:left w:val="single" w:sz="4" w:space="0" w:color="auto"/>
              <w:bottom w:val="single" w:sz="4" w:space="0" w:color="auto"/>
              <w:right w:val="single" w:sz="4" w:space="0" w:color="auto"/>
            </w:tcBorders>
            <w:shd w:val="clear" w:color="000000" w:fill="FBCACC"/>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2 558</w:t>
            </w:r>
          </w:p>
        </w:tc>
        <w:tc>
          <w:tcPr>
            <w:tcW w:w="499" w:type="pct"/>
            <w:tcBorders>
              <w:top w:val="single" w:sz="4" w:space="0" w:color="auto"/>
              <w:left w:val="single" w:sz="4" w:space="0" w:color="auto"/>
              <w:bottom w:val="single" w:sz="4" w:space="0" w:color="auto"/>
              <w:right w:val="single" w:sz="4" w:space="0" w:color="auto"/>
            </w:tcBorders>
            <w:shd w:val="clear" w:color="000000" w:fill="FAA2A5"/>
            <w:noWrap/>
            <w:vAlign w:val="center"/>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2 675</w:t>
            </w:r>
          </w:p>
        </w:tc>
      </w:tr>
    </w:tbl>
    <w:p w:rsidR="00AF4350" w:rsidRDefault="00AF4350" w:rsidP="007A1AB1">
      <w:pPr>
        <w:pStyle w:val="Zdrojobjektu"/>
      </w:pPr>
      <w:r w:rsidRPr="0039748C">
        <w:t>Zdroj: Česká správa sociálního zabezpečení (2022), zpracování ACCENDO (2022)</w:t>
      </w:r>
    </w:p>
    <w:p w:rsidR="00AF4350" w:rsidRPr="0039748C" w:rsidRDefault="00AF4350" w:rsidP="00A34764">
      <w:pPr>
        <w:rPr>
          <w:lang w:eastAsia="cs-CZ"/>
        </w:rPr>
      </w:pPr>
    </w:p>
    <w:p w:rsidR="00AF4350" w:rsidRPr="0039748C" w:rsidRDefault="00AF4350" w:rsidP="00A34764">
      <w:pPr>
        <w:rPr>
          <w:shd w:val="clear" w:color="auto" w:fill="FFFFFF"/>
        </w:rPr>
      </w:pPr>
      <w:r w:rsidRPr="0039748C">
        <w:rPr>
          <w:shd w:val="clear" w:color="auto" w:fill="FFFFFF"/>
        </w:rPr>
        <w:t>V OK pobíralo ke konci roku 2021 starobní důchod celkem 148 tis. obyvatel, z toho 100 tis. pobíralo řádný starobní důchod a 48 tis. důchod předčasný. Největší podíl předčasných důchodů byl vyplácen v okresech Jeseník (29 %) a Šumperk (27 %), následovaly okresy Přerov (25 %), Prostějov (24 %) a Olomouc (22 %). Nejvíce osob pak pobíralo starobní důchod v okrese Olomouc (52,3 tis.), nejméně v okrese Jeseník (9,3 tis.).</w:t>
      </w:r>
    </w:p>
    <w:p w:rsidR="00AF4350" w:rsidRPr="0039748C" w:rsidRDefault="00AF4350" w:rsidP="007A1AB1">
      <w:pPr>
        <w:pStyle w:val="popistabulkySPRSS2024"/>
      </w:pPr>
      <w:bookmarkStart w:id="71" w:name="_Toc117607068"/>
      <w:r w:rsidRPr="0039748C">
        <w:lastRenderedPageBreak/>
        <w:t xml:space="preserve">Tabulka </w:t>
      </w:r>
      <w:r w:rsidR="00412C70">
        <w:fldChar w:fldCharType="begin"/>
      </w:r>
      <w:r w:rsidR="00412C70">
        <w:instrText xml:space="preserve"> SEQ Tabulka \* ARABIC </w:instrText>
      </w:r>
      <w:r w:rsidR="00412C70">
        <w:fldChar w:fldCharType="separate"/>
      </w:r>
      <w:r w:rsidR="003A12AF">
        <w:rPr>
          <w:noProof/>
        </w:rPr>
        <w:t>8</w:t>
      </w:r>
      <w:r w:rsidR="00412C70">
        <w:rPr>
          <w:noProof/>
        </w:rPr>
        <w:fldChar w:fldCharType="end"/>
      </w:r>
      <w:r>
        <w:rPr>
          <w:noProof/>
        </w:rPr>
        <w:t>:</w:t>
      </w:r>
      <w:r w:rsidRPr="0039748C">
        <w:t xml:space="preserve"> Rozložení příjemců důchodů v okresech OK k 31. 12. 2021</w:t>
      </w:r>
      <w:bookmarkEnd w:id="71"/>
    </w:p>
    <w:tbl>
      <w:tblPr>
        <w:tblW w:w="5000" w:type="pct"/>
        <w:tblCellMar>
          <w:left w:w="70" w:type="dxa"/>
          <w:right w:w="70" w:type="dxa"/>
        </w:tblCellMar>
        <w:tblLook w:val="04A0" w:firstRow="1" w:lastRow="0" w:firstColumn="1" w:lastColumn="0" w:noHBand="0" w:noVBand="1"/>
      </w:tblPr>
      <w:tblGrid>
        <w:gridCol w:w="876"/>
        <w:gridCol w:w="865"/>
        <w:gridCol w:w="1231"/>
        <w:gridCol w:w="712"/>
        <w:gridCol w:w="837"/>
        <w:gridCol w:w="888"/>
        <w:gridCol w:w="939"/>
        <w:gridCol w:w="622"/>
        <w:gridCol w:w="660"/>
        <w:gridCol w:w="647"/>
        <w:gridCol w:w="785"/>
      </w:tblGrid>
      <w:tr w:rsidR="007A1AB1" w:rsidRPr="007A1AB1" w:rsidTr="007A1AB1">
        <w:trPr>
          <w:trHeight w:val="20"/>
        </w:trPr>
        <w:tc>
          <w:tcPr>
            <w:tcW w:w="484"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Okres</w:t>
            </w:r>
          </w:p>
        </w:tc>
        <w:tc>
          <w:tcPr>
            <w:tcW w:w="47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A1AB1" w:rsidRPr="007A1AB1" w:rsidRDefault="007A1AB1" w:rsidP="007A1AB1">
            <w:pPr>
              <w:keepNext/>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Starobní důchodci celkem</w:t>
            </w:r>
          </w:p>
        </w:tc>
        <w:tc>
          <w:tcPr>
            <w:tcW w:w="67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A1AB1" w:rsidRPr="007A1AB1" w:rsidRDefault="007A1AB1" w:rsidP="007A1AB1">
            <w:pPr>
              <w:keepNext/>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z toho s předčasným důchodem</w:t>
            </w:r>
          </w:p>
        </w:tc>
        <w:tc>
          <w:tcPr>
            <w:tcW w:w="1862" w:type="pct"/>
            <w:gridSpan w:val="4"/>
            <w:tcBorders>
              <w:top w:val="single" w:sz="4" w:space="0" w:color="auto"/>
              <w:left w:val="nil"/>
              <w:bottom w:val="single" w:sz="4" w:space="0" w:color="auto"/>
              <w:right w:val="single" w:sz="4" w:space="0" w:color="000000"/>
            </w:tcBorders>
            <w:shd w:val="clear" w:color="000000" w:fill="F2F2F2"/>
            <w:noWrap/>
            <w:vAlign w:val="center"/>
            <w:hideMark/>
          </w:tcPr>
          <w:p w:rsidR="007A1AB1" w:rsidRPr="007A1AB1" w:rsidRDefault="007A1AB1" w:rsidP="007A1AB1">
            <w:pPr>
              <w:keepNext/>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v tom pro invaliditu</w:t>
            </w:r>
          </w:p>
        </w:tc>
        <w:tc>
          <w:tcPr>
            <w:tcW w:w="34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A1AB1" w:rsidRPr="007A1AB1" w:rsidRDefault="007A1AB1" w:rsidP="007A1AB1">
            <w:pPr>
              <w:keepNext/>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Sólo vdovy</w:t>
            </w:r>
          </w:p>
        </w:tc>
        <w:tc>
          <w:tcPr>
            <w:tcW w:w="36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A1AB1" w:rsidRPr="007A1AB1" w:rsidRDefault="007A1AB1" w:rsidP="007A1AB1">
            <w:pPr>
              <w:keepNext/>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Sólo vdovci</w:t>
            </w:r>
          </w:p>
        </w:tc>
        <w:tc>
          <w:tcPr>
            <w:tcW w:w="35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A1AB1" w:rsidRPr="007A1AB1" w:rsidRDefault="007A1AB1" w:rsidP="007A1AB1">
            <w:pPr>
              <w:keepNext/>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Sirotci</w:t>
            </w:r>
          </w:p>
        </w:tc>
        <w:tc>
          <w:tcPr>
            <w:tcW w:w="43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CELKEM</w:t>
            </w:r>
          </w:p>
        </w:tc>
      </w:tr>
      <w:tr w:rsidR="007A1AB1" w:rsidRPr="007A1AB1" w:rsidTr="007A1AB1">
        <w:trPr>
          <w:trHeight w:val="20"/>
        </w:trPr>
        <w:tc>
          <w:tcPr>
            <w:tcW w:w="484" w:type="pct"/>
            <w:vMerge/>
            <w:tcBorders>
              <w:top w:val="single" w:sz="4" w:space="0" w:color="auto"/>
              <w:left w:val="single" w:sz="4" w:space="0" w:color="auto"/>
              <w:bottom w:val="single" w:sz="4" w:space="0" w:color="auto"/>
              <w:right w:val="single" w:sz="4" w:space="0" w:color="auto"/>
            </w:tcBorders>
            <w:vAlign w:val="center"/>
            <w:hideMark/>
          </w:tcPr>
          <w:p w:rsidR="007A1AB1" w:rsidRPr="007A1AB1" w:rsidRDefault="007A1AB1" w:rsidP="007A1AB1">
            <w:pPr>
              <w:keepNext/>
              <w:spacing w:before="0"/>
              <w:rPr>
                <w:rFonts w:asciiTheme="minorHAnsi" w:hAnsiTheme="minorHAnsi" w:cstheme="minorHAnsi"/>
                <w:b/>
                <w:bCs/>
                <w:color w:val="000000"/>
                <w:sz w:val="18"/>
                <w:szCs w:val="18"/>
                <w:lang w:eastAsia="cs-CZ"/>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7A1AB1" w:rsidRPr="007A1AB1" w:rsidRDefault="007A1AB1" w:rsidP="007A1AB1">
            <w:pPr>
              <w:keepNext/>
              <w:spacing w:before="0"/>
              <w:rPr>
                <w:rFonts w:asciiTheme="minorHAnsi" w:hAnsiTheme="minorHAnsi" w:cstheme="minorHAnsi"/>
                <w:b/>
                <w:bCs/>
                <w:color w:val="000000"/>
                <w:sz w:val="18"/>
                <w:szCs w:val="18"/>
                <w:lang w:eastAsia="cs-CZ"/>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rsidR="007A1AB1" w:rsidRPr="007A1AB1" w:rsidRDefault="007A1AB1" w:rsidP="007A1AB1">
            <w:pPr>
              <w:keepNext/>
              <w:spacing w:before="0"/>
              <w:rPr>
                <w:rFonts w:asciiTheme="minorHAnsi" w:hAnsiTheme="minorHAnsi" w:cstheme="minorHAnsi"/>
                <w:b/>
                <w:bCs/>
                <w:color w:val="000000"/>
                <w:sz w:val="18"/>
                <w:szCs w:val="18"/>
                <w:lang w:eastAsia="cs-CZ"/>
              </w:rPr>
            </w:pPr>
          </w:p>
        </w:tc>
        <w:tc>
          <w:tcPr>
            <w:tcW w:w="393" w:type="pct"/>
            <w:tcBorders>
              <w:top w:val="nil"/>
              <w:left w:val="nil"/>
              <w:bottom w:val="single" w:sz="4" w:space="0" w:color="auto"/>
              <w:right w:val="single" w:sz="4" w:space="0" w:color="auto"/>
            </w:tcBorders>
            <w:shd w:val="clear" w:color="000000" w:fill="F2F2F2"/>
            <w:vAlign w:val="center"/>
            <w:hideMark/>
          </w:tcPr>
          <w:p w:rsidR="007A1AB1" w:rsidRPr="007A1AB1" w:rsidRDefault="007A1AB1" w:rsidP="007A1AB1">
            <w:pPr>
              <w:keepNext/>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celkem</w:t>
            </w:r>
          </w:p>
        </w:tc>
        <w:tc>
          <w:tcPr>
            <w:tcW w:w="462"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I. stupně</w:t>
            </w:r>
          </w:p>
        </w:tc>
        <w:tc>
          <w:tcPr>
            <w:tcW w:w="490"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II. stupně</w:t>
            </w:r>
          </w:p>
        </w:tc>
        <w:tc>
          <w:tcPr>
            <w:tcW w:w="518"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III. stupně</w:t>
            </w:r>
          </w:p>
        </w:tc>
        <w:tc>
          <w:tcPr>
            <w:tcW w:w="343" w:type="pct"/>
            <w:vMerge/>
            <w:tcBorders>
              <w:top w:val="single" w:sz="4" w:space="0" w:color="auto"/>
              <w:left w:val="single" w:sz="4" w:space="0" w:color="auto"/>
              <w:bottom w:val="single" w:sz="4" w:space="0" w:color="auto"/>
              <w:right w:val="single" w:sz="4" w:space="0" w:color="auto"/>
            </w:tcBorders>
            <w:vAlign w:val="center"/>
            <w:hideMark/>
          </w:tcPr>
          <w:p w:rsidR="007A1AB1" w:rsidRPr="007A1AB1" w:rsidRDefault="007A1AB1" w:rsidP="007A1AB1">
            <w:pPr>
              <w:keepNext/>
              <w:spacing w:before="0"/>
              <w:rPr>
                <w:rFonts w:asciiTheme="minorHAnsi" w:hAnsiTheme="minorHAnsi" w:cstheme="minorHAnsi"/>
                <w:b/>
                <w:bCs/>
                <w:color w:val="000000"/>
                <w:sz w:val="18"/>
                <w:szCs w:val="18"/>
                <w:lang w:eastAsia="cs-CZ"/>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rsidR="007A1AB1" w:rsidRPr="007A1AB1" w:rsidRDefault="007A1AB1" w:rsidP="007A1AB1">
            <w:pPr>
              <w:keepNext/>
              <w:spacing w:before="0"/>
              <w:rPr>
                <w:rFonts w:asciiTheme="minorHAnsi" w:hAnsiTheme="minorHAnsi" w:cstheme="minorHAnsi"/>
                <w:b/>
                <w:bCs/>
                <w:color w:val="000000"/>
                <w:sz w:val="18"/>
                <w:szCs w:val="18"/>
                <w:lang w:eastAsia="cs-CZ"/>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7A1AB1" w:rsidRPr="007A1AB1" w:rsidRDefault="007A1AB1" w:rsidP="007A1AB1">
            <w:pPr>
              <w:keepNext/>
              <w:spacing w:before="0"/>
              <w:rPr>
                <w:rFonts w:asciiTheme="minorHAnsi" w:hAnsiTheme="minorHAnsi" w:cstheme="minorHAnsi"/>
                <w:b/>
                <w:bCs/>
                <w:color w:val="000000"/>
                <w:sz w:val="18"/>
                <w:szCs w:val="18"/>
                <w:lang w:eastAsia="cs-CZ"/>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rsidR="007A1AB1" w:rsidRPr="007A1AB1" w:rsidRDefault="007A1AB1" w:rsidP="007A1AB1">
            <w:pPr>
              <w:keepNext/>
              <w:spacing w:before="0"/>
              <w:rPr>
                <w:rFonts w:asciiTheme="minorHAnsi" w:hAnsiTheme="minorHAnsi" w:cstheme="minorHAnsi"/>
                <w:b/>
                <w:bCs/>
                <w:color w:val="000000"/>
                <w:sz w:val="18"/>
                <w:szCs w:val="18"/>
                <w:lang w:eastAsia="cs-CZ"/>
              </w:rPr>
            </w:pPr>
          </w:p>
        </w:tc>
      </w:tr>
      <w:tr w:rsidR="007A1AB1" w:rsidRPr="007A1AB1" w:rsidTr="007A1AB1">
        <w:trPr>
          <w:trHeight w:val="20"/>
        </w:trPr>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Jeseník</w:t>
            </w:r>
          </w:p>
        </w:tc>
        <w:tc>
          <w:tcPr>
            <w:tcW w:w="477"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9 325</w:t>
            </w:r>
          </w:p>
        </w:tc>
        <w:tc>
          <w:tcPr>
            <w:tcW w:w="679"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3 817</w:t>
            </w:r>
          </w:p>
        </w:tc>
        <w:tc>
          <w:tcPr>
            <w:tcW w:w="39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1 009</w:t>
            </w:r>
          </w:p>
        </w:tc>
        <w:tc>
          <w:tcPr>
            <w:tcW w:w="462"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377</w:t>
            </w:r>
          </w:p>
        </w:tc>
        <w:tc>
          <w:tcPr>
            <w:tcW w:w="490"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167</w:t>
            </w:r>
          </w:p>
        </w:tc>
        <w:tc>
          <w:tcPr>
            <w:tcW w:w="518"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465</w:t>
            </w:r>
          </w:p>
        </w:tc>
        <w:tc>
          <w:tcPr>
            <w:tcW w:w="34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68</w:t>
            </w:r>
          </w:p>
        </w:tc>
        <w:tc>
          <w:tcPr>
            <w:tcW w:w="364"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13</w:t>
            </w:r>
          </w:p>
        </w:tc>
        <w:tc>
          <w:tcPr>
            <w:tcW w:w="357"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152</w:t>
            </w:r>
          </w:p>
        </w:tc>
        <w:tc>
          <w:tcPr>
            <w:tcW w:w="43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10 567</w:t>
            </w:r>
          </w:p>
        </w:tc>
      </w:tr>
      <w:tr w:rsidR="007A1AB1" w:rsidRPr="007A1AB1" w:rsidTr="007A1AB1">
        <w:trPr>
          <w:trHeight w:val="20"/>
        </w:trPr>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Olomouc</w:t>
            </w:r>
          </w:p>
        </w:tc>
        <w:tc>
          <w:tcPr>
            <w:tcW w:w="477"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52 342</w:t>
            </w:r>
          </w:p>
        </w:tc>
        <w:tc>
          <w:tcPr>
            <w:tcW w:w="679"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14 435</w:t>
            </w:r>
          </w:p>
        </w:tc>
        <w:tc>
          <w:tcPr>
            <w:tcW w:w="39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7 542</w:t>
            </w:r>
          </w:p>
        </w:tc>
        <w:tc>
          <w:tcPr>
            <w:tcW w:w="462"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3 700</w:t>
            </w:r>
          </w:p>
        </w:tc>
        <w:tc>
          <w:tcPr>
            <w:tcW w:w="490"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1 178</w:t>
            </w:r>
          </w:p>
        </w:tc>
        <w:tc>
          <w:tcPr>
            <w:tcW w:w="518"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2 664</w:t>
            </w:r>
          </w:p>
        </w:tc>
        <w:tc>
          <w:tcPr>
            <w:tcW w:w="34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422</w:t>
            </w:r>
          </w:p>
        </w:tc>
        <w:tc>
          <w:tcPr>
            <w:tcW w:w="364"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118</w:t>
            </w:r>
          </w:p>
        </w:tc>
        <w:tc>
          <w:tcPr>
            <w:tcW w:w="357"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898</w:t>
            </w:r>
          </w:p>
        </w:tc>
        <w:tc>
          <w:tcPr>
            <w:tcW w:w="43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61 322</w:t>
            </w:r>
          </w:p>
        </w:tc>
      </w:tr>
      <w:tr w:rsidR="007A1AB1" w:rsidRPr="007A1AB1" w:rsidTr="007A1AB1">
        <w:trPr>
          <w:trHeight w:val="20"/>
        </w:trPr>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Prostějov</w:t>
            </w:r>
          </w:p>
        </w:tc>
        <w:tc>
          <w:tcPr>
            <w:tcW w:w="477"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25 496</w:t>
            </w:r>
          </w:p>
        </w:tc>
        <w:tc>
          <w:tcPr>
            <w:tcW w:w="679"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7 851</w:t>
            </w:r>
          </w:p>
        </w:tc>
        <w:tc>
          <w:tcPr>
            <w:tcW w:w="39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4 196</w:t>
            </w:r>
          </w:p>
        </w:tc>
        <w:tc>
          <w:tcPr>
            <w:tcW w:w="462"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1 954</w:t>
            </w:r>
          </w:p>
        </w:tc>
        <w:tc>
          <w:tcPr>
            <w:tcW w:w="490"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520</w:t>
            </w:r>
          </w:p>
        </w:tc>
        <w:tc>
          <w:tcPr>
            <w:tcW w:w="518"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1 722</w:t>
            </w:r>
          </w:p>
        </w:tc>
        <w:tc>
          <w:tcPr>
            <w:tcW w:w="34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197</w:t>
            </w:r>
          </w:p>
        </w:tc>
        <w:tc>
          <w:tcPr>
            <w:tcW w:w="364"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71</w:t>
            </w:r>
          </w:p>
        </w:tc>
        <w:tc>
          <w:tcPr>
            <w:tcW w:w="357"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394</w:t>
            </w:r>
          </w:p>
        </w:tc>
        <w:tc>
          <w:tcPr>
            <w:tcW w:w="43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30 354</w:t>
            </w:r>
          </w:p>
        </w:tc>
      </w:tr>
      <w:tr w:rsidR="007A1AB1" w:rsidRPr="007A1AB1" w:rsidTr="007A1AB1">
        <w:trPr>
          <w:trHeight w:val="20"/>
        </w:trPr>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Přerov</w:t>
            </w:r>
          </w:p>
        </w:tc>
        <w:tc>
          <w:tcPr>
            <w:tcW w:w="477"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31 077</w:t>
            </w:r>
          </w:p>
        </w:tc>
        <w:tc>
          <w:tcPr>
            <w:tcW w:w="679"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10 457</w:t>
            </w:r>
          </w:p>
        </w:tc>
        <w:tc>
          <w:tcPr>
            <w:tcW w:w="39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5 295</w:t>
            </w:r>
          </w:p>
        </w:tc>
        <w:tc>
          <w:tcPr>
            <w:tcW w:w="462"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2 206</w:t>
            </w:r>
          </w:p>
        </w:tc>
        <w:tc>
          <w:tcPr>
            <w:tcW w:w="490"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961</w:t>
            </w:r>
          </w:p>
        </w:tc>
        <w:tc>
          <w:tcPr>
            <w:tcW w:w="518"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2 128</w:t>
            </w:r>
          </w:p>
        </w:tc>
        <w:tc>
          <w:tcPr>
            <w:tcW w:w="34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258</w:t>
            </w:r>
          </w:p>
        </w:tc>
        <w:tc>
          <w:tcPr>
            <w:tcW w:w="364"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58</w:t>
            </w:r>
          </w:p>
        </w:tc>
        <w:tc>
          <w:tcPr>
            <w:tcW w:w="357"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539</w:t>
            </w:r>
          </w:p>
        </w:tc>
        <w:tc>
          <w:tcPr>
            <w:tcW w:w="43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37 227</w:t>
            </w:r>
          </w:p>
        </w:tc>
      </w:tr>
      <w:tr w:rsidR="007A1AB1" w:rsidRPr="007A1AB1" w:rsidTr="007A1AB1">
        <w:trPr>
          <w:trHeight w:val="20"/>
        </w:trPr>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Šumperk</w:t>
            </w:r>
          </w:p>
        </w:tc>
        <w:tc>
          <w:tcPr>
            <w:tcW w:w="477"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29 856</w:t>
            </w:r>
          </w:p>
        </w:tc>
        <w:tc>
          <w:tcPr>
            <w:tcW w:w="679"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11 278</w:t>
            </w:r>
          </w:p>
        </w:tc>
        <w:tc>
          <w:tcPr>
            <w:tcW w:w="39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5 503</w:t>
            </w:r>
          </w:p>
        </w:tc>
        <w:tc>
          <w:tcPr>
            <w:tcW w:w="462"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1 736</w:t>
            </w:r>
          </w:p>
        </w:tc>
        <w:tc>
          <w:tcPr>
            <w:tcW w:w="490"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1 121</w:t>
            </w:r>
          </w:p>
        </w:tc>
        <w:tc>
          <w:tcPr>
            <w:tcW w:w="518"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2 646</w:t>
            </w:r>
          </w:p>
        </w:tc>
        <w:tc>
          <w:tcPr>
            <w:tcW w:w="34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237</w:t>
            </w:r>
          </w:p>
        </w:tc>
        <w:tc>
          <w:tcPr>
            <w:tcW w:w="364"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67</w:t>
            </w:r>
          </w:p>
        </w:tc>
        <w:tc>
          <w:tcPr>
            <w:tcW w:w="357"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545</w:t>
            </w:r>
          </w:p>
        </w:tc>
        <w:tc>
          <w:tcPr>
            <w:tcW w:w="43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36 208</w:t>
            </w:r>
          </w:p>
        </w:tc>
      </w:tr>
      <w:tr w:rsidR="007A1AB1" w:rsidRPr="007A1AB1" w:rsidTr="007A1AB1">
        <w:trPr>
          <w:trHeight w:val="20"/>
        </w:trPr>
        <w:tc>
          <w:tcPr>
            <w:tcW w:w="484" w:type="pct"/>
            <w:tcBorders>
              <w:top w:val="nil"/>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OK</w:t>
            </w:r>
          </w:p>
        </w:tc>
        <w:tc>
          <w:tcPr>
            <w:tcW w:w="477"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148 096</w:t>
            </w:r>
          </w:p>
        </w:tc>
        <w:tc>
          <w:tcPr>
            <w:tcW w:w="679"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47 838</w:t>
            </w:r>
          </w:p>
        </w:tc>
        <w:tc>
          <w:tcPr>
            <w:tcW w:w="39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23 545</w:t>
            </w:r>
          </w:p>
        </w:tc>
        <w:tc>
          <w:tcPr>
            <w:tcW w:w="462"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9 973</w:t>
            </w:r>
          </w:p>
        </w:tc>
        <w:tc>
          <w:tcPr>
            <w:tcW w:w="490"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3 947</w:t>
            </w:r>
          </w:p>
        </w:tc>
        <w:tc>
          <w:tcPr>
            <w:tcW w:w="518"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9 625</w:t>
            </w:r>
          </w:p>
        </w:tc>
        <w:tc>
          <w:tcPr>
            <w:tcW w:w="34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1 182</w:t>
            </w:r>
          </w:p>
        </w:tc>
        <w:tc>
          <w:tcPr>
            <w:tcW w:w="364"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327</w:t>
            </w:r>
          </w:p>
        </w:tc>
        <w:tc>
          <w:tcPr>
            <w:tcW w:w="357"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2 528</w:t>
            </w:r>
          </w:p>
        </w:tc>
        <w:tc>
          <w:tcPr>
            <w:tcW w:w="43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keepNext/>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175 678</w:t>
            </w:r>
          </w:p>
        </w:tc>
      </w:tr>
    </w:tbl>
    <w:p w:rsidR="00AF4350" w:rsidRPr="0039748C" w:rsidRDefault="00AF4350" w:rsidP="007A1AB1">
      <w:pPr>
        <w:pStyle w:val="Zdrojobjektu"/>
      </w:pPr>
      <w:r w:rsidRPr="0039748C">
        <w:t>Zdroj: Česká správa sociálního zabezpečení (2022), zpracování ACCENDO (2022)</w:t>
      </w:r>
    </w:p>
    <w:p w:rsidR="00AF4350" w:rsidRPr="0039748C" w:rsidRDefault="00AF4350" w:rsidP="007A1AB1">
      <w:pPr>
        <w:pStyle w:val="popistabulkySPRSS2024"/>
      </w:pPr>
      <w:bookmarkStart w:id="72" w:name="_Toc117607036"/>
      <w:r w:rsidRPr="0039748C">
        <w:t xml:space="preserve">Graf </w:t>
      </w:r>
      <w:r w:rsidR="00412C70">
        <w:fldChar w:fldCharType="begin"/>
      </w:r>
      <w:r w:rsidR="00412C70">
        <w:instrText xml:space="preserve"> SEQ Graf \* ARABIC </w:instrText>
      </w:r>
      <w:r w:rsidR="00412C70">
        <w:fldChar w:fldCharType="separate"/>
      </w:r>
      <w:r w:rsidR="003A12AF">
        <w:rPr>
          <w:noProof/>
        </w:rPr>
        <w:t>10</w:t>
      </w:r>
      <w:r w:rsidR="00412C70">
        <w:rPr>
          <w:noProof/>
        </w:rPr>
        <w:fldChar w:fldCharType="end"/>
      </w:r>
      <w:r>
        <w:rPr>
          <w:noProof/>
        </w:rPr>
        <w:t>:</w:t>
      </w:r>
      <w:r w:rsidRPr="0039748C">
        <w:t xml:space="preserve"> Počet osob pobírajících starobní důchod v OK k 31. 12. 2021</w:t>
      </w:r>
      <w:bookmarkEnd w:id="72"/>
    </w:p>
    <w:p w:rsidR="00AF4350" w:rsidRPr="0039748C" w:rsidRDefault="00C27004" w:rsidP="007A1AB1">
      <w:pPr>
        <w:spacing w:before="0"/>
        <w:rPr>
          <w:lang w:eastAsia="cs-CZ"/>
        </w:rPr>
      </w:pPr>
      <w:r>
        <w:rPr>
          <w:noProof/>
          <w:lang w:eastAsia="cs-CZ"/>
        </w:rPr>
        <w:drawing>
          <wp:inline distT="0" distB="0" distL="0" distR="0" wp14:anchorId="012D5E75" wp14:editId="3F19CE2A">
            <wp:extent cx="6151245" cy="2292350"/>
            <wp:effectExtent l="0" t="0" r="190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1245" cy="2292350"/>
                    </a:xfrm>
                    <a:prstGeom prst="rect">
                      <a:avLst/>
                    </a:prstGeom>
                    <a:noFill/>
                  </pic:spPr>
                </pic:pic>
              </a:graphicData>
            </a:graphic>
          </wp:inline>
        </w:drawing>
      </w:r>
    </w:p>
    <w:p w:rsidR="00AF4350" w:rsidRPr="0039748C" w:rsidRDefault="00AF4350" w:rsidP="007A1AB1">
      <w:pPr>
        <w:pStyle w:val="Zdrojobjektu"/>
      </w:pPr>
      <w:r w:rsidRPr="0039748C">
        <w:t>Zdroj: Česká správa sociálního zabezpečení (2022), zpracování ACCENDO (2022)</w:t>
      </w:r>
    </w:p>
    <w:p w:rsidR="007A1AB1" w:rsidRDefault="007A1AB1" w:rsidP="00A34764">
      <w:pPr>
        <w:rPr>
          <w:shd w:val="clear" w:color="auto" w:fill="FFFFFF"/>
        </w:rPr>
      </w:pPr>
    </w:p>
    <w:p w:rsidR="00AF4350" w:rsidRPr="0039748C" w:rsidRDefault="00AF4350" w:rsidP="00A34764">
      <w:pPr>
        <w:rPr>
          <w:shd w:val="clear" w:color="auto" w:fill="FFFFFF"/>
        </w:rPr>
      </w:pPr>
      <w:r w:rsidRPr="0039748C">
        <w:rPr>
          <w:shd w:val="clear" w:color="auto" w:fill="FFFFFF"/>
        </w:rPr>
        <w:t>Invalidní důchod pobíralo v OK celkem 24 tis. obyvatel, z toho 10 tis. I. stupeň, 4 tis. II. stupeň a 10 tis. III. stupeň. Rozdíly mezi jednotlivými okresy OK jsou uvedeny v následujícím grafu.</w:t>
      </w:r>
    </w:p>
    <w:p w:rsidR="00AF4350" w:rsidRPr="0039748C" w:rsidRDefault="00AF4350" w:rsidP="007A1AB1">
      <w:pPr>
        <w:pStyle w:val="popistabulkySPRSS2024"/>
      </w:pPr>
      <w:bookmarkStart w:id="73" w:name="_Toc117607037"/>
      <w:r w:rsidRPr="0039748C">
        <w:t xml:space="preserve">Graf </w:t>
      </w:r>
      <w:r w:rsidR="00412C70">
        <w:fldChar w:fldCharType="begin"/>
      </w:r>
      <w:r w:rsidR="00412C70">
        <w:instrText xml:space="preserve"> SEQ Graf \* ARABIC </w:instrText>
      </w:r>
      <w:r w:rsidR="00412C70">
        <w:fldChar w:fldCharType="separate"/>
      </w:r>
      <w:r w:rsidR="003A12AF">
        <w:rPr>
          <w:noProof/>
        </w:rPr>
        <w:t>11</w:t>
      </w:r>
      <w:r w:rsidR="00412C70">
        <w:rPr>
          <w:noProof/>
        </w:rPr>
        <w:fldChar w:fldCharType="end"/>
      </w:r>
      <w:r w:rsidRPr="0039748C">
        <w:t xml:space="preserve"> Počet osob pobírajících invalidní důchod v OK k 31. 12. 2021</w:t>
      </w:r>
      <w:bookmarkEnd w:id="73"/>
    </w:p>
    <w:p w:rsidR="00AF4350" w:rsidRPr="0039748C" w:rsidRDefault="00C27004" w:rsidP="007A1AB1">
      <w:pPr>
        <w:spacing w:before="0"/>
        <w:rPr>
          <w:lang w:eastAsia="cs-CZ"/>
        </w:rPr>
      </w:pPr>
      <w:r>
        <w:rPr>
          <w:noProof/>
          <w:lang w:eastAsia="cs-CZ"/>
        </w:rPr>
        <w:drawing>
          <wp:inline distT="0" distB="0" distL="0" distR="0" wp14:anchorId="02863747" wp14:editId="5DBBCEB6">
            <wp:extent cx="6132830" cy="2395855"/>
            <wp:effectExtent l="0" t="0" r="1270" b="44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2830" cy="2395855"/>
                    </a:xfrm>
                    <a:prstGeom prst="rect">
                      <a:avLst/>
                    </a:prstGeom>
                    <a:noFill/>
                  </pic:spPr>
                </pic:pic>
              </a:graphicData>
            </a:graphic>
          </wp:inline>
        </w:drawing>
      </w:r>
    </w:p>
    <w:p w:rsidR="00AF4350" w:rsidRDefault="00AF4350" w:rsidP="007A1AB1">
      <w:pPr>
        <w:pStyle w:val="Zdrojobjektu"/>
      </w:pPr>
      <w:r w:rsidRPr="0039748C">
        <w:t>Zdroj: Česká správa sociálního zabezpečení (2022), zpracování ACCENDO (2022)</w:t>
      </w:r>
    </w:p>
    <w:p w:rsidR="00AF4350" w:rsidRPr="0039748C" w:rsidRDefault="00AF4350" w:rsidP="00A34764">
      <w:pPr>
        <w:rPr>
          <w:lang w:eastAsia="cs-CZ"/>
        </w:rPr>
      </w:pPr>
    </w:p>
    <w:p w:rsidR="00AF4350" w:rsidRPr="0039748C" w:rsidRDefault="00AF4350" w:rsidP="007A1AB1">
      <w:pPr>
        <w:pStyle w:val="Tun"/>
      </w:pPr>
      <w:r w:rsidRPr="0039748C">
        <w:lastRenderedPageBreak/>
        <w:t>Zadluženost</w:t>
      </w:r>
    </w:p>
    <w:p w:rsidR="00AF4350" w:rsidRPr="0039748C" w:rsidRDefault="00AF4350" w:rsidP="007A1AB1">
      <w:pPr>
        <w:keepNext/>
        <w:keepLines/>
      </w:pPr>
      <w:r w:rsidRPr="0039748C">
        <w:t>OK patří z hlediska podílu osob v exekuci s hodnotou 5,6 % mezi kraje se spíše nižší hodnotou tohoto ukazatele, do stejné kategorie (4,1 %</w:t>
      </w:r>
      <w:r>
        <w:t xml:space="preserve"> – </w:t>
      </w:r>
      <w:r w:rsidRPr="0039748C">
        <w:t xml:space="preserve">6 %) spadá dalších 6 krajů, nejvyšší podíl je v Ústeckém a Karlovarském kraji, nejmenší pak v Kraji Vysočina a Zlínském kraji. Od roku 2018 pak v OK klesla hodnota o 1,9 %, což odpovídá průměrnému poklesu v ČR. </w:t>
      </w:r>
    </w:p>
    <w:p w:rsidR="00AF4350" w:rsidRPr="0039748C" w:rsidRDefault="00AF4350" w:rsidP="00A34764">
      <w:r w:rsidRPr="0039748C">
        <w:t xml:space="preserve">V rámci OK je největší podíl osob v exekuci v SO ORP Jeseník (9,0 %), následují správní obvody Šternberk (6,9 %), Přerov (6,3 %) a Šumperk (6,2 %), naopak nejmenší podíl je ve správních obvodech Mohelnice (3,9 %) a Litovel (3,9 %). Počet osob v exekuci klesl mezi lety 2018–2022 o 14,8 tis. na hodnotu 35,1 tis. Pokles byl zaznamenán ve všech SO ORP. Největší relativní pokles byl v SO ORP Přerov (-3,5 %), Šumperk (-2,6 %) a Šternberk (-2,1 %), v ostatních správních obvodech byl pokles méně než 2%. </w:t>
      </w:r>
    </w:p>
    <w:p w:rsidR="00AF4350" w:rsidRPr="0039748C" w:rsidRDefault="00AF4350" w:rsidP="007A1AB1">
      <w:pPr>
        <w:pStyle w:val="popistabulkySPRSS2024"/>
      </w:pPr>
      <w:bookmarkStart w:id="74" w:name="_Toc117607055"/>
      <w:r w:rsidRPr="0039748C">
        <w:t xml:space="preserve">Mapa </w:t>
      </w:r>
      <w:r w:rsidRPr="0039748C">
        <w:rPr>
          <w:noProof/>
        </w:rPr>
        <w:fldChar w:fldCharType="begin"/>
      </w:r>
      <w:r w:rsidRPr="0039748C">
        <w:rPr>
          <w:noProof/>
        </w:rPr>
        <w:instrText xml:space="preserve"> SEQ Mapa \* ARABIC </w:instrText>
      </w:r>
      <w:r w:rsidRPr="0039748C">
        <w:rPr>
          <w:noProof/>
        </w:rPr>
        <w:fldChar w:fldCharType="separate"/>
      </w:r>
      <w:r w:rsidR="003A12AF">
        <w:rPr>
          <w:noProof/>
        </w:rPr>
        <w:t>3</w:t>
      </w:r>
      <w:r w:rsidRPr="0039748C">
        <w:rPr>
          <w:noProof/>
        </w:rPr>
        <w:fldChar w:fldCharType="end"/>
      </w:r>
      <w:r>
        <w:rPr>
          <w:noProof/>
        </w:rPr>
        <w:t>:</w:t>
      </w:r>
      <w:r w:rsidRPr="0039748C">
        <w:t xml:space="preserve"> Podíl exekucí a výše celkového dluhu ve SO ORP a krajích ČR v letech 2018 a 2022</w:t>
      </w:r>
      <w:bookmarkEnd w:id="74"/>
    </w:p>
    <w:p w:rsidR="00AF4350" w:rsidRPr="0039748C" w:rsidRDefault="00AF4350" w:rsidP="007A1AB1">
      <w:pPr>
        <w:spacing w:before="0"/>
      </w:pPr>
      <w:r w:rsidRPr="0039748C">
        <w:rPr>
          <w:noProof/>
          <w:lang w:eastAsia="cs-CZ"/>
        </w:rPr>
        <w:drawing>
          <wp:inline distT="0" distB="0" distL="0" distR="0" wp14:anchorId="061E51F0" wp14:editId="543A0767">
            <wp:extent cx="5760000" cy="5379094"/>
            <wp:effectExtent l="0" t="0" r="0" b="0"/>
            <wp:docPr id="50" name="Obrázek 50" descr="D:\PROCES\04_Projekty\2020_KPSS_OLK_20-22\OLK\Exeku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CES\04_Projekty\2020_KPSS_OLK_20-22\OLK\Exekuce2.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101" b="2511"/>
                    <a:stretch/>
                  </pic:blipFill>
                  <pic:spPr bwMode="auto">
                    <a:xfrm>
                      <a:off x="0" y="0"/>
                      <a:ext cx="5760000" cy="5379094"/>
                    </a:xfrm>
                    <a:prstGeom prst="rect">
                      <a:avLst/>
                    </a:prstGeom>
                    <a:noFill/>
                    <a:ln>
                      <a:noFill/>
                    </a:ln>
                    <a:extLst>
                      <a:ext uri="{53640926-AAD7-44D8-BBD7-CCE9431645EC}">
                        <a14:shadowObscured xmlns:a14="http://schemas.microsoft.com/office/drawing/2010/main"/>
                      </a:ext>
                    </a:extLst>
                  </pic:spPr>
                </pic:pic>
              </a:graphicData>
            </a:graphic>
          </wp:inline>
        </w:drawing>
      </w:r>
    </w:p>
    <w:p w:rsidR="00AF4350" w:rsidRDefault="00AF4350" w:rsidP="007A1AB1">
      <w:pPr>
        <w:pStyle w:val="Zdrojobjektu"/>
      </w:pPr>
      <w:r w:rsidRPr="0039748C">
        <w:t>Zdroj: Exekutorská komora, data k 1. 1.</w:t>
      </w:r>
      <w:r>
        <w:t xml:space="preserve"> daného roku</w:t>
      </w:r>
      <w:r w:rsidRPr="0039748C">
        <w:t>, zpracování ACCENDO (2022)</w:t>
      </w:r>
    </w:p>
    <w:p w:rsidR="00AF4350" w:rsidRPr="0039748C" w:rsidRDefault="00AF4350" w:rsidP="00A34764">
      <w:r w:rsidRPr="0039748C">
        <w:t>Počet exekucí v OK klesl o 12,1 % na hodnotu 221 tis., největší relativní pokles byl zaznamenán v SO ORP Přerov (-22,6 %), následovaly SO ORP Mohelnice a Šumperk s 19,9% poklesem. Nárůst počtu exekucí nastal naopak v SO ORP Konice a (+7,2 %) a Uničov (+2,3 %). Na jednoho dlužníka připadá v OK průměrně 6,3 exekuc</w:t>
      </w:r>
      <w:r>
        <w:t>í</w:t>
      </w:r>
      <w:r w:rsidRPr="0039748C">
        <w:t>, největší počet exekucí na dlužníka je pak v SO ORP Šternberk (7,5), Olomouc (7,0) a Litovel (6,6), nejméně pak v SO ORP Mohelnice (5,1). Počet exekucí na 1 dlužníka vzrostl v OK o hodnotu 1,3.</w:t>
      </w:r>
    </w:p>
    <w:p w:rsidR="00AF4350" w:rsidRPr="0039748C" w:rsidRDefault="00AF4350" w:rsidP="007A1AB1">
      <w:pPr>
        <w:pStyle w:val="popistabulkySPRSS2024"/>
      </w:pPr>
      <w:bookmarkStart w:id="75" w:name="_Toc117607069"/>
      <w:r w:rsidRPr="0039748C">
        <w:lastRenderedPageBreak/>
        <w:t xml:space="preserve">Tabulka </w:t>
      </w:r>
      <w:r w:rsidR="00412C70">
        <w:fldChar w:fldCharType="begin"/>
      </w:r>
      <w:r w:rsidR="00412C70">
        <w:instrText xml:space="preserve"> SEQ Tabulka \* ARABIC </w:instrText>
      </w:r>
      <w:r w:rsidR="00412C70">
        <w:fldChar w:fldCharType="separate"/>
      </w:r>
      <w:r w:rsidR="003A12AF">
        <w:rPr>
          <w:noProof/>
        </w:rPr>
        <w:t>9</w:t>
      </w:r>
      <w:r w:rsidR="00412C70">
        <w:rPr>
          <w:noProof/>
        </w:rPr>
        <w:fldChar w:fldCharType="end"/>
      </w:r>
      <w:r>
        <w:rPr>
          <w:noProof/>
        </w:rPr>
        <w:t>:</w:t>
      </w:r>
      <w:r w:rsidRPr="0039748C">
        <w:t xml:space="preserve"> Počet a podíl obyvatel v exekuci v SO ORP OK v letech 2018 a 2022</w:t>
      </w:r>
      <w:bookmarkEnd w:id="75"/>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5"/>
        <w:gridCol w:w="703"/>
        <w:gridCol w:w="704"/>
        <w:gridCol w:w="717"/>
        <w:gridCol w:w="712"/>
        <w:gridCol w:w="571"/>
        <w:gridCol w:w="704"/>
        <w:gridCol w:w="735"/>
        <w:gridCol w:w="735"/>
        <w:gridCol w:w="712"/>
        <w:gridCol w:w="567"/>
        <w:gridCol w:w="567"/>
        <w:gridCol w:w="699"/>
      </w:tblGrid>
      <w:tr w:rsidR="007A1AB1" w:rsidRPr="007A1AB1" w:rsidTr="00DD1B74">
        <w:trPr>
          <w:trHeight w:val="20"/>
        </w:trPr>
        <w:tc>
          <w:tcPr>
            <w:tcW w:w="501" w:type="pct"/>
            <w:vMerge w:val="restart"/>
            <w:shd w:val="clear" w:color="000000" w:fill="F2F2F2"/>
            <w:vAlign w:val="center"/>
            <w:hideMark/>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SO ORP</w:t>
            </w:r>
          </w:p>
        </w:tc>
        <w:tc>
          <w:tcPr>
            <w:tcW w:w="1176" w:type="pct"/>
            <w:gridSpan w:val="3"/>
            <w:shd w:val="clear" w:color="000000" w:fill="F2F2F2"/>
            <w:noWrap/>
            <w:vAlign w:val="center"/>
            <w:hideMark/>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Počet obyvatel v exekuci</w:t>
            </w:r>
          </w:p>
        </w:tc>
        <w:tc>
          <w:tcPr>
            <w:tcW w:w="1100" w:type="pct"/>
            <w:gridSpan w:val="3"/>
            <w:shd w:val="clear" w:color="000000" w:fill="F2F2F2"/>
            <w:noWrap/>
            <w:vAlign w:val="center"/>
            <w:hideMark/>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Podíl obyvatel v exekuci</w:t>
            </w:r>
          </w:p>
        </w:tc>
        <w:tc>
          <w:tcPr>
            <w:tcW w:w="2222" w:type="pct"/>
            <w:gridSpan w:val="6"/>
            <w:shd w:val="clear" w:color="000000" w:fill="F2F2F2"/>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Calibri" w:hAnsi="Calibri" w:cs="Calibri"/>
                <w:b/>
                <w:bCs/>
                <w:color w:val="000000"/>
                <w:sz w:val="18"/>
                <w:szCs w:val="18"/>
                <w:lang w:eastAsia="cs-CZ"/>
              </w:rPr>
              <w:t>Počet exekucí</w:t>
            </w:r>
          </w:p>
        </w:tc>
      </w:tr>
      <w:tr w:rsidR="007A1AB1" w:rsidRPr="007A1AB1" w:rsidTr="00DD1B74">
        <w:trPr>
          <w:trHeight w:val="20"/>
        </w:trPr>
        <w:tc>
          <w:tcPr>
            <w:tcW w:w="501" w:type="pct"/>
            <w:vMerge/>
            <w:vAlign w:val="center"/>
            <w:hideMark/>
          </w:tcPr>
          <w:p w:rsidR="007A1AB1" w:rsidRPr="007A1AB1" w:rsidRDefault="007A1AB1" w:rsidP="007A1AB1">
            <w:pPr>
              <w:spacing w:before="0"/>
              <w:jc w:val="center"/>
              <w:rPr>
                <w:rFonts w:asciiTheme="minorHAnsi" w:hAnsiTheme="minorHAnsi" w:cstheme="minorHAnsi"/>
                <w:b/>
                <w:bCs/>
                <w:color w:val="000000"/>
                <w:sz w:val="18"/>
                <w:szCs w:val="18"/>
                <w:lang w:eastAsia="cs-CZ"/>
              </w:rPr>
            </w:pPr>
          </w:p>
        </w:tc>
        <w:tc>
          <w:tcPr>
            <w:tcW w:w="389" w:type="pct"/>
            <w:vMerge w:val="restart"/>
            <w:shd w:val="clear" w:color="000000" w:fill="F2F2F2"/>
            <w:noWrap/>
            <w:vAlign w:val="center"/>
            <w:hideMark/>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2018</w:t>
            </w:r>
          </w:p>
        </w:tc>
        <w:tc>
          <w:tcPr>
            <w:tcW w:w="390" w:type="pct"/>
            <w:vMerge w:val="restart"/>
            <w:shd w:val="clear" w:color="000000" w:fill="F2F2F2"/>
            <w:noWrap/>
            <w:vAlign w:val="center"/>
            <w:hideMark/>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2022</w:t>
            </w:r>
          </w:p>
        </w:tc>
        <w:tc>
          <w:tcPr>
            <w:tcW w:w="397" w:type="pct"/>
            <w:vMerge w:val="restart"/>
            <w:shd w:val="clear" w:color="000000" w:fill="F2F2F2"/>
            <w:noWrap/>
            <w:vAlign w:val="center"/>
            <w:hideMark/>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Změna</w:t>
            </w:r>
          </w:p>
        </w:tc>
        <w:tc>
          <w:tcPr>
            <w:tcW w:w="394" w:type="pct"/>
            <w:vMerge w:val="restart"/>
            <w:shd w:val="clear" w:color="000000" w:fill="F2F2F2"/>
            <w:noWrap/>
            <w:vAlign w:val="center"/>
            <w:hideMark/>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2018</w:t>
            </w:r>
          </w:p>
        </w:tc>
        <w:tc>
          <w:tcPr>
            <w:tcW w:w="316" w:type="pct"/>
            <w:vMerge w:val="restart"/>
            <w:shd w:val="clear" w:color="000000" w:fill="F2F2F2"/>
            <w:noWrap/>
            <w:vAlign w:val="center"/>
            <w:hideMark/>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2022</w:t>
            </w:r>
          </w:p>
        </w:tc>
        <w:tc>
          <w:tcPr>
            <w:tcW w:w="390" w:type="pct"/>
            <w:vMerge w:val="restart"/>
            <w:shd w:val="clear" w:color="000000" w:fill="F2F2F2"/>
            <w:noWrap/>
            <w:vAlign w:val="center"/>
            <w:hideMark/>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Theme="minorHAnsi" w:hAnsiTheme="minorHAnsi" w:cstheme="minorHAnsi"/>
                <w:b/>
                <w:bCs/>
                <w:color w:val="000000"/>
                <w:sz w:val="18"/>
                <w:szCs w:val="18"/>
                <w:lang w:eastAsia="cs-CZ"/>
              </w:rPr>
              <w:t>Změna</w:t>
            </w:r>
          </w:p>
        </w:tc>
        <w:tc>
          <w:tcPr>
            <w:tcW w:w="407" w:type="pct"/>
            <w:vMerge w:val="restart"/>
            <w:shd w:val="clear" w:color="000000" w:fill="F2F2F2"/>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Calibri" w:hAnsi="Calibri" w:cs="Calibri"/>
                <w:b/>
                <w:bCs/>
                <w:color w:val="000000"/>
                <w:sz w:val="18"/>
                <w:szCs w:val="18"/>
                <w:lang w:eastAsia="cs-CZ"/>
              </w:rPr>
              <w:t>2018</w:t>
            </w:r>
          </w:p>
        </w:tc>
        <w:tc>
          <w:tcPr>
            <w:tcW w:w="407" w:type="pct"/>
            <w:vMerge w:val="restart"/>
            <w:shd w:val="clear" w:color="000000" w:fill="F2F2F2"/>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Calibri" w:hAnsi="Calibri" w:cs="Calibri"/>
                <w:b/>
                <w:bCs/>
                <w:color w:val="000000"/>
                <w:sz w:val="18"/>
                <w:szCs w:val="18"/>
                <w:lang w:eastAsia="cs-CZ"/>
              </w:rPr>
              <w:t>2022</w:t>
            </w:r>
          </w:p>
        </w:tc>
        <w:tc>
          <w:tcPr>
            <w:tcW w:w="394" w:type="pct"/>
            <w:vMerge w:val="restart"/>
            <w:shd w:val="clear" w:color="000000" w:fill="F2F2F2"/>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Calibri" w:hAnsi="Calibri" w:cs="Calibri"/>
                <w:b/>
                <w:bCs/>
                <w:color w:val="000000"/>
                <w:sz w:val="18"/>
                <w:szCs w:val="18"/>
                <w:lang w:eastAsia="cs-CZ"/>
              </w:rPr>
              <w:t>Změna (%)</w:t>
            </w:r>
          </w:p>
        </w:tc>
        <w:tc>
          <w:tcPr>
            <w:tcW w:w="1015" w:type="pct"/>
            <w:gridSpan w:val="3"/>
            <w:shd w:val="clear" w:color="000000" w:fill="F2F2F2"/>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Calibri" w:hAnsi="Calibri" w:cs="Calibri"/>
                <w:b/>
                <w:bCs/>
                <w:color w:val="000000"/>
                <w:sz w:val="18"/>
                <w:szCs w:val="18"/>
                <w:lang w:eastAsia="cs-CZ"/>
              </w:rPr>
              <w:t>Průměrně na jednoho dlužníka</w:t>
            </w:r>
          </w:p>
        </w:tc>
      </w:tr>
      <w:tr w:rsidR="007A1AB1" w:rsidRPr="007A1AB1" w:rsidTr="00DD1B74">
        <w:trPr>
          <w:trHeight w:val="20"/>
        </w:trPr>
        <w:tc>
          <w:tcPr>
            <w:tcW w:w="501" w:type="pct"/>
            <w:vMerge/>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p>
        </w:tc>
        <w:tc>
          <w:tcPr>
            <w:tcW w:w="389" w:type="pct"/>
            <w:vMerge/>
            <w:shd w:val="clear" w:color="000000" w:fill="F2F2F2"/>
            <w:noWrap/>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p>
        </w:tc>
        <w:tc>
          <w:tcPr>
            <w:tcW w:w="390" w:type="pct"/>
            <w:vMerge/>
            <w:shd w:val="clear" w:color="000000" w:fill="F2F2F2"/>
            <w:noWrap/>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p>
        </w:tc>
        <w:tc>
          <w:tcPr>
            <w:tcW w:w="397" w:type="pct"/>
            <w:vMerge/>
            <w:shd w:val="clear" w:color="000000" w:fill="F2F2F2"/>
            <w:noWrap/>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p>
        </w:tc>
        <w:tc>
          <w:tcPr>
            <w:tcW w:w="394" w:type="pct"/>
            <w:vMerge/>
            <w:shd w:val="clear" w:color="000000" w:fill="F2F2F2"/>
            <w:noWrap/>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p>
        </w:tc>
        <w:tc>
          <w:tcPr>
            <w:tcW w:w="316" w:type="pct"/>
            <w:vMerge/>
            <w:shd w:val="clear" w:color="000000" w:fill="F2F2F2"/>
            <w:noWrap/>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p>
        </w:tc>
        <w:tc>
          <w:tcPr>
            <w:tcW w:w="390" w:type="pct"/>
            <w:vMerge/>
            <w:shd w:val="clear" w:color="000000" w:fill="F2F2F2"/>
            <w:noWrap/>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p>
        </w:tc>
        <w:tc>
          <w:tcPr>
            <w:tcW w:w="407" w:type="pct"/>
            <w:vMerge/>
            <w:shd w:val="clear" w:color="000000" w:fill="F2F2F2"/>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p>
        </w:tc>
        <w:tc>
          <w:tcPr>
            <w:tcW w:w="407" w:type="pct"/>
            <w:vMerge/>
            <w:shd w:val="clear" w:color="000000" w:fill="F2F2F2"/>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p>
        </w:tc>
        <w:tc>
          <w:tcPr>
            <w:tcW w:w="394" w:type="pct"/>
            <w:vMerge/>
            <w:shd w:val="clear" w:color="000000" w:fill="F2F2F2"/>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p>
        </w:tc>
        <w:tc>
          <w:tcPr>
            <w:tcW w:w="314" w:type="pct"/>
            <w:shd w:val="clear" w:color="000000" w:fill="F2F2F2"/>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Calibri" w:hAnsi="Calibri" w:cs="Calibri"/>
                <w:b/>
                <w:bCs/>
                <w:color w:val="000000"/>
                <w:sz w:val="18"/>
                <w:szCs w:val="18"/>
                <w:lang w:eastAsia="cs-CZ"/>
              </w:rPr>
              <w:t>2018</w:t>
            </w:r>
          </w:p>
        </w:tc>
        <w:tc>
          <w:tcPr>
            <w:tcW w:w="314" w:type="pct"/>
            <w:shd w:val="clear" w:color="000000" w:fill="F2F2F2"/>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Calibri" w:hAnsi="Calibri" w:cs="Calibri"/>
                <w:b/>
                <w:bCs/>
                <w:color w:val="000000"/>
                <w:sz w:val="18"/>
                <w:szCs w:val="18"/>
                <w:lang w:eastAsia="cs-CZ"/>
              </w:rPr>
              <w:t>2022</w:t>
            </w:r>
          </w:p>
        </w:tc>
        <w:tc>
          <w:tcPr>
            <w:tcW w:w="387" w:type="pct"/>
            <w:shd w:val="clear" w:color="000000" w:fill="F2F2F2"/>
            <w:vAlign w:val="center"/>
          </w:tcPr>
          <w:p w:rsidR="007A1AB1" w:rsidRPr="007A1AB1" w:rsidRDefault="007A1AB1" w:rsidP="007A1AB1">
            <w:pPr>
              <w:spacing w:before="0"/>
              <w:jc w:val="center"/>
              <w:rPr>
                <w:rFonts w:asciiTheme="minorHAnsi" w:hAnsiTheme="minorHAnsi" w:cstheme="minorHAnsi"/>
                <w:b/>
                <w:bCs/>
                <w:color w:val="000000"/>
                <w:sz w:val="18"/>
                <w:szCs w:val="18"/>
                <w:lang w:eastAsia="cs-CZ"/>
              </w:rPr>
            </w:pPr>
            <w:r w:rsidRPr="007A1AB1">
              <w:rPr>
                <w:rFonts w:ascii="Calibri" w:hAnsi="Calibri" w:cs="Calibri"/>
                <w:b/>
                <w:bCs/>
                <w:color w:val="000000"/>
                <w:sz w:val="18"/>
                <w:szCs w:val="18"/>
                <w:lang w:eastAsia="cs-CZ"/>
              </w:rPr>
              <w:t>Změna</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Hranice</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2 075</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1 530</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-545</w:t>
            </w:r>
          </w:p>
        </w:tc>
        <w:tc>
          <w:tcPr>
            <w:tcW w:w="394" w:type="pct"/>
            <w:shd w:val="clear" w:color="000000" w:fill="FCF7F9"/>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6,1 %</w:t>
            </w:r>
          </w:p>
        </w:tc>
        <w:tc>
          <w:tcPr>
            <w:tcW w:w="316" w:type="pct"/>
            <w:shd w:val="clear" w:color="000000" w:fill="91B1D9"/>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4,6 %</w:t>
            </w:r>
          </w:p>
        </w:tc>
        <w:tc>
          <w:tcPr>
            <w:tcW w:w="390" w:type="pct"/>
            <w:shd w:val="clear" w:color="000000" w:fill="BEE3CA"/>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-1,5 %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10 442</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8 873</w:t>
            </w:r>
          </w:p>
        </w:tc>
        <w:tc>
          <w:tcPr>
            <w:tcW w:w="394" w:type="pct"/>
            <w:shd w:val="clear" w:color="000000" w:fill="89CD9C"/>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-15,0 %</w:t>
            </w:r>
          </w:p>
        </w:tc>
        <w:tc>
          <w:tcPr>
            <w:tcW w:w="314" w:type="pct"/>
            <w:shd w:val="clear" w:color="000000" w:fill="9BB8DD"/>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5,0</w:t>
            </w:r>
          </w:p>
        </w:tc>
        <w:tc>
          <w:tcPr>
            <w:tcW w:w="314" w:type="pct"/>
            <w:shd w:val="clear" w:color="000000" w:fill="FCF7FA"/>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5,8</w:t>
            </w:r>
          </w:p>
        </w:tc>
        <w:tc>
          <w:tcPr>
            <w:tcW w:w="387" w:type="pct"/>
            <w:shd w:val="clear" w:color="000000" w:fill="D5EDDD"/>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0,8</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Jeseník</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4 212</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3 293</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-919</w:t>
            </w:r>
          </w:p>
        </w:tc>
        <w:tc>
          <w:tcPr>
            <w:tcW w:w="394" w:type="pct"/>
            <w:shd w:val="clear" w:color="000000" w:fill="F8696B"/>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10,9 %</w:t>
            </w:r>
          </w:p>
        </w:tc>
        <w:tc>
          <w:tcPr>
            <w:tcW w:w="316" w:type="pct"/>
            <w:shd w:val="clear" w:color="000000" w:fill="FAA2A4"/>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9,0 %</w:t>
            </w:r>
          </w:p>
        </w:tc>
        <w:tc>
          <w:tcPr>
            <w:tcW w:w="390" w:type="pct"/>
            <w:shd w:val="clear" w:color="000000" w:fill="AADAB8"/>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-1,9 %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22 018</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19 237</w:t>
            </w:r>
          </w:p>
        </w:tc>
        <w:tc>
          <w:tcPr>
            <w:tcW w:w="394" w:type="pct"/>
            <w:shd w:val="clear" w:color="000000" w:fill="96D2A7"/>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-12,6 %</w:t>
            </w:r>
          </w:p>
        </w:tc>
        <w:tc>
          <w:tcPr>
            <w:tcW w:w="314" w:type="pct"/>
            <w:shd w:val="clear" w:color="000000" w:fill="B6CBE6"/>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5,2</w:t>
            </w:r>
          </w:p>
        </w:tc>
        <w:tc>
          <w:tcPr>
            <w:tcW w:w="314" w:type="pct"/>
            <w:shd w:val="clear" w:color="000000" w:fill="FCF3F6"/>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5,8</w:t>
            </w:r>
          </w:p>
        </w:tc>
        <w:tc>
          <w:tcPr>
            <w:tcW w:w="387" w:type="pct"/>
            <w:shd w:val="clear" w:color="000000" w:fill="ECF6F1"/>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0,6</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Konice</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508</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480</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-28</w:t>
            </w:r>
          </w:p>
        </w:tc>
        <w:tc>
          <w:tcPr>
            <w:tcW w:w="394" w:type="pct"/>
            <w:shd w:val="clear" w:color="000000" w:fill="9FBBDE"/>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4,7 %</w:t>
            </w:r>
          </w:p>
        </w:tc>
        <w:tc>
          <w:tcPr>
            <w:tcW w:w="316" w:type="pct"/>
            <w:shd w:val="clear" w:color="000000" w:fill="91B0D9"/>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4,5 %</w:t>
            </w:r>
          </w:p>
        </w:tc>
        <w:tc>
          <w:tcPr>
            <w:tcW w:w="390" w:type="pct"/>
            <w:shd w:val="clear" w:color="000000" w:fill="FCFCFF"/>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-0,2 %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2 583</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2 769</w:t>
            </w:r>
          </w:p>
        </w:tc>
        <w:tc>
          <w:tcPr>
            <w:tcW w:w="394" w:type="pct"/>
            <w:shd w:val="clear" w:color="000000" w:fill="FCFCFF"/>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7,2 %</w:t>
            </w:r>
          </w:p>
        </w:tc>
        <w:tc>
          <w:tcPr>
            <w:tcW w:w="314" w:type="pct"/>
            <w:shd w:val="clear" w:color="000000" w:fill="A3BDDF"/>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5,1</w:t>
            </w:r>
          </w:p>
        </w:tc>
        <w:tc>
          <w:tcPr>
            <w:tcW w:w="314" w:type="pct"/>
            <w:shd w:val="clear" w:color="000000" w:fill="FCF9FC"/>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5,8</w:t>
            </w:r>
          </w:p>
        </w:tc>
        <w:tc>
          <w:tcPr>
            <w:tcW w:w="387" w:type="pct"/>
            <w:shd w:val="clear" w:color="000000" w:fill="E1F2E8"/>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0,7</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Lipník n. B. </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1 061</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802</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-259</w:t>
            </w:r>
          </w:p>
        </w:tc>
        <w:tc>
          <w:tcPr>
            <w:tcW w:w="394" w:type="pct"/>
            <w:shd w:val="clear" w:color="000000" w:fill="FCDBDE"/>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7,0 %</w:t>
            </w:r>
          </w:p>
        </w:tc>
        <w:tc>
          <w:tcPr>
            <w:tcW w:w="316" w:type="pct"/>
            <w:shd w:val="clear" w:color="000000" w:fill="D3DFF0"/>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5,4 %</w:t>
            </w:r>
          </w:p>
        </w:tc>
        <w:tc>
          <w:tcPr>
            <w:tcW w:w="390" w:type="pct"/>
            <w:shd w:val="clear" w:color="000000" w:fill="B8E0C4"/>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-1,6 %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4 947</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4 716</w:t>
            </w:r>
          </w:p>
        </w:tc>
        <w:tc>
          <w:tcPr>
            <w:tcW w:w="394" w:type="pct"/>
            <w:shd w:val="clear" w:color="000000" w:fill="BEE3CA"/>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-4,7 %</w:t>
            </w:r>
          </w:p>
        </w:tc>
        <w:tc>
          <w:tcPr>
            <w:tcW w:w="314" w:type="pct"/>
            <w:shd w:val="clear" w:color="000000" w:fill="6994CB"/>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4,7</w:t>
            </w:r>
          </w:p>
        </w:tc>
        <w:tc>
          <w:tcPr>
            <w:tcW w:w="314" w:type="pct"/>
            <w:shd w:val="clear" w:color="000000" w:fill="FCF0F3"/>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5,9</w:t>
            </w:r>
          </w:p>
        </w:tc>
        <w:tc>
          <w:tcPr>
            <w:tcW w:w="387" w:type="pct"/>
            <w:shd w:val="clear" w:color="000000" w:fill="91D1A3"/>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1,2</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Litovel</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1 255</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919</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-336</w:t>
            </w:r>
          </w:p>
        </w:tc>
        <w:tc>
          <w:tcPr>
            <w:tcW w:w="394" w:type="pct"/>
            <w:shd w:val="clear" w:color="000000" w:fill="CDDBEE"/>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5,3 %</w:t>
            </w:r>
          </w:p>
        </w:tc>
        <w:tc>
          <w:tcPr>
            <w:tcW w:w="316" w:type="pct"/>
            <w:shd w:val="clear" w:color="000000" w:fill="5C8BC6"/>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3,9 %</w:t>
            </w:r>
          </w:p>
        </w:tc>
        <w:tc>
          <w:tcPr>
            <w:tcW w:w="390" w:type="pct"/>
            <w:shd w:val="clear" w:color="000000" w:fill="C4E5CE"/>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-1,4 %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6 477</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6 096</w:t>
            </w:r>
          </w:p>
        </w:tc>
        <w:tc>
          <w:tcPr>
            <w:tcW w:w="394" w:type="pct"/>
            <w:shd w:val="clear" w:color="000000" w:fill="B8E0C4"/>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-5,9 %</w:t>
            </w:r>
          </w:p>
        </w:tc>
        <w:tc>
          <w:tcPr>
            <w:tcW w:w="314" w:type="pct"/>
            <w:shd w:val="clear" w:color="000000" w:fill="ADC4E3"/>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5,2</w:t>
            </w:r>
          </w:p>
        </w:tc>
        <w:tc>
          <w:tcPr>
            <w:tcW w:w="314" w:type="pct"/>
            <w:shd w:val="clear" w:color="000000" w:fill="FAB1B3"/>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6,6</w:t>
            </w:r>
          </w:p>
        </w:tc>
        <w:tc>
          <w:tcPr>
            <w:tcW w:w="387" w:type="pct"/>
            <w:shd w:val="clear" w:color="000000" w:fill="6BC282"/>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1,5</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Mohelnice</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979</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706</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-273</w:t>
            </w:r>
          </w:p>
        </w:tc>
        <w:tc>
          <w:tcPr>
            <w:tcW w:w="394" w:type="pct"/>
            <w:shd w:val="clear" w:color="000000" w:fill="D3DFF0"/>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5,4 %</w:t>
            </w:r>
          </w:p>
        </w:tc>
        <w:tc>
          <w:tcPr>
            <w:tcW w:w="316" w:type="pct"/>
            <w:shd w:val="clear" w:color="000000" w:fill="5A8AC6"/>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3,9 %</w:t>
            </w:r>
          </w:p>
        </w:tc>
        <w:tc>
          <w:tcPr>
            <w:tcW w:w="390" w:type="pct"/>
            <w:shd w:val="clear" w:color="000000" w:fill="BFE3CA"/>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-1,5 %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4 457</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3 570</w:t>
            </w:r>
          </w:p>
        </w:tc>
        <w:tc>
          <w:tcPr>
            <w:tcW w:w="394" w:type="pct"/>
            <w:shd w:val="clear" w:color="000000" w:fill="70C386"/>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-19,9 %</w:t>
            </w:r>
          </w:p>
        </w:tc>
        <w:tc>
          <w:tcPr>
            <w:tcW w:w="314" w:type="pct"/>
            <w:shd w:val="clear" w:color="000000" w:fill="5A8AC6"/>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4,6</w:t>
            </w:r>
          </w:p>
        </w:tc>
        <w:tc>
          <w:tcPr>
            <w:tcW w:w="314" w:type="pct"/>
            <w:shd w:val="clear" w:color="000000" w:fill="9FBADE"/>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5,1</w:t>
            </w:r>
          </w:p>
        </w:tc>
        <w:tc>
          <w:tcPr>
            <w:tcW w:w="387" w:type="pct"/>
            <w:shd w:val="clear" w:color="000000" w:fill="FCFCFF"/>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0,5</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Olomouc</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11 463</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8 740</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-2 723</w:t>
            </w:r>
          </w:p>
        </w:tc>
        <w:tc>
          <w:tcPr>
            <w:tcW w:w="394" w:type="pct"/>
            <w:shd w:val="clear" w:color="000000" w:fill="FCDBDE"/>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7,0 %</w:t>
            </w:r>
          </w:p>
        </w:tc>
        <w:tc>
          <w:tcPr>
            <w:tcW w:w="316" w:type="pct"/>
            <w:shd w:val="clear" w:color="000000" w:fill="D0DDEF"/>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5,3 %</w:t>
            </w:r>
          </w:p>
        </w:tc>
        <w:tc>
          <w:tcPr>
            <w:tcW w:w="390" w:type="pct"/>
            <w:shd w:val="clear" w:color="000000" w:fill="B6DFC3"/>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-1,7 %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66 740</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61 012</w:t>
            </w:r>
          </w:p>
        </w:tc>
        <w:tc>
          <w:tcPr>
            <w:tcW w:w="394" w:type="pct"/>
            <w:shd w:val="clear" w:color="000000" w:fill="AADBB9"/>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-8,6 %</w:t>
            </w:r>
          </w:p>
        </w:tc>
        <w:tc>
          <w:tcPr>
            <w:tcW w:w="314" w:type="pct"/>
            <w:shd w:val="clear" w:color="000000" w:fill="FCF5F8"/>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5,8</w:t>
            </w:r>
          </w:p>
        </w:tc>
        <w:tc>
          <w:tcPr>
            <w:tcW w:w="314" w:type="pct"/>
            <w:shd w:val="clear" w:color="000000" w:fill="FA9396"/>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7,0</w:t>
            </w:r>
          </w:p>
        </w:tc>
        <w:tc>
          <w:tcPr>
            <w:tcW w:w="387" w:type="pct"/>
            <w:shd w:val="clear" w:color="000000" w:fill="9AD5AB"/>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1,2</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Prostějov</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6 966</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5 320</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-1 646</w:t>
            </w:r>
          </w:p>
        </w:tc>
        <w:tc>
          <w:tcPr>
            <w:tcW w:w="394" w:type="pct"/>
            <w:shd w:val="clear" w:color="000000" w:fill="FBD8DA"/>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7,1 %</w:t>
            </w:r>
          </w:p>
        </w:tc>
        <w:tc>
          <w:tcPr>
            <w:tcW w:w="316" w:type="pct"/>
            <w:shd w:val="clear" w:color="000000" w:fill="DDE6F4"/>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5,5 %</w:t>
            </w:r>
          </w:p>
        </w:tc>
        <w:tc>
          <w:tcPr>
            <w:tcW w:w="390" w:type="pct"/>
            <w:shd w:val="clear" w:color="000000" w:fill="B8E0C4"/>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-1,6 %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35 342</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33 483</w:t>
            </w:r>
          </w:p>
        </w:tc>
        <w:tc>
          <w:tcPr>
            <w:tcW w:w="394" w:type="pct"/>
            <w:shd w:val="clear" w:color="000000" w:fill="BBE2C7"/>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-5,3 %</w:t>
            </w:r>
          </w:p>
        </w:tc>
        <w:tc>
          <w:tcPr>
            <w:tcW w:w="314" w:type="pct"/>
            <w:shd w:val="clear" w:color="000000" w:fill="A1BCDF"/>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5,1</w:t>
            </w:r>
          </w:p>
        </w:tc>
        <w:tc>
          <w:tcPr>
            <w:tcW w:w="314" w:type="pct"/>
            <w:shd w:val="clear" w:color="000000" w:fill="FBCDD0"/>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6,3</w:t>
            </w:r>
          </w:p>
        </w:tc>
        <w:tc>
          <w:tcPr>
            <w:tcW w:w="387" w:type="pct"/>
            <w:shd w:val="clear" w:color="000000" w:fill="91D1A3"/>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1,2</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Přerov</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7 899</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4 899</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-3 000</w:t>
            </w:r>
          </w:p>
        </w:tc>
        <w:tc>
          <w:tcPr>
            <w:tcW w:w="394" w:type="pct"/>
            <w:shd w:val="clear" w:color="000000" w:fill="F98B8D"/>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9,7 %</w:t>
            </w:r>
          </w:p>
        </w:tc>
        <w:tc>
          <w:tcPr>
            <w:tcW w:w="316" w:type="pct"/>
            <w:shd w:val="clear" w:color="000000" w:fill="FCF0F3"/>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6,3 %</w:t>
            </w:r>
          </w:p>
        </w:tc>
        <w:tc>
          <w:tcPr>
            <w:tcW w:w="390" w:type="pct"/>
            <w:shd w:val="clear" w:color="000000" w:fill="63BE7B"/>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-3,5 %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37 150</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28 767</w:t>
            </w:r>
          </w:p>
        </w:tc>
        <w:tc>
          <w:tcPr>
            <w:tcW w:w="394" w:type="pct"/>
            <w:shd w:val="clear" w:color="000000" w:fill="63BE7B"/>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-22,6 %</w:t>
            </w:r>
          </w:p>
        </w:tc>
        <w:tc>
          <w:tcPr>
            <w:tcW w:w="314" w:type="pct"/>
            <w:shd w:val="clear" w:color="000000" w:fill="6E98CD"/>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4,7</w:t>
            </w:r>
          </w:p>
        </w:tc>
        <w:tc>
          <w:tcPr>
            <w:tcW w:w="314" w:type="pct"/>
            <w:shd w:val="clear" w:color="000000" w:fill="FCF1F4"/>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5,9</w:t>
            </w:r>
          </w:p>
        </w:tc>
        <w:tc>
          <w:tcPr>
            <w:tcW w:w="387" w:type="pct"/>
            <w:shd w:val="clear" w:color="000000" w:fill="99D4A9"/>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1,2</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Šternberk</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2 161</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1 632</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-529</w:t>
            </w:r>
          </w:p>
        </w:tc>
        <w:tc>
          <w:tcPr>
            <w:tcW w:w="394" w:type="pct"/>
            <w:shd w:val="clear" w:color="000000" w:fill="FAA3A5"/>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8,9 %</w:t>
            </w:r>
          </w:p>
        </w:tc>
        <w:tc>
          <w:tcPr>
            <w:tcW w:w="316" w:type="pct"/>
            <w:shd w:val="clear" w:color="000000" w:fill="FCDFE2"/>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6,9 %</w:t>
            </w:r>
          </w:p>
        </w:tc>
        <w:tc>
          <w:tcPr>
            <w:tcW w:w="390" w:type="pct"/>
            <w:shd w:val="clear" w:color="000000" w:fill="A3D8B2"/>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-2,1 %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12 867</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12 204</w:t>
            </w:r>
          </w:p>
        </w:tc>
        <w:tc>
          <w:tcPr>
            <w:tcW w:w="394" w:type="pct"/>
            <w:shd w:val="clear" w:color="000000" w:fill="BCE2C8"/>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-5,2 %</w:t>
            </w:r>
          </w:p>
        </w:tc>
        <w:tc>
          <w:tcPr>
            <w:tcW w:w="314" w:type="pct"/>
            <w:shd w:val="clear" w:color="000000" w:fill="FCEAED"/>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6,0</w:t>
            </w:r>
          </w:p>
        </w:tc>
        <w:tc>
          <w:tcPr>
            <w:tcW w:w="314" w:type="pct"/>
            <w:shd w:val="clear" w:color="000000" w:fill="F8696B"/>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7,5</w:t>
            </w:r>
          </w:p>
        </w:tc>
        <w:tc>
          <w:tcPr>
            <w:tcW w:w="387" w:type="pct"/>
            <w:shd w:val="clear" w:color="000000" w:fill="63BE7B"/>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1,5</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Šumperk</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6 137</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4 210</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-1 927</w:t>
            </w:r>
          </w:p>
        </w:tc>
        <w:tc>
          <w:tcPr>
            <w:tcW w:w="394" w:type="pct"/>
            <w:shd w:val="clear" w:color="000000" w:fill="FAA5A8"/>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8,8 %</w:t>
            </w:r>
          </w:p>
        </w:tc>
        <w:tc>
          <w:tcPr>
            <w:tcW w:w="316" w:type="pct"/>
            <w:shd w:val="clear" w:color="000000" w:fill="FCF1F4"/>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6,2 %</w:t>
            </w:r>
          </w:p>
        </w:tc>
        <w:tc>
          <w:tcPr>
            <w:tcW w:w="390" w:type="pct"/>
            <w:shd w:val="clear" w:color="000000" w:fill="8BCE9E"/>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-2,6 %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29 940</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23 978</w:t>
            </w:r>
          </w:p>
        </w:tc>
        <w:tc>
          <w:tcPr>
            <w:tcW w:w="394" w:type="pct"/>
            <w:shd w:val="clear" w:color="000000" w:fill="70C386"/>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-19,9 %</w:t>
            </w:r>
          </w:p>
        </w:tc>
        <w:tc>
          <w:tcPr>
            <w:tcW w:w="314" w:type="pct"/>
            <w:shd w:val="clear" w:color="000000" w:fill="86A9D5"/>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4,9</w:t>
            </w:r>
          </w:p>
        </w:tc>
        <w:tc>
          <w:tcPr>
            <w:tcW w:w="314" w:type="pct"/>
            <w:shd w:val="clear" w:color="000000" w:fill="F6F8FD"/>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5,7</w:t>
            </w:r>
          </w:p>
        </w:tc>
        <w:tc>
          <w:tcPr>
            <w:tcW w:w="387" w:type="pct"/>
            <w:shd w:val="clear" w:color="000000" w:fill="CEE9D7"/>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0,8</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Uničov</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1 403</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1 199</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-204</w:t>
            </w:r>
          </w:p>
        </w:tc>
        <w:tc>
          <w:tcPr>
            <w:tcW w:w="394" w:type="pct"/>
            <w:shd w:val="clear" w:color="000000" w:fill="FCF0F3"/>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6,3 %</w:t>
            </w:r>
          </w:p>
        </w:tc>
        <w:tc>
          <w:tcPr>
            <w:tcW w:w="316" w:type="pct"/>
            <w:shd w:val="clear" w:color="000000" w:fill="DAE4F3"/>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5,4 %</w:t>
            </w:r>
          </w:p>
        </w:tc>
        <w:tc>
          <w:tcPr>
            <w:tcW w:w="390" w:type="pct"/>
            <w:shd w:val="clear" w:color="000000" w:fill="DEEFE5"/>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-0,8 %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7 254</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7 424</w:t>
            </w:r>
          </w:p>
        </w:tc>
        <w:tc>
          <w:tcPr>
            <w:tcW w:w="394" w:type="pct"/>
            <w:shd w:val="clear" w:color="000000" w:fill="E3F1E9"/>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2,3 %</w:t>
            </w:r>
          </w:p>
        </w:tc>
        <w:tc>
          <w:tcPr>
            <w:tcW w:w="314" w:type="pct"/>
            <w:shd w:val="clear" w:color="000000" w:fill="AEC5E3"/>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5,2</w:t>
            </w:r>
          </w:p>
        </w:tc>
        <w:tc>
          <w:tcPr>
            <w:tcW w:w="314" w:type="pct"/>
            <w:shd w:val="clear" w:color="000000" w:fill="FBD6D9"/>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6,2</w:t>
            </w:r>
          </w:p>
        </w:tc>
        <w:tc>
          <w:tcPr>
            <w:tcW w:w="387" w:type="pct"/>
            <w:shd w:val="clear" w:color="000000" w:fill="AFDDBD"/>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1,0</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Zábřeh</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1 769</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1 426</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-343</w:t>
            </w:r>
          </w:p>
        </w:tc>
        <w:tc>
          <w:tcPr>
            <w:tcW w:w="394" w:type="pct"/>
            <w:shd w:val="clear" w:color="000000" w:fill="D0DDEF"/>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5,3 %</w:t>
            </w:r>
          </w:p>
        </w:tc>
        <w:tc>
          <w:tcPr>
            <w:tcW w:w="316" w:type="pct"/>
            <w:shd w:val="clear" w:color="000000" w:fill="81A5D3"/>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4,4 %</w:t>
            </w:r>
          </w:p>
        </w:tc>
        <w:tc>
          <w:tcPr>
            <w:tcW w:w="390" w:type="pct"/>
            <w:shd w:val="clear" w:color="000000" w:fill="D7EDDF"/>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-1,0 %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8 959</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8 784</w:t>
            </w:r>
          </w:p>
        </w:tc>
        <w:tc>
          <w:tcPr>
            <w:tcW w:w="394" w:type="pct"/>
            <w:shd w:val="clear" w:color="000000" w:fill="CCE8D6"/>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-2,0 %</w:t>
            </w:r>
          </w:p>
        </w:tc>
        <w:tc>
          <w:tcPr>
            <w:tcW w:w="314" w:type="pct"/>
            <w:shd w:val="clear" w:color="000000" w:fill="A0BBDE"/>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5,1</w:t>
            </w:r>
          </w:p>
        </w:tc>
        <w:tc>
          <w:tcPr>
            <w:tcW w:w="314" w:type="pct"/>
            <w:shd w:val="clear" w:color="000000" w:fill="FCD8DB"/>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6,2</w:t>
            </w:r>
          </w:p>
        </w:tc>
        <w:tc>
          <w:tcPr>
            <w:tcW w:w="387" w:type="pct"/>
            <w:shd w:val="clear" w:color="000000" w:fill="A4D9B3"/>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1,1</w:t>
            </w:r>
          </w:p>
        </w:tc>
      </w:tr>
      <w:tr w:rsidR="007A1AB1" w:rsidRPr="007A1AB1" w:rsidTr="00DD1B74">
        <w:trPr>
          <w:trHeight w:val="20"/>
        </w:trPr>
        <w:tc>
          <w:tcPr>
            <w:tcW w:w="501" w:type="pct"/>
            <w:shd w:val="clear" w:color="auto" w:fill="auto"/>
            <w:vAlign w:val="center"/>
            <w:hideMark/>
          </w:tcPr>
          <w:p w:rsidR="007A1AB1" w:rsidRPr="007A1AB1" w:rsidRDefault="007A1AB1" w:rsidP="007A1AB1">
            <w:pPr>
              <w:spacing w:before="0"/>
              <w:ind w:left="-75"/>
              <w:jc w:val="lef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 xml:space="preserve"> OK</w:t>
            </w:r>
          </w:p>
        </w:tc>
        <w:tc>
          <w:tcPr>
            <w:tcW w:w="389"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49 906</w:t>
            </w:r>
          </w:p>
        </w:tc>
        <w:tc>
          <w:tcPr>
            <w:tcW w:w="390"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35 156</w:t>
            </w:r>
          </w:p>
        </w:tc>
        <w:tc>
          <w:tcPr>
            <w:tcW w:w="397" w:type="pct"/>
            <w:shd w:val="clear" w:color="auto" w:fill="auto"/>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-14 750</w:t>
            </w:r>
          </w:p>
        </w:tc>
        <w:tc>
          <w:tcPr>
            <w:tcW w:w="394" w:type="pct"/>
            <w:shd w:val="clear" w:color="000000" w:fill="FBCBCE"/>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7,5 %</w:t>
            </w:r>
          </w:p>
        </w:tc>
        <w:tc>
          <w:tcPr>
            <w:tcW w:w="316" w:type="pct"/>
            <w:shd w:val="clear" w:color="000000" w:fill="EBF0F9"/>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5,6 %</w:t>
            </w:r>
          </w:p>
        </w:tc>
        <w:tc>
          <w:tcPr>
            <w:tcW w:w="390" w:type="pct"/>
            <w:shd w:val="clear" w:color="000000" w:fill="ACDBBA"/>
            <w:noWrap/>
            <w:vAlign w:val="bottom"/>
            <w:hideMark/>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Theme="minorHAnsi" w:hAnsiTheme="minorHAnsi" w:cstheme="minorHAnsi"/>
                <w:color w:val="000000"/>
                <w:sz w:val="18"/>
                <w:szCs w:val="18"/>
                <w:lang w:eastAsia="cs-CZ"/>
              </w:rPr>
              <w:t>-1,9 %</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251 194</w:t>
            </w:r>
          </w:p>
        </w:tc>
        <w:tc>
          <w:tcPr>
            <w:tcW w:w="407" w:type="pct"/>
            <w:shd w:val="clear" w:color="auto" w:fill="auto"/>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220 913</w:t>
            </w:r>
          </w:p>
        </w:tc>
        <w:tc>
          <w:tcPr>
            <w:tcW w:w="394" w:type="pct"/>
            <w:shd w:val="clear" w:color="000000" w:fill="99D3A9"/>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-12,1 %</w:t>
            </w:r>
          </w:p>
        </w:tc>
        <w:tc>
          <w:tcPr>
            <w:tcW w:w="314" w:type="pct"/>
            <w:shd w:val="clear" w:color="000000" w:fill="9CB8DD"/>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5,0</w:t>
            </w:r>
          </w:p>
        </w:tc>
        <w:tc>
          <w:tcPr>
            <w:tcW w:w="314" w:type="pct"/>
            <w:shd w:val="clear" w:color="000000" w:fill="FBCED1"/>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eastAsiaTheme="minorHAnsi" w:hAnsi="Calibri" w:cs="Calibri"/>
                <w:color w:val="000000"/>
                <w:sz w:val="18"/>
                <w:szCs w:val="18"/>
              </w:rPr>
              <w:t>6,3</w:t>
            </w:r>
          </w:p>
        </w:tc>
        <w:tc>
          <w:tcPr>
            <w:tcW w:w="387" w:type="pct"/>
            <w:shd w:val="clear" w:color="000000" w:fill="8DCF9F"/>
            <w:vAlign w:val="bottom"/>
          </w:tcPr>
          <w:p w:rsidR="007A1AB1" w:rsidRPr="007A1AB1" w:rsidRDefault="007A1AB1" w:rsidP="007A1AB1">
            <w:pPr>
              <w:spacing w:before="0"/>
              <w:jc w:val="right"/>
              <w:rPr>
                <w:rFonts w:asciiTheme="minorHAnsi" w:hAnsiTheme="minorHAnsi" w:cstheme="minorHAnsi"/>
                <w:color w:val="000000"/>
                <w:sz w:val="18"/>
                <w:szCs w:val="18"/>
                <w:lang w:eastAsia="cs-CZ"/>
              </w:rPr>
            </w:pPr>
            <w:r w:rsidRPr="007A1AB1">
              <w:rPr>
                <w:rFonts w:ascii="Calibri" w:hAnsi="Calibri" w:cs="Calibri"/>
                <w:color w:val="000000"/>
                <w:sz w:val="18"/>
                <w:szCs w:val="18"/>
                <w:lang w:eastAsia="cs-CZ"/>
              </w:rPr>
              <w:t>1,3</w:t>
            </w:r>
          </w:p>
        </w:tc>
      </w:tr>
    </w:tbl>
    <w:p w:rsidR="00AF4350" w:rsidRDefault="00AF4350" w:rsidP="007A1AB1">
      <w:pPr>
        <w:pStyle w:val="Zdrojobjektu"/>
      </w:pPr>
      <w:r w:rsidRPr="0039748C">
        <w:t>Zdroj: Exekutorská komora, data k 1.1</w:t>
      </w:r>
      <w:r>
        <w:t xml:space="preserve"> daného roku</w:t>
      </w:r>
      <w:r w:rsidRPr="0039748C">
        <w:t>, zpracování ACCENDO (2022)</w:t>
      </w:r>
    </w:p>
    <w:p w:rsidR="00AF4350" w:rsidRPr="0039748C" w:rsidRDefault="00AF4350" w:rsidP="00A34764">
      <w:r w:rsidRPr="0039748C">
        <w:t>Celkový dluh osob v exekuci v OK k 1. 1. 2022 byl 14,68 mld. Kč, vzhledem k roku 2018 byl tedy zaznamenán nárůst o 1,53 mld. Kč (+11,6 %), v rámci ČR pak vzrostl celkový dluh o 31,1 %. Celková výše dluhu mezi lety 2018–2022 nejvíce vzrostla ve SO ORP Prostějov (43,5 %), následovaly správní obvody Konice (+41,4 %) a Uničov (+40,2 %), naopak pokles byl zaznamenán v</w:t>
      </w:r>
      <w:r>
        <w:t> SO ORP Přerov (-</w:t>
      </w:r>
      <w:r w:rsidRPr="0039748C">
        <w:t>5,6 %), Hranice (-6,6 %), Šumperk (-1,5 %) a Jeseník (-1,5 %). Výše dluhu z exekucí na jednoho dlužníka byla v OK průměrně 418 tis. Kč, což je o 61 tis. Kč méně vzhledem k průměru ČR. Největší finanční objem dluhu na jednoho dlužníka je v SO ORP Hranice (517 tis. Kč), s odstupem následují SO ORP Olomouc (458 tis. Kč), Prostějov (450 tis. Kč), Zábřeh (445 tis. Kč) a Litovel (438 tis. Kč), naopak nejmenší je v SO ORP Přerov (332 tis. Kč) a Jeseník (351 tis. Kč).</w:t>
      </w:r>
    </w:p>
    <w:p w:rsidR="00AF4350" w:rsidRPr="0039748C" w:rsidRDefault="00AF4350" w:rsidP="007A1AB1">
      <w:pPr>
        <w:pStyle w:val="popistabulkySPRSS2024"/>
      </w:pPr>
      <w:bookmarkStart w:id="76" w:name="_Toc117607070"/>
      <w:r w:rsidRPr="0039748C">
        <w:t xml:space="preserve">Tabulka </w:t>
      </w:r>
      <w:r w:rsidR="00412C70">
        <w:fldChar w:fldCharType="begin"/>
      </w:r>
      <w:r w:rsidR="00412C70">
        <w:instrText xml:space="preserve"> SEQ Tabulka \* ARABIC </w:instrText>
      </w:r>
      <w:r w:rsidR="00412C70">
        <w:fldChar w:fldCharType="separate"/>
      </w:r>
      <w:r w:rsidR="003A12AF">
        <w:rPr>
          <w:noProof/>
        </w:rPr>
        <w:t>10</w:t>
      </w:r>
      <w:r w:rsidR="00412C70">
        <w:rPr>
          <w:noProof/>
        </w:rPr>
        <w:fldChar w:fldCharType="end"/>
      </w:r>
      <w:r>
        <w:rPr>
          <w:noProof/>
        </w:rPr>
        <w:t>:</w:t>
      </w:r>
      <w:r w:rsidRPr="0039748C">
        <w:t xml:space="preserve"> Výše dluhu z exekucí a průměrná částka na dlužníka v SO ORP OK v letech 2018 a 2022</w:t>
      </w:r>
      <w:bookmarkEnd w:id="76"/>
    </w:p>
    <w:tbl>
      <w:tblPr>
        <w:tblW w:w="5000" w:type="pct"/>
        <w:tblCellMar>
          <w:left w:w="70" w:type="dxa"/>
          <w:right w:w="70" w:type="dxa"/>
        </w:tblCellMar>
        <w:tblLook w:val="04A0" w:firstRow="1" w:lastRow="0" w:firstColumn="1" w:lastColumn="0" w:noHBand="0" w:noVBand="1"/>
      </w:tblPr>
      <w:tblGrid>
        <w:gridCol w:w="2045"/>
        <w:gridCol w:w="749"/>
        <w:gridCol w:w="749"/>
        <w:gridCol w:w="1270"/>
        <w:gridCol w:w="993"/>
        <w:gridCol w:w="993"/>
        <w:gridCol w:w="993"/>
        <w:gridCol w:w="1270"/>
      </w:tblGrid>
      <w:tr w:rsidR="007A1AB1" w:rsidRPr="007A1AB1" w:rsidTr="00DD1B74">
        <w:trPr>
          <w:trHeight w:val="113"/>
        </w:trPr>
        <w:tc>
          <w:tcPr>
            <w:tcW w:w="112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7A1AB1" w:rsidRPr="007A1AB1" w:rsidRDefault="007A1AB1" w:rsidP="007A1AB1">
            <w:pPr>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SO ORP</w:t>
            </w:r>
          </w:p>
        </w:tc>
        <w:tc>
          <w:tcPr>
            <w:tcW w:w="1527" w:type="pct"/>
            <w:gridSpan w:val="3"/>
            <w:tcBorders>
              <w:top w:val="single" w:sz="4" w:space="0" w:color="auto"/>
              <w:left w:val="nil"/>
              <w:bottom w:val="single" w:sz="4" w:space="0" w:color="auto"/>
              <w:right w:val="single" w:sz="4" w:space="0" w:color="000000"/>
            </w:tcBorders>
            <w:shd w:val="clear" w:color="000000" w:fill="F2F2F2"/>
            <w:noWrap/>
            <w:vAlign w:val="center"/>
            <w:hideMark/>
          </w:tcPr>
          <w:p w:rsidR="007A1AB1" w:rsidRPr="007A1AB1" w:rsidRDefault="007A1AB1" w:rsidP="007A1AB1">
            <w:pPr>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Výše dluhu z exekucí v mld. Kč</w:t>
            </w:r>
          </w:p>
        </w:tc>
        <w:tc>
          <w:tcPr>
            <w:tcW w:w="2344" w:type="pct"/>
            <w:gridSpan w:val="4"/>
            <w:tcBorders>
              <w:top w:val="single" w:sz="4" w:space="0" w:color="auto"/>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Výše dluhu z exekucí na 1 dlužníka v Kč</w:t>
            </w:r>
          </w:p>
        </w:tc>
      </w:tr>
      <w:tr w:rsidR="007A1AB1" w:rsidRPr="007A1AB1" w:rsidTr="00DD1B74">
        <w:trPr>
          <w:trHeight w:val="113"/>
        </w:trPr>
        <w:tc>
          <w:tcPr>
            <w:tcW w:w="1128" w:type="pct"/>
            <w:vMerge/>
            <w:tcBorders>
              <w:top w:val="single" w:sz="4" w:space="0" w:color="auto"/>
              <w:left w:val="single" w:sz="4" w:space="0" w:color="auto"/>
              <w:bottom w:val="single" w:sz="4" w:space="0" w:color="000000"/>
              <w:right w:val="single" w:sz="4" w:space="0" w:color="auto"/>
            </w:tcBorders>
            <w:vAlign w:val="center"/>
            <w:hideMark/>
          </w:tcPr>
          <w:p w:rsidR="007A1AB1" w:rsidRPr="007A1AB1" w:rsidRDefault="007A1AB1" w:rsidP="007A1AB1">
            <w:pPr>
              <w:spacing w:before="0"/>
              <w:jc w:val="left"/>
              <w:rPr>
                <w:rFonts w:ascii="Calibri" w:hAnsi="Calibri" w:cs="Calibri"/>
                <w:b/>
                <w:bCs/>
                <w:color w:val="000000"/>
                <w:sz w:val="18"/>
                <w:szCs w:val="18"/>
                <w:lang w:eastAsia="cs-CZ"/>
              </w:rPr>
            </w:pPr>
          </w:p>
        </w:tc>
        <w:tc>
          <w:tcPr>
            <w:tcW w:w="413"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2018</w:t>
            </w:r>
          </w:p>
        </w:tc>
        <w:tc>
          <w:tcPr>
            <w:tcW w:w="413"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2022</w:t>
            </w:r>
          </w:p>
        </w:tc>
        <w:tc>
          <w:tcPr>
            <w:tcW w:w="701"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Změna (%)</w:t>
            </w:r>
          </w:p>
        </w:tc>
        <w:tc>
          <w:tcPr>
            <w:tcW w:w="548"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2018</w:t>
            </w:r>
          </w:p>
        </w:tc>
        <w:tc>
          <w:tcPr>
            <w:tcW w:w="548"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2022</w:t>
            </w:r>
          </w:p>
        </w:tc>
        <w:tc>
          <w:tcPr>
            <w:tcW w:w="548"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Změna</w:t>
            </w:r>
          </w:p>
        </w:tc>
        <w:tc>
          <w:tcPr>
            <w:tcW w:w="701"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Změna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Hranice</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0,85</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0,79</w:t>
            </w:r>
          </w:p>
        </w:tc>
        <w:tc>
          <w:tcPr>
            <w:tcW w:w="701" w:type="pct"/>
            <w:tcBorders>
              <w:top w:val="single" w:sz="4" w:space="0" w:color="auto"/>
              <w:left w:val="single" w:sz="4" w:space="0" w:color="auto"/>
              <w:bottom w:val="single" w:sz="4" w:space="0" w:color="auto"/>
              <w:right w:val="single" w:sz="4" w:space="0" w:color="auto"/>
            </w:tcBorders>
            <w:shd w:val="clear" w:color="000000" w:fill="8AABD6"/>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-6,6 %</w:t>
            </w:r>
          </w:p>
        </w:tc>
        <w:tc>
          <w:tcPr>
            <w:tcW w:w="548" w:type="pct"/>
            <w:tcBorders>
              <w:top w:val="single" w:sz="4" w:space="0" w:color="auto"/>
              <w:left w:val="single" w:sz="4" w:space="0" w:color="auto"/>
              <w:bottom w:val="single" w:sz="4" w:space="0" w:color="auto"/>
              <w:right w:val="single" w:sz="4" w:space="0" w:color="auto"/>
            </w:tcBorders>
            <w:shd w:val="clear" w:color="000000" w:fill="FBC5C7"/>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408 472</w:t>
            </w:r>
          </w:p>
        </w:tc>
        <w:tc>
          <w:tcPr>
            <w:tcW w:w="548"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517 279</w:t>
            </w:r>
          </w:p>
        </w:tc>
        <w:tc>
          <w:tcPr>
            <w:tcW w:w="548" w:type="pct"/>
            <w:tcBorders>
              <w:top w:val="single" w:sz="4" w:space="0" w:color="auto"/>
              <w:left w:val="single" w:sz="4" w:space="0" w:color="auto"/>
              <w:bottom w:val="single" w:sz="4" w:space="0" w:color="auto"/>
              <w:right w:val="single" w:sz="4" w:space="0" w:color="auto"/>
            </w:tcBorders>
            <w:shd w:val="clear" w:color="000000" w:fill="D4ECDD"/>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108 807</w:t>
            </w:r>
          </w:p>
        </w:tc>
        <w:tc>
          <w:tcPr>
            <w:tcW w:w="701" w:type="pct"/>
            <w:tcBorders>
              <w:top w:val="single" w:sz="4" w:space="0" w:color="auto"/>
              <w:left w:val="single" w:sz="4" w:space="0" w:color="auto"/>
              <w:bottom w:val="single" w:sz="4" w:space="0" w:color="auto"/>
              <w:right w:val="single" w:sz="4" w:space="0" w:color="auto"/>
            </w:tcBorders>
            <w:shd w:val="clear" w:color="000000" w:fill="FBFCFE"/>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26,6 %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Jeseník</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1,17</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1,16</w:t>
            </w:r>
          </w:p>
        </w:tc>
        <w:tc>
          <w:tcPr>
            <w:tcW w:w="701" w:type="pct"/>
            <w:tcBorders>
              <w:top w:val="single" w:sz="4" w:space="0" w:color="auto"/>
              <w:left w:val="single" w:sz="4" w:space="0" w:color="auto"/>
              <w:bottom w:val="single" w:sz="4" w:space="0" w:color="auto"/>
              <w:right w:val="single" w:sz="4" w:space="0" w:color="auto"/>
            </w:tcBorders>
            <w:shd w:val="clear" w:color="000000" w:fill="A5BFE0"/>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-1,5 %</w:t>
            </w:r>
          </w:p>
        </w:tc>
        <w:tc>
          <w:tcPr>
            <w:tcW w:w="548" w:type="pct"/>
            <w:tcBorders>
              <w:top w:val="single" w:sz="4" w:space="0" w:color="auto"/>
              <w:left w:val="single" w:sz="4" w:space="0" w:color="auto"/>
              <w:bottom w:val="single" w:sz="4" w:space="0" w:color="auto"/>
              <w:right w:val="single" w:sz="4" w:space="0" w:color="auto"/>
            </w:tcBorders>
            <w:shd w:val="clear" w:color="000000" w:fill="9CB8DD"/>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278 501</w:t>
            </w:r>
          </w:p>
        </w:tc>
        <w:tc>
          <w:tcPr>
            <w:tcW w:w="548"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350 966</w:t>
            </w:r>
          </w:p>
        </w:tc>
        <w:tc>
          <w:tcPr>
            <w:tcW w:w="54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72 465</w:t>
            </w:r>
          </w:p>
        </w:tc>
        <w:tc>
          <w:tcPr>
            <w:tcW w:w="70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26,0 %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Konice</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0,14</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0,19</w:t>
            </w:r>
          </w:p>
        </w:tc>
        <w:tc>
          <w:tcPr>
            <w:tcW w:w="701" w:type="pct"/>
            <w:tcBorders>
              <w:top w:val="single" w:sz="4" w:space="0" w:color="auto"/>
              <w:left w:val="single" w:sz="4" w:space="0" w:color="auto"/>
              <w:bottom w:val="single" w:sz="4" w:space="0" w:color="auto"/>
              <w:right w:val="single" w:sz="4" w:space="0" w:color="auto"/>
            </w:tcBorders>
            <w:shd w:val="clear" w:color="000000" w:fill="F97476"/>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41,4 %</w:t>
            </w:r>
          </w:p>
        </w:tc>
        <w:tc>
          <w:tcPr>
            <w:tcW w:w="548" w:type="pct"/>
            <w:tcBorders>
              <w:top w:val="single" w:sz="4" w:space="0" w:color="auto"/>
              <w:left w:val="single" w:sz="4" w:space="0" w:color="auto"/>
              <w:bottom w:val="single" w:sz="4" w:space="0" w:color="auto"/>
              <w:right w:val="single" w:sz="4" w:space="0" w:color="auto"/>
            </w:tcBorders>
            <w:shd w:val="clear" w:color="000000" w:fill="89ABD6"/>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266 321</w:t>
            </w:r>
          </w:p>
        </w:tc>
        <w:tc>
          <w:tcPr>
            <w:tcW w:w="548" w:type="pct"/>
            <w:tcBorders>
              <w:top w:val="single" w:sz="4" w:space="0" w:color="auto"/>
              <w:left w:val="single" w:sz="4" w:space="0" w:color="auto"/>
              <w:bottom w:val="single" w:sz="4" w:space="0" w:color="auto"/>
              <w:right w:val="single" w:sz="4" w:space="0" w:color="auto"/>
            </w:tcBorders>
            <w:shd w:val="clear" w:color="000000" w:fill="FBCDD0"/>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398 539</w:t>
            </w:r>
          </w:p>
        </w:tc>
        <w:tc>
          <w:tcPr>
            <w:tcW w:w="548" w:type="pct"/>
            <w:tcBorders>
              <w:top w:val="single" w:sz="4" w:space="0" w:color="auto"/>
              <w:left w:val="single" w:sz="4" w:space="0" w:color="auto"/>
              <w:bottom w:val="single" w:sz="4" w:space="0" w:color="auto"/>
              <w:right w:val="single" w:sz="4" w:space="0" w:color="auto"/>
            </w:tcBorders>
            <w:shd w:val="clear" w:color="000000" w:fill="BAE2C6"/>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132 219</w:t>
            </w:r>
          </w:p>
        </w:tc>
        <w:tc>
          <w:tcPr>
            <w:tcW w:w="701" w:type="pct"/>
            <w:tcBorders>
              <w:top w:val="single" w:sz="4" w:space="0" w:color="auto"/>
              <w:left w:val="single" w:sz="4" w:space="0" w:color="auto"/>
              <w:bottom w:val="single" w:sz="4" w:space="0" w:color="auto"/>
              <w:right w:val="single" w:sz="4" w:space="0" w:color="auto"/>
            </w:tcBorders>
            <w:shd w:val="clear" w:color="000000" w:fill="C2E5CD"/>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49,6 %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Lipník nad Bečvou</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0,28</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0,31</w:t>
            </w:r>
          </w:p>
        </w:tc>
        <w:tc>
          <w:tcPr>
            <w:tcW w:w="701"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12,1 %</w:t>
            </w:r>
          </w:p>
        </w:tc>
        <w:tc>
          <w:tcPr>
            <w:tcW w:w="548" w:type="pct"/>
            <w:tcBorders>
              <w:top w:val="single" w:sz="4" w:space="0" w:color="auto"/>
              <w:left w:val="single" w:sz="4" w:space="0" w:color="auto"/>
              <w:bottom w:val="single" w:sz="4" w:space="0" w:color="auto"/>
              <w:right w:val="single" w:sz="4" w:space="0" w:color="auto"/>
            </w:tcBorders>
            <w:shd w:val="clear" w:color="000000" w:fill="84A8D5"/>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262 936</w:t>
            </w:r>
          </w:p>
        </w:tc>
        <w:tc>
          <w:tcPr>
            <w:tcW w:w="548" w:type="pct"/>
            <w:tcBorders>
              <w:top w:val="single" w:sz="4" w:space="0" w:color="auto"/>
              <w:left w:val="single" w:sz="4" w:space="0" w:color="auto"/>
              <w:bottom w:val="single" w:sz="4" w:space="0" w:color="auto"/>
              <w:right w:val="single" w:sz="4" w:space="0" w:color="auto"/>
            </w:tcBorders>
            <w:shd w:val="clear" w:color="000000" w:fill="FBD4D7"/>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389 777</w:t>
            </w:r>
          </w:p>
        </w:tc>
        <w:tc>
          <w:tcPr>
            <w:tcW w:w="548" w:type="pct"/>
            <w:tcBorders>
              <w:top w:val="single" w:sz="4" w:space="0" w:color="auto"/>
              <w:left w:val="single" w:sz="4" w:space="0" w:color="auto"/>
              <w:bottom w:val="single" w:sz="4" w:space="0" w:color="auto"/>
              <w:right w:val="single" w:sz="4" w:space="0" w:color="auto"/>
            </w:tcBorders>
            <w:shd w:val="clear" w:color="000000" w:fill="C0E4CB"/>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126 841</w:t>
            </w:r>
          </w:p>
        </w:tc>
        <w:tc>
          <w:tcPr>
            <w:tcW w:w="701" w:type="pct"/>
            <w:tcBorders>
              <w:top w:val="single" w:sz="4" w:space="0" w:color="auto"/>
              <w:left w:val="single" w:sz="4" w:space="0" w:color="auto"/>
              <w:bottom w:val="single" w:sz="4" w:space="0" w:color="auto"/>
              <w:right w:val="single" w:sz="4" w:space="0" w:color="auto"/>
            </w:tcBorders>
            <w:shd w:val="clear" w:color="000000" w:fill="C6E6D0"/>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48,2 %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Litovel</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0,29</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0,40</w:t>
            </w:r>
          </w:p>
        </w:tc>
        <w:tc>
          <w:tcPr>
            <w:tcW w:w="701" w:type="pct"/>
            <w:tcBorders>
              <w:top w:val="single" w:sz="4" w:space="0" w:color="auto"/>
              <w:left w:val="single" w:sz="4" w:space="0" w:color="auto"/>
              <w:bottom w:val="single" w:sz="4" w:space="0" w:color="auto"/>
              <w:right w:val="single" w:sz="4" w:space="0" w:color="auto"/>
            </w:tcBorders>
            <w:shd w:val="clear" w:color="000000" w:fill="F98B8E"/>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36,8 %</w:t>
            </w:r>
          </w:p>
        </w:tc>
        <w:tc>
          <w:tcPr>
            <w:tcW w:w="548"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234 675</w:t>
            </w:r>
          </w:p>
        </w:tc>
        <w:tc>
          <w:tcPr>
            <w:tcW w:w="548" w:type="pct"/>
            <w:tcBorders>
              <w:top w:val="single" w:sz="4" w:space="0" w:color="auto"/>
              <w:left w:val="single" w:sz="4" w:space="0" w:color="auto"/>
              <w:bottom w:val="single" w:sz="4" w:space="0" w:color="auto"/>
              <w:right w:val="single" w:sz="4" w:space="0" w:color="auto"/>
            </w:tcBorders>
            <w:shd w:val="clear" w:color="000000" w:fill="FAABAE"/>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438 450</w:t>
            </w:r>
          </w:p>
        </w:tc>
        <w:tc>
          <w:tcPr>
            <w:tcW w:w="548" w:type="pct"/>
            <w:tcBorders>
              <w:top w:val="single" w:sz="4" w:space="0" w:color="auto"/>
              <w:left w:val="single" w:sz="4" w:space="0" w:color="auto"/>
              <w:bottom w:val="single" w:sz="4" w:space="0" w:color="auto"/>
              <w:right w:val="single" w:sz="4" w:space="0" w:color="auto"/>
            </w:tcBorders>
            <w:shd w:val="clear" w:color="000000" w:fill="6BC182"/>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203 775</w:t>
            </w:r>
          </w:p>
        </w:tc>
        <w:tc>
          <w:tcPr>
            <w:tcW w:w="701" w:type="pct"/>
            <w:tcBorders>
              <w:top w:val="single" w:sz="4" w:space="0" w:color="auto"/>
              <w:left w:val="single" w:sz="4" w:space="0" w:color="auto"/>
              <w:bottom w:val="single" w:sz="4" w:space="0" w:color="auto"/>
              <w:right w:val="single" w:sz="4" w:space="0" w:color="auto"/>
            </w:tcBorders>
            <w:shd w:val="clear" w:color="000000" w:fill="66C07E"/>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86,8 %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Mohelnice</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0,27</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0,29</w:t>
            </w:r>
          </w:p>
        </w:tc>
        <w:tc>
          <w:tcPr>
            <w:tcW w:w="701" w:type="pct"/>
            <w:tcBorders>
              <w:top w:val="single" w:sz="4" w:space="0" w:color="auto"/>
              <w:left w:val="single" w:sz="4" w:space="0" w:color="auto"/>
              <w:bottom w:val="single" w:sz="4" w:space="0" w:color="auto"/>
              <w:right w:val="single" w:sz="4" w:space="0" w:color="auto"/>
            </w:tcBorders>
            <w:shd w:val="clear" w:color="000000" w:fill="D2DEF0"/>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6,9 %</w:t>
            </w:r>
          </w:p>
        </w:tc>
        <w:tc>
          <w:tcPr>
            <w:tcW w:w="548" w:type="pct"/>
            <w:tcBorders>
              <w:top w:val="single" w:sz="4" w:space="0" w:color="auto"/>
              <w:left w:val="single" w:sz="4" w:space="0" w:color="auto"/>
              <w:bottom w:val="single" w:sz="4" w:space="0" w:color="auto"/>
              <w:right w:val="single" w:sz="4" w:space="0" w:color="auto"/>
            </w:tcBorders>
            <w:shd w:val="clear" w:color="000000" w:fill="95B4DB"/>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274 119</w:t>
            </w:r>
          </w:p>
        </w:tc>
        <w:tc>
          <w:tcPr>
            <w:tcW w:w="548" w:type="pct"/>
            <w:tcBorders>
              <w:top w:val="single" w:sz="4" w:space="0" w:color="auto"/>
              <w:left w:val="single" w:sz="4" w:space="0" w:color="auto"/>
              <w:bottom w:val="single" w:sz="4" w:space="0" w:color="auto"/>
              <w:right w:val="single" w:sz="4" w:space="0" w:color="auto"/>
            </w:tcBorders>
            <w:shd w:val="clear" w:color="000000" w:fill="FBC6C9"/>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406 287</w:t>
            </w:r>
          </w:p>
        </w:tc>
        <w:tc>
          <w:tcPr>
            <w:tcW w:w="548" w:type="pct"/>
            <w:tcBorders>
              <w:top w:val="single" w:sz="4" w:space="0" w:color="auto"/>
              <w:left w:val="single" w:sz="4" w:space="0" w:color="auto"/>
              <w:bottom w:val="single" w:sz="4" w:space="0" w:color="auto"/>
              <w:right w:val="single" w:sz="4" w:space="0" w:color="auto"/>
            </w:tcBorders>
            <w:shd w:val="clear" w:color="000000" w:fill="BAE2C6"/>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132 168</w:t>
            </w:r>
          </w:p>
        </w:tc>
        <w:tc>
          <w:tcPr>
            <w:tcW w:w="701" w:type="pct"/>
            <w:tcBorders>
              <w:top w:val="single" w:sz="4" w:space="0" w:color="auto"/>
              <w:left w:val="single" w:sz="4" w:space="0" w:color="auto"/>
              <w:bottom w:val="single" w:sz="4" w:space="0" w:color="auto"/>
              <w:right w:val="single" w:sz="4" w:space="0" w:color="auto"/>
            </w:tcBorders>
            <w:shd w:val="clear" w:color="000000" w:fill="C6E6D0"/>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48,2 %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Olomouc</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3,42</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4,00</w:t>
            </w:r>
          </w:p>
        </w:tc>
        <w:tc>
          <w:tcPr>
            <w:tcW w:w="701"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17,0 %</w:t>
            </w:r>
          </w:p>
        </w:tc>
        <w:tc>
          <w:tcPr>
            <w:tcW w:w="548" w:type="pct"/>
            <w:tcBorders>
              <w:top w:val="single" w:sz="4" w:space="0" w:color="auto"/>
              <w:left w:val="single" w:sz="4" w:space="0" w:color="auto"/>
              <w:bottom w:val="single" w:sz="4" w:space="0" w:color="auto"/>
              <w:right w:val="single" w:sz="4" w:space="0" w:color="auto"/>
            </w:tcBorders>
            <w:shd w:val="clear" w:color="000000" w:fill="BACDE7"/>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298 150</w:t>
            </w:r>
          </w:p>
        </w:tc>
        <w:tc>
          <w:tcPr>
            <w:tcW w:w="548" w:type="pct"/>
            <w:tcBorders>
              <w:top w:val="single" w:sz="4" w:space="0" w:color="auto"/>
              <w:left w:val="single" w:sz="4" w:space="0" w:color="auto"/>
              <w:bottom w:val="single" w:sz="4" w:space="0" w:color="auto"/>
              <w:right w:val="single" w:sz="4" w:space="0" w:color="auto"/>
            </w:tcBorders>
            <w:shd w:val="clear" w:color="000000" w:fill="FA9B9E"/>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457 664</w:t>
            </w:r>
          </w:p>
        </w:tc>
        <w:tc>
          <w:tcPr>
            <w:tcW w:w="548" w:type="pct"/>
            <w:tcBorders>
              <w:top w:val="single" w:sz="4" w:space="0" w:color="auto"/>
              <w:left w:val="single" w:sz="4" w:space="0" w:color="auto"/>
              <w:bottom w:val="single" w:sz="4" w:space="0" w:color="auto"/>
              <w:right w:val="single" w:sz="4" w:space="0" w:color="auto"/>
            </w:tcBorders>
            <w:shd w:val="clear" w:color="000000" w:fill="9CD5AC"/>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159 514</w:t>
            </w:r>
          </w:p>
        </w:tc>
        <w:tc>
          <w:tcPr>
            <w:tcW w:w="701" w:type="pct"/>
            <w:tcBorders>
              <w:top w:val="single" w:sz="4" w:space="0" w:color="auto"/>
              <w:left w:val="single" w:sz="4" w:space="0" w:color="auto"/>
              <w:bottom w:val="single" w:sz="4" w:space="0" w:color="auto"/>
              <w:right w:val="single" w:sz="4" w:space="0" w:color="auto"/>
            </w:tcBorders>
            <w:shd w:val="clear" w:color="000000" w:fill="B8E1C5"/>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53,5 %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Prostějov</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1,67</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2,39</w:t>
            </w:r>
          </w:p>
        </w:tc>
        <w:tc>
          <w:tcPr>
            <w:tcW w:w="701"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43,5 %</w:t>
            </w:r>
          </w:p>
        </w:tc>
        <w:tc>
          <w:tcPr>
            <w:tcW w:w="548" w:type="pct"/>
            <w:tcBorders>
              <w:top w:val="single" w:sz="4" w:space="0" w:color="auto"/>
              <w:left w:val="single" w:sz="4" w:space="0" w:color="auto"/>
              <w:bottom w:val="single" w:sz="4" w:space="0" w:color="auto"/>
              <w:right w:val="single" w:sz="4" w:space="0" w:color="auto"/>
            </w:tcBorders>
            <w:shd w:val="clear" w:color="000000" w:fill="618EC8"/>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239 305</w:t>
            </w:r>
          </w:p>
        </w:tc>
        <w:tc>
          <w:tcPr>
            <w:tcW w:w="548" w:type="pct"/>
            <w:tcBorders>
              <w:top w:val="single" w:sz="4" w:space="0" w:color="auto"/>
              <w:left w:val="single" w:sz="4" w:space="0" w:color="auto"/>
              <w:bottom w:val="single" w:sz="4" w:space="0" w:color="auto"/>
              <w:right w:val="single" w:sz="4" w:space="0" w:color="auto"/>
            </w:tcBorders>
            <w:shd w:val="clear" w:color="000000" w:fill="FAA2A5"/>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449 518</w:t>
            </w:r>
          </w:p>
        </w:tc>
        <w:tc>
          <w:tcPr>
            <w:tcW w:w="548"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210 213</w:t>
            </w:r>
          </w:p>
        </w:tc>
        <w:tc>
          <w:tcPr>
            <w:tcW w:w="701"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87,8 %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Přerov</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1,93</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1,63</w:t>
            </w:r>
          </w:p>
        </w:tc>
        <w:tc>
          <w:tcPr>
            <w:tcW w:w="701"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-15,6 %</w:t>
            </w:r>
          </w:p>
        </w:tc>
        <w:tc>
          <w:tcPr>
            <w:tcW w:w="548" w:type="pct"/>
            <w:tcBorders>
              <w:top w:val="single" w:sz="4" w:space="0" w:color="auto"/>
              <w:left w:val="single" w:sz="4" w:space="0" w:color="auto"/>
              <w:bottom w:val="single" w:sz="4" w:space="0" w:color="auto"/>
              <w:right w:val="single" w:sz="4" w:space="0" w:color="auto"/>
            </w:tcBorders>
            <w:shd w:val="clear" w:color="000000" w:fill="6894CB"/>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244 101</w:t>
            </w:r>
          </w:p>
        </w:tc>
        <w:tc>
          <w:tcPr>
            <w:tcW w:w="548" w:type="pct"/>
            <w:tcBorders>
              <w:top w:val="single" w:sz="4" w:space="0" w:color="auto"/>
              <w:left w:val="single" w:sz="4" w:space="0" w:color="auto"/>
              <w:bottom w:val="single" w:sz="4" w:space="0" w:color="auto"/>
              <w:right w:val="single" w:sz="4" w:space="0" w:color="auto"/>
            </w:tcBorders>
            <w:shd w:val="clear" w:color="000000" w:fill="EDF2FA"/>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332 363</w:t>
            </w:r>
          </w:p>
        </w:tc>
        <w:tc>
          <w:tcPr>
            <w:tcW w:w="548" w:type="pct"/>
            <w:tcBorders>
              <w:top w:val="single" w:sz="4" w:space="0" w:color="auto"/>
              <w:left w:val="single" w:sz="4" w:space="0" w:color="auto"/>
              <w:bottom w:val="single" w:sz="4" w:space="0" w:color="auto"/>
              <w:right w:val="single" w:sz="4" w:space="0" w:color="auto"/>
            </w:tcBorders>
            <w:shd w:val="clear" w:color="000000" w:fill="EBF5F0"/>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88 262</w:t>
            </w:r>
          </w:p>
        </w:tc>
        <w:tc>
          <w:tcPr>
            <w:tcW w:w="701" w:type="pct"/>
            <w:tcBorders>
              <w:top w:val="single" w:sz="4" w:space="0" w:color="auto"/>
              <w:left w:val="single" w:sz="4" w:space="0" w:color="auto"/>
              <w:bottom w:val="single" w:sz="4" w:space="0" w:color="auto"/>
              <w:right w:val="single" w:sz="4" w:space="0" w:color="auto"/>
            </w:tcBorders>
            <w:shd w:val="clear" w:color="000000" w:fill="E3F2EA"/>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36,2 %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Šternberk</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0,51</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0,63</w:t>
            </w:r>
          </w:p>
        </w:tc>
        <w:tc>
          <w:tcPr>
            <w:tcW w:w="701" w:type="pct"/>
            <w:tcBorders>
              <w:top w:val="single" w:sz="4" w:space="0" w:color="auto"/>
              <w:left w:val="single" w:sz="4" w:space="0" w:color="auto"/>
              <w:bottom w:val="single" w:sz="4" w:space="0" w:color="auto"/>
              <w:right w:val="single" w:sz="4" w:space="0" w:color="auto"/>
            </w:tcBorders>
            <w:shd w:val="clear" w:color="000000" w:fill="FBCDD0"/>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23,9 %</w:t>
            </w:r>
          </w:p>
        </w:tc>
        <w:tc>
          <w:tcPr>
            <w:tcW w:w="548"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234 699</w:t>
            </w:r>
          </w:p>
        </w:tc>
        <w:tc>
          <w:tcPr>
            <w:tcW w:w="548" w:type="pct"/>
            <w:tcBorders>
              <w:top w:val="single" w:sz="4" w:space="0" w:color="auto"/>
              <w:left w:val="single" w:sz="4" w:space="0" w:color="auto"/>
              <w:bottom w:val="single" w:sz="4" w:space="0" w:color="auto"/>
              <w:right w:val="single" w:sz="4" w:space="0" w:color="auto"/>
            </w:tcBorders>
            <w:shd w:val="clear" w:color="000000" w:fill="FCD8DB"/>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385 057</w:t>
            </w:r>
          </w:p>
        </w:tc>
        <w:tc>
          <w:tcPr>
            <w:tcW w:w="548" w:type="pct"/>
            <w:tcBorders>
              <w:top w:val="single" w:sz="4" w:space="0" w:color="auto"/>
              <w:left w:val="single" w:sz="4" w:space="0" w:color="auto"/>
              <w:bottom w:val="single" w:sz="4" w:space="0" w:color="auto"/>
              <w:right w:val="single" w:sz="4" w:space="0" w:color="auto"/>
            </w:tcBorders>
            <w:shd w:val="clear" w:color="000000" w:fill="A6D9B5"/>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150 358</w:t>
            </w:r>
          </w:p>
        </w:tc>
        <w:tc>
          <w:tcPr>
            <w:tcW w:w="701" w:type="pct"/>
            <w:tcBorders>
              <w:top w:val="single" w:sz="4" w:space="0" w:color="auto"/>
              <w:left w:val="single" w:sz="4" w:space="0" w:color="auto"/>
              <w:bottom w:val="single" w:sz="4" w:space="0" w:color="auto"/>
              <w:right w:val="single" w:sz="4" w:space="0" w:color="auto"/>
            </w:tcBorders>
            <w:shd w:val="clear" w:color="000000" w:fill="9ED6AE"/>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64,1 %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Šumperk</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1,78</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1,76</w:t>
            </w:r>
          </w:p>
        </w:tc>
        <w:tc>
          <w:tcPr>
            <w:tcW w:w="701" w:type="pct"/>
            <w:tcBorders>
              <w:top w:val="single" w:sz="4" w:space="0" w:color="auto"/>
              <w:left w:val="single" w:sz="4" w:space="0" w:color="auto"/>
              <w:bottom w:val="single" w:sz="4" w:space="0" w:color="auto"/>
              <w:right w:val="single" w:sz="4" w:space="0" w:color="auto"/>
            </w:tcBorders>
            <w:shd w:val="clear" w:color="000000" w:fill="A5BFE0"/>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-1,5 %</w:t>
            </w:r>
          </w:p>
        </w:tc>
        <w:tc>
          <w:tcPr>
            <w:tcW w:w="548" w:type="pct"/>
            <w:tcBorders>
              <w:top w:val="single" w:sz="4" w:space="0" w:color="auto"/>
              <w:left w:val="single" w:sz="4" w:space="0" w:color="auto"/>
              <w:bottom w:val="single" w:sz="4" w:space="0" w:color="auto"/>
              <w:right w:val="single" w:sz="4" w:space="0" w:color="auto"/>
            </w:tcBorders>
            <w:shd w:val="clear" w:color="000000" w:fill="AEC5E3"/>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290 490</w:t>
            </w:r>
          </w:p>
        </w:tc>
        <w:tc>
          <w:tcPr>
            <w:tcW w:w="548" w:type="pct"/>
            <w:tcBorders>
              <w:top w:val="single" w:sz="4" w:space="0" w:color="auto"/>
              <w:left w:val="single" w:sz="4" w:space="0" w:color="auto"/>
              <w:bottom w:val="single" w:sz="4" w:space="0" w:color="auto"/>
              <w:right w:val="single" w:sz="4" w:space="0" w:color="auto"/>
            </w:tcBorders>
            <w:shd w:val="clear" w:color="000000" w:fill="FBBDC0"/>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417 066</w:t>
            </w:r>
          </w:p>
        </w:tc>
        <w:tc>
          <w:tcPr>
            <w:tcW w:w="548" w:type="pct"/>
            <w:tcBorders>
              <w:top w:val="single" w:sz="4" w:space="0" w:color="auto"/>
              <w:left w:val="single" w:sz="4" w:space="0" w:color="auto"/>
              <w:bottom w:val="single" w:sz="4" w:space="0" w:color="auto"/>
              <w:right w:val="single" w:sz="4" w:space="0" w:color="auto"/>
            </w:tcBorders>
            <w:shd w:val="clear" w:color="000000" w:fill="C0E4CC"/>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126 576</w:t>
            </w:r>
          </w:p>
        </w:tc>
        <w:tc>
          <w:tcPr>
            <w:tcW w:w="701" w:type="pct"/>
            <w:tcBorders>
              <w:top w:val="single" w:sz="4" w:space="0" w:color="auto"/>
              <w:left w:val="single" w:sz="4" w:space="0" w:color="auto"/>
              <w:bottom w:val="single" w:sz="4" w:space="0" w:color="auto"/>
              <w:right w:val="single" w:sz="4" w:space="0" w:color="auto"/>
            </w:tcBorders>
            <w:shd w:val="clear" w:color="000000" w:fill="D1EBDA"/>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43,6 %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Uničov</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0,36</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0,50</w:t>
            </w:r>
          </w:p>
        </w:tc>
        <w:tc>
          <w:tcPr>
            <w:tcW w:w="701" w:type="pct"/>
            <w:tcBorders>
              <w:top w:val="single" w:sz="4" w:space="0" w:color="auto"/>
              <w:left w:val="single" w:sz="4" w:space="0" w:color="auto"/>
              <w:bottom w:val="single" w:sz="4" w:space="0" w:color="auto"/>
              <w:right w:val="single" w:sz="4" w:space="0" w:color="auto"/>
            </w:tcBorders>
            <w:shd w:val="clear" w:color="000000" w:fill="F97A7C"/>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40,2 %</w:t>
            </w:r>
          </w:p>
        </w:tc>
        <w:tc>
          <w:tcPr>
            <w:tcW w:w="548" w:type="pct"/>
            <w:tcBorders>
              <w:top w:val="single" w:sz="4" w:space="0" w:color="auto"/>
              <w:left w:val="single" w:sz="4" w:space="0" w:color="auto"/>
              <w:bottom w:val="single" w:sz="4" w:space="0" w:color="auto"/>
              <w:right w:val="single" w:sz="4" w:space="0" w:color="auto"/>
            </w:tcBorders>
            <w:shd w:val="clear" w:color="000000" w:fill="7AA0D1"/>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256 234</w:t>
            </w:r>
          </w:p>
        </w:tc>
        <w:tc>
          <w:tcPr>
            <w:tcW w:w="548" w:type="pct"/>
            <w:tcBorders>
              <w:top w:val="single" w:sz="4" w:space="0" w:color="auto"/>
              <w:left w:val="single" w:sz="4" w:space="0" w:color="auto"/>
              <w:bottom w:val="single" w:sz="4" w:space="0" w:color="auto"/>
              <w:right w:val="single" w:sz="4" w:space="0" w:color="auto"/>
            </w:tcBorders>
            <w:shd w:val="clear" w:color="000000" w:fill="FBBBBD"/>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420 380</w:t>
            </w:r>
          </w:p>
        </w:tc>
        <w:tc>
          <w:tcPr>
            <w:tcW w:w="548" w:type="pct"/>
            <w:tcBorders>
              <w:top w:val="single" w:sz="4" w:space="0" w:color="auto"/>
              <w:left w:val="single" w:sz="4" w:space="0" w:color="auto"/>
              <w:bottom w:val="single" w:sz="4" w:space="0" w:color="auto"/>
              <w:right w:val="single" w:sz="4" w:space="0" w:color="auto"/>
            </w:tcBorders>
            <w:shd w:val="clear" w:color="000000" w:fill="97D3A8"/>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164 146</w:t>
            </w:r>
          </w:p>
        </w:tc>
        <w:tc>
          <w:tcPr>
            <w:tcW w:w="701" w:type="pct"/>
            <w:tcBorders>
              <w:top w:val="single" w:sz="4" w:space="0" w:color="auto"/>
              <w:left w:val="single" w:sz="4" w:space="0" w:color="auto"/>
              <w:bottom w:val="single" w:sz="4" w:space="0" w:color="auto"/>
              <w:right w:val="single" w:sz="4" w:space="0" w:color="auto"/>
            </w:tcBorders>
            <w:shd w:val="clear" w:color="000000" w:fill="9ED6AE"/>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64,1 %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Zábřeh</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0,49</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0,63</w:t>
            </w:r>
          </w:p>
        </w:tc>
        <w:tc>
          <w:tcPr>
            <w:tcW w:w="701" w:type="pct"/>
            <w:tcBorders>
              <w:top w:val="single" w:sz="4" w:space="0" w:color="auto"/>
              <w:left w:val="single" w:sz="4" w:space="0" w:color="auto"/>
              <w:bottom w:val="single" w:sz="4" w:space="0" w:color="auto"/>
              <w:right w:val="single" w:sz="4" w:space="0" w:color="auto"/>
            </w:tcBorders>
            <w:shd w:val="clear" w:color="000000" w:fill="FBB3B6"/>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28,9 %</w:t>
            </w:r>
          </w:p>
        </w:tc>
        <w:tc>
          <w:tcPr>
            <w:tcW w:w="548" w:type="pct"/>
            <w:tcBorders>
              <w:top w:val="single" w:sz="4" w:space="0" w:color="auto"/>
              <w:left w:val="single" w:sz="4" w:space="0" w:color="auto"/>
              <w:bottom w:val="single" w:sz="4" w:space="0" w:color="auto"/>
              <w:right w:val="single" w:sz="4" w:space="0" w:color="auto"/>
            </w:tcBorders>
            <w:shd w:val="clear" w:color="000000" w:fill="9BB8DD"/>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278 080</w:t>
            </w:r>
          </w:p>
        </w:tc>
        <w:tc>
          <w:tcPr>
            <w:tcW w:w="548" w:type="pct"/>
            <w:tcBorders>
              <w:top w:val="single" w:sz="4" w:space="0" w:color="auto"/>
              <w:left w:val="single" w:sz="4" w:space="0" w:color="auto"/>
              <w:bottom w:val="single" w:sz="4" w:space="0" w:color="auto"/>
              <w:right w:val="single" w:sz="4" w:space="0" w:color="auto"/>
            </w:tcBorders>
            <w:shd w:val="clear" w:color="000000" w:fill="FAA6A9"/>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444 798</w:t>
            </w:r>
          </w:p>
        </w:tc>
        <w:tc>
          <w:tcPr>
            <w:tcW w:w="548" w:type="pct"/>
            <w:tcBorders>
              <w:top w:val="single" w:sz="4" w:space="0" w:color="auto"/>
              <w:left w:val="single" w:sz="4" w:space="0" w:color="auto"/>
              <w:bottom w:val="single" w:sz="4" w:space="0" w:color="auto"/>
              <w:right w:val="single" w:sz="4" w:space="0" w:color="auto"/>
            </w:tcBorders>
            <w:shd w:val="clear" w:color="000000" w:fill="94D2A5"/>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166 718</w:t>
            </w:r>
          </w:p>
        </w:tc>
        <w:tc>
          <w:tcPr>
            <w:tcW w:w="701" w:type="pct"/>
            <w:tcBorders>
              <w:top w:val="single" w:sz="4" w:space="0" w:color="auto"/>
              <w:left w:val="single" w:sz="4" w:space="0" w:color="auto"/>
              <w:bottom w:val="single" w:sz="4" w:space="0" w:color="auto"/>
              <w:right w:val="single" w:sz="4" w:space="0" w:color="auto"/>
            </w:tcBorders>
            <w:shd w:val="clear" w:color="000000" w:fill="A9DAB7"/>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60,0 %</w:t>
            </w:r>
          </w:p>
        </w:tc>
      </w:tr>
      <w:tr w:rsidR="007A1AB1" w:rsidRPr="007A1AB1" w:rsidTr="00DD1B74">
        <w:trPr>
          <w:trHeight w:val="113"/>
        </w:trPr>
        <w:tc>
          <w:tcPr>
            <w:tcW w:w="1128"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 xml:space="preserve"> OK</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13,15</w:t>
            </w:r>
          </w:p>
        </w:tc>
        <w:tc>
          <w:tcPr>
            <w:tcW w:w="413"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14,68</w:t>
            </w:r>
          </w:p>
        </w:tc>
        <w:tc>
          <w:tcPr>
            <w:tcW w:w="701" w:type="pct"/>
            <w:tcBorders>
              <w:top w:val="single" w:sz="4" w:space="0" w:color="auto"/>
              <w:left w:val="single" w:sz="4" w:space="0" w:color="auto"/>
              <w:bottom w:val="single" w:sz="4" w:space="0" w:color="auto"/>
              <w:right w:val="single" w:sz="4" w:space="0" w:color="auto"/>
            </w:tcBorders>
            <w:shd w:val="clear" w:color="000000" w:fill="ECF1F9"/>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11,6 %</w:t>
            </w:r>
          </w:p>
        </w:tc>
        <w:tc>
          <w:tcPr>
            <w:tcW w:w="548" w:type="pct"/>
            <w:tcBorders>
              <w:top w:val="single" w:sz="4" w:space="0" w:color="auto"/>
              <w:left w:val="single" w:sz="4" w:space="0" w:color="auto"/>
              <w:bottom w:val="single" w:sz="4" w:space="0" w:color="auto"/>
              <w:right w:val="single" w:sz="4" w:space="0" w:color="auto"/>
            </w:tcBorders>
            <w:shd w:val="clear" w:color="000000" w:fill="85A8D5"/>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263 535</w:t>
            </w:r>
          </w:p>
        </w:tc>
        <w:tc>
          <w:tcPr>
            <w:tcW w:w="548" w:type="pct"/>
            <w:tcBorders>
              <w:top w:val="single" w:sz="4" w:space="0" w:color="auto"/>
              <w:left w:val="single" w:sz="4" w:space="0" w:color="auto"/>
              <w:bottom w:val="single" w:sz="4" w:space="0" w:color="auto"/>
              <w:right w:val="single" w:sz="4" w:space="0" w:color="auto"/>
            </w:tcBorders>
            <w:shd w:val="clear" w:color="000000" w:fill="FBBDBF"/>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417 655</w:t>
            </w:r>
          </w:p>
        </w:tc>
        <w:tc>
          <w:tcPr>
            <w:tcW w:w="548" w:type="pct"/>
            <w:tcBorders>
              <w:top w:val="single" w:sz="4" w:space="0" w:color="auto"/>
              <w:left w:val="single" w:sz="4" w:space="0" w:color="auto"/>
              <w:bottom w:val="single" w:sz="4" w:space="0" w:color="auto"/>
              <w:right w:val="single" w:sz="4" w:space="0" w:color="auto"/>
            </w:tcBorders>
            <w:shd w:val="clear" w:color="000000" w:fill="A2D8B1"/>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154 121</w:t>
            </w:r>
          </w:p>
        </w:tc>
        <w:tc>
          <w:tcPr>
            <w:tcW w:w="701" w:type="pct"/>
            <w:tcBorders>
              <w:top w:val="single" w:sz="4" w:space="0" w:color="auto"/>
              <w:left w:val="single" w:sz="4" w:space="0" w:color="auto"/>
              <w:bottom w:val="single" w:sz="4" w:space="0" w:color="auto"/>
              <w:right w:val="single" w:sz="4" w:space="0" w:color="auto"/>
            </w:tcBorders>
            <w:shd w:val="clear" w:color="000000" w:fill="ACDCBA"/>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58,5 %</w:t>
            </w:r>
          </w:p>
        </w:tc>
      </w:tr>
    </w:tbl>
    <w:p w:rsidR="00AF4350" w:rsidRPr="0039748C" w:rsidRDefault="00AF4350" w:rsidP="007A1AB1">
      <w:pPr>
        <w:pStyle w:val="Zdrojobjektu"/>
      </w:pPr>
      <w:r w:rsidRPr="0039748C">
        <w:t>Zdroj: Exekutorská komora, data k 1.</w:t>
      </w:r>
      <w:r>
        <w:t xml:space="preserve"> </w:t>
      </w:r>
      <w:r w:rsidRPr="0039748C">
        <w:t>1</w:t>
      </w:r>
      <w:r>
        <w:t>. daného roku</w:t>
      </w:r>
      <w:r w:rsidRPr="0039748C">
        <w:t>, zpracování ACCENDO (2022)</w:t>
      </w:r>
    </w:p>
    <w:p w:rsidR="00AF4350" w:rsidRPr="0039748C" w:rsidRDefault="00AF4350" w:rsidP="00A34764">
      <w:r>
        <w:t xml:space="preserve">ČSSZ provádí srážky </w:t>
      </w:r>
      <w:r w:rsidRPr="0039748C">
        <w:t>ze všech druhů důchodů – starobních, invalidních a pozůstalostních. Před odchodem do důchodu jsou u dlužníků srážky z platu (příjmu) realizovány zaměstnavatelem a po odchodu do důchodu tato povinnost přechází na ČSSZ, která ačkoli o exekuci nerozhoduje, musí ji na základě exekučního titulu provádět. V případě, že důchod nepřekračuje tzv. nezabavitelnou částku, nemůže ČSSZ exekuční srážku provést. Tím však dluh nezaniká a je dále evidován.</w:t>
      </w:r>
    </w:p>
    <w:p w:rsidR="00AF4350" w:rsidRPr="0039748C" w:rsidRDefault="00AF4350" w:rsidP="007A1AB1">
      <w:pPr>
        <w:keepNext/>
        <w:keepLines/>
      </w:pPr>
      <w:r w:rsidRPr="0039748C">
        <w:lastRenderedPageBreak/>
        <w:t>V OK je celkem 4 tis. důchodců s exekuční srážkou, přičemž 56,4 % představují muži, nejvíce důchodců s exekuční srážkou jsou starobní důchodci (61,8 %). Průměrná výše starobních důchodů s exekuční srážkou u mužů je 14 156 Kč, u žen pak 13 359 Kč, průměrná výše srážky z těchto důchodů je u mužů 2 947 Kč, u žen pak 2 543 Kč, u obou pohlaví je průměrný věk dlužníka pobírajícího starobní důchod 69 let. V tabulce níže jsou zobrazeny výše uvedené údaje rovněž pro osoby pobírající invalidní a pozůstalostní důchod.</w:t>
      </w:r>
    </w:p>
    <w:p w:rsidR="00AF4350" w:rsidRPr="0039748C" w:rsidRDefault="00AF4350" w:rsidP="007A1AB1">
      <w:pPr>
        <w:pStyle w:val="popistabulkySPRSS2024"/>
      </w:pPr>
      <w:bookmarkStart w:id="77" w:name="_Toc117607071"/>
      <w:r w:rsidRPr="0039748C">
        <w:t xml:space="preserve">Tabulka </w:t>
      </w:r>
      <w:r w:rsidR="00412C70">
        <w:fldChar w:fldCharType="begin"/>
      </w:r>
      <w:r w:rsidR="00412C70">
        <w:instrText xml:space="preserve"> SEQ Tabulka \* ARABIC </w:instrText>
      </w:r>
      <w:r w:rsidR="00412C70">
        <w:fldChar w:fldCharType="separate"/>
      </w:r>
      <w:r w:rsidR="003A12AF">
        <w:rPr>
          <w:noProof/>
        </w:rPr>
        <w:t>11</w:t>
      </w:r>
      <w:r w:rsidR="00412C70">
        <w:rPr>
          <w:noProof/>
        </w:rPr>
        <w:fldChar w:fldCharType="end"/>
      </w:r>
      <w:r>
        <w:rPr>
          <w:noProof/>
        </w:rPr>
        <w:t>:</w:t>
      </w:r>
      <w:r w:rsidRPr="0039748C">
        <w:t xml:space="preserve"> Počty důchodců s exekuční srážkou, průměrná výše důchodů, srážky a věk v OK – březen 2022</w:t>
      </w:r>
      <w:bookmarkEnd w:id="77"/>
      <w:r w:rsidRPr="0039748C">
        <w:t xml:space="preserve"> </w:t>
      </w:r>
    </w:p>
    <w:tbl>
      <w:tblPr>
        <w:tblW w:w="5000" w:type="pct"/>
        <w:tblLayout w:type="fixed"/>
        <w:tblCellMar>
          <w:left w:w="70" w:type="dxa"/>
          <w:right w:w="70" w:type="dxa"/>
        </w:tblCellMar>
        <w:tblLook w:val="04A0" w:firstRow="1" w:lastRow="0" w:firstColumn="1" w:lastColumn="0" w:noHBand="0" w:noVBand="1"/>
      </w:tblPr>
      <w:tblGrid>
        <w:gridCol w:w="2122"/>
        <w:gridCol w:w="850"/>
        <w:gridCol w:w="709"/>
        <w:gridCol w:w="850"/>
        <w:gridCol w:w="1135"/>
        <w:gridCol w:w="993"/>
        <w:gridCol w:w="709"/>
        <w:gridCol w:w="634"/>
        <w:gridCol w:w="536"/>
        <w:gridCol w:w="524"/>
      </w:tblGrid>
      <w:tr w:rsidR="007A1AB1" w:rsidRPr="007A1AB1" w:rsidTr="00DD1B74">
        <w:trPr>
          <w:trHeight w:val="57"/>
        </w:trPr>
        <w:tc>
          <w:tcPr>
            <w:tcW w:w="1171"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Typ důchodu</w:t>
            </w:r>
          </w:p>
        </w:tc>
        <w:tc>
          <w:tcPr>
            <w:tcW w:w="1329" w:type="pct"/>
            <w:gridSpan w:val="3"/>
            <w:tcBorders>
              <w:top w:val="single" w:sz="4" w:space="0" w:color="auto"/>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Počet</w:t>
            </w:r>
          </w:p>
        </w:tc>
        <w:tc>
          <w:tcPr>
            <w:tcW w:w="1174" w:type="pct"/>
            <w:gridSpan w:val="2"/>
            <w:tcBorders>
              <w:top w:val="single" w:sz="4" w:space="0" w:color="auto"/>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Průměrná výše důchodu s exekuční srážkou v Kč</w:t>
            </w:r>
          </w:p>
        </w:tc>
        <w:tc>
          <w:tcPr>
            <w:tcW w:w="741" w:type="pct"/>
            <w:gridSpan w:val="2"/>
            <w:tcBorders>
              <w:top w:val="single" w:sz="4" w:space="0" w:color="auto"/>
              <w:left w:val="nil"/>
              <w:bottom w:val="single" w:sz="4" w:space="0" w:color="auto"/>
              <w:right w:val="single" w:sz="4" w:space="0" w:color="000000"/>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Průměrná výše srážky v Kč</w:t>
            </w:r>
          </w:p>
        </w:tc>
        <w:tc>
          <w:tcPr>
            <w:tcW w:w="585" w:type="pct"/>
            <w:gridSpan w:val="2"/>
            <w:tcBorders>
              <w:top w:val="single" w:sz="4" w:space="0" w:color="auto"/>
              <w:left w:val="nil"/>
              <w:bottom w:val="single" w:sz="4" w:space="0" w:color="auto"/>
              <w:right w:val="single" w:sz="4" w:space="0" w:color="000000"/>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Průměrný věk</w:t>
            </w:r>
          </w:p>
        </w:tc>
      </w:tr>
      <w:tr w:rsidR="007A1AB1" w:rsidRPr="007A1AB1" w:rsidTr="00DD1B74">
        <w:trPr>
          <w:trHeight w:val="57"/>
        </w:trPr>
        <w:tc>
          <w:tcPr>
            <w:tcW w:w="1171" w:type="pct"/>
            <w:vMerge/>
            <w:tcBorders>
              <w:top w:val="single" w:sz="4" w:space="0" w:color="auto"/>
              <w:left w:val="single" w:sz="4" w:space="0" w:color="auto"/>
              <w:bottom w:val="single" w:sz="4" w:space="0" w:color="auto"/>
              <w:right w:val="single" w:sz="4" w:space="0" w:color="auto"/>
            </w:tcBorders>
            <w:vAlign w:val="center"/>
            <w:hideMark/>
          </w:tcPr>
          <w:p w:rsidR="007A1AB1" w:rsidRPr="007A1AB1" w:rsidRDefault="007A1AB1" w:rsidP="007A1AB1">
            <w:pPr>
              <w:keepNext/>
              <w:spacing w:before="0"/>
              <w:jc w:val="left"/>
              <w:rPr>
                <w:rFonts w:ascii="Calibri" w:hAnsi="Calibri" w:cs="Calibri"/>
                <w:b/>
                <w:bCs/>
                <w:color w:val="000000"/>
                <w:sz w:val="18"/>
                <w:szCs w:val="18"/>
                <w:lang w:eastAsia="cs-CZ"/>
              </w:rPr>
            </w:pPr>
          </w:p>
        </w:tc>
        <w:tc>
          <w:tcPr>
            <w:tcW w:w="469"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Muži</w:t>
            </w:r>
          </w:p>
        </w:tc>
        <w:tc>
          <w:tcPr>
            <w:tcW w:w="391"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Ženy</w:t>
            </w:r>
          </w:p>
        </w:tc>
        <w:tc>
          <w:tcPr>
            <w:tcW w:w="469"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Celkem</w:t>
            </w:r>
          </w:p>
        </w:tc>
        <w:tc>
          <w:tcPr>
            <w:tcW w:w="626"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Muži</w:t>
            </w:r>
          </w:p>
        </w:tc>
        <w:tc>
          <w:tcPr>
            <w:tcW w:w="548"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Ženy</w:t>
            </w:r>
          </w:p>
        </w:tc>
        <w:tc>
          <w:tcPr>
            <w:tcW w:w="391"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Muži</w:t>
            </w:r>
          </w:p>
        </w:tc>
        <w:tc>
          <w:tcPr>
            <w:tcW w:w="350"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Ženy</w:t>
            </w:r>
          </w:p>
        </w:tc>
        <w:tc>
          <w:tcPr>
            <w:tcW w:w="296"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Muži</w:t>
            </w:r>
          </w:p>
        </w:tc>
        <w:tc>
          <w:tcPr>
            <w:tcW w:w="289"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keepNext/>
              <w:spacing w:before="0"/>
              <w:jc w:val="center"/>
              <w:rPr>
                <w:rFonts w:ascii="Calibri" w:hAnsi="Calibri" w:cs="Calibri"/>
                <w:b/>
                <w:bCs/>
                <w:color w:val="000000"/>
                <w:sz w:val="18"/>
                <w:szCs w:val="18"/>
                <w:lang w:eastAsia="cs-CZ"/>
              </w:rPr>
            </w:pPr>
            <w:r w:rsidRPr="007A1AB1">
              <w:rPr>
                <w:rFonts w:ascii="Calibri" w:hAnsi="Calibri" w:cs="Calibri"/>
                <w:b/>
                <w:bCs/>
                <w:color w:val="000000"/>
                <w:sz w:val="18"/>
                <w:szCs w:val="18"/>
                <w:lang w:eastAsia="cs-CZ"/>
              </w:rPr>
              <w:t>Ženy</w:t>
            </w:r>
          </w:p>
        </w:tc>
      </w:tr>
      <w:tr w:rsidR="007A1AB1" w:rsidRPr="007A1AB1" w:rsidTr="00DD1B74">
        <w:trPr>
          <w:trHeight w:val="57"/>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Starobní důchody</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1 391</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1 162</w:t>
            </w:r>
          </w:p>
        </w:tc>
        <w:tc>
          <w:tcPr>
            <w:tcW w:w="469" w:type="pct"/>
            <w:tcBorders>
              <w:top w:val="single" w:sz="4" w:space="0" w:color="auto"/>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2 553</w:t>
            </w:r>
          </w:p>
        </w:tc>
        <w:tc>
          <w:tcPr>
            <w:tcW w:w="626" w:type="pct"/>
            <w:tcBorders>
              <w:top w:val="single" w:sz="4" w:space="0" w:color="auto"/>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14 156</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13 359</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2 947</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2 543</w:t>
            </w:r>
          </w:p>
        </w:tc>
        <w:tc>
          <w:tcPr>
            <w:tcW w:w="296" w:type="pct"/>
            <w:tcBorders>
              <w:top w:val="single" w:sz="4" w:space="0" w:color="auto"/>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69</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69</w:t>
            </w:r>
          </w:p>
        </w:tc>
      </w:tr>
      <w:tr w:rsidR="007A1AB1" w:rsidRPr="007A1AB1" w:rsidTr="00DD1B74">
        <w:trPr>
          <w:trHeight w:val="57"/>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Invalidní důchody</w:t>
            </w:r>
          </w:p>
        </w:tc>
        <w:tc>
          <w:tcPr>
            <w:tcW w:w="469" w:type="pct"/>
            <w:tcBorders>
              <w:top w:val="nil"/>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928</w:t>
            </w:r>
          </w:p>
        </w:tc>
        <w:tc>
          <w:tcPr>
            <w:tcW w:w="391"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571</w:t>
            </w:r>
          </w:p>
        </w:tc>
        <w:tc>
          <w:tcPr>
            <w:tcW w:w="469"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1 499</w:t>
            </w:r>
          </w:p>
        </w:tc>
        <w:tc>
          <w:tcPr>
            <w:tcW w:w="626"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11 319</w:t>
            </w:r>
          </w:p>
        </w:tc>
        <w:tc>
          <w:tcPr>
            <w:tcW w:w="548"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10 722</w:t>
            </w:r>
          </w:p>
        </w:tc>
        <w:tc>
          <w:tcPr>
            <w:tcW w:w="391"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2 683</w:t>
            </w:r>
          </w:p>
        </w:tc>
        <w:tc>
          <w:tcPr>
            <w:tcW w:w="350"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2 961</w:t>
            </w:r>
          </w:p>
        </w:tc>
        <w:tc>
          <w:tcPr>
            <w:tcW w:w="296"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51</w:t>
            </w:r>
          </w:p>
        </w:tc>
        <w:tc>
          <w:tcPr>
            <w:tcW w:w="289"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51</w:t>
            </w:r>
          </w:p>
        </w:tc>
      </w:tr>
      <w:tr w:rsidR="007A1AB1" w:rsidRPr="007A1AB1" w:rsidTr="00DD1B74">
        <w:trPr>
          <w:trHeight w:val="57"/>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Pozůstalostní důchody</w:t>
            </w:r>
          </w:p>
        </w:tc>
        <w:tc>
          <w:tcPr>
            <w:tcW w:w="469" w:type="pct"/>
            <w:tcBorders>
              <w:top w:val="nil"/>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10</w:t>
            </w:r>
          </w:p>
        </w:tc>
        <w:tc>
          <w:tcPr>
            <w:tcW w:w="391"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71</w:t>
            </w:r>
          </w:p>
        </w:tc>
        <w:tc>
          <w:tcPr>
            <w:tcW w:w="469"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81</w:t>
            </w:r>
          </w:p>
        </w:tc>
        <w:tc>
          <w:tcPr>
            <w:tcW w:w="626"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9 499</w:t>
            </w:r>
          </w:p>
        </w:tc>
        <w:tc>
          <w:tcPr>
            <w:tcW w:w="548"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9 739</w:t>
            </w:r>
          </w:p>
        </w:tc>
        <w:tc>
          <w:tcPr>
            <w:tcW w:w="391"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3 019</w:t>
            </w:r>
          </w:p>
        </w:tc>
        <w:tc>
          <w:tcPr>
            <w:tcW w:w="350"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2 366</w:t>
            </w:r>
          </w:p>
        </w:tc>
        <w:tc>
          <w:tcPr>
            <w:tcW w:w="296"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55</w:t>
            </w:r>
          </w:p>
        </w:tc>
        <w:tc>
          <w:tcPr>
            <w:tcW w:w="289"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59</w:t>
            </w:r>
          </w:p>
        </w:tc>
      </w:tr>
      <w:tr w:rsidR="007A1AB1" w:rsidRPr="007A1AB1" w:rsidTr="00DD1B74">
        <w:trPr>
          <w:trHeight w:val="57"/>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7A1AB1" w:rsidRPr="007A1AB1" w:rsidRDefault="007A1AB1" w:rsidP="007A1AB1">
            <w:pPr>
              <w:spacing w:before="0"/>
              <w:jc w:val="left"/>
              <w:rPr>
                <w:rFonts w:ascii="Calibri" w:hAnsi="Calibri" w:cs="Calibri"/>
                <w:color w:val="000000"/>
                <w:sz w:val="18"/>
                <w:szCs w:val="18"/>
                <w:lang w:eastAsia="cs-CZ"/>
              </w:rPr>
            </w:pPr>
            <w:r w:rsidRPr="007A1AB1">
              <w:rPr>
                <w:rFonts w:ascii="Calibri" w:hAnsi="Calibri" w:cs="Calibri"/>
                <w:color w:val="000000"/>
                <w:sz w:val="18"/>
                <w:szCs w:val="18"/>
                <w:lang w:eastAsia="cs-CZ"/>
              </w:rPr>
              <w:t>Celkem</w:t>
            </w:r>
          </w:p>
        </w:tc>
        <w:tc>
          <w:tcPr>
            <w:tcW w:w="469"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2 329</w:t>
            </w:r>
          </w:p>
        </w:tc>
        <w:tc>
          <w:tcPr>
            <w:tcW w:w="391"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1 804</w:t>
            </w:r>
          </w:p>
        </w:tc>
        <w:tc>
          <w:tcPr>
            <w:tcW w:w="469" w:type="pct"/>
            <w:tcBorders>
              <w:top w:val="nil"/>
              <w:left w:val="nil"/>
              <w:bottom w:val="single" w:sz="4" w:space="0" w:color="auto"/>
              <w:right w:val="single" w:sz="4" w:space="0" w:color="auto"/>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eastAsiaTheme="minorHAnsi" w:hAnsi="Calibri" w:cs="Calibri"/>
                <w:color w:val="000000"/>
                <w:sz w:val="18"/>
                <w:szCs w:val="18"/>
              </w:rPr>
              <w:t>4 133</w:t>
            </w:r>
          </w:p>
        </w:tc>
        <w:tc>
          <w:tcPr>
            <w:tcW w:w="117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w:t>
            </w:r>
          </w:p>
        </w:tc>
        <w:tc>
          <w:tcPr>
            <w:tcW w:w="74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w:t>
            </w:r>
          </w:p>
        </w:tc>
        <w:tc>
          <w:tcPr>
            <w:tcW w:w="58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7A1AB1" w:rsidRPr="007A1AB1" w:rsidRDefault="007A1AB1" w:rsidP="007A1AB1">
            <w:pPr>
              <w:spacing w:before="0"/>
              <w:jc w:val="right"/>
              <w:rPr>
                <w:rFonts w:ascii="Calibri" w:hAnsi="Calibri" w:cs="Calibri"/>
                <w:color w:val="000000"/>
                <w:sz w:val="18"/>
                <w:szCs w:val="18"/>
                <w:lang w:eastAsia="cs-CZ"/>
              </w:rPr>
            </w:pPr>
            <w:r w:rsidRPr="007A1AB1">
              <w:rPr>
                <w:rFonts w:ascii="Calibri" w:hAnsi="Calibri" w:cs="Calibri"/>
                <w:color w:val="000000"/>
                <w:sz w:val="18"/>
                <w:szCs w:val="18"/>
                <w:lang w:eastAsia="cs-CZ"/>
              </w:rPr>
              <w:t>-</w:t>
            </w:r>
          </w:p>
        </w:tc>
      </w:tr>
    </w:tbl>
    <w:p w:rsidR="00AF4350" w:rsidRDefault="00AF4350" w:rsidP="007A1AB1">
      <w:pPr>
        <w:pStyle w:val="Zdrojobjektu"/>
      </w:pPr>
      <w:r w:rsidRPr="0039748C">
        <w:t>Zdroj: ČSSZ, Přehled o počtu důchodců s exekuční srážkou, zpracování ACCENDO (2022)</w:t>
      </w:r>
    </w:p>
    <w:p w:rsidR="00AF4350" w:rsidRPr="0039748C" w:rsidRDefault="00AF4350" w:rsidP="007A1AB1">
      <w:pPr>
        <w:pStyle w:val="popistabulkySPRSS2024"/>
      </w:pPr>
      <w:bookmarkStart w:id="78" w:name="_Toc117607038"/>
      <w:r w:rsidRPr="0039748C">
        <w:t xml:space="preserve">Graf </w:t>
      </w:r>
      <w:r w:rsidR="00412C70">
        <w:fldChar w:fldCharType="begin"/>
      </w:r>
      <w:r w:rsidR="00412C70">
        <w:instrText xml:space="preserve"> SEQ Graf \* ARABIC </w:instrText>
      </w:r>
      <w:r w:rsidR="00412C70">
        <w:fldChar w:fldCharType="separate"/>
      </w:r>
      <w:r w:rsidR="003A12AF">
        <w:rPr>
          <w:noProof/>
        </w:rPr>
        <w:t>12</w:t>
      </w:r>
      <w:r w:rsidR="00412C70">
        <w:rPr>
          <w:noProof/>
        </w:rPr>
        <w:fldChar w:fldCharType="end"/>
      </w:r>
      <w:r>
        <w:rPr>
          <w:noProof/>
        </w:rPr>
        <w:t>:</w:t>
      </w:r>
      <w:r w:rsidRPr="0039748C">
        <w:t xml:space="preserve"> Počty důchodců s exekuční srážkou, průměrná výše důchodů, srážky v OK – březen 2022</w:t>
      </w:r>
      <w:bookmarkEnd w:id="78"/>
    </w:p>
    <w:p w:rsidR="00AF4350" w:rsidRPr="0039748C" w:rsidRDefault="00AF4350" w:rsidP="007A1AB1">
      <w:pPr>
        <w:spacing w:before="0"/>
        <w:rPr>
          <w:lang w:eastAsia="cs-CZ"/>
        </w:rPr>
      </w:pPr>
      <w:r w:rsidRPr="0039748C">
        <w:rPr>
          <w:noProof/>
          <w:lang w:eastAsia="cs-CZ"/>
        </w:rPr>
        <w:drawing>
          <wp:inline distT="0" distB="0" distL="0" distR="0" wp14:anchorId="513AE27E" wp14:editId="5B0FE113">
            <wp:extent cx="5901690" cy="2840990"/>
            <wp:effectExtent l="0" t="0" r="381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1690" cy="2840990"/>
                    </a:xfrm>
                    <a:prstGeom prst="rect">
                      <a:avLst/>
                    </a:prstGeom>
                    <a:noFill/>
                  </pic:spPr>
                </pic:pic>
              </a:graphicData>
            </a:graphic>
          </wp:inline>
        </w:drawing>
      </w:r>
    </w:p>
    <w:p w:rsidR="00AF4350" w:rsidRPr="0039748C" w:rsidRDefault="00AF4350" w:rsidP="007A1AB1">
      <w:pPr>
        <w:pStyle w:val="Zdrojobjektu"/>
      </w:pPr>
      <w:r w:rsidRPr="0039748C">
        <w:t>Zdroj: ČSSZ, Přehled o počtu důchodců s exekuční srážkou, zpracování ACCENDO (2022)</w:t>
      </w:r>
    </w:p>
    <w:p w:rsidR="00AF4350" w:rsidRPr="0039748C" w:rsidRDefault="00AF4350" w:rsidP="00A34764">
      <w:pPr>
        <w:pStyle w:val="Nadpis2"/>
      </w:pPr>
      <w:bookmarkStart w:id="79" w:name="_Toc117606964"/>
      <w:r w:rsidRPr="0039748C">
        <w:t>Analytické údaje týkající se pracovních skupin</w:t>
      </w:r>
      <w:bookmarkEnd w:id="79"/>
    </w:p>
    <w:p w:rsidR="00AF4350" w:rsidRPr="0039748C" w:rsidRDefault="00AF4350" w:rsidP="00A34764">
      <w:pPr>
        <w:pStyle w:val="Nadpis3"/>
        <w:rPr>
          <w:rFonts w:eastAsia="Times New Roman"/>
        </w:rPr>
      </w:pPr>
      <w:bookmarkStart w:id="80" w:name="_Toc117606965"/>
      <w:r w:rsidRPr="0039748C">
        <w:rPr>
          <w:rFonts w:eastAsia="Times New Roman"/>
        </w:rPr>
        <w:t>Děti, mládež a rodina</w:t>
      </w:r>
      <w:bookmarkEnd w:id="80"/>
    </w:p>
    <w:p w:rsidR="00AF4350" w:rsidRPr="0039748C" w:rsidRDefault="00AF4350" w:rsidP="00A34764">
      <w:r w:rsidRPr="0039748C">
        <w:t>Vývoj počtu dětí a mládeže v souhrnném ukazateli podílu osob do 18 let věku na celkovém počtu obyvatel je znázorněn na mapách níže. Zatímco mezi roky 2012 a 2022 došlo ke zvýšení podílu obyvatel do 18 let věku téměř ve všech SO ORP, v roce 2032 dojde k poklesu této věkové skupiny. V roce 2022 je v kraji 122 tis. obyvatel v tomto věku, což představuje nárůst o 3,5 tis. obyvatel (+3,8 %), v roce 2032 poklesne jejich počet o 5,3 tis. (4,3 %) na hodnotu 117 tis. obyvatel. Podíl obyvatel do 18 let nad 20 % je v roce 2022 ve 3 správních obvodech – Olomouci, Šternberku a Prostějově, v roce 2032 bude takto vysoký podíl pouze v SO ORP Olomouc. Nejnižší podíl této věkové skupiny, 18 % a méně, je v roce 2022 v SO ORP Jeseník a Konice (v roce 2032 pouze Jeseník). Podrobnosti jsou znázorněny v následující mapě a tabulce. Obdobné trendy se projevují ve vývoji dětské složky (občané ve věku 0–14 let), viz tabulka.</w:t>
      </w:r>
    </w:p>
    <w:p w:rsidR="00AF4350" w:rsidRPr="0039748C" w:rsidRDefault="00AF4350" w:rsidP="007A1AB1">
      <w:pPr>
        <w:pStyle w:val="popistabulkySPRSS2024"/>
      </w:pPr>
      <w:bookmarkStart w:id="81" w:name="_Toc117607056"/>
      <w:r w:rsidRPr="0039748C">
        <w:lastRenderedPageBreak/>
        <w:t xml:space="preserve">Mapa </w:t>
      </w:r>
      <w:r w:rsidR="00412C70">
        <w:fldChar w:fldCharType="begin"/>
      </w:r>
      <w:r w:rsidR="00412C70">
        <w:instrText xml:space="preserve"> SEQ Mapa \* ARABIC </w:instrText>
      </w:r>
      <w:r w:rsidR="00412C70">
        <w:fldChar w:fldCharType="separate"/>
      </w:r>
      <w:r w:rsidR="003A12AF">
        <w:rPr>
          <w:noProof/>
        </w:rPr>
        <w:t>4</w:t>
      </w:r>
      <w:r w:rsidR="00412C70">
        <w:rPr>
          <w:noProof/>
        </w:rPr>
        <w:fldChar w:fldCharType="end"/>
      </w:r>
      <w:r w:rsidRPr="0044208A">
        <w:t>:</w:t>
      </w:r>
      <w:r w:rsidRPr="0039748C">
        <w:t xml:space="preserve"> Počet a podíl osob ve věku 0–18 let v letech 2012, 2022 a 2032</w:t>
      </w:r>
      <w:bookmarkEnd w:id="81"/>
    </w:p>
    <w:p w:rsidR="00AF4350" w:rsidRPr="0039748C" w:rsidRDefault="00AF4350" w:rsidP="00A34764">
      <w:r w:rsidRPr="0039748C">
        <w:rPr>
          <w:noProof/>
          <w:lang w:eastAsia="cs-CZ"/>
        </w:rPr>
        <w:drawing>
          <wp:inline distT="0" distB="0" distL="0" distR="0" wp14:anchorId="0B3A85EC" wp14:editId="2643B63C">
            <wp:extent cx="6049420" cy="4907356"/>
            <wp:effectExtent l="0" t="0" r="8890" b="762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CES\04_Projekty\2018_KPSS_OLK\OLK_0-18.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049420" cy="4907356"/>
                    </a:xfrm>
                    <a:prstGeom prst="rect">
                      <a:avLst/>
                    </a:prstGeom>
                    <a:noFill/>
                    <a:ln>
                      <a:noFill/>
                    </a:ln>
                  </pic:spPr>
                </pic:pic>
              </a:graphicData>
            </a:graphic>
          </wp:inline>
        </w:drawing>
      </w:r>
    </w:p>
    <w:p w:rsidR="00AF4350" w:rsidRPr="0039748C" w:rsidRDefault="00AF4350" w:rsidP="007A1AB1">
      <w:pPr>
        <w:pStyle w:val="Zdrojobjektu"/>
      </w:pPr>
      <w:r w:rsidRPr="0039748C">
        <w:t>Zdroj: ČSÚ, vlastní prognózy obyvatel pro jednotlivá SO ORP, data k 1. 1. daného roku, zpracování ACCENDO (2022)</w:t>
      </w:r>
    </w:p>
    <w:p w:rsidR="00AF4350" w:rsidRPr="0039748C" w:rsidRDefault="00AF4350" w:rsidP="007A1AB1">
      <w:pPr>
        <w:pStyle w:val="popistabulkySPRSS2024"/>
      </w:pPr>
      <w:bookmarkStart w:id="82" w:name="_Toc117607072"/>
      <w:r w:rsidRPr="0039748C">
        <w:t xml:space="preserve">Tabulka </w:t>
      </w:r>
      <w:r w:rsidR="00412C70">
        <w:fldChar w:fldCharType="begin"/>
      </w:r>
      <w:r w:rsidR="00412C70">
        <w:instrText xml:space="preserve"> SEQ Tabu</w:instrText>
      </w:r>
      <w:r w:rsidR="00412C70">
        <w:instrText xml:space="preserve">lka \* ARABIC </w:instrText>
      </w:r>
      <w:r w:rsidR="00412C70">
        <w:fldChar w:fldCharType="separate"/>
      </w:r>
      <w:r w:rsidR="003A12AF">
        <w:rPr>
          <w:noProof/>
        </w:rPr>
        <w:t>12</w:t>
      </w:r>
      <w:r w:rsidR="00412C70">
        <w:rPr>
          <w:noProof/>
        </w:rPr>
        <w:fldChar w:fldCharType="end"/>
      </w:r>
      <w:r>
        <w:t>:</w:t>
      </w:r>
      <w:r w:rsidRPr="0039748C">
        <w:t xml:space="preserve"> Počet a podíl osob ve věku 0–18 let v letech 2012, 2022 a 2032</w:t>
      </w:r>
      <w:bookmarkEnd w:id="82"/>
    </w:p>
    <w:tbl>
      <w:tblPr>
        <w:tblW w:w="5003" w:type="pct"/>
        <w:tblLayout w:type="fixed"/>
        <w:tblCellMar>
          <w:left w:w="70" w:type="dxa"/>
          <w:right w:w="70" w:type="dxa"/>
        </w:tblCellMar>
        <w:tblLook w:val="04A0" w:firstRow="1" w:lastRow="0" w:firstColumn="1" w:lastColumn="0" w:noHBand="0" w:noVBand="1"/>
      </w:tblPr>
      <w:tblGrid>
        <w:gridCol w:w="1131"/>
        <w:gridCol w:w="845"/>
        <w:gridCol w:w="850"/>
        <w:gridCol w:w="852"/>
        <w:gridCol w:w="921"/>
        <w:gridCol w:w="927"/>
        <w:gridCol w:w="696"/>
        <w:gridCol w:w="696"/>
        <w:gridCol w:w="696"/>
        <w:gridCol w:w="733"/>
        <w:gridCol w:w="720"/>
      </w:tblGrid>
      <w:tr w:rsidR="007A1AB1" w:rsidRPr="007A1AB1" w:rsidTr="007A1AB1">
        <w:trPr>
          <w:trHeight w:val="20"/>
        </w:trPr>
        <w:tc>
          <w:tcPr>
            <w:tcW w:w="623"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7A1AB1" w:rsidRPr="007A1AB1" w:rsidRDefault="007A1AB1" w:rsidP="007A1AB1">
            <w:pPr>
              <w:spacing w:before="0"/>
              <w:jc w:val="center"/>
              <w:rPr>
                <w:b/>
                <w:bCs/>
                <w:sz w:val="18"/>
                <w:szCs w:val="18"/>
              </w:rPr>
            </w:pPr>
            <w:r w:rsidRPr="007A1AB1">
              <w:rPr>
                <w:b/>
                <w:bCs/>
                <w:sz w:val="18"/>
                <w:szCs w:val="18"/>
              </w:rPr>
              <w:t>SO ORP</w:t>
            </w:r>
          </w:p>
        </w:tc>
        <w:tc>
          <w:tcPr>
            <w:tcW w:w="2424" w:type="pct"/>
            <w:gridSpan w:val="5"/>
            <w:tcBorders>
              <w:top w:val="single" w:sz="4" w:space="0" w:color="auto"/>
              <w:left w:val="nil"/>
              <w:bottom w:val="single" w:sz="4" w:space="0" w:color="auto"/>
              <w:right w:val="single" w:sz="4" w:space="0" w:color="000000"/>
            </w:tcBorders>
            <w:shd w:val="clear" w:color="000000" w:fill="F2F2F2"/>
            <w:noWrap/>
            <w:vAlign w:val="center"/>
            <w:hideMark/>
          </w:tcPr>
          <w:p w:rsidR="007A1AB1" w:rsidRPr="007A1AB1" w:rsidRDefault="007A1AB1" w:rsidP="007A1AB1">
            <w:pPr>
              <w:spacing w:before="0"/>
              <w:jc w:val="center"/>
              <w:rPr>
                <w:b/>
                <w:bCs/>
                <w:sz w:val="18"/>
                <w:szCs w:val="18"/>
              </w:rPr>
            </w:pPr>
            <w:r w:rsidRPr="007A1AB1">
              <w:rPr>
                <w:b/>
                <w:bCs/>
                <w:sz w:val="18"/>
                <w:szCs w:val="18"/>
              </w:rPr>
              <w:t>Počet osob ve věku 0</w:t>
            </w:r>
            <w:r w:rsidRPr="007A1AB1">
              <w:rPr>
                <w:rFonts w:eastAsia="Arial Unicode MS" w:cs="Segoe UI"/>
                <w:b/>
                <w:sz w:val="18"/>
                <w:szCs w:val="18"/>
                <w:lang w:eastAsia="cs-CZ"/>
              </w:rPr>
              <w:t>–</w:t>
            </w:r>
            <w:r w:rsidRPr="007A1AB1">
              <w:rPr>
                <w:b/>
                <w:bCs/>
                <w:sz w:val="18"/>
                <w:szCs w:val="18"/>
              </w:rPr>
              <w:t>18 let</w:t>
            </w:r>
          </w:p>
        </w:tc>
        <w:tc>
          <w:tcPr>
            <w:tcW w:w="1954" w:type="pct"/>
            <w:gridSpan w:val="5"/>
            <w:tcBorders>
              <w:top w:val="single" w:sz="4" w:space="0" w:color="auto"/>
              <w:left w:val="nil"/>
              <w:bottom w:val="single" w:sz="4" w:space="0" w:color="auto"/>
              <w:right w:val="single" w:sz="4" w:space="0" w:color="000000"/>
            </w:tcBorders>
            <w:shd w:val="clear" w:color="000000" w:fill="F2F2F2"/>
            <w:noWrap/>
            <w:vAlign w:val="center"/>
            <w:hideMark/>
          </w:tcPr>
          <w:p w:rsidR="007A1AB1" w:rsidRPr="007A1AB1" w:rsidRDefault="007A1AB1" w:rsidP="007A1AB1">
            <w:pPr>
              <w:spacing w:before="0"/>
              <w:jc w:val="center"/>
              <w:rPr>
                <w:b/>
                <w:bCs/>
                <w:sz w:val="18"/>
                <w:szCs w:val="18"/>
              </w:rPr>
            </w:pPr>
            <w:r w:rsidRPr="007A1AB1">
              <w:rPr>
                <w:b/>
                <w:bCs/>
                <w:sz w:val="18"/>
                <w:szCs w:val="18"/>
              </w:rPr>
              <w:t>Podíl osob ve věku 0</w:t>
            </w:r>
            <w:r w:rsidRPr="007A1AB1">
              <w:rPr>
                <w:rFonts w:eastAsia="Arial Unicode MS" w:cs="Segoe UI"/>
                <w:b/>
                <w:sz w:val="18"/>
                <w:szCs w:val="18"/>
                <w:lang w:eastAsia="cs-CZ"/>
              </w:rPr>
              <w:t>–</w:t>
            </w:r>
            <w:r w:rsidRPr="007A1AB1">
              <w:rPr>
                <w:b/>
                <w:bCs/>
                <w:sz w:val="18"/>
                <w:szCs w:val="18"/>
              </w:rPr>
              <w:t>18 let</w:t>
            </w:r>
          </w:p>
        </w:tc>
      </w:tr>
      <w:tr w:rsidR="007A1AB1" w:rsidRPr="007A1AB1" w:rsidTr="007A1AB1">
        <w:trPr>
          <w:trHeight w:val="20"/>
        </w:trPr>
        <w:tc>
          <w:tcPr>
            <w:tcW w:w="623" w:type="pct"/>
            <w:vMerge/>
            <w:tcBorders>
              <w:top w:val="single" w:sz="4" w:space="0" w:color="auto"/>
              <w:left w:val="single" w:sz="4" w:space="0" w:color="auto"/>
              <w:bottom w:val="single" w:sz="4" w:space="0" w:color="000000"/>
              <w:right w:val="single" w:sz="4" w:space="0" w:color="auto"/>
            </w:tcBorders>
            <w:vAlign w:val="center"/>
            <w:hideMark/>
          </w:tcPr>
          <w:p w:rsidR="007A1AB1" w:rsidRPr="007A1AB1" w:rsidRDefault="007A1AB1" w:rsidP="007A1AB1">
            <w:pPr>
              <w:spacing w:before="0"/>
              <w:jc w:val="center"/>
              <w:rPr>
                <w:b/>
                <w:bCs/>
                <w:sz w:val="18"/>
                <w:szCs w:val="18"/>
              </w:rPr>
            </w:pPr>
          </w:p>
        </w:tc>
        <w:tc>
          <w:tcPr>
            <w:tcW w:w="466"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b/>
                <w:bCs/>
                <w:sz w:val="18"/>
                <w:szCs w:val="18"/>
              </w:rPr>
            </w:pPr>
            <w:r w:rsidRPr="007A1AB1">
              <w:rPr>
                <w:b/>
                <w:bCs/>
                <w:sz w:val="18"/>
                <w:szCs w:val="18"/>
              </w:rPr>
              <w:t>2012</w:t>
            </w:r>
          </w:p>
        </w:tc>
        <w:tc>
          <w:tcPr>
            <w:tcW w:w="469"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b/>
                <w:bCs/>
                <w:sz w:val="18"/>
                <w:szCs w:val="18"/>
              </w:rPr>
            </w:pPr>
            <w:r w:rsidRPr="007A1AB1">
              <w:rPr>
                <w:b/>
                <w:bCs/>
                <w:sz w:val="18"/>
                <w:szCs w:val="18"/>
              </w:rPr>
              <w:t>2022</w:t>
            </w:r>
          </w:p>
        </w:tc>
        <w:tc>
          <w:tcPr>
            <w:tcW w:w="470"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b/>
                <w:bCs/>
                <w:sz w:val="18"/>
                <w:szCs w:val="18"/>
              </w:rPr>
            </w:pPr>
            <w:r w:rsidRPr="007A1AB1">
              <w:rPr>
                <w:b/>
                <w:bCs/>
                <w:sz w:val="18"/>
                <w:szCs w:val="18"/>
              </w:rPr>
              <w:t>2032</w:t>
            </w:r>
          </w:p>
        </w:tc>
        <w:tc>
          <w:tcPr>
            <w:tcW w:w="508" w:type="pct"/>
            <w:tcBorders>
              <w:top w:val="nil"/>
              <w:left w:val="nil"/>
              <w:bottom w:val="single" w:sz="4" w:space="0" w:color="auto"/>
              <w:right w:val="single" w:sz="4" w:space="0" w:color="auto"/>
            </w:tcBorders>
            <w:shd w:val="clear" w:color="000000" w:fill="F2F2F2"/>
            <w:vAlign w:val="center"/>
            <w:hideMark/>
          </w:tcPr>
          <w:p w:rsidR="007A1AB1" w:rsidRPr="007A1AB1" w:rsidRDefault="007A1AB1" w:rsidP="007A1AB1">
            <w:pPr>
              <w:spacing w:before="0"/>
              <w:jc w:val="center"/>
              <w:rPr>
                <w:b/>
                <w:bCs/>
                <w:sz w:val="18"/>
                <w:szCs w:val="18"/>
              </w:rPr>
            </w:pPr>
            <w:r w:rsidRPr="007A1AB1">
              <w:rPr>
                <w:b/>
                <w:bCs/>
                <w:sz w:val="18"/>
                <w:szCs w:val="18"/>
              </w:rPr>
              <w:t>Změna 2012–2022</w:t>
            </w:r>
          </w:p>
        </w:tc>
        <w:tc>
          <w:tcPr>
            <w:tcW w:w="511" w:type="pct"/>
            <w:tcBorders>
              <w:top w:val="nil"/>
              <w:left w:val="nil"/>
              <w:bottom w:val="single" w:sz="4" w:space="0" w:color="auto"/>
              <w:right w:val="single" w:sz="4" w:space="0" w:color="auto"/>
            </w:tcBorders>
            <w:shd w:val="clear" w:color="000000" w:fill="F2F2F2"/>
            <w:vAlign w:val="center"/>
            <w:hideMark/>
          </w:tcPr>
          <w:p w:rsidR="007A1AB1" w:rsidRPr="007A1AB1" w:rsidRDefault="007A1AB1" w:rsidP="007A1AB1">
            <w:pPr>
              <w:spacing w:before="0"/>
              <w:jc w:val="center"/>
              <w:rPr>
                <w:b/>
                <w:bCs/>
                <w:sz w:val="18"/>
                <w:szCs w:val="18"/>
              </w:rPr>
            </w:pPr>
            <w:r w:rsidRPr="007A1AB1">
              <w:rPr>
                <w:b/>
                <w:bCs/>
                <w:sz w:val="18"/>
                <w:szCs w:val="18"/>
              </w:rPr>
              <w:t>Změna 2022–2032</w:t>
            </w:r>
          </w:p>
        </w:tc>
        <w:tc>
          <w:tcPr>
            <w:tcW w:w="384"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b/>
                <w:bCs/>
                <w:sz w:val="18"/>
                <w:szCs w:val="18"/>
              </w:rPr>
            </w:pPr>
            <w:r w:rsidRPr="007A1AB1">
              <w:rPr>
                <w:b/>
                <w:bCs/>
                <w:sz w:val="18"/>
                <w:szCs w:val="18"/>
              </w:rPr>
              <w:t>2012</w:t>
            </w:r>
          </w:p>
        </w:tc>
        <w:tc>
          <w:tcPr>
            <w:tcW w:w="384"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b/>
                <w:bCs/>
                <w:sz w:val="18"/>
                <w:szCs w:val="18"/>
              </w:rPr>
            </w:pPr>
            <w:r w:rsidRPr="007A1AB1">
              <w:rPr>
                <w:b/>
                <w:bCs/>
                <w:sz w:val="18"/>
                <w:szCs w:val="18"/>
              </w:rPr>
              <w:t>2022</w:t>
            </w:r>
          </w:p>
        </w:tc>
        <w:tc>
          <w:tcPr>
            <w:tcW w:w="384" w:type="pct"/>
            <w:tcBorders>
              <w:top w:val="nil"/>
              <w:left w:val="nil"/>
              <w:bottom w:val="single" w:sz="4" w:space="0" w:color="auto"/>
              <w:right w:val="single" w:sz="4" w:space="0" w:color="auto"/>
            </w:tcBorders>
            <w:shd w:val="clear" w:color="000000" w:fill="F2F2F2"/>
            <w:noWrap/>
            <w:vAlign w:val="center"/>
            <w:hideMark/>
          </w:tcPr>
          <w:p w:rsidR="007A1AB1" w:rsidRPr="007A1AB1" w:rsidRDefault="007A1AB1" w:rsidP="007A1AB1">
            <w:pPr>
              <w:spacing w:before="0"/>
              <w:jc w:val="center"/>
              <w:rPr>
                <w:b/>
                <w:bCs/>
                <w:sz w:val="18"/>
                <w:szCs w:val="18"/>
              </w:rPr>
            </w:pPr>
            <w:r w:rsidRPr="007A1AB1">
              <w:rPr>
                <w:b/>
                <w:bCs/>
                <w:sz w:val="18"/>
                <w:szCs w:val="18"/>
              </w:rPr>
              <w:t>2032</w:t>
            </w:r>
          </w:p>
        </w:tc>
        <w:tc>
          <w:tcPr>
            <w:tcW w:w="404" w:type="pct"/>
            <w:tcBorders>
              <w:top w:val="nil"/>
              <w:left w:val="nil"/>
              <w:bottom w:val="single" w:sz="4" w:space="0" w:color="auto"/>
              <w:right w:val="single" w:sz="4" w:space="0" w:color="auto"/>
            </w:tcBorders>
            <w:shd w:val="clear" w:color="000000" w:fill="F2F2F2"/>
            <w:vAlign w:val="center"/>
            <w:hideMark/>
          </w:tcPr>
          <w:p w:rsidR="007A1AB1" w:rsidRPr="007A1AB1" w:rsidRDefault="007A1AB1" w:rsidP="007A1AB1">
            <w:pPr>
              <w:spacing w:before="0"/>
              <w:jc w:val="center"/>
              <w:rPr>
                <w:b/>
                <w:bCs/>
                <w:sz w:val="18"/>
                <w:szCs w:val="18"/>
              </w:rPr>
            </w:pPr>
            <w:r w:rsidRPr="007A1AB1">
              <w:rPr>
                <w:b/>
                <w:bCs/>
                <w:sz w:val="18"/>
                <w:szCs w:val="18"/>
              </w:rPr>
              <w:t>Změna 2012–2022</w:t>
            </w:r>
          </w:p>
        </w:tc>
        <w:tc>
          <w:tcPr>
            <w:tcW w:w="398" w:type="pct"/>
            <w:tcBorders>
              <w:top w:val="nil"/>
              <w:left w:val="nil"/>
              <w:bottom w:val="single" w:sz="4" w:space="0" w:color="auto"/>
              <w:right w:val="single" w:sz="4" w:space="0" w:color="auto"/>
            </w:tcBorders>
            <w:shd w:val="clear" w:color="000000" w:fill="F2F2F2"/>
            <w:vAlign w:val="center"/>
            <w:hideMark/>
          </w:tcPr>
          <w:p w:rsidR="007A1AB1" w:rsidRPr="007A1AB1" w:rsidRDefault="007A1AB1" w:rsidP="007A1AB1">
            <w:pPr>
              <w:spacing w:before="0"/>
              <w:jc w:val="center"/>
              <w:rPr>
                <w:b/>
                <w:bCs/>
                <w:sz w:val="18"/>
                <w:szCs w:val="18"/>
              </w:rPr>
            </w:pPr>
            <w:r w:rsidRPr="007A1AB1">
              <w:rPr>
                <w:b/>
                <w:bCs/>
                <w:sz w:val="18"/>
                <w:szCs w:val="18"/>
              </w:rPr>
              <w:t>Změna 2022–2032</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Hranice</w:t>
            </w:r>
          </w:p>
        </w:tc>
        <w:tc>
          <w:tcPr>
            <w:tcW w:w="466" w:type="pct"/>
            <w:tcBorders>
              <w:top w:val="nil"/>
              <w:left w:val="single" w:sz="4" w:space="0" w:color="auto"/>
              <w:bottom w:val="single" w:sz="4" w:space="0" w:color="auto"/>
              <w:right w:val="single" w:sz="4" w:space="0" w:color="auto"/>
            </w:tcBorders>
            <w:shd w:val="clear" w:color="000000" w:fill="FCFAFD"/>
            <w:vAlign w:val="center"/>
            <w:hideMark/>
          </w:tcPr>
          <w:p w:rsidR="007A1AB1" w:rsidRPr="007A1AB1" w:rsidRDefault="007A1AB1" w:rsidP="007A1AB1">
            <w:pPr>
              <w:spacing w:before="0"/>
              <w:jc w:val="right"/>
              <w:rPr>
                <w:sz w:val="18"/>
                <w:szCs w:val="18"/>
              </w:rPr>
            </w:pPr>
            <w:r w:rsidRPr="007A1AB1">
              <w:rPr>
                <w:sz w:val="18"/>
                <w:szCs w:val="18"/>
              </w:rPr>
              <w:t>6 752</w:t>
            </w:r>
          </w:p>
        </w:tc>
        <w:tc>
          <w:tcPr>
            <w:tcW w:w="469" w:type="pct"/>
            <w:tcBorders>
              <w:top w:val="nil"/>
              <w:left w:val="single" w:sz="4" w:space="0" w:color="auto"/>
              <w:bottom w:val="single" w:sz="4" w:space="0" w:color="auto"/>
              <w:right w:val="single" w:sz="4" w:space="0" w:color="auto"/>
            </w:tcBorders>
            <w:shd w:val="clear" w:color="000000" w:fill="FCFBFE"/>
            <w:vAlign w:val="center"/>
            <w:hideMark/>
          </w:tcPr>
          <w:p w:rsidR="007A1AB1" w:rsidRPr="007A1AB1" w:rsidRDefault="007A1AB1" w:rsidP="007A1AB1">
            <w:pPr>
              <w:spacing w:before="0"/>
              <w:jc w:val="right"/>
              <w:rPr>
                <w:sz w:val="18"/>
                <w:szCs w:val="18"/>
              </w:rPr>
            </w:pPr>
            <w:r w:rsidRPr="007A1AB1">
              <w:rPr>
                <w:sz w:val="18"/>
                <w:szCs w:val="18"/>
              </w:rPr>
              <w:t>6 522</w:t>
            </w:r>
          </w:p>
        </w:tc>
        <w:tc>
          <w:tcPr>
            <w:tcW w:w="470" w:type="pct"/>
            <w:tcBorders>
              <w:top w:val="nil"/>
              <w:left w:val="single" w:sz="4" w:space="0" w:color="auto"/>
              <w:bottom w:val="single" w:sz="4" w:space="0" w:color="auto"/>
              <w:right w:val="single" w:sz="4" w:space="0" w:color="auto"/>
            </w:tcBorders>
            <w:shd w:val="clear" w:color="000000" w:fill="FCFCFF"/>
            <w:vAlign w:val="center"/>
            <w:hideMark/>
          </w:tcPr>
          <w:p w:rsidR="007A1AB1" w:rsidRPr="007A1AB1" w:rsidRDefault="007A1AB1" w:rsidP="007A1AB1">
            <w:pPr>
              <w:spacing w:before="0"/>
              <w:jc w:val="right"/>
              <w:rPr>
                <w:sz w:val="18"/>
                <w:szCs w:val="18"/>
              </w:rPr>
            </w:pPr>
            <w:r w:rsidRPr="007A1AB1">
              <w:rPr>
                <w:sz w:val="18"/>
                <w:szCs w:val="18"/>
              </w:rPr>
              <w:t>6 299</w:t>
            </w:r>
          </w:p>
        </w:tc>
        <w:tc>
          <w:tcPr>
            <w:tcW w:w="508" w:type="pct"/>
            <w:tcBorders>
              <w:top w:val="nil"/>
              <w:left w:val="single" w:sz="4" w:space="0" w:color="auto"/>
              <w:bottom w:val="single" w:sz="4" w:space="0" w:color="auto"/>
              <w:right w:val="single" w:sz="4" w:space="0" w:color="auto"/>
            </w:tcBorders>
            <w:shd w:val="clear" w:color="000000" w:fill="A9DBB8"/>
            <w:noWrap/>
            <w:vAlign w:val="center"/>
            <w:hideMark/>
          </w:tcPr>
          <w:p w:rsidR="007A1AB1" w:rsidRPr="007A1AB1" w:rsidRDefault="007A1AB1" w:rsidP="007A1AB1">
            <w:pPr>
              <w:spacing w:before="0"/>
              <w:jc w:val="right"/>
              <w:rPr>
                <w:sz w:val="18"/>
                <w:szCs w:val="18"/>
              </w:rPr>
            </w:pPr>
            <w:r w:rsidRPr="007A1AB1">
              <w:rPr>
                <w:sz w:val="18"/>
                <w:szCs w:val="18"/>
              </w:rPr>
              <w:t>-230</w:t>
            </w:r>
          </w:p>
        </w:tc>
        <w:tc>
          <w:tcPr>
            <w:tcW w:w="511" w:type="pct"/>
            <w:tcBorders>
              <w:top w:val="nil"/>
              <w:left w:val="single" w:sz="4" w:space="0" w:color="auto"/>
              <w:bottom w:val="single" w:sz="4" w:space="0" w:color="auto"/>
              <w:right w:val="single" w:sz="4" w:space="0" w:color="auto"/>
            </w:tcBorders>
            <w:shd w:val="clear" w:color="000000" w:fill="A9DBB8"/>
            <w:noWrap/>
            <w:vAlign w:val="center"/>
            <w:hideMark/>
          </w:tcPr>
          <w:p w:rsidR="007A1AB1" w:rsidRPr="007A1AB1" w:rsidRDefault="007A1AB1" w:rsidP="007A1AB1">
            <w:pPr>
              <w:spacing w:before="0"/>
              <w:jc w:val="right"/>
              <w:rPr>
                <w:sz w:val="18"/>
                <w:szCs w:val="18"/>
              </w:rPr>
            </w:pPr>
            <w:r w:rsidRPr="007A1AB1">
              <w:rPr>
                <w:sz w:val="18"/>
                <w:szCs w:val="18"/>
              </w:rPr>
              <w:t>-223</w:t>
            </w:r>
          </w:p>
        </w:tc>
        <w:tc>
          <w:tcPr>
            <w:tcW w:w="384" w:type="pct"/>
            <w:tcBorders>
              <w:top w:val="nil"/>
              <w:left w:val="single" w:sz="4" w:space="0" w:color="auto"/>
              <w:bottom w:val="single" w:sz="4" w:space="0" w:color="auto"/>
              <w:right w:val="single" w:sz="4" w:space="0" w:color="auto"/>
            </w:tcBorders>
            <w:shd w:val="clear" w:color="000000" w:fill="FBD3D6"/>
            <w:noWrap/>
            <w:vAlign w:val="bottom"/>
            <w:hideMark/>
          </w:tcPr>
          <w:p w:rsidR="007A1AB1" w:rsidRPr="007A1AB1" w:rsidRDefault="007A1AB1" w:rsidP="007A1AB1">
            <w:pPr>
              <w:spacing w:before="0"/>
              <w:jc w:val="right"/>
              <w:rPr>
                <w:sz w:val="18"/>
                <w:szCs w:val="18"/>
              </w:rPr>
            </w:pPr>
            <w:r w:rsidRPr="007A1AB1">
              <w:rPr>
                <w:sz w:val="18"/>
                <w:szCs w:val="18"/>
              </w:rPr>
              <w:t>19,5 %</w:t>
            </w:r>
          </w:p>
        </w:tc>
        <w:tc>
          <w:tcPr>
            <w:tcW w:w="384" w:type="pct"/>
            <w:tcBorders>
              <w:top w:val="nil"/>
              <w:left w:val="single" w:sz="4" w:space="0" w:color="auto"/>
              <w:bottom w:val="single" w:sz="4" w:space="0" w:color="auto"/>
              <w:right w:val="single" w:sz="4" w:space="0" w:color="auto"/>
            </w:tcBorders>
            <w:shd w:val="clear" w:color="000000" w:fill="FCD8DB"/>
            <w:noWrap/>
            <w:vAlign w:val="bottom"/>
            <w:hideMark/>
          </w:tcPr>
          <w:p w:rsidR="007A1AB1" w:rsidRPr="007A1AB1" w:rsidRDefault="007A1AB1" w:rsidP="007A1AB1">
            <w:pPr>
              <w:spacing w:before="0"/>
              <w:jc w:val="right"/>
              <w:rPr>
                <w:sz w:val="18"/>
                <w:szCs w:val="18"/>
              </w:rPr>
            </w:pPr>
            <w:r w:rsidRPr="007A1AB1">
              <w:rPr>
                <w:sz w:val="18"/>
                <w:szCs w:val="18"/>
              </w:rPr>
              <w:t>19,4 %</w:t>
            </w:r>
          </w:p>
        </w:tc>
        <w:tc>
          <w:tcPr>
            <w:tcW w:w="384" w:type="pct"/>
            <w:tcBorders>
              <w:top w:val="nil"/>
              <w:left w:val="single" w:sz="4" w:space="0" w:color="auto"/>
              <w:bottom w:val="single" w:sz="4" w:space="0" w:color="auto"/>
              <w:right w:val="single" w:sz="4" w:space="0" w:color="auto"/>
            </w:tcBorders>
            <w:shd w:val="clear" w:color="000000" w:fill="FCF6F9"/>
            <w:noWrap/>
            <w:vAlign w:val="bottom"/>
            <w:hideMark/>
          </w:tcPr>
          <w:p w:rsidR="007A1AB1" w:rsidRPr="007A1AB1" w:rsidRDefault="007A1AB1" w:rsidP="007A1AB1">
            <w:pPr>
              <w:spacing w:before="0"/>
              <w:jc w:val="right"/>
              <w:rPr>
                <w:sz w:val="18"/>
                <w:szCs w:val="18"/>
              </w:rPr>
            </w:pPr>
            <w:r w:rsidRPr="007A1AB1">
              <w:rPr>
                <w:sz w:val="18"/>
                <w:szCs w:val="18"/>
              </w:rPr>
              <w:t>19,1 %</w:t>
            </w:r>
          </w:p>
        </w:tc>
        <w:tc>
          <w:tcPr>
            <w:tcW w:w="404" w:type="pct"/>
            <w:tcBorders>
              <w:top w:val="nil"/>
              <w:left w:val="single" w:sz="4" w:space="0" w:color="auto"/>
              <w:bottom w:val="single" w:sz="4" w:space="0" w:color="auto"/>
              <w:right w:val="single" w:sz="4" w:space="0" w:color="auto"/>
            </w:tcBorders>
            <w:shd w:val="clear" w:color="000000" w:fill="D8EEE0"/>
            <w:noWrap/>
            <w:vAlign w:val="bottom"/>
            <w:hideMark/>
          </w:tcPr>
          <w:p w:rsidR="007A1AB1" w:rsidRPr="007A1AB1" w:rsidRDefault="007A1AB1" w:rsidP="007A1AB1">
            <w:pPr>
              <w:spacing w:before="0"/>
              <w:jc w:val="right"/>
              <w:rPr>
                <w:sz w:val="18"/>
                <w:szCs w:val="18"/>
              </w:rPr>
            </w:pPr>
            <w:r w:rsidRPr="007A1AB1">
              <w:rPr>
                <w:sz w:val="18"/>
                <w:szCs w:val="18"/>
              </w:rPr>
              <w:t>-0,1 %</w:t>
            </w:r>
          </w:p>
        </w:tc>
        <w:tc>
          <w:tcPr>
            <w:tcW w:w="398" w:type="pct"/>
            <w:tcBorders>
              <w:top w:val="nil"/>
              <w:left w:val="single" w:sz="4" w:space="0" w:color="auto"/>
              <w:bottom w:val="single" w:sz="4" w:space="0" w:color="auto"/>
              <w:right w:val="single" w:sz="4" w:space="0" w:color="auto"/>
            </w:tcBorders>
            <w:shd w:val="clear" w:color="000000" w:fill="E8F4ED"/>
            <w:noWrap/>
            <w:vAlign w:val="bottom"/>
            <w:hideMark/>
          </w:tcPr>
          <w:p w:rsidR="007A1AB1" w:rsidRPr="007A1AB1" w:rsidRDefault="007A1AB1" w:rsidP="007A1AB1">
            <w:pPr>
              <w:spacing w:before="0"/>
              <w:jc w:val="right"/>
              <w:rPr>
                <w:sz w:val="18"/>
                <w:szCs w:val="18"/>
              </w:rPr>
            </w:pPr>
            <w:r w:rsidRPr="007A1AB1">
              <w:rPr>
                <w:sz w:val="18"/>
                <w:szCs w:val="18"/>
              </w:rPr>
              <w:t>-0,3 %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Jeseník</w:t>
            </w:r>
          </w:p>
        </w:tc>
        <w:tc>
          <w:tcPr>
            <w:tcW w:w="466" w:type="pct"/>
            <w:tcBorders>
              <w:top w:val="nil"/>
              <w:left w:val="single" w:sz="4" w:space="0" w:color="auto"/>
              <w:bottom w:val="single" w:sz="4" w:space="0" w:color="auto"/>
              <w:right w:val="single" w:sz="4" w:space="0" w:color="auto"/>
            </w:tcBorders>
            <w:shd w:val="clear" w:color="000000" w:fill="FCF6F9"/>
            <w:vAlign w:val="center"/>
            <w:hideMark/>
          </w:tcPr>
          <w:p w:rsidR="007A1AB1" w:rsidRPr="007A1AB1" w:rsidRDefault="007A1AB1" w:rsidP="007A1AB1">
            <w:pPr>
              <w:spacing w:before="0"/>
              <w:jc w:val="right"/>
              <w:rPr>
                <w:sz w:val="18"/>
                <w:szCs w:val="18"/>
              </w:rPr>
            </w:pPr>
            <w:r w:rsidRPr="007A1AB1">
              <w:rPr>
                <w:sz w:val="18"/>
                <w:szCs w:val="18"/>
              </w:rPr>
              <w:t>7 572</w:t>
            </w:r>
          </w:p>
        </w:tc>
        <w:tc>
          <w:tcPr>
            <w:tcW w:w="469" w:type="pct"/>
            <w:tcBorders>
              <w:top w:val="nil"/>
              <w:left w:val="single" w:sz="4" w:space="0" w:color="auto"/>
              <w:bottom w:val="single" w:sz="4" w:space="0" w:color="auto"/>
              <w:right w:val="single" w:sz="4" w:space="0" w:color="auto"/>
            </w:tcBorders>
            <w:shd w:val="clear" w:color="000000" w:fill="FCFBFE"/>
            <w:vAlign w:val="center"/>
            <w:hideMark/>
          </w:tcPr>
          <w:p w:rsidR="007A1AB1" w:rsidRPr="007A1AB1" w:rsidRDefault="007A1AB1" w:rsidP="007A1AB1">
            <w:pPr>
              <w:spacing w:before="0"/>
              <w:jc w:val="right"/>
              <w:rPr>
                <w:sz w:val="18"/>
                <w:szCs w:val="18"/>
              </w:rPr>
            </w:pPr>
            <w:r w:rsidRPr="007A1AB1">
              <w:rPr>
                <w:sz w:val="18"/>
                <w:szCs w:val="18"/>
              </w:rPr>
              <w:t>6 600</w:t>
            </w:r>
          </w:p>
        </w:tc>
        <w:tc>
          <w:tcPr>
            <w:tcW w:w="470" w:type="pct"/>
            <w:tcBorders>
              <w:top w:val="nil"/>
              <w:left w:val="single" w:sz="4" w:space="0" w:color="auto"/>
              <w:bottom w:val="single" w:sz="4" w:space="0" w:color="auto"/>
              <w:right w:val="single" w:sz="4" w:space="0" w:color="auto"/>
            </w:tcBorders>
            <w:shd w:val="clear" w:color="000000" w:fill="FCFCFF"/>
            <w:vAlign w:val="center"/>
            <w:hideMark/>
          </w:tcPr>
          <w:p w:rsidR="007A1AB1" w:rsidRPr="007A1AB1" w:rsidRDefault="007A1AB1" w:rsidP="007A1AB1">
            <w:pPr>
              <w:spacing w:before="0"/>
              <w:jc w:val="right"/>
              <w:rPr>
                <w:sz w:val="18"/>
                <w:szCs w:val="18"/>
              </w:rPr>
            </w:pPr>
            <w:r w:rsidRPr="007A1AB1">
              <w:rPr>
                <w:sz w:val="18"/>
                <w:szCs w:val="18"/>
              </w:rPr>
              <w:t>6 307</w:t>
            </w:r>
          </w:p>
        </w:tc>
        <w:tc>
          <w:tcPr>
            <w:tcW w:w="508" w:type="pct"/>
            <w:tcBorders>
              <w:top w:val="nil"/>
              <w:left w:val="single" w:sz="4" w:space="0" w:color="auto"/>
              <w:bottom w:val="single" w:sz="4" w:space="0" w:color="auto"/>
              <w:right w:val="single" w:sz="4" w:space="0" w:color="auto"/>
            </w:tcBorders>
            <w:shd w:val="clear" w:color="000000" w:fill="B5E0C2"/>
            <w:noWrap/>
            <w:vAlign w:val="center"/>
            <w:hideMark/>
          </w:tcPr>
          <w:p w:rsidR="007A1AB1" w:rsidRPr="007A1AB1" w:rsidRDefault="007A1AB1" w:rsidP="007A1AB1">
            <w:pPr>
              <w:spacing w:before="0"/>
              <w:jc w:val="right"/>
              <w:rPr>
                <w:sz w:val="18"/>
                <w:szCs w:val="18"/>
              </w:rPr>
            </w:pPr>
            <w:r w:rsidRPr="007A1AB1">
              <w:rPr>
                <w:sz w:val="18"/>
                <w:szCs w:val="18"/>
              </w:rPr>
              <w:t>-972</w:t>
            </w:r>
          </w:p>
        </w:tc>
        <w:tc>
          <w:tcPr>
            <w:tcW w:w="511" w:type="pct"/>
            <w:tcBorders>
              <w:top w:val="nil"/>
              <w:left w:val="single" w:sz="4" w:space="0" w:color="auto"/>
              <w:bottom w:val="single" w:sz="4" w:space="0" w:color="auto"/>
              <w:right w:val="single" w:sz="4" w:space="0" w:color="auto"/>
            </w:tcBorders>
            <w:shd w:val="clear" w:color="000000" w:fill="AADBB9"/>
            <w:noWrap/>
            <w:vAlign w:val="center"/>
            <w:hideMark/>
          </w:tcPr>
          <w:p w:rsidR="007A1AB1" w:rsidRPr="007A1AB1" w:rsidRDefault="007A1AB1" w:rsidP="007A1AB1">
            <w:pPr>
              <w:spacing w:before="0"/>
              <w:jc w:val="right"/>
              <w:rPr>
                <w:sz w:val="18"/>
                <w:szCs w:val="18"/>
              </w:rPr>
            </w:pPr>
            <w:r w:rsidRPr="007A1AB1">
              <w:rPr>
                <w:sz w:val="18"/>
                <w:szCs w:val="18"/>
              </w:rPr>
              <w:t>-293</w:t>
            </w:r>
          </w:p>
        </w:tc>
        <w:tc>
          <w:tcPr>
            <w:tcW w:w="384" w:type="pct"/>
            <w:tcBorders>
              <w:top w:val="nil"/>
              <w:left w:val="single" w:sz="4" w:space="0" w:color="auto"/>
              <w:bottom w:val="single" w:sz="4" w:space="0" w:color="auto"/>
              <w:right w:val="single" w:sz="4" w:space="0" w:color="auto"/>
            </w:tcBorders>
            <w:shd w:val="clear" w:color="000000" w:fill="D5E0F1"/>
            <w:noWrap/>
            <w:vAlign w:val="bottom"/>
            <w:hideMark/>
          </w:tcPr>
          <w:p w:rsidR="007A1AB1" w:rsidRPr="007A1AB1" w:rsidRDefault="007A1AB1" w:rsidP="007A1AB1">
            <w:pPr>
              <w:spacing w:before="0"/>
              <w:jc w:val="right"/>
              <w:rPr>
                <w:sz w:val="18"/>
                <w:szCs w:val="18"/>
              </w:rPr>
            </w:pPr>
            <w:r w:rsidRPr="007A1AB1">
              <w:rPr>
                <w:sz w:val="18"/>
                <w:szCs w:val="18"/>
              </w:rPr>
              <w:t>18,7 %</w:t>
            </w:r>
          </w:p>
        </w:tc>
        <w:tc>
          <w:tcPr>
            <w:tcW w:w="384" w:type="pct"/>
            <w:tcBorders>
              <w:top w:val="nil"/>
              <w:left w:val="single" w:sz="4" w:space="0" w:color="auto"/>
              <w:bottom w:val="single" w:sz="4" w:space="0" w:color="auto"/>
              <w:right w:val="single" w:sz="4" w:space="0" w:color="auto"/>
            </w:tcBorders>
            <w:shd w:val="clear" w:color="000000" w:fill="799FD0"/>
            <w:noWrap/>
            <w:vAlign w:val="bottom"/>
            <w:hideMark/>
          </w:tcPr>
          <w:p w:rsidR="007A1AB1" w:rsidRPr="007A1AB1" w:rsidRDefault="007A1AB1" w:rsidP="007A1AB1">
            <w:pPr>
              <w:spacing w:before="0"/>
              <w:jc w:val="right"/>
              <w:rPr>
                <w:sz w:val="18"/>
                <w:szCs w:val="18"/>
              </w:rPr>
            </w:pPr>
            <w:r w:rsidRPr="007A1AB1">
              <w:rPr>
                <w:sz w:val="18"/>
                <w:szCs w:val="18"/>
              </w:rPr>
              <w:t>18,0 %</w:t>
            </w:r>
          </w:p>
        </w:tc>
        <w:tc>
          <w:tcPr>
            <w:tcW w:w="384" w:type="pct"/>
            <w:tcBorders>
              <w:top w:val="nil"/>
              <w:left w:val="single" w:sz="4" w:space="0" w:color="auto"/>
              <w:bottom w:val="single" w:sz="4" w:space="0" w:color="auto"/>
              <w:right w:val="single" w:sz="4" w:space="0" w:color="auto"/>
            </w:tcBorders>
            <w:shd w:val="clear" w:color="000000" w:fill="5A8AC6"/>
            <w:noWrap/>
            <w:vAlign w:val="bottom"/>
            <w:hideMark/>
          </w:tcPr>
          <w:p w:rsidR="007A1AB1" w:rsidRPr="007A1AB1" w:rsidRDefault="007A1AB1" w:rsidP="007A1AB1">
            <w:pPr>
              <w:spacing w:before="0"/>
              <w:jc w:val="right"/>
              <w:rPr>
                <w:sz w:val="18"/>
                <w:szCs w:val="18"/>
              </w:rPr>
            </w:pPr>
            <w:r w:rsidRPr="007A1AB1">
              <w:rPr>
                <w:sz w:val="18"/>
                <w:szCs w:val="18"/>
              </w:rPr>
              <w:t>17,7 %</w:t>
            </w:r>
          </w:p>
        </w:tc>
        <w:tc>
          <w:tcPr>
            <w:tcW w:w="404" w:type="pct"/>
            <w:tcBorders>
              <w:top w:val="nil"/>
              <w:left w:val="single" w:sz="4" w:space="0" w:color="auto"/>
              <w:bottom w:val="single" w:sz="4" w:space="0" w:color="auto"/>
              <w:right w:val="single" w:sz="4" w:space="0" w:color="auto"/>
            </w:tcBorders>
            <w:shd w:val="clear" w:color="000000" w:fill="FCFCFF"/>
            <w:noWrap/>
            <w:vAlign w:val="bottom"/>
            <w:hideMark/>
          </w:tcPr>
          <w:p w:rsidR="007A1AB1" w:rsidRPr="007A1AB1" w:rsidRDefault="007A1AB1" w:rsidP="007A1AB1">
            <w:pPr>
              <w:spacing w:before="0"/>
              <w:jc w:val="right"/>
              <w:rPr>
                <w:sz w:val="18"/>
                <w:szCs w:val="18"/>
              </w:rPr>
            </w:pPr>
            <w:r w:rsidRPr="007A1AB1">
              <w:rPr>
                <w:sz w:val="18"/>
                <w:szCs w:val="18"/>
              </w:rPr>
              <w:t>-0,7 %</w:t>
            </w:r>
          </w:p>
        </w:tc>
        <w:tc>
          <w:tcPr>
            <w:tcW w:w="398" w:type="pct"/>
            <w:tcBorders>
              <w:top w:val="nil"/>
              <w:left w:val="single" w:sz="4" w:space="0" w:color="auto"/>
              <w:bottom w:val="single" w:sz="4" w:space="0" w:color="auto"/>
              <w:right w:val="single" w:sz="4" w:space="0" w:color="auto"/>
            </w:tcBorders>
            <w:shd w:val="clear" w:color="000000" w:fill="E3F2E9"/>
            <w:noWrap/>
            <w:vAlign w:val="bottom"/>
            <w:hideMark/>
          </w:tcPr>
          <w:p w:rsidR="007A1AB1" w:rsidRPr="007A1AB1" w:rsidRDefault="007A1AB1" w:rsidP="007A1AB1">
            <w:pPr>
              <w:spacing w:before="0"/>
              <w:jc w:val="right"/>
              <w:rPr>
                <w:sz w:val="18"/>
                <w:szCs w:val="18"/>
              </w:rPr>
            </w:pPr>
            <w:r w:rsidRPr="007A1AB1">
              <w:rPr>
                <w:sz w:val="18"/>
                <w:szCs w:val="18"/>
              </w:rPr>
              <w:t>-0,3 %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Konice</w:t>
            </w:r>
          </w:p>
        </w:tc>
        <w:tc>
          <w:tcPr>
            <w:tcW w:w="466" w:type="pct"/>
            <w:tcBorders>
              <w:top w:val="nil"/>
              <w:left w:val="single" w:sz="4" w:space="0" w:color="auto"/>
              <w:bottom w:val="single" w:sz="4" w:space="0" w:color="auto"/>
              <w:right w:val="single" w:sz="4" w:space="0" w:color="auto"/>
            </w:tcBorders>
            <w:shd w:val="clear" w:color="000000" w:fill="608EC8"/>
            <w:vAlign w:val="center"/>
            <w:hideMark/>
          </w:tcPr>
          <w:p w:rsidR="007A1AB1" w:rsidRPr="007A1AB1" w:rsidRDefault="007A1AB1" w:rsidP="007A1AB1">
            <w:pPr>
              <w:spacing w:before="0"/>
              <w:jc w:val="right"/>
              <w:rPr>
                <w:sz w:val="18"/>
                <w:szCs w:val="18"/>
              </w:rPr>
            </w:pPr>
            <w:r w:rsidRPr="007A1AB1">
              <w:rPr>
                <w:sz w:val="18"/>
                <w:szCs w:val="18"/>
              </w:rPr>
              <w:t>2 032</w:t>
            </w:r>
          </w:p>
        </w:tc>
        <w:tc>
          <w:tcPr>
            <w:tcW w:w="469" w:type="pct"/>
            <w:tcBorders>
              <w:top w:val="nil"/>
              <w:left w:val="single" w:sz="4" w:space="0" w:color="auto"/>
              <w:bottom w:val="single" w:sz="4" w:space="0" w:color="auto"/>
              <w:right w:val="single" w:sz="4" w:space="0" w:color="auto"/>
            </w:tcBorders>
            <w:shd w:val="clear" w:color="000000" w:fill="5B8BC6"/>
            <w:vAlign w:val="center"/>
            <w:hideMark/>
          </w:tcPr>
          <w:p w:rsidR="007A1AB1" w:rsidRPr="007A1AB1" w:rsidRDefault="007A1AB1" w:rsidP="007A1AB1">
            <w:pPr>
              <w:spacing w:before="0"/>
              <w:jc w:val="right"/>
              <w:rPr>
                <w:sz w:val="18"/>
                <w:szCs w:val="18"/>
              </w:rPr>
            </w:pPr>
            <w:r w:rsidRPr="007A1AB1">
              <w:rPr>
                <w:sz w:val="18"/>
                <w:szCs w:val="18"/>
              </w:rPr>
              <w:t>1 893</w:t>
            </w:r>
          </w:p>
        </w:tc>
        <w:tc>
          <w:tcPr>
            <w:tcW w:w="470" w:type="pct"/>
            <w:tcBorders>
              <w:top w:val="nil"/>
              <w:left w:val="single" w:sz="4" w:space="0" w:color="auto"/>
              <w:bottom w:val="single" w:sz="4" w:space="0" w:color="auto"/>
              <w:right w:val="single" w:sz="4" w:space="0" w:color="auto"/>
            </w:tcBorders>
            <w:shd w:val="clear" w:color="000000" w:fill="5A8AC6"/>
            <w:vAlign w:val="center"/>
            <w:hideMark/>
          </w:tcPr>
          <w:p w:rsidR="007A1AB1" w:rsidRPr="007A1AB1" w:rsidRDefault="007A1AB1" w:rsidP="007A1AB1">
            <w:pPr>
              <w:spacing w:before="0"/>
              <w:jc w:val="right"/>
              <w:rPr>
                <w:sz w:val="18"/>
                <w:szCs w:val="18"/>
              </w:rPr>
            </w:pPr>
            <w:r w:rsidRPr="007A1AB1">
              <w:rPr>
                <w:sz w:val="18"/>
                <w:szCs w:val="18"/>
              </w:rPr>
              <w:t>1 846</w:t>
            </w:r>
          </w:p>
        </w:tc>
        <w:tc>
          <w:tcPr>
            <w:tcW w:w="508" w:type="pct"/>
            <w:tcBorders>
              <w:top w:val="nil"/>
              <w:left w:val="single" w:sz="4" w:space="0" w:color="auto"/>
              <w:bottom w:val="single" w:sz="4" w:space="0" w:color="auto"/>
              <w:right w:val="single" w:sz="4" w:space="0" w:color="auto"/>
            </w:tcBorders>
            <w:shd w:val="clear" w:color="000000" w:fill="A8DAB6"/>
            <w:noWrap/>
            <w:vAlign w:val="center"/>
            <w:hideMark/>
          </w:tcPr>
          <w:p w:rsidR="007A1AB1" w:rsidRPr="007A1AB1" w:rsidRDefault="007A1AB1" w:rsidP="007A1AB1">
            <w:pPr>
              <w:spacing w:before="0"/>
              <w:jc w:val="right"/>
              <w:rPr>
                <w:sz w:val="18"/>
                <w:szCs w:val="18"/>
              </w:rPr>
            </w:pPr>
            <w:r w:rsidRPr="007A1AB1">
              <w:rPr>
                <w:sz w:val="18"/>
                <w:szCs w:val="18"/>
              </w:rPr>
              <w:t>-139</w:t>
            </w:r>
          </w:p>
        </w:tc>
        <w:tc>
          <w:tcPr>
            <w:tcW w:w="511" w:type="pct"/>
            <w:tcBorders>
              <w:top w:val="nil"/>
              <w:left w:val="single" w:sz="4" w:space="0" w:color="auto"/>
              <w:bottom w:val="single" w:sz="4" w:space="0" w:color="auto"/>
              <w:right w:val="single" w:sz="4" w:space="0" w:color="auto"/>
            </w:tcBorders>
            <w:shd w:val="clear" w:color="000000" w:fill="A6DAB5"/>
            <w:noWrap/>
            <w:vAlign w:val="center"/>
            <w:hideMark/>
          </w:tcPr>
          <w:p w:rsidR="007A1AB1" w:rsidRPr="007A1AB1" w:rsidRDefault="007A1AB1" w:rsidP="007A1AB1">
            <w:pPr>
              <w:spacing w:before="0"/>
              <w:jc w:val="right"/>
              <w:rPr>
                <w:sz w:val="18"/>
                <w:szCs w:val="18"/>
              </w:rPr>
            </w:pPr>
            <w:r w:rsidRPr="007A1AB1">
              <w:rPr>
                <w:sz w:val="18"/>
                <w:szCs w:val="18"/>
              </w:rPr>
              <w:t>-47</w:t>
            </w:r>
          </w:p>
        </w:tc>
        <w:tc>
          <w:tcPr>
            <w:tcW w:w="384" w:type="pct"/>
            <w:tcBorders>
              <w:top w:val="nil"/>
              <w:left w:val="single" w:sz="4" w:space="0" w:color="auto"/>
              <w:bottom w:val="single" w:sz="4" w:space="0" w:color="auto"/>
              <w:right w:val="single" w:sz="4" w:space="0" w:color="auto"/>
            </w:tcBorders>
            <w:shd w:val="clear" w:color="000000" w:fill="A4BEE0"/>
            <w:noWrap/>
            <w:vAlign w:val="bottom"/>
            <w:hideMark/>
          </w:tcPr>
          <w:p w:rsidR="007A1AB1" w:rsidRPr="007A1AB1" w:rsidRDefault="007A1AB1" w:rsidP="007A1AB1">
            <w:pPr>
              <w:spacing w:before="0"/>
              <w:jc w:val="right"/>
              <w:rPr>
                <w:sz w:val="18"/>
                <w:szCs w:val="18"/>
              </w:rPr>
            </w:pPr>
            <w:r w:rsidRPr="007A1AB1">
              <w:rPr>
                <w:sz w:val="18"/>
                <w:szCs w:val="18"/>
              </w:rPr>
              <w:t>18,3 %</w:t>
            </w:r>
          </w:p>
        </w:tc>
        <w:tc>
          <w:tcPr>
            <w:tcW w:w="384" w:type="pct"/>
            <w:tcBorders>
              <w:top w:val="nil"/>
              <w:left w:val="single" w:sz="4" w:space="0" w:color="auto"/>
              <w:bottom w:val="single" w:sz="4" w:space="0" w:color="auto"/>
              <w:right w:val="single" w:sz="4" w:space="0" w:color="auto"/>
            </w:tcBorders>
            <w:shd w:val="clear" w:color="000000" w:fill="769ED0"/>
            <w:noWrap/>
            <w:vAlign w:val="bottom"/>
            <w:hideMark/>
          </w:tcPr>
          <w:p w:rsidR="007A1AB1" w:rsidRPr="007A1AB1" w:rsidRDefault="007A1AB1" w:rsidP="007A1AB1">
            <w:pPr>
              <w:spacing w:before="0"/>
              <w:jc w:val="right"/>
              <w:rPr>
                <w:sz w:val="18"/>
                <w:szCs w:val="18"/>
              </w:rPr>
            </w:pPr>
            <w:r w:rsidRPr="007A1AB1">
              <w:rPr>
                <w:sz w:val="18"/>
                <w:szCs w:val="18"/>
              </w:rPr>
              <w:t>17,9 %</w:t>
            </w:r>
          </w:p>
        </w:tc>
        <w:tc>
          <w:tcPr>
            <w:tcW w:w="384" w:type="pct"/>
            <w:tcBorders>
              <w:top w:val="nil"/>
              <w:left w:val="single" w:sz="4" w:space="0" w:color="auto"/>
              <w:bottom w:val="single" w:sz="4" w:space="0" w:color="auto"/>
              <w:right w:val="single" w:sz="4" w:space="0" w:color="auto"/>
            </w:tcBorders>
            <w:shd w:val="clear" w:color="000000" w:fill="8DAED8"/>
            <w:noWrap/>
            <w:vAlign w:val="bottom"/>
            <w:hideMark/>
          </w:tcPr>
          <w:p w:rsidR="007A1AB1" w:rsidRPr="007A1AB1" w:rsidRDefault="007A1AB1" w:rsidP="007A1AB1">
            <w:pPr>
              <w:spacing w:before="0"/>
              <w:jc w:val="right"/>
              <w:rPr>
                <w:sz w:val="18"/>
                <w:szCs w:val="18"/>
              </w:rPr>
            </w:pPr>
            <w:r w:rsidRPr="007A1AB1">
              <w:rPr>
                <w:sz w:val="18"/>
                <w:szCs w:val="18"/>
              </w:rPr>
              <w:t>18,1 %</w:t>
            </w:r>
          </w:p>
        </w:tc>
        <w:tc>
          <w:tcPr>
            <w:tcW w:w="404" w:type="pct"/>
            <w:tcBorders>
              <w:top w:val="nil"/>
              <w:left w:val="single" w:sz="4" w:space="0" w:color="auto"/>
              <w:bottom w:val="single" w:sz="4" w:space="0" w:color="auto"/>
              <w:right w:val="single" w:sz="4" w:space="0" w:color="auto"/>
            </w:tcBorders>
            <w:shd w:val="clear" w:color="000000" w:fill="E9F5EF"/>
            <w:noWrap/>
            <w:vAlign w:val="bottom"/>
            <w:hideMark/>
          </w:tcPr>
          <w:p w:rsidR="007A1AB1" w:rsidRPr="007A1AB1" w:rsidRDefault="007A1AB1" w:rsidP="007A1AB1">
            <w:pPr>
              <w:spacing w:before="0"/>
              <w:jc w:val="right"/>
              <w:rPr>
                <w:sz w:val="18"/>
                <w:szCs w:val="18"/>
              </w:rPr>
            </w:pPr>
            <w:r w:rsidRPr="007A1AB1">
              <w:rPr>
                <w:sz w:val="18"/>
                <w:szCs w:val="18"/>
              </w:rPr>
              <w:t>-0,4 %</w:t>
            </w:r>
          </w:p>
        </w:tc>
        <w:tc>
          <w:tcPr>
            <w:tcW w:w="398" w:type="pct"/>
            <w:tcBorders>
              <w:top w:val="nil"/>
              <w:left w:val="single" w:sz="4" w:space="0" w:color="auto"/>
              <w:bottom w:val="single" w:sz="4" w:space="0" w:color="auto"/>
              <w:right w:val="single" w:sz="4" w:space="0" w:color="auto"/>
            </w:tcBorders>
            <w:shd w:val="clear" w:color="000000" w:fill="CCE9D5"/>
            <w:noWrap/>
            <w:vAlign w:val="bottom"/>
            <w:hideMark/>
          </w:tcPr>
          <w:p w:rsidR="007A1AB1" w:rsidRPr="007A1AB1" w:rsidRDefault="007A1AB1" w:rsidP="007A1AB1">
            <w:pPr>
              <w:spacing w:before="0"/>
              <w:jc w:val="right"/>
              <w:rPr>
                <w:sz w:val="18"/>
                <w:szCs w:val="18"/>
              </w:rPr>
            </w:pPr>
            <w:r w:rsidRPr="007A1AB1">
              <w:rPr>
                <w:sz w:val="18"/>
                <w:szCs w:val="18"/>
              </w:rPr>
              <w:t>0,2 %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Lipník n. B.</w:t>
            </w:r>
          </w:p>
        </w:tc>
        <w:tc>
          <w:tcPr>
            <w:tcW w:w="466" w:type="pct"/>
            <w:tcBorders>
              <w:top w:val="nil"/>
              <w:left w:val="single" w:sz="4" w:space="0" w:color="auto"/>
              <w:bottom w:val="single" w:sz="4" w:space="0" w:color="auto"/>
              <w:right w:val="single" w:sz="4" w:space="0" w:color="auto"/>
            </w:tcBorders>
            <w:shd w:val="clear" w:color="000000" w:fill="80A5D3"/>
            <w:vAlign w:val="center"/>
            <w:hideMark/>
          </w:tcPr>
          <w:p w:rsidR="007A1AB1" w:rsidRPr="007A1AB1" w:rsidRDefault="007A1AB1" w:rsidP="007A1AB1">
            <w:pPr>
              <w:spacing w:before="0"/>
              <w:jc w:val="right"/>
              <w:rPr>
                <w:sz w:val="18"/>
                <w:szCs w:val="18"/>
              </w:rPr>
            </w:pPr>
            <w:r w:rsidRPr="007A1AB1">
              <w:rPr>
                <w:sz w:val="18"/>
                <w:szCs w:val="18"/>
              </w:rPr>
              <w:t>2 903</w:t>
            </w:r>
          </w:p>
        </w:tc>
        <w:tc>
          <w:tcPr>
            <w:tcW w:w="469" w:type="pct"/>
            <w:tcBorders>
              <w:top w:val="nil"/>
              <w:left w:val="single" w:sz="4" w:space="0" w:color="auto"/>
              <w:bottom w:val="single" w:sz="4" w:space="0" w:color="auto"/>
              <w:right w:val="single" w:sz="4" w:space="0" w:color="auto"/>
            </w:tcBorders>
            <w:shd w:val="clear" w:color="000000" w:fill="81A5D3"/>
            <w:vAlign w:val="center"/>
            <w:hideMark/>
          </w:tcPr>
          <w:p w:rsidR="007A1AB1" w:rsidRPr="007A1AB1" w:rsidRDefault="007A1AB1" w:rsidP="007A1AB1">
            <w:pPr>
              <w:spacing w:before="0"/>
              <w:jc w:val="right"/>
              <w:rPr>
                <w:sz w:val="18"/>
                <w:szCs w:val="18"/>
              </w:rPr>
            </w:pPr>
            <w:r w:rsidRPr="007A1AB1">
              <w:rPr>
                <w:sz w:val="18"/>
                <w:szCs w:val="18"/>
              </w:rPr>
              <w:t>2 939</w:t>
            </w:r>
          </w:p>
        </w:tc>
        <w:tc>
          <w:tcPr>
            <w:tcW w:w="470" w:type="pct"/>
            <w:tcBorders>
              <w:top w:val="nil"/>
              <w:left w:val="single" w:sz="4" w:space="0" w:color="auto"/>
              <w:bottom w:val="single" w:sz="4" w:space="0" w:color="auto"/>
              <w:right w:val="single" w:sz="4" w:space="0" w:color="auto"/>
            </w:tcBorders>
            <w:shd w:val="clear" w:color="000000" w:fill="7BA1D1"/>
            <w:vAlign w:val="center"/>
            <w:hideMark/>
          </w:tcPr>
          <w:p w:rsidR="007A1AB1" w:rsidRPr="007A1AB1" w:rsidRDefault="007A1AB1" w:rsidP="007A1AB1">
            <w:pPr>
              <w:spacing w:before="0"/>
              <w:jc w:val="right"/>
              <w:rPr>
                <w:sz w:val="18"/>
                <w:szCs w:val="18"/>
              </w:rPr>
            </w:pPr>
            <w:r w:rsidRPr="007A1AB1">
              <w:rPr>
                <w:sz w:val="18"/>
                <w:szCs w:val="18"/>
              </w:rPr>
              <w:t>2 778</w:t>
            </w:r>
          </w:p>
        </w:tc>
        <w:tc>
          <w:tcPr>
            <w:tcW w:w="508" w:type="pct"/>
            <w:tcBorders>
              <w:top w:val="nil"/>
              <w:left w:val="single" w:sz="4" w:space="0" w:color="auto"/>
              <w:bottom w:val="single" w:sz="4" w:space="0" w:color="auto"/>
              <w:right w:val="single" w:sz="4" w:space="0" w:color="auto"/>
            </w:tcBorders>
            <w:shd w:val="clear" w:color="000000" w:fill="A5D9B4"/>
            <w:noWrap/>
            <w:vAlign w:val="center"/>
            <w:hideMark/>
          </w:tcPr>
          <w:p w:rsidR="007A1AB1" w:rsidRPr="007A1AB1" w:rsidRDefault="007A1AB1" w:rsidP="007A1AB1">
            <w:pPr>
              <w:spacing w:before="0"/>
              <w:jc w:val="right"/>
              <w:rPr>
                <w:sz w:val="18"/>
                <w:szCs w:val="18"/>
              </w:rPr>
            </w:pPr>
            <w:r w:rsidRPr="007A1AB1">
              <w:rPr>
                <w:sz w:val="18"/>
                <w:szCs w:val="18"/>
              </w:rPr>
              <w:t>36</w:t>
            </w:r>
          </w:p>
        </w:tc>
        <w:tc>
          <w:tcPr>
            <w:tcW w:w="511" w:type="pct"/>
            <w:tcBorders>
              <w:top w:val="nil"/>
              <w:left w:val="single" w:sz="4" w:space="0" w:color="auto"/>
              <w:bottom w:val="single" w:sz="4" w:space="0" w:color="auto"/>
              <w:right w:val="single" w:sz="4" w:space="0" w:color="auto"/>
            </w:tcBorders>
            <w:shd w:val="clear" w:color="000000" w:fill="A8DAB7"/>
            <w:noWrap/>
            <w:vAlign w:val="center"/>
            <w:hideMark/>
          </w:tcPr>
          <w:p w:rsidR="007A1AB1" w:rsidRPr="007A1AB1" w:rsidRDefault="007A1AB1" w:rsidP="007A1AB1">
            <w:pPr>
              <w:spacing w:before="0"/>
              <w:jc w:val="right"/>
              <w:rPr>
                <w:sz w:val="18"/>
                <w:szCs w:val="18"/>
              </w:rPr>
            </w:pPr>
            <w:r w:rsidRPr="007A1AB1">
              <w:rPr>
                <w:sz w:val="18"/>
                <w:szCs w:val="18"/>
              </w:rPr>
              <w:t>-161</w:t>
            </w:r>
          </w:p>
        </w:tc>
        <w:tc>
          <w:tcPr>
            <w:tcW w:w="384" w:type="pct"/>
            <w:tcBorders>
              <w:top w:val="nil"/>
              <w:left w:val="single" w:sz="4" w:space="0" w:color="auto"/>
              <w:bottom w:val="single" w:sz="4" w:space="0" w:color="auto"/>
              <w:right w:val="single" w:sz="4" w:space="0" w:color="auto"/>
            </w:tcBorders>
            <w:shd w:val="clear" w:color="000000" w:fill="ECF0F9"/>
            <w:noWrap/>
            <w:vAlign w:val="bottom"/>
            <w:hideMark/>
          </w:tcPr>
          <w:p w:rsidR="007A1AB1" w:rsidRPr="007A1AB1" w:rsidRDefault="007A1AB1" w:rsidP="007A1AB1">
            <w:pPr>
              <w:spacing w:before="0"/>
              <w:jc w:val="right"/>
              <w:rPr>
                <w:sz w:val="18"/>
                <w:szCs w:val="18"/>
              </w:rPr>
            </w:pPr>
            <w:r w:rsidRPr="007A1AB1">
              <w:rPr>
                <w:sz w:val="18"/>
                <w:szCs w:val="18"/>
              </w:rPr>
              <w:t>18,9 %</w:t>
            </w:r>
          </w:p>
        </w:tc>
        <w:tc>
          <w:tcPr>
            <w:tcW w:w="384" w:type="pct"/>
            <w:tcBorders>
              <w:top w:val="nil"/>
              <w:left w:val="single" w:sz="4" w:space="0" w:color="auto"/>
              <w:bottom w:val="single" w:sz="4" w:space="0" w:color="auto"/>
              <w:right w:val="single" w:sz="4" w:space="0" w:color="auto"/>
            </w:tcBorders>
            <w:shd w:val="clear" w:color="000000" w:fill="FBC5C8"/>
            <w:noWrap/>
            <w:vAlign w:val="bottom"/>
            <w:hideMark/>
          </w:tcPr>
          <w:p w:rsidR="007A1AB1" w:rsidRPr="007A1AB1" w:rsidRDefault="007A1AB1" w:rsidP="007A1AB1">
            <w:pPr>
              <w:spacing w:before="0"/>
              <w:jc w:val="right"/>
              <w:rPr>
                <w:sz w:val="18"/>
                <w:szCs w:val="18"/>
              </w:rPr>
            </w:pPr>
            <w:r w:rsidRPr="007A1AB1">
              <w:rPr>
                <w:sz w:val="18"/>
                <w:szCs w:val="18"/>
              </w:rPr>
              <w:t>19,6 %</w:t>
            </w:r>
          </w:p>
        </w:tc>
        <w:tc>
          <w:tcPr>
            <w:tcW w:w="384" w:type="pct"/>
            <w:tcBorders>
              <w:top w:val="nil"/>
              <w:left w:val="single" w:sz="4" w:space="0" w:color="auto"/>
              <w:bottom w:val="single" w:sz="4" w:space="0" w:color="auto"/>
              <w:right w:val="single" w:sz="4" w:space="0" w:color="auto"/>
            </w:tcBorders>
            <w:shd w:val="clear" w:color="000000" w:fill="F0F3FA"/>
            <w:noWrap/>
            <w:vAlign w:val="bottom"/>
            <w:hideMark/>
          </w:tcPr>
          <w:p w:rsidR="007A1AB1" w:rsidRPr="007A1AB1" w:rsidRDefault="007A1AB1" w:rsidP="007A1AB1">
            <w:pPr>
              <w:spacing w:before="0"/>
              <w:jc w:val="right"/>
              <w:rPr>
                <w:sz w:val="18"/>
                <w:szCs w:val="18"/>
              </w:rPr>
            </w:pPr>
            <w:r w:rsidRPr="007A1AB1">
              <w:rPr>
                <w:sz w:val="18"/>
                <w:szCs w:val="18"/>
              </w:rPr>
              <w:t>18,9 %</w:t>
            </w:r>
          </w:p>
        </w:tc>
        <w:tc>
          <w:tcPr>
            <w:tcW w:w="404" w:type="pct"/>
            <w:tcBorders>
              <w:top w:val="nil"/>
              <w:left w:val="single" w:sz="4" w:space="0" w:color="auto"/>
              <w:bottom w:val="single" w:sz="4" w:space="0" w:color="auto"/>
              <w:right w:val="single" w:sz="4" w:space="0" w:color="auto"/>
            </w:tcBorders>
            <w:shd w:val="clear" w:color="000000" w:fill="AEDDBC"/>
            <w:noWrap/>
            <w:vAlign w:val="bottom"/>
            <w:hideMark/>
          </w:tcPr>
          <w:p w:rsidR="007A1AB1" w:rsidRPr="007A1AB1" w:rsidRDefault="007A1AB1" w:rsidP="007A1AB1">
            <w:pPr>
              <w:spacing w:before="0"/>
              <w:jc w:val="right"/>
              <w:rPr>
                <w:sz w:val="18"/>
                <w:szCs w:val="18"/>
              </w:rPr>
            </w:pPr>
            <w:r w:rsidRPr="007A1AB1">
              <w:rPr>
                <w:sz w:val="18"/>
                <w:szCs w:val="18"/>
              </w:rPr>
              <w:t>0,8 %</w:t>
            </w:r>
          </w:p>
        </w:tc>
        <w:tc>
          <w:tcPr>
            <w:tcW w:w="398" w:type="pct"/>
            <w:tcBorders>
              <w:top w:val="nil"/>
              <w:left w:val="single" w:sz="4" w:space="0" w:color="auto"/>
              <w:bottom w:val="single" w:sz="4" w:space="0" w:color="auto"/>
              <w:right w:val="single" w:sz="4" w:space="0" w:color="auto"/>
            </w:tcBorders>
            <w:shd w:val="clear" w:color="000000" w:fill="FCFCFF"/>
            <w:noWrap/>
            <w:vAlign w:val="bottom"/>
            <w:hideMark/>
          </w:tcPr>
          <w:p w:rsidR="007A1AB1" w:rsidRPr="007A1AB1" w:rsidRDefault="007A1AB1" w:rsidP="007A1AB1">
            <w:pPr>
              <w:spacing w:before="0"/>
              <w:jc w:val="right"/>
              <w:rPr>
                <w:sz w:val="18"/>
                <w:szCs w:val="18"/>
              </w:rPr>
            </w:pPr>
            <w:r w:rsidRPr="007A1AB1">
              <w:rPr>
                <w:sz w:val="18"/>
                <w:szCs w:val="18"/>
              </w:rPr>
              <w:t>-0,7 %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Litovel</w:t>
            </w:r>
          </w:p>
        </w:tc>
        <w:tc>
          <w:tcPr>
            <w:tcW w:w="466" w:type="pct"/>
            <w:tcBorders>
              <w:top w:val="nil"/>
              <w:left w:val="single" w:sz="4" w:space="0" w:color="auto"/>
              <w:bottom w:val="single" w:sz="4" w:space="0" w:color="auto"/>
              <w:right w:val="single" w:sz="4" w:space="0" w:color="auto"/>
            </w:tcBorders>
            <w:shd w:val="clear" w:color="000000" w:fill="B8CCE7"/>
            <w:vAlign w:val="center"/>
            <w:hideMark/>
          </w:tcPr>
          <w:p w:rsidR="007A1AB1" w:rsidRPr="007A1AB1" w:rsidRDefault="007A1AB1" w:rsidP="007A1AB1">
            <w:pPr>
              <w:spacing w:before="0"/>
              <w:jc w:val="right"/>
              <w:rPr>
                <w:sz w:val="18"/>
                <w:szCs w:val="18"/>
              </w:rPr>
            </w:pPr>
            <w:r w:rsidRPr="007A1AB1">
              <w:rPr>
                <w:sz w:val="18"/>
                <w:szCs w:val="18"/>
              </w:rPr>
              <w:t>4 449</w:t>
            </w:r>
          </w:p>
        </w:tc>
        <w:tc>
          <w:tcPr>
            <w:tcW w:w="469" w:type="pct"/>
            <w:tcBorders>
              <w:top w:val="nil"/>
              <w:left w:val="single" w:sz="4" w:space="0" w:color="auto"/>
              <w:bottom w:val="single" w:sz="4" w:space="0" w:color="auto"/>
              <w:right w:val="single" w:sz="4" w:space="0" w:color="auto"/>
            </w:tcBorders>
            <w:shd w:val="clear" w:color="000000" w:fill="C1D2EA"/>
            <w:vAlign w:val="center"/>
            <w:hideMark/>
          </w:tcPr>
          <w:p w:rsidR="007A1AB1" w:rsidRPr="007A1AB1" w:rsidRDefault="007A1AB1" w:rsidP="007A1AB1">
            <w:pPr>
              <w:spacing w:before="0"/>
              <w:jc w:val="right"/>
              <w:rPr>
                <w:sz w:val="18"/>
                <w:szCs w:val="18"/>
              </w:rPr>
            </w:pPr>
            <w:r w:rsidRPr="007A1AB1">
              <w:rPr>
                <w:sz w:val="18"/>
                <w:szCs w:val="18"/>
              </w:rPr>
              <w:t>4 693</w:t>
            </w:r>
          </w:p>
        </w:tc>
        <w:tc>
          <w:tcPr>
            <w:tcW w:w="470" w:type="pct"/>
            <w:tcBorders>
              <w:top w:val="nil"/>
              <w:left w:val="single" w:sz="4" w:space="0" w:color="auto"/>
              <w:bottom w:val="single" w:sz="4" w:space="0" w:color="auto"/>
              <w:right w:val="single" w:sz="4" w:space="0" w:color="auto"/>
            </w:tcBorders>
            <w:shd w:val="clear" w:color="000000" w:fill="BACEE8"/>
            <w:vAlign w:val="center"/>
            <w:hideMark/>
          </w:tcPr>
          <w:p w:rsidR="007A1AB1" w:rsidRPr="007A1AB1" w:rsidRDefault="007A1AB1" w:rsidP="007A1AB1">
            <w:pPr>
              <w:spacing w:before="0"/>
              <w:jc w:val="right"/>
              <w:rPr>
                <w:sz w:val="18"/>
                <w:szCs w:val="18"/>
              </w:rPr>
            </w:pPr>
            <w:r w:rsidRPr="007A1AB1">
              <w:rPr>
                <w:sz w:val="18"/>
                <w:szCs w:val="18"/>
              </w:rPr>
              <w:t>4 502</w:t>
            </w:r>
          </w:p>
        </w:tc>
        <w:tc>
          <w:tcPr>
            <w:tcW w:w="508" w:type="pct"/>
            <w:tcBorders>
              <w:top w:val="nil"/>
              <w:left w:val="single" w:sz="4" w:space="0" w:color="auto"/>
              <w:bottom w:val="single" w:sz="4" w:space="0" w:color="auto"/>
              <w:right w:val="single" w:sz="4" w:space="0" w:color="auto"/>
            </w:tcBorders>
            <w:shd w:val="clear" w:color="000000" w:fill="A2D8B1"/>
            <w:noWrap/>
            <w:vAlign w:val="center"/>
            <w:hideMark/>
          </w:tcPr>
          <w:p w:rsidR="007A1AB1" w:rsidRPr="007A1AB1" w:rsidRDefault="007A1AB1" w:rsidP="007A1AB1">
            <w:pPr>
              <w:spacing w:before="0"/>
              <w:jc w:val="right"/>
              <w:rPr>
                <w:sz w:val="18"/>
                <w:szCs w:val="18"/>
              </w:rPr>
            </w:pPr>
            <w:r w:rsidRPr="007A1AB1">
              <w:rPr>
                <w:sz w:val="18"/>
                <w:szCs w:val="18"/>
              </w:rPr>
              <w:t>244</w:t>
            </w:r>
          </w:p>
        </w:tc>
        <w:tc>
          <w:tcPr>
            <w:tcW w:w="511" w:type="pct"/>
            <w:tcBorders>
              <w:top w:val="nil"/>
              <w:left w:val="single" w:sz="4" w:space="0" w:color="auto"/>
              <w:bottom w:val="single" w:sz="4" w:space="0" w:color="auto"/>
              <w:right w:val="single" w:sz="4" w:space="0" w:color="auto"/>
            </w:tcBorders>
            <w:shd w:val="clear" w:color="000000" w:fill="A9DBB7"/>
            <w:noWrap/>
            <w:vAlign w:val="center"/>
            <w:hideMark/>
          </w:tcPr>
          <w:p w:rsidR="007A1AB1" w:rsidRPr="007A1AB1" w:rsidRDefault="007A1AB1" w:rsidP="007A1AB1">
            <w:pPr>
              <w:spacing w:before="0"/>
              <w:jc w:val="right"/>
              <w:rPr>
                <w:sz w:val="18"/>
                <w:szCs w:val="18"/>
              </w:rPr>
            </w:pPr>
            <w:r w:rsidRPr="007A1AB1">
              <w:rPr>
                <w:sz w:val="18"/>
                <w:szCs w:val="18"/>
              </w:rPr>
              <w:t>-191</w:t>
            </w:r>
          </w:p>
        </w:tc>
        <w:tc>
          <w:tcPr>
            <w:tcW w:w="384" w:type="pct"/>
            <w:tcBorders>
              <w:top w:val="nil"/>
              <w:left w:val="single" w:sz="4" w:space="0" w:color="auto"/>
              <w:bottom w:val="single" w:sz="4" w:space="0" w:color="auto"/>
              <w:right w:val="single" w:sz="4" w:space="0" w:color="auto"/>
            </w:tcBorders>
            <w:shd w:val="clear" w:color="000000" w:fill="DFE7F4"/>
            <w:noWrap/>
            <w:vAlign w:val="bottom"/>
            <w:hideMark/>
          </w:tcPr>
          <w:p w:rsidR="007A1AB1" w:rsidRPr="007A1AB1" w:rsidRDefault="007A1AB1" w:rsidP="007A1AB1">
            <w:pPr>
              <w:spacing w:before="0"/>
              <w:jc w:val="right"/>
              <w:rPr>
                <w:sz w:val="18"/>
                <w:szCs w:val="18"/>
              </w:rPr>
            </w:pPr>
            <w:r w:rsidRPr="007A1AB1">
              <w:rPr>
                <w:sz w:val="18"/>
                <w:szCs w:val="18"/>
              </w:rPr>
              <w:t>18,8 %</w:t>
            </w:r>
          </w:p>
        </w:tc>
        <w:tc>
          <w:tcPr>
            <w:tcW w:w="384" w:type="pct"/>
            <w:tcBorders>
              <w:top w:val="nil"/>
              <w:left w:val="single" w:sz="4" w:space="0" w:color="auto"/>
              <w:bottom w:val="single" w:sz="4" w:space="0" w:color="auto"/>
              <w:right w:val="single" w:sz="4" w:space="0" w:color="auto"/>
            </w:tcBorders>
            <w:shd w:val="clear" w:color="000000" w:fill="FAABAD"/>
            <w:noWrap/>
            <w:vAlign w:val="bottom"/>
            <w:hideMark/>
          </w:tcPr>
          <w:p w:rsidR="007A1AB1" w:rsidRPr="007A1AB1" w:rsidRDefault="007A1AB1" w:rsidP="007A1AB1">
            <w:pPr>
              <w:spacing w:before="0"/>
              <w:jc w:val="right"/>
              <w:rPr>
                <w:sz w:val="18"/>
                <w:szCs w:val="18"/>
              </w:rPr>
            </w:pPr>
            <w:r w:rsidRPr="007A1AB1">
              <w:rPr>
                <w:sz w:val="18"/>
                <w:szCs w:val="18"/>
              </w:rPr>
              <w:t>19,9 %</w:t>
            </w:r>
          </w:p>
        </w:tc>
        <w:tc>
          <w:tcPr>
            <w:tcW w:w="384" w:type="pct"/>
            <w:tcBorders>
              <w:top w:val="nil"/>
              <w:left w:val="single" w:sz="4" w:space="0" w:color="auto"/>
              <w:bottom w:val="single" w:sz="4" w:space="0" w:color="auto"/>
              <w:right w:val="single" w:sz="4" w:space="0" w:color="auto"/>
            </w:tcBorders>
            <w:shd w:val="clear" w:color="000000" w:fill="FBC9CC"/>
            <w:noWrap/>
            <w:vAlign w:val="bottom"/>
            <w:hideMark/>
          </w:tcPr>
          <w:p w:rsidR="007A1AB1" w:rsidRPr="007A1AB1" w:rsidRDefault="007A1AB1" w:rsidP="007A1AB1">
            <w:pPr>
              <w:spacing w:before="0"/>
              <w:jc w:val="right"/>
              <w:rPr>
                <w:sz w:val="18"/>
                <w:szCs w:val="18"/>
              </w:rPr>
            </w:pPr>
            <w:r w:rsidRPr="007A1AB1">
              <w:rPr>
                <w:sz w:val="18"/>
                <w:szCs w:val="18"/>
              </w:rPr>
              <w:t>19,6 %</w:t>
            </w:r>
          </w:p>
        </w:tc>
        <w:tc>
          <w:tcPr>
            <w:tcW w:w="404" w:type="pct"/>
            <w:tcBorders>
              <w:top w:val="nil"/>
              <w:left w:val="single" w:sz="4" w:space="0" w:color="auto"/>
              <w:bottom w:val="single" w:sz="4" w:space="0" w:color="auto"/>
              <w:right w:val="single" w:sz="4" w:space="0" w:color="auto"/>
            </w:tcBorders>
            <w:shd w:val="clear" w:color="000000" w:fill="98D4A9"/>
            <w:noWrap/>
            <w:vAlign w:val="bottom"/>
            <w:hideMark/>
          </w:tcPr>
          <w:p w:rsidR="007A1AB1" w:rsidRPr="007A1AB1" w:rsidRDefault="007A1AB1" w:rsidP="007A1AB1">
            <w:pPr>
              <w:spacing w:before="0"/>
              <w:jc w:val="right"/>
              <w:rPr>
                <w:sz w:val="18"/>
                <w:szCs w:val="18"/>
              </w:rPr>
            </w:pPr>
            <w:r w:rsidRPr="007A1AB1">
              <w:rPr>
                <w:sz w:val="18"/>
                <w:szCs w:val="18"/>
              </w:rPr>
              <w:t>1,2 %</w:t>
            </w:r>
          </w:p>
        </w:tc>
        <w:tc>
          <w:tcPr>
            <w:tcW w:w="398" w:type="pct"/>
            <w:tcBorders>
              <w:top w:val="nil"/>
              <w:left w:val="single" w:sz="4" w:space="0" w:color="auto"/>
              <w:bottom w:val="single" w:sz="4" w:space="0" w:color="auto"/>
              <w:right w:val="single" w:sz="4" w:space="0" w:color="auto"/>
            </w:tcBorders>
            <w:shd w:val="clear" w:color="000000" w:fill="E8F4ED"/>
            <w:noWrap/>
            <w:vAlign w:val="bottom"/>
            <w:hideMark/>
          </w:tcPr>
          <w:p w:rsidR="007A1AB1" w:rsidRPr="007A1AB1" w:rsidRDefault="007A1AB1" w:rsidP="007A1AB1">
            <w:pPr>
              <w:spacing w:before="0"/>
              <w:jc w:val="right"/>
              <w:rPr>
                <w:sz w:val="18"/>
                <w:szCs w:val="18"/>
              </w:rPr>
            </w:pPr>
            <w:r w:rsidRPr="007A1AB1">
              <w:rPr>
                <w:sz w:val="18"/>
                <w:szCs w:val="18"/>
              </w:rPr>
              <w:t>-0,3 %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Mohelnice</w:t>
            </w:r>
          </w:p>
        </w:tc>
        <w:tc>
          <w:tcPr>
            <w:tcW w:w="466" w:type="pct"/>
            <w:tcBorders>
              <w:top w:val="nil"/>
              <w:left w:val="single" w:sz="4" w:space="0" w:color="auto"/>
              <w:bottom w:val="single" w:sz="4" w:space="0" w:color="auto"/>
              <w:right w:val="single" w:sz="4" w:space="0" w:color="auto"/>
            </w:tcBorders>
            <w:shd w:val="clear" w:color="000000" w:fill="94B2DA"/>
            <w:vAlign w:val="center"/>
            <w:hideMark/>
          </w:tcPr>
          <w:p w:rsidR="007A1AB1" w:rsidRPr="007A1AB1" w:rsidRDefault="007A1AB1" w:rsidP="007A1AB1">
            <w:pPr>
              <w:spacing w:before="0"/>
              <w:jc w:val="right"/>
              <w:rPr>
                <w:sz w:val="18"/>
                <w:szCs w:val="18"/>
              </w:rPr>
            </w:pPr>
            <w:r w:rsidRPr="007A1AB1">
              <w:rPr>
                <w:sz w:val="18"/>
                <w:szCs w:val="18"/>
              </w:rPr>
              <w:t>3 444</w:t>
            </w:r>
          </w:p>
        </w:tc>
        <w:tc>
          <w:tcPr>
            <w:tcW w:w="469" w:type="pct"/>
            <w:tcBorders>
              <w:top w:val="nil"/>
              <w:left w:val="single" w:sz="4" w:space="0" w:color="auto"/>
              <w:bottom w:val="single" w:sz="4" w:space="0" w:color="auto"/>
              <w:right w:val="single" w:sz="4" w:space="0" w:color="auto"/>
            </w:tcBorders>
            <w:shd w:val="clear" w:color="000000" w:fill="95B3DA"/>
            <w:vAlign w:val="center"/>
            <w:hideMark/>
          </w:tcPr>
          <w:p w:rsidR="007A1AB1" w:rsidRPr="007A1AB1" w:rsidRDefault="007A1AB1" w:rsidP="007A1AB1">
            <w:pPr>
              <w:spacing w:before="0"/>
              <w:jc w:val="right"/>
              <w:rPr>
                <w:sz w:val="18"/>
                <w:szCs w:val="18"/>
              </w:rPr>
            </w:pPr>
            <w:r w:rsidRPr="007A1AB1">
              <w:rPr>
                <w:sz w:val="18"/>
                <w:szCs w:val="18"/>
              </w:rPr>
              <w:t>3 484</w:t>
            </w:r>
          </w:p>
        </w:tc>
        <w:tc>
          <w:tcPr>
            <w:tcW w:w="470" w:type="pct"/>
            <w:tcBorders>
              <w:top w:val="nil"/>
              <w:left w:val="single" w:sz="4" w:space="0" w:color="auto"/>
              <w:bottom w:val="single" w:sz="4" w:space="0" w:color="auto"/>
              <w:right w:val="single" w:sz="4" w:space="0" w:color="auto"/>
            </w:tcBorders>
            <w:shd w:val="clear" w:color="000000" w:fill="93B2DA"/>
            <w:vAlign w:val="center"/>
            <w:hideMark/>
          </w:tcPr>
          <w:p w:rsidR="007A1AB1" w:rsidRPr="007A1AB1" w:rsidRDefault="007A1AB1" w:rsidP="007A1AB1">
            <w:pPr>
              <w:spacing w:before="0"/>
              <w:jc w:val="right"/>
              <w:rPr>
                <w:sz w:val="18"/>
                <w:szCs w:val="18"/>
              </w:rPr>
            </w:pPr>
            <w:r w:rsidRPr="007A1AB1">
              <w:rPr>
                <w:sz w:val="18"/>
                <w:szCs w:val="18"/>
              </w:rPr>
              <w:t>3 421</w:t>
            </w:r>
          </w:p>
        </w:tc>
        <w:tc>
          <w:tcPr>
            <w:tcW w:w="508" w:type="pct"/>
            <w:tcBorders>
              <w:top w:val="nil"/>
              <w:left w:val="single" w:sz="4" w:space="0" w:color="auto"/>
              <w:bottom w:val="single" w:sz="4" w:space="0" w:color="auto"/>
              <w:right w:val="single" w:sz="4" w:space="0" w:color="auto"/>
            </w:tcBorders>
            <w:shd w:val="clear" w:color="000000" w:fill="A5D9B4"/>
            <w:noWrap/>
            <w:vAlign w:val="center"/>
            <w:hideMark/>
          </w:tcPr>
          <w:p w:rsidR="007A1AB1" w:rsidRPr="007A1AB1" w:rsidRDefault="007A1AB1" w:rsidP="007A1AB1">
            <w:pPr>
              <w:spacing w:before="0"/>
              <w:jc w:val="right"/>
              <w:rPr>
                <w:sz w:val="18"/>
                <w:szCs w:val="18"/>
              </w:rPr>
            </w:pPr>
            <w:r w:rsidRPr="007A1AB1">
              <w:rPr>
                <w:sz w:val="18"/>
                <w:szCs w:val="18"/>
              </w:rPr>
              <w:t>40</w:t>
            </w:r>
          </w:p>
        </w:tc>
        <w:tc>
          <w:tcPr>
            <w:tcW w:w="511" w:type="pct"/>
            <w:tcBorders>
              <w:top w:val="nil"/>
              <w:left w:val="single" w:sz="4" w:space="0" w:color="auto"/>
              <w:bottom w:val="single" w:sz="4" w:space="0" w:color="auto"/>
              <w:right w:val="single" w:sz="4" w:space="0" w:color="auto"/>
            </w:tcBorders>
            <w:shd w:val="clear" w:color="000000" w:fill="A7DAB5"/>
            <w:noWrap/>
            <w:vAlign w:val="center"/>
            <w:hideMark/>
          </w:tcPr>
          <w:p w:rsidR="007A1AB1" w:rsidRPr="007A1AB1" w:rsidRDefault="007A1AB1" w:rsidP="007A1AB1">
            <w:pPr>
              <w:spacing w:before="0"/>
              <w:jc w:val="right"/>
              <w:rPr>
                <w:sz w:val="18"/>
                <w:szCs w:val="18"/>
              </w:rPr>
            </w:pPr>
            <w:r w:rsidRPr="007A1AB1">
              <w:rPr>
                <w:sz w:val="18"/>
                <w:szCs w:val="18"/>
              </w:rPr>
              <w:t>-63</w:t>
            </w:r>
          </w:p>
        </w:tc>
        <w:tc>
          <w:tcPr>
            <w:tcW w:w="384" w:type="pct"/>
            <w:tcBorders>
              <w:top w:val="nil"/>
              <w:left w:val="single" w:sz="4" w:space="0" w:color="auto"/>
              <w:bottom w:val="single" w:sz="4" w:space="0" w:color="auto"/>
              <w:right w:val="single" w:sz="4" w:space="0" w:color="auto"/>
            </w:tcBorders>
            <w:shd w:val="clear" w:color="000000" w:fill="B0C6E4"/>
            <w:noWrap/>
            <w:vAlign w:val="bottom"/>
            <w:hideMark/>
          </w:tcPr>
          <w:p w:rsidR="007A1AB1" w:rsidRPr="007A1AB1" w:rsidRDefault="007A1AB1" w:rsidP="007A1AB1">
            <w:pPr>
              <w:spacing w:before="0"/>
              <w:jc w:val="right"/>
              <w:rPr>
                <w:sz w:val="18"/>
                <w:szCs w:val="18"/>
              </w:rPr>
            </w:pPr>
            <w:r w:rsidRPr="007A1AB1">
              <w:rPr>
                <w:sz w:val="18"/>
                <w:szCs w:val="18"/>
              </w:rPr>
              <w:t>18,4 %</w:t>
            </w:r>
          </w:p>
        </w:tc>
        <w:tc>
          <w:tcPr>
            <w:tcW w:w="384" w:type="pct"/>
            <w:tcBorders>
              <w:top w:val="nil"/>
              <w:left w:val="single" w:sz="4" w:space="0" w:color="auto"/>
              <w:bottom w:val="single" w:sz="4" w:space="0" w:color="auto"/>
              <w:right w:val="single" w:sz="4" w:space="0" w:color="auto"/>
            </w:tcBorders>
            <w:shd w:val="clear" w:color="000000" w:fill="FCF2F5"/>
            <w:noWrap/>
            <w:vAlign w:val="bottom"/>
            <w:hideMark/>
          </w:tcPr>
          <w:p w:rsidR="007A1AB1" w:rsidRPr="007A1AB1" w:rsidRDefault="007A1AB1" w:rsidP="007A1AB1">
            <w:pPr>
              <w:spacing w:before="0"/>
              <w:jc w:val="right"/>
              <w:rPr>
                <w:sz w:val="18"/>
                <w:szCs w:val="18"/>
              </w:rPr>
            </w:pPr>
            <w:r w:rsidRPr="007A1AB1">
              <w:rPr>
                <w:sz w:val="18"/>
                <w:szCs w:val="18"/>
              </w:rPr>
              <w:t>19,1 %</w:t>
            </w:r>
          </w:p>
        </w:tc>
        <w:tc>
          <w:tcPr>
            <w:tcW w:w="384" w:type="pct"/>
            <w:tcBorders>
              <w:top w:val="nil"/>
              <w:left w:val="single" w:sz="4" w:space="0" w:color="auto"/>
              <w:bottom w:val="single" w:sz="4" w:space="0" w:color="auto"/>
              <w:right w:val="single" w:sz="4" w:space="0" w:color="auto"/>
            </w:tcBorders>
            <w:shd w:val="clear" w:color="000000" w:fill="FCEEF1"/>
            <w:noWrap/>
            <w:vAlign w:val="bottom"/>
            <w:hideMark/>
          </w:tcPr>
          <w:p w:rsidR="007A1AB1" w:rsidRPr="007A1AB1" w:rsidRDefault="007A1AB1" w:rsidP="007A1AB1">
            <w:pPr>
              <w:spacing w:before="0"/>
              <w:jc w:val="right"/>
              <w:rPr>
                <w:sz w:val="18"/>
                <w:szCs w:val="18"/>
              </w:rPr>
            </w:pPr>
            <w:r w:rsidRPr="007A1AB1">
              <w:rPr>
                <w:sz w:val="18"/>
                <w:szCs w:val="18"/>
              </w:rPr>
              <w:t>19,2 %</w:t>
            </w:r>
          </w:p>
        </w:tc>
        <w:tc>
          <w:tcPr>
            <w:tcW w:w="404" w:type="pct"/>
            <w:tcBorders>
              <w:top w:val="nil"/>
              <w:left w:val="single" w:sz="4" w:space="0" w:color="auto"/>
              <w:bottom w:val="single" w:sz="4" w:space="0" w:color="auto"/>
              <w:right w:val="single" w:sz="4" w:space="0" w:color="auto"/>
            </w:tcBorders>
            <w:shd w:val="clear" w:color="000000" w:fill="AFDDBD"/>
            <w:noWrap/>
            <w:vAlign w:val="bottom"/>
            <w:hideMark/>
          </w:tcPr>
          <w:p w:rsidR="007A1AB1" w:rsidRPr="007A1AB1" w:rsidRDefault="007A1AB1" w:rsidP="007A1AB1">
            <w:pPr>
              <w:spacing w:before="0"/>
              <w:jc w:val="right"/>
              <w:rPr>
                <w:sz w:val="18"/>
                <w:szCs w:val="18"/>
              </w:rPr>
            </w:pPr>
            <w:r w:rsidRPr="007A1AB1">
              <w:rPr>
                <w:sz w:val="18"/>
                <w:szCs w:val="18"/>
              </w:rPr>
              <w:t>0,7 %</w:t>
            </w:r>
          </w:p>
        </w:tc>
        <w:tc>
          <w:tcPr>
            <w:tcW w:w="398" w:type="pct"/>
            <w:tcBorders>
              <w:top w:val="nil"/>
              <w:left w:val="single" w:sz="4" w:space="0" w:color="auto"/>
              <w:bottom w:val="single" w:sz="4" w:space="0" w:color="auto"/>
              <w:right w:val="single" w:sz="4" w:space="0" w:color="auto"/>
            </w:tcBorders>
            <w:shd w:val="clear" w:color="000000" w:fill="D3ECDB"/>
            <w:noWrap/>
            <w:vAlign w:val="bottom"/>
            <w:hideMark/>
          </w:tcPr>
          <w:p w:rsidR="007A1AB1" w:rsidRPr="007A1AB1" w:rsidRDefault="007A1AB1" w:rsidP="007A1AB1">
            <w:pPr>
              <w:spacing w:before="0"/>
              <w:jc w:val="right"/>
              <w:rPr>
                <w:sz w:val="18"/>
                <w:szCs w:val="18"/>
              </w:rPr>
            </w:pPr>
            <w:r w:rsidRPr="007A1AB1">
              <w:rPr>
                <w:sz w:val="18"/>
                <w:szCs w:val="18"/>
              </w:rPr>
              <w:t>0,1 %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Olomouc</w:t>
            </w:r>
          </w:p>
        </w:tc>
        <w:tc>
          <w:tcPr>
            <w:tcW w:w="466" w:type="pct"/>
            <w:tcBorders>
              <w:top w:val="nil"/>
              <w:left w:val="single" w:sz="4" w:space="0" w:color="auto"/>
              <w:bottom w:val="single" w:sz="4" w:space="0" w:color="auto"/>
              <w:right w:val="single" w:sz="4" w:space="0" w:color="auto"/>
            </w:tcBorders>
            <w:shd w:val="clear" w:color="000000" w:fill="F97F81"/>
            <w:vAlign w:val="center"/>
            <w:hideMark/>
          </w:tcPr>
          <w:p w:rsidR="007A1AB1" w:rsidRPr="007A1AB1" w:rsidRDefault="007A1AB1" w:rsidP="007A1AB1">
            <w:pPr>
              <w:spacing w:before="0"/>
              <w:jc w:val="right"/>
              <w:rPr>
                <w:sz w:val="18"/>
                <w:szCs w:val="18"/>
              </w:rPr>
            </w:pPr>
            <w:r w:rsidRPr="007A1AB1">
              <w:rPr>
                <w:sz w:val="18"/>
                <w:szCs w:val="18"/>
              </w:rPr>
              <w:t>29 968</w:t>
            </w:r>
          </w:p>
        </w:tc>
        <w:tc>
          <w:tcPr>
            <w:tcW w:w="469" w:type="pct"/>
            <w:tcBorders>
              <w:top w:val="nil"/>
              <w:left w:val="single" w:sz="4" w:space="0" w:color="auto"/>
              <w:bottom w:val="single" w:sz="4" w:space="0" w:color="auto"/>
              <w:right w:val="single" w:sz="4" w:space="0" w:color="auto"/>
            </w:tcBorders>
            <w:shd w:val="clear" w:color="000000" w:fill="F8696B"/>
            <w:vAlign w:val="center"/>
            <w:hideMark/>
          </w:tcPr>
          <w:p w:rsidR="007A1AB1" w:rsidRPr="007A1AB1" w:rsidRDefault="007A1AB1" w:rsidP="007A1AB1">
            <w:pPr>
              <w:spacing w:before="0"/>
              <w:jc w:val="right"/>
              <w:rPr>
                <w:sz w:val="18"/>
                <w:szCs w:val="18"/>
              </w:rPr>
            </w:pPr>
            <w:r w:rsidRPr="007A1AB1">
              <w:rPr>
                <w:sz w:val="18"/>
                <w:szCs w:val="18"/>
              </w:rPr>
              <w:t>33 994</w:t>
            </w:r>
          </w:p>
        </w:tc>
        <w:tc>
          <w:tcPr>
            <w:tcW w:w="470" w:type="pct"/>
            <w:tcBorders>
              <w:top w:val="nil"/>
              <w:left w:val="single" w:sz="4" w:space="0" w:color="auto"/>
              <w:bottom w:val="single" w:sz="4" w:space="0" w:color="auto"/>
              <w:right w:val="single" w:sz="4" w:space="0" w:color="auto"/>
            </w:tcBorders>
            <w:shd w:val="clear" w:color="000000" w:fill="F97173"/>
            <w:vAlign w:val="center"/>
            <w:hideMark/>
          </w:tcPr>
          <w:p w:rsidR="007A1AB1" w:rsidRPr="007A1AB1" w:rsidRDefault="007A1AB1" w:rsidP="007A1AB1">
            <w:pPr>
              <w:spacing w:before="0"/>
              <w:jc w:val="right"/>
              <w:rPr>
                <w:sz w:val="18"/>
                <w:szCs w:val="18"/>
              </w:rPr>
            </w:pPr>
            <w:r w:rsidRPr="007A1AB1">
              <w:rPr>
                <w:sz w:val="18"/>
                <w:szCs w:val="18"/>
              </w:rPr>
              <w:t>32 637</w:t>
            </w:r>
          </w:p>
        </w:tc>
        <w:tc>
          <w:tcPr>
            <w:tcW w:w="508" w:type="pct"/>
            <w:tcBorders>
              <w:top w:val="nil"/>
              <w:left w:val="single" w:sz="4" w:space="0" w:color="auto"/>
              <w:bottom w:val="single" w:sz="4" w:space="0" w:color="auto"/>
              <w:right w:val="single" w:sz="4" w:space="0" w:color="auto"/>
            </w:tcBorders>
            <w:shd w:val="clear" w:color="000000" w:fill="63BE7B"/>
            <w:noWrap/>
            <w:vAlign w:val="center"/>
            <w:hideMark/>
          </w:tcPr>
          <w:p w:rsidR="007A1AB1" w:rsidRPr="007A1AB1" w:rsidRDefault="007A1AB1" w:rsidP="007A1AB1">
            <w:pPr>
              <w:spacing w:before="0"/>
              <w:jc w:val="right"/>
              <w:rPr>
                <w:sz w:val="18"/>
                <w:szCs w:val="18"/>
              </w:rPr>
            </w:pPr>
            <w:r w:rsidRPr="007A1AB1">
              <w:rPr>
                <w:sz w:val="18"/>
                <w:szCs w:val="18"/>
              </w:rPr>
              <w:t>4 026</w:t>
            </w:r>
          </w:p>
        </w:tc>
        <w:tc>
          <w:tcPr>
            <w:tcW w:w="511" w:type="pct"/>
            <w:tcBorders>
              <w:top w:val="nil"/>
              <w:left w:val="single" w:sz="4" w:space="0" w:color="auto"/>
              <w:bottom w:val="single" w:sz="4" w:space="0" w:color="auto"/>
              <w:right w:val="single" w:sz="4" w:space="0" w:color="auto"/>
            </w:tcBorders>
            <w:shd w:val="clear" w:color="000000" w:fill="BCE2C8"/>
            <w:noWrap/>
            <w:vAlign w:val="center"/>
            <w:hideMark/>
          </w:tcPr>
          <w:p w:rsidR="007A1AB1" w:rsidRPr="007A1AB1" w:rsidRDefault="007A1AB1" w:rsidP="007A1AB1">
            <w:pPr>
              <w:spacing w:before="0"/>
              <w:jc w:val="right"/>
              <w:rPr>
                <w:sz w:val="18"/>
                <w:szCs w:val="18"/>
              </w:rPr>
            </w:pPr>
            <w:r w:rsidRPr="007A1AB1">
              <w:rPr>
                <w:sz w:val="18"/>
                <w:szCs w:val="18"/>
              </w:rPr>
              <w:t>-1 357</w:t>
            </w:r>
          </w:p>
        </w:tc>
        <w:tc>
          <w:tcPr>
            <w:tcW w:w="384" w:type="pct"/>
            <w:tcBorders>
              <w:top w:val="nil"/>
              <w:left w:val="single" w:sz="4" w:space="0" w:color="auto"/>
              <w:bottom w:val="single" w:sz="4" w:space="0" w:color="auto"/>
              <w:right w:val="single" w:sz="4" w:space="0" w:color="auto"/>
            </w:tcBorders>
            <w:shd w:val="clear" w:color="000000" w:fill="BFD1E9"/>
            <w:noWrap/>
            <w:vAlign w:val="bottom"/>
            <w:hideMark/>
          </w:tcPr>
          <w:p w:rsidR="007A1AB1" w:rsidRPr="007A1AB1" w:rsidRDefault="007A1AB1" w:rsidP="007A1AB1">
            <w:pPr>
              <w:spacing w:before="0"/>
              <w:jc w:val="right"/>
              <w:rPr>
                <w:sz w:val="18"/>
                <w:szCs w:val="18"/>
              </w:rPr>
            </w:pPr>
            <w:r w:rsidRPr="007A1AB1">
              <w:rPr>
                <w:sz w:val="18"/>
                <w:szCs w:val="18"/>
              </w:rPr>
              <w:t>18,5 %</w:t>
            </w:r>
          </w:p>
        </w:tc>
        <w:tc>
          <w:tcPr>
            <w:tcW w:w="384" w:type="pct"/>
            <w:tcBorders>
              <w:top w:val="nil"/>
              <w:left w:val="single" w:sz="4" w:space="0" w:color="auto"/>
              <w:bottom w:val="single" w:sz="4" w:space="0" w:color="auto"/>
              <w:right w:val="single" w:sz="4" w:space="0" w:color="auto"/>
            </w:tcBorders>
            <w:shd w:val="clear" w:color="000000" w:fill="F8696B"/>
            <w:noWrap/>
            <w:vAlign w:val="bottom"/>
            <w:hideMark/>
          </w:tcPr>
          <w:p w:rsidR="007A1AB1" w:rsidRPr="007A1AB1" w:rsidRDefault="007A1AB1" w:rsidP="007A1AB1">
            <w:pPr>
              <w:spacing w:before="0"/>
              <w:jc w:val="right"/>
              <w:rPr>
                <w:sz w:val="18"/>
                <w:szCs w:val="18"/>
              </w:rPr>
            </w:pPr>
            <w:r w:rsidRPr="007A1AB1">
              <w:rPr>
                <w:sz w:val="18"/>
                <w:szCs w:val="18"/>
              </w:rPr>
              <w:t>20,7 %</w:t>
            </w:r>
          </w:p>
        </w:tc>
        <w:tc>
          <w:tcPr>
            <w:tcW w:w="384" w:type="pct"/>
            <w:tcBorders>
              <w:top w:val="nil"/>
              <w:left w:val="single" w:sz="4" w:space="0" w:color="auto"/>
              <w:bottom w:val="single" w:sz="4" w:space="0" w:color="auto"/>
              <w:right w:val="single" w:sz="4" w:space="0" w:color="auto"/>
            </w:tcBorders>
            <w:shd w:val="clear" w:color="000000" w:fill="FA989A"/>
            <w:noWrap/>
            <w:vAlign w:val="bottom"/>
            <w:hideMark/>
          </w:tcPr>
          <w:p w:rsidR="007A1AB1" w:rsidRPr="007A1AB1" w:rsidRDefault="007A1AB1" w:rsidP="007A1AB1">
            <w:pPr>
              <w:spacing w:before="0"/>
              <w:jc w:val="right"/>
              <w:rPr>
                <w:sz w:val="18"/>
                <w:szCs w:val="18"/>
              </w:rPr>
            </w:pPr>
            <w:r w:rsidRPr="007A1AB1">
              <w:rPr>
                <w:sz w:val="18"/>
                <w:szCs w:val="18"/>
              </w:rPr>
              <w:t>20,2 %</w:t>
            </w:r>
          </w:p>
        </w:tc>
        <w:tc>
          <w:tcPr>
            <w:tcW w:w="404" w:type="pct"/>
            <w:tcBorders>
              <w:top w:val="nil"/>
              <w:left w:val="single" w:sz="4" w:space="0" w:color="auto"/>
              <w:bottom w:val="single" w:sz="4" w:space="0" w:color="auto"/>
              <w:right w:val="single" w:sz="4" w:space="0" w:color="auto"/>
            </w:tcBorders>
            <w:shd w:val="clear" w:color="000000" w:fill="63BE7B"/>
            <w:noWrap/>
            <w:vAlign w:val="bottom"/>
            <w:hideMark/>
          </w:tcPr>
          <w:p w:rsidR="007A1AB1" w:rsidRPr="007A1AB1" w:rsidRDefault="007A1AB1" w:rsidP="007A1AB1">
            <w:pPr>
              <w:spacing w:before="0"/>
              <w:jc w:val="right"/>
              <w:rPr>
                <w:sz w:val="18"/>
                <w:szCs w:val="18"/>
              </w:rPr>
            </w:pPr>
            <w:r w:rsidRPr="007A1AB1">
              <w:rPr>
                <w:sz w:val="18"/>
                <w:szCs w:val="18"/>
              </w:rPr>
              <w:t>2,2 %</w:t>
            </w:r>
          </w:p>
        </w:tc>
        <w:tc>
          <w:tcPr>
            <w:tcW w:w="398" w:type="pct"/>
            <w:tcBorders>
              <w:top w:val="nil"/>
              <w:left w:val="single" w:sz="4" w:space="0" w:color="auto"/>
              <w:bottom w:val="single" w:sz="4" w:space="0" w:color="auto"/>
              <w:right w:val="single" w:sz="4" w:space="0" w:color="auto"/>
            </w:tcBorders>
            <w:shd w:val="clear" w:color="000000" w:fill="F1F8F6"/>
            <w:noWrap/>
            <w:vAlign w:val="bottom"/>
            <w:hideMark/>
          </w:tcPr>
          <w:p w:rsidR="007A1AB1" w:rsidRPr="007A1AB1" w:rsidRDefault="007A1AB1" w:rsidP="007A1AB1">
            <w:pPr>
              <w:spacing w:before="0"/>
              <w:jc w:val="right"/>
              <w:rPr>
                <w:sz w:val="18"/>
                <w:szCs w:val="18"/>
              </w:rPr>
            </w:pPr>
            <w:r w:rsidRPr="007A1AB1">
              <w:rPr>
                <w:sz w:val="18"/>
                <w:szCs w:val="18"/>
              </w:rPr>
              <w:t>-0,5 %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Prostějov</w:t>
            </w:r>
          </w:p>
        </w:tc>
        <w:tc>
          <w:tcPr>
            <w:tcW w:w="466" w:type="pct"/>
            <w:tcBorders>
              <w:top w:val="nil"/>
              <w:left w:val="single" w:sz="4" w:space="0" w:color="auto"/>
              <w:bottom w:val="single" w:sz="4" w:space="0" w:color="auto"/>
              <w:right w:val="single" w:sz="4" w:space="0" w:color="auto"/>
            </w:tcBorders>
            <w:shd w:val="clear" w:color="000000" w:fill="FBBCBE"/>
            <w:vAlign w:val="center"/>
            <w:hideMark/>
          </w:tcPr>
          <w:p w:rsidR="007A1AB1" w:rsidRPr="007A1AB1" w:rsidRDefault="007A1AB1" w:rsidP="007A1AB1">
            <w:pPr>
              <w:spacing w:before="0"/>
              <w:jc w:val="right"/>
              <w:rPr>
                <w:sz w:val="18"/>
                <w:szCs w:val="18"/>
              </w:rPr>
            </w:pPr>
            <w:r w:rsidRPr="007A1AB1">
              <w:rPr>
                <w:sz w:val="18"/>
                <w:szCs w:val="18"/>
              </w:rPr>
              <w:t>18 518</w:t>
            </w:r>
          </w:p>
        </w:tc>
        <w:tc>
          <w:tcPr>
            <w:tcW w:w="469" w:type="pct"/>
            <w:tcBorders>
              <w:top w:val="nil"/>
              <w:left w:val="single" w:sz="4" w:space="0" w:color="auto"/>
              <w:bottom w:val="single" w:sz="4" w:space="0" w:color="auto"/>
              <w:right w:val="single" w:sz="4" w:space="0" w:color="auto"/>
            </w:tcBorders>
            <w:shd w:val="clear" w:color="000000" w:fill="FBB7B9"/>
            <w:vAlign w:val="center"/>
            <w:hideMark/>
          </w:tcPr>
          <w:p w:rsidR="007A1AB1" w:rsidRPr="007A1AB1" w:rsidRDefault="007A1AB1" w:rsidP="007A1AB1">
            <w:pPr>
              <w:spacing w:before="0"/>
              <w:jc w:val="right"/>
              <w:rPr>
                <w:sz w:val="18"/>
                <w:szCs w:val="18"/>
              </w:rPr>
            </w:pPr>
            <w:r w:rsidRPr="007A1AB1">
              <w:rPr>
                <w:sz w:val="18"/>
                <w:szCs w:val="18"/>
              </w:rPr>
              <w:t>19 452</w:t>
            </w:r>
          </w:p>
        </w:tc>
        <w:tc>
          <w:tcPr>
            <w:tcW w:w="470" w:type="pct"/>
            <w:tcBorders>
              <w:top w:val="nil"/>
              <w:left w:val="single" w:sz="4" w:space="0" w:color="auto"/>
              <w:bottom w:val="single" w:sz="4" w:space="0" w:color="auto"/>
              <w:right w:val="single" w:sz="4" w:space="0" w:color="auto"/>
            </w:tcBorders>
            <w:shd w:val="clear" w:color="000000" w:fill="FBBCBF"/>
            <w:vAlign w:val="center"/>
            <w:hideMark/>
          </w:tcPr>
          <w:p w:rsidR="007A1AB1" w:rsidRPr="007A1AB1" w:rsidRDefault="007A1AB1" w:rsidP="007A1AB1">
            <w:pPr>
              <w:spacing w:before="0"/>
              <w:jc w:val="right"/>
              <w:rPr>
                <w:sz w:val="18"/>
                <w:szCs w:val="18"/>
              </w:rPr>
            </w:pPr>
            <w:r w:rsidRPr="007A1AB1">
              <w:rPr>
                <w:sz w:val="18"/>
                <w:szCs w:val="18"/>
              </w:rPr>
              <w:t>18 432</w:t>
            </w:r>
          </w:p>
        </w:tc>
        <w:tc>
          <w:tcPr>
            <w:tcW w:w="508" w:type="pct"/>
            <w:tcBorders>
              <w:top w:val="nil"/>
              <w:left w:val="single" w:sz="4" w:space="0" w:color="auto"/>
              <w:bottom w:val="single" w:sz="4" w:space="0" w:color="auto"/>
              <w:right w:val="single" w:sz="4" w:space="0" w:color="auto"/>
            </w:tcBorders>
            <w:shd w:val="clear" w:color="000000" w:fill="96D3A7"/>
            <w:noWrap/>
            <w:vAlign w:val="center"/>
            <w:hideMark/>
          </w:tcPr>
          <w:p w:rsidR="007A1AB1" w:rsidRPr="007A1AB1" w:rsidRDefault="007A1AB1" w:rsidP="007A1AB1">
            <w:pPr>
              <w:spacing w:before="0"/>
              <w:jc w:val="right"/>
              <w:rPr>
                <w:sz w:val="18"/>
                <w:szCs w:val="18"/>
              </w:rPr>
            </w:pPr>
            <w:r w:rsidRPr="007A1AB1">
              <w:rPr>
                <w:sz w:val="18"/>
                <w:szCs w:val="18"/>
              </w:rPr>
              <w:t>934</w:t>
            </w:r>
          </w:p>
        </w:tc>
        <w:tc>
          <w:tcPr>
            <w:tcW w:w="511" w:type="pct"/>
            <w:tcBorders>
              <w:top w:val="nil"/>
              <w:left w:val="single" w:sz="4" w:space="0" w:color="auto"/>
              <w:bottom w:val="single" w:sz="4" w:space="0" w:color="auto"/>
              <w:right w:val="single" w:sz="4" w:space="0" w:color="auto"/>
            </w:tcBorders>
            <w:shd w:val="clear" w:color="000000" w:fill="B6E0C3"/>
            <w:noWrap/>
            <w:vAlign w:val="center"/>
            <w:hideMark/>
          </w:tcPr>
          <w:p w:rsidR="007A1AB1" w:rsidRPr="007A1AB1" w:rsidRDefault="007A1AB1" w:rsidP="007A1AB1">
            <w:pPr>
              <w:spacing w:before="0"/>
              <w:jc w:val="right"/>
              <w:rPr>
                <w:sz w:val="18"/>
                <w:szCs w:val="18"/>
              </w:rPr>
            </w:pPr>
            <w:r w:rsidRPr="007A1AB1">
              <w:rPr>
                <w:sz w:val="18"/>
                <w:szCs w:val="18"/>
              </w:rPr>
              <w:t>-1 020</w:t>
            </w:r>
          </w:p>
        </w:tc>
        <w:tc>
          <w:tcPr>
            <w:tcW w:w="384" w:type="pct"/>
            <w:tcBorders>
              <w:top w:val="nil"/>
              <w:left w:val="single" w:sz="4" w:space="0" w:color="auto"/>
              <w:bottom w:val="single" w:sz="4" w:space="0" w:color="auto"/>
              <w:right w:val="single" w:sz="4" w:space="0" w:color="auto"/>
            </w:tcBorders>
            <w:shd w:val="clear" w:color="000000" w:fill="E2EAF6"/>
            <w:noWrap/>
            <w:vAlign w:val="bottom"/>
            <w:hideMark/>
          </w:tcPr>
          <w:p w:rsidR="007A1AB1" w:rsidRPr="007A1AB1" w:rsidRDefault="007A1AB1" w:rsidP="007A1AB1">
            <w:pPr>
              <w:spacing w:before="0"/>
              <w:jc w:val="right"/>
              <w:rPr>
                <w:sz w:val="18"/>
                <w:szCs w:val="18"/>
              </w:rPr>
            </w:pPr>
            <w:r w:rsidRPr="007A1AB1">
              <w:rPr>
                <w:sz w:val="18"/>
                <w:szCs w:val="18"/>
              </w:rPr>
              <w:t>18,8 %</w:t>
            </w:r>
          </w:p>
        </w:tc>
        <w:tc>
          <w:tcPr>
            <w:tcW w:w="384" w:type="pct"/>
            <w:tcBorders>
              <w:top w:val="nil"/>
              <w:left w:val="single" w:sz="4" w:space="0" w:color="auto"/>
              <w:bottom w:val="single" w:sz="4" w:space="0" w:color="auto"/>
              <w:right w:val="single" w:sz="4" w:space="0" w:color="auto"/>
            </w:tcBorders>
            <w:shd w:val="clear" w:color="000000" w:fill="FAA2A5"/>
            <w:noWrap/>
            <w:vAlign w:val="bottom"/>
            <w:hideMark/>
          </w:tcPr>
          <w:p w:rsidR="007A1AB1" w:rsidRPr="007A1AB1" w:rsidRDefault="007A1AB1" w:rsidP="007A1AB1">
            <w:pPr>
              <w:spacing w:before="0"/>
              <w:jc w:val="right"/>
              <w:rPr>
                <w:sz w:val="18"/>
                <w:szCs w:val="18"/>
              </w:rPr>
            </w:pPr>
            <w:r w:rsidRPr="007A1AB1">
              <w:rPr>
                <w:sz w:val="18"/>
                <w:szCs w:val="18"/>
              </w:rPr>
              <w:t>20,0 %</w:t>
            </w:r>
          </w:p>
        </w:tc>
        <w:tc>
          <w:tcPr>
            <w:tcW w:w="384" w:type="pct"/>
            <w:tcBorders>
              <w:top w:val="nil"/>
              <w:left w:val="single" w:sz="4" w:space="0" w:color="auto"/>
              <w:bottom w:val="single" w:sz="4" w:space="0" w:color="auto"/>
              <w:right w:val="single" w:sz="4" w:space="0" w:color="auto"/>
            </w:tcBorders>
            <w:shd w:val="clear" w:color="000000" w:fill="FCDADD"/>
            <w:noWrap/>
            <w:vAlign w:val="bottom"/>
            <w:hideMark/>
          </w:tcPr>
          <w:p w:rsidR="007A1AB1" w:rsidRPr="007A1AB1" w:rsidRDefault="007A1AB1" w:rsidP="007A1AB1">
            <w:pPr>
              <w:spacing w:before="0"/>
              <w:jc w:val="right"/>
              <w:rPr>
                <w:sz w:val="18"/>
                <w:szCs w:val="18"/>
              </w:rPr>
            </w:pPr>
            <w:r w:rsidRPr="007A1AB1">
              <w:rPr>
                <w:sz w:val="18"/>
                <w:szCs w:val="18"/>
              </w:rPr>
              <w:t>19,4 %</w:t>
            </w:r>
          </w:p>
        </w:tc>
        <w:tc>
          <w:tcPr>
            <w:tcW w:w="404" w:type="pct"/>
            <w:tcBorders>
              <w:top w:val="nil"/>
              <w:left w:val="single" w:sz="4" w:space="0" w:color="auto"/>
              <w:bottom w:val="single" w:sz="4" w:space="0" w:color="auto"/>
              <w:right w:val="single" w:sz="4" w:space="0" w:color="auto"/>
            </w:tcBorders>
            <w:shd w:val="clear" w:color="000000" w:fill="95D2A6"/>
            <w:noWrap/>
            <w:vAlign w:val="bottom"/>
            <w:hideMark/>
          </w:tcPr>
          <w:p w:rsidR="007A1AB1" w:rsidRPr="007A1AB1" w:rsidRDefault="007A1AB1" w:rsidP="007A1AB1">
            <w:pPr>
              <w:spacing w:before="0"/>
              <w:jc w:val="right"/>
              <w:rPr>
                <w:sz w:val="18"/>
                <w:szCs w:val="18"/>
              </w:rPr>
            </w:pPr>
            <w:r w:rsidRPr="007A1AB1">
              <w:rPr>
                <w:sz w:val="18"/>
                <w:szCs w:val="18"/>
              </w:rPr>
              <w:t>1,2 %</w:t>
            </w:r>
          </w:p>
        </w:tc>
        <w:tc>
          <w:tcPr>
            <w:tcW w:w="398" w:type="pct"/>
            <w:tcBorders>
              <w:top w:val="nil"/>
              <w:left w:val="single" w:sz="4" w:space="0" w:color="auto"/>
              <w:bottom w:val="single" w:sz="4" w:space="0" w:color="auto"/>
              <w:right w:val="single" w:sz="4" w:space="0" w:color="auto"/>
            </w:tcBorders>
            <w:shd w:val="clear" w:color="000000" w:fill="F7FAFB"/>
            <w:noWrap/>
            <w:vAlign w:val="bottom"/>
            <w:hideMark/>
          </w:tcPr>
          <w:p w:rsidR="007A1AB1" w:rsidRPr="007A1AB1" w:rsidRDefault="007A1AB1" w:rsidP="007A1AB1">
            <w:pPr>
              <w:spacing w:before="0"/>
              <w:jc w:val="right"/>
              <w:rPr>
                <w:sz w:val="18"/>
                <w:szCs w:val="18"/>
              </w:rPr>
            </w:pPr>
            <w:r w:rsidRPr="007A1AB1">
              <w:rPr>
                <w:sz w:val="18"/>
                <w:szCs w:val="18"/>
              </w:rPr>
              <w:t>-0,6 %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Přerov</w:t>
            </w:r>
          </w:p>
        </w:tc>
        <w:tc>
          <w:tcPr>
            <w:tcW w:w="466" w:type="pct"/>
            <w:tcBorders>
              <w:top w:val="nil"/>
              <w:left w:val="single" w:sz="4" w:space="0" w:color="auto"/>
              <w:bottom w:val="single" w:sz="4" w:space="0" w:color="auto"/>
              <w:right w:val="single" w:sz="4" w:space="0" w:color="auto"/>
            </w:tcBorders>
            <w:shd w:val="clear" w:color="000000" w:fill="FBCFD2"/>
            <w:vAlign w:val="center"/>
            <w:hideMark/>
          </w:tcPr>
          <w:p w:rsidR="007A1AB1" w:rsidRPr="007A1AB1" w:rsidRDefault="007A1AB1" w:rsidP="007A1AB1">
            <w:pPr>
              <w:spacing w:before="0"/>
              <w:jc w:val="right"/>
              <w:rPr>
                <w:sz w:val="18"/>
                <w:szCs w:val="18"/>
              </w:rPr>
            </w:pPr>
            <w:r w:rsidRPr="007A1AB1">
              <w:rPr>
                <w:sz w:val="18"/>
                <w:szCs w:val="18"/>
              </w:rPr>
              <w:t>14 860</w:t>
            </w:r>
          </w:p>
        </w:tc>
        <w:tc>
          <w:tcPr>
            <w:tcW w:w="469" w:type="pct"/>
            <w:tcBorders>
              <w:top w:val="nil"/>
              <w:left w:val="single" w:sz="4" w:space="0" w:color="auto"/>
              <w:bottom w:val="single" w:sz="4" w:space="0" w:color="auto"/>
              <w:right w:val="single" w:sz="4" w:space="0" w:color="auto"/>
            </w:tcBorders>
            <w:shd w:val="clear" w:color="000000" w:fill="FBD1D4"/>
            <w:vAlign w:val="center"/>
            <w:hideMark/>
          </w:tcPr>
          <w:p w:rsidR="007A1AB1" w:rsidRPr="007A1AB1" w:rsidRDefault="007A1AB1" w:rsidP="007A1AB1">
            <w:pPr>
              <w:spacing w:before="0"/>
              <w:jc w:val="right"/>
              <w:rPr>
                <w:sz w:val="18"/>
                <w:szCs w:val="18"/>
              </w:rPr>
            </w:pPr>
            <w:r w:rsidRPr="007A1AB1">
              <w:rPr>
                <w:sz w:val="18"/>
                <w:szCs w:val="18"/>
              </w:rPr>
              <w:t>14 409</w:t>
            </w:r>
          </w:p>
        </w:tc>
        <w:tc>
          <w:tcPr>
            <w:tcW w:w="470" w:type="pct"/>
            <w:tcBorders>
              <w:top w:val="nil"/>
              <w:left w:val="single" w:sz="4" w:space="0" w:color="auto"/>
              <w:bottom w:val="single" w:sz="4" w:space="0" w:color="auto"/>
              <w:right w:val="single" w:sz="4" w:space="0" w:color="auto"/>
            </w:tcBorders>
            <w:shd w:val="clear" w:color="000000" w:fill="FBD4D7"/>
            <w:vAlign w:val="center"/>
            <w:hideMark/>
          </w:tcPr>
          <w:p w:rsidR="007A1AB1" w:rsidRPr="007A1AB1" w:rsidRDefault="007A1AB1" w:rsidP="007A1AB1">
            <w:pPr>
              <w:spacing w:before="0"/>
              <w:jc w:val="right"/>
              <w:rPr>
                <w:sz w:val="18"/>
                <w:szCs w:val="18"/>
              </w:rPr>
            </w:pPr>
            <w:r w:rsidRPr="007A1AB1">
              <w:rPr>
                <w:sz w:val="18"/>
                <w:szCs w:val="18"/>
              </w:rPr>
              <w:t>13 922</w:t>
            </w:r>
          </w:p>
        </w:tc>
        <w:tc>
          <w:tcPr>
            <w:tcW w:w="508" w:type="pct"/>
            <w:tcBorders>
              <w:top w:val="nil"/>
              <w:left w:val="single" w:sz="4" w:space="0" w:color="auto"/>
              <w:bottom w:val="single" w:sz="4" w:space="0" w:color="auto"/>
              <w:right w:val="single" w:sz="4" w:space="0" w:color="auto"/>
            </w:tcBorders>
            <w:shd w:val="clear" w:color="000000" w:fill="ADDCBB"/>
            <w:noWrap/>
            <w:vAlign w:val="center"/>
            <w:hideMark/>
          </w:tcPr>
          <w:p w:rsidR="007A1AB1" w:rsidRPr="007A1AB1" w:rsidRDefault="007A1AB1" w:rsidP="007A1AB1">
            <w:pPr>
              <w:spacing w:before="0"/>
              <w:jc w:val="right"/>
              <w:rPr>
                <w:sz w:val="18"/>
                <w:szCs w:val="18"/>
              </w:rPr>
            </w:pPr>
            <w:r w:rsidRPr="007A1AB1">
              <w:rPr>
                <w:sz w:val="18"/>
                <w:szCs w:val="18"/>
              </w:rPr>
              <w:t>-451</w:t>
            </w:r>
          </w:p>
        </w:tc>
        <w:tc>
          <w:tcPr>
            <w:tcW w:w="511" w:type="pct"/>
            <w:tcBorders>
              <w:top w:val="nil"/>
              <w:left w:val="single" w:sz="4" w:space="0" w:color="auto"/>
              <w:bottom w:val="single" w:sz="4" w:space="0" w:color="auto"/>
              <w:right w:val="single" w:sz="4" w:space="0" w:color="auto"/>
            </w:tcBorders>
            <w:shd w:val="clear" w:color="000000" w:fill="AEDCBB"/>
            <w:noWrap/>
            <w:vAlign w:val="center"/>
            <w:hideMark/>
          </w:tcPr>
          <w:p w:rsidR="007A1AB1" w:rsidRPr="007A1AB1" w:rsidRDefault="007A1AB1" w:rsidP="007A1AB1">
            <w:pPr>
              <w:spacing w:before="0"/>
              <w:jc w:val="right"/>
              <w:rPr>
                <w:sz w:val="18"/>
                <w:szCs w:val="18"/>
              </w:rPr>
            </w:pPr>
            <w:r w:rsidRPr="007A1AB1">
              <w:rPr>
                <w:sz w:val="18"/>
                <w:szCs w:val="18"/>
              </w:rPr>
              <w:t>-487</w:t>
            </w:r>
          </w:p>
        </w:tc>
        <w:tc>
          <w:tcPr>
            <w:tcW w:w="384" w:type="pct"/>
            <w:tcBorders>
              <w:top w:val="nil"/>
              <w:left w:val="single" w:sz="4" w:space="0" w:color="auto"/>
              <w:bottom w:val="single" w:sz="4" w:space="0" w:color="auto"/>
              <w:right w:val="single" w:sz="4" w:space="0" w:color="auto"/>
            </w:tcBorders>
            <w:shd w:val="clear" w:color="000000" w:fill="729ACE"/>
            <w:noWrap/>
            <w:vAlign w:val="bottom"/>
            <w:hideMark/>
          </w:tcPr>
          <w:p w:rsidR="007A1AB1" w:rsidRPr="007A1AB1" w:rsidRDefault="007A1AB1" w:rsidP="007A1AB1">
            <w:pPr>
              <w:spacing w:before="0"/>
              <w:jc w:val="right"/>
              <w:rPr>
                <w:sz w:val="18"/>
                <w:szCs w:val="18"/>
              </w:rPr>
            </w:pPr>
            <w:r w:rsidRPr="007A1AB1">
              <w:rPr>
                <w:sz w:val="18"/>
                <w:szCs w:val="18"/>
              </w:rPr>
              <w:t>17,9 %</w:t>
            </w:r>
          </w:p>
        </w:tc>
        <w:tc>
          <w:tcPr>
            <w:tcW w:w="384" w:type="pct"/>
            <w:tcBorders>
              <w:top w:val="nil"/>
              <w:left w:val="single" w:sz="4" w:space="0" w:color="auto"/>
              <w:bottom w:val="single" w:sz="4" w:space="0" w:color="auto"/>
              <w:right w:val="single" w:sz="4" w:space="0" w:color="auto"/>
            </w:tcBorders>
            <w:shd w:val="clear" w:color="000000" w:fill="B6CBE6"/>
            <w:noWrap/>
            <w:vAlign w:val="bottom"/>
            <w:hideMark/>
          </w:tcPr>
          <w:p w:rsidR="007A1AB1" w:rsidRPr="007A1AB1" w:rsidRDefault="007A1AB1" w:rsidP="007A1AB1">
            <w:pPr>
              <w:spacing w:before="0"/>
              <w:jc w:val="right"/>
              <w:rPr>
                <w:sz w:val="18"/>
                <w:szCs w:val="18"/>
              </w:rPr>
            </w:pPr>
            <w:r w:rsidRPr="007A1AB1">
              <w:rPr>
                <w:sz w:val="18"/>
                <w:szCs w:val="18"/>
              </w:rPr>
              <w:t>18,5 %</w:t>
            </w:r>
          </w:p>
        </w:tc>
        <w:tc>
          <w:tcPr>
            <w:tcW w:w="384" w:type="pct"/>
            <w:tcBorders>
              <w:top w:val="nil"/>
              <w:left w:val="single" w:sz="4" w:space="0" w:color="auto"/>
              <w:bottom w:val="single" w:sz="4" w:space="0" w:color="auto"/>
              <w:right w:val="single" w:sz="4" w:space="0" w:color="auto"/>
            </w:tcBorders>
            <w:shd w:val="clear" w:color="000000" w:fill="B4C9E5"/>
            <w:noWrap/>
            <w:vAlign w:val="bottom"/>
            <w:hideMark/>
          </w:tcPr>
          <w:p w:rsidR="007A1AB1" w:rsidRPr="007A1AB1" w:rsidRDefault="007A1AB1" w:rsidP="007A1AB1">
            <w:pPr>
              <w:spacing w:before="0"/>
              <w:jc w:val="right"/>
              <w:rPr>
                <w:sz w:val="18"/>
                <w:szCs w:val="18"/>
              </w:rPr>
            </w:pPr>
            <w:r w:rsidRPr="007A1AB1">
              <w:rPr>
                <w:sz w:val="18"/>
                <w:szCs w:val="18"/>
              </w:rPr>
              <w:t>18,4 %</w:t>
            </w:r>
          </w:p>
        </w:tc>
        <w:tc>
          <w:tcPr>
            <w:tcW w:w="404" w:type="pct"/>
            <w:tcBorders>
              <w:top w:val="nil"/>
              <w:left w:val="single" w:sz="4" w:space="0" w:color="auto"/>
              <w:bottom w:val="single" w:sz="4" w:space="0" w:color="auto"/>
              <w:right w:val="single" w:sz="4" w:space="0" w:color="auto"/>
            </w:tcBorders>
            <w:shd w:val="clear" w:color="000000" w:fill="B9E1C5"/>
            <w:noWrap/>
            <w:vAlign w:val="bottom"/>
            <w:hideMark/>
          </w:tcPr>
          <w:p w:rsidR="007A1AB1" w:rsidRPr="007A1AB1" w:rsidRDefault="007A1AB1" w:rsidP="007A1AB1">
            <w:pPr>
              <w:spacing w:before="0"/>
              <w:jc w:val="right"/>
              <w:rPr>
                <w:sz w:val="18"/>
                <w:szCs w:val="18"/>
              </w:rPr>
            </w:pPr>
            <w:r w:rsidRPr="007A1AB1">
              <w:rPr>
                <w:sz w:val="18"/>
                <w:szCs w:val="18"/>
              </w:rPr>
              <w:t>0,5 %</w:t>
            </w:r>
          </w:p>
        </w:tc>
        <w:tc>
          <w:tcPr>
            <w:tcW w:w="398" w:type="pct"/>
            <w:tcBorders>
              <w:top w:val="nil"/>
              <w:left w:val="single" w:sz="4" w:space="0" w:color="auto"/>
              <w:bottom w:val="single" w:sz="4" w:space="0" w:color="auto"/>
              <w:right w:val="single" w:sz="4" w:space="0" w:color="auto"/>
            </w:tcBorders>
            <w:shd w:val="clear" w:color="000000" w:fill="D6EDDE"/>
            <w:noWrap/>
            <w:vAlign w:val="bottom"/>
            <w:hideMark/>
          </w:tcPr>
          <w:p w:rsidR="007A1AB1" w:rsidRPr="007A1AB1" w:rsidRDefault="007A1AB1" w:rsidP="007A1AB1">
            <w:pPr>
              <w:spacing w:before="0"/>
              <w:jc w:val="right"/>
              <w:rPr>
                <w:sz w:val="18"/>
                <w:szCs w:val="18"/>
              </w:rPr>
            </w:pPr>
            <w:r w:rsidRPr="007A1AB1">
              <w:rPr>
                <w:sz w:val="18"/>
                <w:szCs w:val="18"/>
              </w:rPr>
              <w:t>0,0 %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Šternberk</w:t>
            </w:r>
          </w:p>
        </w:tc>
        <w:tc>
          <w:tcPr>
            <w:tcW w:w="466" w:type="pct"/>
            <w:tcBorders>
              <w:top w:val="nil"/>
              <w:left w:val="single" w:sz="4" w:space="0" w:color="auto"/>
              <w:bottom w:val="single" w:sz="4" w:space="0" w:color="auto"/>
              <w:right w:val="single" w:sz="4" w:space="0" w:color="auto"/>
            </w:tcBorders>
            <w:shd w:val="clear" w:color="000000" w:fill="BACDE7"/>
            <w:vAlign w:val="center"/>
            <w:hideMark/>
          </w:tcPr>
          <w:p w:rsidR="007A1AB1" w:rsidRPr="007A1AB1" w:rsidRDefault="007A1AB1" w:rsidP="007A1AB1">
            <w:pPr>
              <w:spacing w:before="0"/>
              <w:jc w:val="right"/>
              <w:rPr>
                <w:sz w:val="18"/>
                <w:szCs w:val="18"/>
              </w:rPr>
            </w:pPr>
            <w:r w:rsidRPr="007A1AB1">
              <w:rPr>
                <w:sz w:val="18"/>
                <w:szCs w:val="18"/>
              </w:rPr>
              <w:t>4 489</w:t>
            </w:r>
          </w:p>
        </w:tc>
        <w:tc>
          <w:tcPr>
            <w:tcW w:w="469" w:type="pct"/>
            <w:tcBorders>
              <w:top w:val="nil"/>
              <w:left w:val="single" w:sz="4" w:space="0" w:color="auto"/>
              <w:bottom w:val="single" w:sz="4" w:space="0" w:color="auto"/>
              <w:right w:val="single" w:sz="4" w:space="0" w:color="auto"/>
            </w:tcBorders>
            <w:shd w:val="clear" w:color="000000" w:fill="C5D5EB"/>
            <w:vAlign w:val="center"/>
            <w:hideMark/>
          </w:tcPr>
          <w:p w:rsidR="007A1AB1" w:rsidRPr="007A1AB1" w:rsidRDefault="007A1AB1" w:rsidP="007A1AB1">
            <w:pPr>
              <w:spacing w:before="0"/>
              <w:jc w:val="right"/>
              <w:rPr>
                <w:sz w:val="18"/>
                <w:szCs w:val="18"/>
              </w:rPr>
            </w:pPr>
            <w:r w:rsidRPr="007A1AB1">
              <w:rPr>
                <w:sz w:val="18"/>
                <w:szCs w:val="18"/>
              </w:rPr>
              <w:t>4 795</w:t>
            </w:r>
          </w:p>
        </w:tc>
        <w:tc>
          <w:tcPr>
            <w:tcW w:w="470" w:type="pct"/>
            <w:tcBorders>
              <w:top w:val="nil"/>
              <w:left w:val="single" w:sz="4" w:space="0" w:color="auto"/>
              <w:bottom w:val="single" w:sz="4" w:space="0" w:color="auto"/>
              <w:right w:val="single" w:sz="4" w:space="0" w:color="auto"/>
            </w:tcBorders>
            <w:shd w:val="clear" w:color="000000" w:fill="BCCFE8"/>
            <w:vAlign w:val="center"/>
            <w:hideMark/>
          </w:tcPr>
          <w:p w:rsidR="007A1AB1" w:rsidRPr="007A1AB1" w:rsidRDefault="007A1AB1" w:rsidP="007A1AB1">
            <w:pPr>
              <w:spacing w:before="0"/>
              <w:jc w:val="right"/>
              <w:rPr>
                <w:sz w:val="18"/>
                <w:szCs w:val="18"/>
              </w:rPr>
            </w:pPr>
            <w:r w:rsidRPr="007A1AB1">
              <w:rPr>
                <w:sz w:val="18"/>
                <w:szCs w:val="18"/>
              </w:rPr>
              <w:t>4 552</w:t>
            </w:r>
          </w:p>
        </w:tc>
        <w:tc>
          <w:tcPr>
            <w:tcW w:w="508" w:type="pct"/>
            <w:tcBorders>
              <w:top w:val="nil"/>
              <w:left w:val="single" w:sz="4" w:space="0" w:color="auto"/>
              <w:bottom w:val="single" w:sz="4" w:space="0" w:color="auto"/>
              <w:right w:val="single" w:sz="4" w:space="0" w:color="auto"/>
            </w:tcBorders>
            <w:shd w:val="clear" w:color="000000" w:fill="A0D7B0"/>
            <w:noWrap/>
            <w:vAlign w:val="center"/>
            <w:hideMark/>
          </w:tcPr>
          <w:p w:rsidR="007A1AB1" w:rsidRPr="007A1AB1" w:rsidRDefault="007A1AB1" w:rsidP="007A1AB1">
            <w:pPr>
              <w:spacing w:before="0"/>
              <w:jc w:val="right"/>
              <w:rPr>
                <w:sz w:val="18"/>
                <w:szCs w:val="18"/>
              </w:rPr>
            </w:pPr>
            <w:r w:rsidRPr="007A1AB1">
              <w:rPr>
                <w:sz w:val="18"/>
                <w:szCs w:val="18"/>
              </w:rPr>
              <w:t>306</w:t>
            </w:r>
          </w:p>
        </w:tc>
        <w:tc>
          <w:tcPr>
            <w:tcW w:w="511" w:type="pct"/>
            <w:tcBorders>
              <w:top w:val="nil"/>
              <w:left w:val="single" w:sz="4" w:space="0" w:color="auto"/>
              <w:bottom w:val="single" w:sz="4" w:space="0" w:color="auto"/>
              <w:right w:val="single" w:sz="4" w:space="0" w:color="auto"/>
            </w:tcBorders>
            <w:shd w:val="clear" w:color="000000" w:fill="AADBB8"/>
            <w:noWrap/>
            <w:vAlign w:val="center"/>
            <w:hideMark/>
          </w:tcPr>
          <w:p w:rsidR="007A1AB1" w:rsidRPr="007A1AB1" w:rsidRDefault="007A1AB1" w:rsidP="007A1AB1">
            <w:pPr>
              <w:spacing w:before="0"/>
              <w:jc w:val="right"/>
              <w:rPr>
                <w:sz w:val="18"/>
                <w:szCs w:val="18"/>
              </w:rPr>
            </w:pPr>
            <w:r w:rsidRPr="007A1AB1">
              <w:rPr>
                <w:sz w:val="18"/>
                <w:szCs w:val="18"/>
              </w:rPr>
              <w:t>-243</w:t>
            </w:r>
          </w:p>
        </w:tc>
        <w:tc>
          <w:tcPr>
            <w:tcW w:w="384" w:type="pct"/>
            <w:tcBorders>
              <w:top w:val="nil"/>
              <w:left w:val="single" w:sz="4" w:space="0" w:color="auto"/>
              <w:bottom w:val="single" w:sz="4" w:space="0" w:color="auto"/>
              <w:right w:val="single" w:sz="4" w:space="0" w:color="auto"/>
            </w:tcBorders>
            <w:shd w:val="clear" w:color="000000" w:fill="F2F5FB"/>
            <w:noWrap/>
            <w:vAlign w:val="bottom"/>
            <w:hideMark/>
          </w:tcPr>
          <w:p w:rsidR="007A1AB1" w:rsidRPr="007A1AB1" w:rsidRDefault="007A1AB1" w:rsidP="007A1AB1">
            <w:pPr>
              <w:spacing w:before="0"/>
              <w:jc w:val="right"/>
              <w:rPr>
                <w:sz w:val="18"/>
                <w:szCs w:val="18"/>
              </w:rPr>
            </w:pPr>
            <w:r w:rsidRPr="007A1AB1">
              <w:rPr>
                <w:sz w:val="18"/>
                <w:szCs w:val="18"/>
              </w:rPr>
              <w:t>18,9 %</w:t>
            </w:r>
          </w:p>
        </w:tc>
        <w:tc>
          <w:tcPr>
            <w:tcW w:w="384" w:type="pct"/>
            <w:tcBorders>
              <w:top w:val="nil"/>
              <w:left w:val="single" w:sz="4" w:space="0" w:color="auto"/>
              <w:bottom w:val="single" w:sz="4" w:space="0" w:color="auto"/>
              <w:right w:val="single" w:sz="4" w:space="0" w:color="auto"/>
            </w:tcBorders>
            <w:shd w:val="clear" w:color="000000" w:fill="FA9B9D"/>
            <w:noWrap/>
            <w:vAlign w:val="bottom"/>
            <w:hideMark/>
          </w:tcPr>
          <w:p w:rsidR="007A1AB1" w:rsidRPr="007A1AB1" w:rsidRDefault="007A1AB1" w:rsidP="007A1AB1">
            <w:pPr>
              <w:spacing w:before="0"/>
              <w:jc w:val="right"/>
              <w:rPr>
                <w:sz w:val="18"/>
                <w:szCs w:val="18"/>
              </w:rPr>
            </w:pPr>
            <w:r w:rsidRPr="007A1AB1">
              <w:rPr>
                <w:sz w:val="18"/>
                <w:szCs w:val="18"/>
              </w:rPr>
              <w:t>20,1 %</w:t>
            </w:r>
          </w:p>
        </w:tc>
        <w:tc>
          <w:tcPr>
            <w:tcW w:w="384" w:type="pct"/>
            <w:tcBorders>
              <w:top w:val="nil"/>
              <w:left w:val="single" w:sz="4" w:space="0" w:color="auto"/>
              <w:bottom w:val="single" w:sz="4" w:space="0" w:color="auto"/>
              <w:right w:val="single" w:sz="4" w:space="0" w:color="auto"/>
            </w:tcBorders>
            <w:shd w:val="clear" w:color="000000" w:fill="FBD6D9"/>
            <w:noWrap/>
            <w:vAlign w:val="bottom"/>
            <w:hideMark/>
          </w:tcPr>
          <w:p w:rsidR="007A1AB1" w:rsidRPr="007A1AB1" w:rsidRDefault="007A1AB1" w:rsidP="007A1AB1">
            <w:pPr>
              <w:spacing w:before="0"/>
              <w:jc w:val="right"/>
              <w:rPr>
                <w:sz w:val="18"/>
                <w:szCs w:val="18"/>
              </w:rPr>
            </w:pPr>
            <w:r w:rsidRPr="007A1AB1">
              <w:rPr>
                <w:sz w:val="18"/>
                <w:szCs w:val="18"/>
              </w:rPr>
              <w:t>19,5 %</w:t>
            </w:r>
          </w:p>
        </w:tc>
        <w:tc>
          <w:tcPr>
            <w:tcW w:w="404" w:type="pct"/>
            <w:tcBorders>
              <w:top w:val="nil"/>
              <w:left w:val="single" w:sz="4" w:space="0" w:color="auto"/>
              <w:bottom w:val="single" w:sz="4" w:space="0" w:color="auto"/>
              <w:right w:val="single" w:sz="4" w:space="0" w:color="auto"/>
            </w:tcBorders>
            <w:shd w:val="clear" w:color="000000" w:fill="97D3A8"/>
            <w:noWrap/>
            <w:vAlign w:val="bottom"/>
            <w:hideMark/>
          </w:tcPr>
          <w:p w:rsidR="007A1AB1" w:rsidRPr="007A1AB1" w:rsidRDefault="007A1AB1" w:rsidP="007A1AB1">
            <w:pPr>
              <w:spacing w:before="0"/>
              <w:jc w:val="right"/>
              <w:rPr>
                <w:sz w:val="18"/>
                <w:szCs w:val="18"/>
              </w:rPr>
            </w:pPr>
            <w:r w:rsidRPr="007A1AB1">
              <w:rPr>
                <w:sz w:val="18"/>
                <w:szCs w:val="18"/>
              </w:rPr>
              <w:t>1,2 %</w:t>
            </w:r>
          </w:p>
        </w:tc>
        <w:tc>
          <w:tcPr>
            <w:tcW w:w="398" w:type="pct"/>
            <w:tcBorders>
              <w:top w:val="nil"/>
              <w:left w:val="single" w:sz="4" w:space="0" w:color="auto"/>
              <w:bottom w:val="single" w:sz="4" w:space="0" w:color="auto"/>
              <w:right w:val="single" w:sz="4" w:space="0" w:color="auto"/>
            </w:tcBorders>
            <w:shd w:val="clear" w:color="000000" w:fill="F9FBFD"/>
            <w:noWrap/>
            <w:vAlign w:val="bottom"/>
            <w:hideMark/>
          </w:tcPr>
          <w:p w:rsidR="007A1AB1" w:rsidRPr="007A1AB1" w:rsidRDefault="007A1AB1" w:rsidP="007A1AB1">
            <w:pPr>
              <w:spacing w:before="0"/>
              <w:jc w:val="right"/>
              <w:rPr>
                <w:sz w:val="18"/>
                <w:szCs w:val="18"/>
              </w:rPr>
            </w:pPr>
            <w:r w:rsidRPr="007A1AB1">
              <w:rPr>
                <w:sz w:val="18"/>
                <w:szCs w:val="18"/>
              </w:rPr>
              <w:t>-0,7 %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Šumperk</w:t>
            </w:r>
          </w:p>
        </w:tc>
        <w:tc>
          <w:tcPr>
            <w:tcW w:w="466" w:type="pct"/>
            <w:tcBorders>
              <w:top w:val="nil"/>
              <w:left w:val="single" w:sz="4" w:space="0" w:color="auto"/>
              <w:bottom w:val="single" w:sz="4" w:space="0" w:color="auto"/>
              <w:right w:val="single" w:sz="4" w:space="0" w:color="auto"/>
            </w:tcBorders>
            <w:shd w:val="clear" w:color="000000" w:fill="FBD7DA"/>
            <w:vAlign w:val="center"/>
            <w:hideMark/>
          </w:tcPr>
          <w:p w:rsidR="007A1AB1" w:rsidRPr="007A1AB1" w:rsidRDefault="007A1AB1" w:rsidP="007A1AB1">
            <w:pPr>
              <w:spacing w:before="0"/>
              <w:jc w:val="right"/>
              <w:rPr>
                <w:sz w:val="18"/>
                <w:szCs w:val="18"/>
              </w:rPr>
            </w:pPr>
            <w:r w:rsidRPr="007A1AB1">
              <w:rPr>
                <w:sz w:val="18"/>
                <w:szCs w:val="18"/>
              </w:rPr>
              <w:t>13 356</w:t>
            </w:r>
          </w:p>
        </w:tc>
        <w:tc>
          <w:tcPr>
            <w:tcW w:w="469" w:type="pct"/>
            <w:tcBorders>
              <w:top w:val="nil"/>
              <w:left w:val="single" w:sz="4" w:space="0" w:color="auto"/>
              <w:bottom w:val="single" w:sz="4" w:space="0" w:color="auto"/>
              <w:right w:val="single" w:sz="4" w:space="0" w:color="auto"/>
            </w:tcBorders>
            <w:shd w:val="clear" w:color="000000" w:fill="FCD9DC"/>
            <w:vAlign w:val="center"/>
            <w:hideMark/>
          </w:tcPr>
          <w:p w:rsidR="007A1AB1" w:rsidRPr="007A1AB1" w:rsidRDefault="007A1AB1" w:rsidP="007A1AB1">
            <w:pPr>
              <w:spacing w:before="0"/>
              <w:jc w:val="right"/>
              <w:rPr>
                <w:sz w:val="18"/>
                <w:szCs w:val="18"/>
              </w:rPr>
            </w:pPr>
            <w:r w:rsidRPr="007A1AB1">
              <w:rPr>
                <w:sz w:val="18"/>
                <w:szCs w:val="18"/>
              </w:rPr>
              <w:t>12 906</w:t>
            </w:r>
          </w:p>
        </w:tc>
        <w:tc>
          <w:tcPr>
            <w:tcW w:w="470" w:type="pct"/>
            <w:tcBorders>
              <w:top w:val="nil"/>
              <w:left w:val="single" w:sz="4" w:space="0" w:color="auto"/>
              <w:bottom w:val="single" w:sz="4" w:space="0" w:color="auto"/>
              <w:right w:val="single" w:sz="4" w:space="0" w:color="auto"/>
            </w:tcBorders>
            <w:shd w:val="clear" w:color="000000" w:fill="FCDEE1"/>
            <w:vAlign w:val="center"/>
            <w:hideMark/>
          </w:tcPr>
          <w:p w:rsidR="007A1AB1" w:rsidRPr="007A1AB1" w:rsidRDefault="007A1AB1" w:rsidP="007A1AB1">
            <w:pPr>
              <w:spacing w:before="0"/>
              <w:jc w:val="right"/>
              <w:rPr>
                <w:sz w:val="18"/>
                <w:szCs w:val="18"/>
              </w:rPr>
            </w:pPr>
            <w:r w:rsidRPr="007A1AB1">
              <w:rPr>
                <w:sz w:val="18"/>
                <w:szCs w:val="18"/>
              </w:rPr>
              <w:t>12 044</w:t>
            </w:r>
          </w:p>
        </w:tc>
        <w:tc>
          <w:tcPr>
            <w:tcW w:w="508" w:type="pct"/>
            <w:tcBorders>
              <w:top w:val="nil"/>
              <w:left w:val="single" w:sz="4" w:space="0" w:color="auto"/>
              <w:bottom w:val="single" w:sz="4" w:space="0" w:color="auto"/>
              <w:right w:val="single" w:sz="4" w:space="0" w:color="auto"/>
            </w:tcBorders>
            <w:shd w:val="clear" w:color="000000" w:fill="ADDCBB"/>
            <w:noWrap/>
            <w:vAlign w:val="center"/>
            <w:hideMark/>
          </w:tcPr>
          <w:p w:rsidR="007A1AB1" w:rsidRPr="007A1AB1" w:rsidRDefault="007A1AB1" w:rsidP="007A1AB1">
            <w:pPr>
              <w:spacing w:before="0"/>
              <w:jc w:val="right"/>
              <w:rPr>
                <w:sz w:val="18"/>
                <w:szCs w:val="18"/>
              </w:rPr>
            </w:pPr>
            <w:r w:rsidRPr="007A1AB1">
              <w:rPr>
                <w:sz w:val="18"/>
                <w:szCs w:val="18"/>
              </w:rPr>
              <w:t>-450</w:t>
            </w:r>
          </w:p>
        </w:tc>
        <w:tc>
          <w:tcPr>
            <w:tcW w:w="511" w:type="pct"/>
            <w:tcBorders>
              <w:top w:val="nil"/>
              <w:left w:val="single" w:sz="4" w:space="0" w:color="auto"/>
              <w:bottom w:val="single" w:sz="4" w:space="0" w:color="auto"/>
              <w:right w:val="single" w:sz="4" w:space="0" w:color="auto"/>
            </w:tcBorders>
            <w:shd w:val="clear" w:color="000000" w:fill="B4DFC1"/>
            <w:noWrap/>
            <w:vAlign w:val="center"/>
            <w:hideMark/>
          </w:tcPr>
          <w:p w:rsidR="007A1AB1" w:rsidRPr="007A1AB1" w:rsidRDefault="007A1AB1" w:rsidP="007A1AB1">
            <w:pPr>
              <w:spacing w:before="0"/>
              <w:jc w:val="right"/>
              <w:rPr>
                <w:sz w:val="18"/>
                <w:szCs w:val="18"/>
              </w:rPr>
            </w:pPr>
            <w:r w:rsidRPr="007A1AB1">
              <w:rPr>
                <w:sz w:val="18"/>
                <w:szCs w:val="18"/>
              </w:rPr>
              <w:t>-862</w:t>
            </w:r>
          </w:p>
        </w:tc>
        <w:tc>
          <w:tcPr>
            <w:tcW w:w="384" w:type="pct"/>
            <w:tcBorders>
              <w:top w:val="nil"/>
              <w:left w:val="single" w:sz="4" w:space="0" w:color="auto"/>
              <w:bottom w:val="single" w:sz="4" w:space="0" w:color="auto"/>
              <w:right w:val="single" w:sz="4" w:space="0" w:color="auto"/>
            </w:tcBorders>
            <w:shd w:val="clear" w:color="000000" w:fill="DFE7F4"/>
            <w:noWrap/>
            <w:vAlign w:val="bottom"/>
            <w:hideMark/>
          </w:tcPr>
          <w:p w:rsidR="007A1AB1" w:rsidRPr="007A1AB1" w:rsidRDefault="007A1AB1" w:rsidP="007A1AB1">
            <w:pPr>
              <w:spacing w:before="0"/>
              <w:jc w:val="right"/>
              <w:rPr>
                <w:sz w:val="18"/>
                <w:szCs w:val="18"/>
              </w:rPr>
            </w:pPr>
            <w:r w:rsidRPr="007A1AB1">
              <w:rPr>
                <w:sz w:val="18"/>
                <w:szCs w:val="18"/>
              </w:rPr>
              <w:t>18,8 %</w:t>
            </w:r>
          </w:p>
        </w:tc>
        <w:tc>
          <w:tcPr>
            <w:tcW w:w="384" w:type="pct"/>
            <w:tcBorders>
              <w:top w:val="nil"/>
              <w:left w:val="single" w:sz="4" w:space="0" w:color="auto"/>
              <w:bottom w:val="single" w:sz="4" w:space="0" w:color="auto"/>
              <w:right w:val="single" w:sz="4" w:space="0" w:color="auto"/>
            </w:tcBorders>
            <w:shd w:val="clear" w:color="000000" w:fill="FCF1F4"/>
            <w:noWrap/>
            <w:vAlign w:val="bottom"/>
            <w:hideMark/>
          </w:tcPr>
          <w:p w:rsidR="007A1AB1" w:rsidRPr="007A1AB1" w:rsidRDefault="007A1AB1" w:rsidP="007A1AB1">
            <w:pPr>
              <w:spacing w:before="0"/>
              <w:jc w:val="right"/>
              <w:rPr>
                <w:sz w:val="18"/>
                <w:szCs w:val="18"/>
              </w:rPr>
            </w:pPr>
            <w:r w:rsidRPr="007A1AB1">
              <w:rPr>
                <w:sz w:val="18"/>
                <w:szCs w:val="18"/>
              </w:rPr>
              <w:t>19,1 %</w:t>
            </w:r>
          </w:p>
        </w:tc>
        <w:tc>
          <w:tcPr>
            <w:tcW w:w="384" w:type="pct"/>
            <w:tcBorders>
              <w:top w:val="nil"/>
              <w:left w:val="single" w:sz="4" w:space="0" w:color="auto"/>
              <w:bottom w:val="single" w:sz="4" w:space="0" w:color="auto"/>
              <w:right w:val="single" w:sz="4" w:space="0" w:color="auto"/>
            </w:tcBorders>
            <w:shd w:val="clear" w:color="000000" w:fill="B1C7E4"/>
            <w:noWrap/>
            <w:vAlign w:val="bottom"/>
            <w:hideMark/>
          </w:tcPr>
          <w:p w:rsidR="007A1AB1" w:rsidRPr="007A1AB1" w:rsidRDefault="007A1AB1" w:rsidP="007A1AB1">
            <w:pPr>
              <w:spacing w:before="0"/>
              <w:jc w:val="right"/>
              <w:rPr>
                <w:sz w:val="18"/>
                <w:szCs w:val="18"/>
              </w:rPr>
            </w:pPr>
            <w:r w:rsidRPr="007A1AB1">
              <w:rPr>
                <w:sz w:val="18"/>
                <w:szCs w:val="18"/>
              </w:rPr>
              <w:t>18,4 %</w:t>
            </w:r>
          </w:p>
        </w:tc>
        <w:tc>
          <w:tcPr>
            <w:tcW w:w="404" w:type="pct"/>
            <w:tcBorders>
              <w:top w:val="nil"/>
              <w:left w:val="single" w:sz="4" w:space="0" w:color="auto"/>
              <w:bottom w:val="single" w:sz="4" w:space="0" w:color="auto"/>
              <w:right w:val="single" w:sz="4" w:space="0" w:color="auto"/>
            </w:tcBorders>
            <w:shd w:val="clear" w:color="000000" w:fill="C3E5CE"/>
            <w:noWrap/>
            <w:vAlign w:val="bottom"/>
            <w:hideMark/>
          </w:tcPr>
          <w:p w:rsidR="007A1AB1" w:rsidRPr="007A1AB1" w:rsidRDefault="007A1AB1" w:rsidP="007A1AB1">
            <w:pPr>
              <w:spacing w:before="0"/>
              <w:jc w:val="right"/>
              <w:rPr>
                <w:sz w:val="18"/>
                <w:szCs w:val="18"/>
              </w:rPr>
            </w:pPr>
            <w:r w:rsidRPr="007A1AB1">
              <w:rPr>
                <w:sz w:val="18"/>
                <w:szCs w:val="18"/>
              </w:rPr>
              <w:t>0,4 %</w:t>
            </w:r>
          </w:p>
        </w:tc>
        <w:tc>
          <w:tcPr>
            <w:tcW w:w="398" w:type="pct"/>
            <w:tcBorders>
              <w:top w:val="nil"/>
              <w:left w:val="single" w:sz="4" w:space="0" w:color="auto"/>
              <w:bottom w:val="single" w:sz="4" w:space="0" w:color="auto"/>
              <w:right w:val="single" w:sz="4" w:space="0" w:color="auto"/>
            </w:tcBorders>
            <w:shd w:val="clear" w:color="000000" w:fill="FCFCFF"/>
            <w:noWrap/>
            <w:vAlign w:val="bottom"/>
            <w:hideMark/>
          </w:tcPr>
          <w:p w:rsidR="007A1AB1" w:rsidRPr="007A1AB1" w:rsidRDefault="007A1AB1" w:rsidP="007A1AB1">
            <w:pPr>
              <w:spacing w:before="0"/>
              <w:jc w:val="right"/>
              <w:rPr>
                <w:sz w:val="18"/>
                <w:szCs w:val="18"/>
              </w:rPr>
            </w:pPr>
            <w:r w:rsidRPr="007A1AB1">
              <w:rPr>
                <w:sz w:val="18"/>
                <w:szCs w:val="18"/>
              </w:rPr>
              <w:t>-0,7 %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Uničov</w:t>
            </w:r>
          </w:p>
        </w:tc>
        <w:tc>
          <w:tcPr>
            <w:tcW w:w="466" w:type="pct"/>
            <w:tcBorders>
              <w:top w:val="nil"/>
              <w:left w:val="single" w:sz="4" w:space="0" w:color="auto"/>
              <w:bottom w:val="single" w:sz="4" w:space="0" w:color="auto"/>
              <w:right w:val="single" w:sz="4" w:space="0" w:color="auto"/>
            </w:tcBorders>
            <w:shd w:val="clear" w:color="000000" w:fill="B2C8E5"/>
            <w:vAlign w:val="center"/>
            <w:hideMark/>
          </w:tcPr>
          <w:p w:rsidR="007A1AB1" w:rsidRPr="007A1AB1" w:rsidRDefault="007A1AB1" w:rsidP="007A1AB1">
            <w:pPr>
              <w:spacing w:before="0"/>
              <w:jc w:val="right"/>
              <w:rPr>
                <w:sz w:val="18"/>
                <w:szCs w:val="18"/>
              </w:rPr>
            </w:pPr>
            <w:r w:rsidRPr="007A1AB1">
              <w:rPr>
                <w:sz w:val="18"/>
                <w:szCs w:val="18"/>
              </w:rPr>
              <w:t>4 279</w:t>
            </w:r>
          </w:p>
        </w:tc>
        <w:tc>
          <w:tcPr>
            <w:tcW w:w="469" w:type="pct"/>
            <w:tcBorders>
              <w:top w:val="nil"/>
              <w:left w:val="single" w:sz="4" w:space="0" w:color="auto"/>
              <w:bottom w:val="single" w:sz="4" w:space="0" w:color="auto"/>
              <w:right w:val="single" w:sz="4" w:space="0" w:color="auto"/>
            </w:tcBorders>
            <w:shd w:val="clear" w:color="000000" w:fill="AFC6E4"/>
            <w:vAlign w:val="center"/>
            <w:hideMark/>
          </w:tcPr>
          <w:p w:rsidR="007A1AB1" w:rsidRPr="007A1AB1" w:rsidRDefault="007A1AB1" w:rsidP="007A1AB1">
            <w:pPr>
              <w:spacing w:before="0"/>
              <w:jc w:val="right"/>
              <w:rPr>
                <w:sz w:val="18"/>
                <w:szCs w:val="18"/>
              </w:rPr>
            </w:pPr>
            <w:r w:rsidRPr="007A1AB1">
              <w:rPr>
                <w:sz w:val="18"/>
                <w:szCs w:val="18"/>
              </w:rPr>
              <w:t>4 201</w:t>
            </w:r>
          </w:p>
        </w:tc>
        <w:tc>
          <w:tcPr>
            <w:tcW w:w="470" w:type="pct"/>
            <w:tcBorders>
              <w:top w:val="nil"/>
              <w:left w:val="single" w:sz="4" w:space="0" w:color="auto"/>
              <w:bottom w:val="single" w:sz="4" w:space="0" w:color="auto"/>
              <w:right w:val="single" w:sz="4" w:space="0" w:color="auto"/>
            </w:tcBorders>
            <w:shd w:val="clear" w:color="000000" w:fill="ABC3E2"/>
            <w:vAlign w:val="center"/>
            <w:hideMark/>
          </w:tcPr>
          <w:p w:rsidR="007A1AB1" w:rsidRPr="007A1AB1" w:rsidRDefault="007A1AB1" w:rsidP="007A1AB1">
            <w:pPr>
              <w:spacing w:before="0"/>
              <w:jc w:val="right"/>
              <w:rPr>
                <w:sz w:val="18"/>
                <w:szCs w:val="18"/>
              </w:rPr>
            </w:pPr>
            <w:r w:rsidRPr="007A1AB1">
              <w:rPr>
                <w:sz w:val="18"/>
                <w:szCs w:val="18"/>
              </w:rPr>
              <w:t>4 093</w:t>
            </w:r>
          </w:p>
        </w:tc>
        <w:tc>
          <w:tcPr>
            <w:tcW w:w="508" w:type="pct"/>
            <w:tcBorders>
              <w:top w:val="nil"/>
              <w:left w:val="single" w:sz="4" w:space="0" w:color="auto"/>
              <w:bottom w:val="single" w:sz="4" w:space="0" w:color="auto"/>
              <w:right w:val="single" w:sz="4" w:space="0" w:color="auto"/>
            </w:tcBorders>
            <w:shd w:val="clear" w:color="000000" w:fill="A7DAB6"/>
            <w:noWrap/>
            <w:vAlign w:val="center"/>
            <w:hideMark/>
          </w:tcPr>
          <w:p w:rsidR="007A1AB1" w:rsidRPr="007A1AB1" w:rsidRDefault="007A1AB1" w:rsidP="007A1AB1">
            <w:pPr>
              <w:spacing w:before="0"/>
              <w:jc w:val="right"/>
              <w:rPr>
                <w:sz w:val="18"/>
                <w:szCs w:val="18"/>
              </w:rPr>
            </w:pPr>
            <w:r w:rsidRPr="007A1AB1">
              <w:rPr>
                <w:sz w:val="18"/>
                <w:szCs w:val="18"/>
              </w:rPr>
              <w:t>-78</w:t>
            </w:r>
          </w:p>
        </w:tc>
        <w:tc>
          <w:tcPr>
            <w:tcW w:w="511" w:type="pct"/>
            <w:tcBorders>
              <w:top w:val="nil"/>
              <w:left w:val="single" w:sz="4" w:space="0" w:color="auto"/>
              <w:bottom w:val="single" w:sz="4" w:space="0" w:color="auto"/>
              <w:right w:val="single" w:sz="4" w:space="0" w:color="auto"/>
            </w:tcBorders>
            <w:shd w:val="clear" w:color="000000" w:fill="A7DAB6"/>
            <w:noWrap/>
            <w:vAlign w:val="center"/>
            <w:hideMark/>
          </w:tcPr>
          <w:p w:rsidR="007A1AB1" w:rsidRPr="007A1AB1" w:rsidRDefault="007A1AB1" w:rsidP="007A1AB1">
            <w:pPr>
              <w:spacing w:before="0"/>
              <w:jc w:val="right"/>
              <w:rPr>
                <w:sz w:val="18"/>
                <w:szCs w:val="18"/>
              </w:rPr>
            </w:pPr>
            <w:r w:rsidRPr="007A1AB1">
              <w:rPr>
                <w:sz w:val="18"/>
                <w:szCs w:val="18"/>
              </w:rPr>
              <w:t>-108</w:t>
            </w:r>
          </w:p>
        </w:tc>
        <w:tc>
          <w:tcPr>
            <w:tcW w:w="384" w:type="pct"/>
            <w:tcBorders>
              <w:top w:val="nil"/>
              <w:left w:val="single" w:sz="4" w:space="0" w:color="auto"/>
              <w:bottom w:val="single" w:sz="4" w:space="0" w:color="auto"/>
              <w:right w:val="single" w:sz="4" w:space="0" w:color="auto"/>
            </w:tcBorders>
            <w:shd w:val="clear" w:color="000000" w:fill="D5E0F1"/>
            <w:noWrap/>
            <w:vAlign w:val="bottom"/>
            <w:hideMark/>
          </w:tcPr>
          <w:p w:rsidR="007A1AB1" w:rsidRPr="007A1AB1" w:rsidRDefault="007A1AB1" w:rsidP="007A1AB1">
            <w:pPr>
              <w:spacing w:before="0"/>
              <w:jc w:val="right"/>
              <w:rPr>
                <w:sz w:val="18"/>
                <w:szCs w:val="18"/>
              </w:rPr>
            </w:pPr>
            <w:r w:rsidRPr="007A1AB1">
              <w:rPr>
                <w:sz w:val="18"/>
                <w:szCs w:val="18"/>
              </w:rPr>
              <w:t>18,7 %</w:t>
            </w:r>
          </w:p>
        </w:tc>
        <w:tc>
          <w:tcPr>
            <w:tcW w:w="384" w:type="pct"/>
            <w:tcBorders>
              <w:top w:val="nil"/>
              <w:left w:val="single" w:sz="4" w:space="0" w:color="auto"/>
              <w:bottom w:val="single" w:sz="4" w:space="0" w:color="auto"/>
              <w:right w:val="single" w:sz="4" w:space="0" w:color="auto"/>
            </w:tcBorders>
            <w:shd w:val="clear" w:color="000000" w:fill="FCF8FB"/>
            <w:noWrap/>
            <w:vAlign w:val="bottom"/>
            <w:hideMark/>
          </w:tcPr>
          <w:p w:rsidR="007A1AB1" w:rsidRPr="007A1AB1" w:rsidRDefault="007A1AB1" w:rsidP="007A1AB1">
            <w:pPr>
              <w:spacing w:before="0"/>
              <w:jc w:val="right"/>
              <w:rPr>
                <w:sz w:val="18"/>
                <w:szCs w:val="18"/>
              </w:rPr>
            </w:pPr>
            <w:r w:rsidRPr="007A1AB1">
              <w:rPr>
                <w:sz w:val="18"/>
                <w:szCs w:val="18"/>
              </w:rPr>
              <w:t>19,1 %</w:t>
            </w:r>
          </w:p>
        </w:tc>
        <w:tc>
          <w:tcPr>
            <w:tcW w:w="384" w:type="pct"/>
            <w:tcBorders>
              <w:top w:val="nil"/>
              <w:left w:val="single" w:sz="4" w:space="0" w:color="auto"/>
              <w:bottom w:val="single" w:sz="4" w:space="0" w:color="auto"/>
              <w:right w:val="single" w:sz="4" w:space="0" w:color="auto"/>
            </w:tcBorders>
            <w:shd w:val="clear" w:color="000000" w:fill="F6F7FC"/>
            <w:noWrap/>
            <w:vAlign w:val="bottom"/>
            <w:hideMark/>
          </w:tcPr>
          <w:p w:rsidR="007A1AB1" w:rsidRPr="007A1AB1" w:rsidRDefault="007A1AB1" w:rsidP="007A1AB1">
            <w:pPr>
              <w:spacing w:before="0"/>
              <w:jc w:val="right"/>
              <w:rPr>
                <w:sz w:val="18"/>
                <w:szCs w:val="18"/>
              </w:rPr>
            </w:pPr>
            <w:r w:rsidRPr="007A1AB1">
              <w:rPr>
                <w:sz w:val="18"/>
                <w:szCs w:val="18"/>
              </w:rPr>
              <w:t>19,0 %</w:t>
            </w:r>
          </w:p>
        </w:tc>
        <w:tc>
          <w:tcPr>
            <w:tcW w:w="404" w:type="pct"/>
            <w:tcBorders>
              <w:top w:val="nil"/>
              <w:left w:val="single" w:sz="4" w:space="0" w:color="auto"/>
              <w:bottom w:val="single" w:sz="4" w:space="0" w:color="auto"/>
              <w:right w:val="single" w:sz="4" w:space="0" w:color="auto"/>
            </w:tcBorders>
            <w:shd w:val="clear" w:color="000000" w:fill="C3E5CE"/>
            <w:noWrap/>
            <w:vAlign w:val="bottom"/>
            <w:hideMark/>
          </w:tcPr>
          <w:p w:rsidR="007A1AB1" w:rsidRPr="007A1AB1" w:rsidRDefault="007A1AB1" w:rsidP="007A1AB1">
            <w:pPr>
              <w:spacing w:before="0"/>
              <w:jc w:val="right"/>
              <w:rPr>
                <w:sz w:val="18"/>
                <w:szCs w:val="18"/>
              </w:rPr>
            </w:pPr>
            <w:r w:rsidRPr="007A1AB1">
              <w:rPr>
                <w:sz w:val="18"/>
                <w:szCs w:val="18"/>
              </w:rPr>
              <w:t>0,4 %</w:t>
            </w:r>
          </w:p>
        </w:tc>
        <w:tc>
          <w:tcPr>
            <w:tcW w:w="398" w:type="pct"/>
            <w:tcBorders>
              <w:top w:val="nil"/>
              <w:left w:val="single" w:sz="4" w:space="0" w:color="auto"/>
              <w:bottom w:val="single" w:sz="4" w:space="0" w:color="auto"/>
              <w:right w:val="single" w:sz="4" w:space="0" w:color="auto"/>
            </w:tcBorders>
            <w:shd w:val="clear" w:color="000000" w:fill="DAEFE2"/>
            <w:noWrap/>
            <w:vAlign w:val="bottom"/>
            <w:hideMark/>
          </w:tcPr>
          <w:p w:rsidR="007A1AB1" w:rsidRPr="007A1AB1" w:rsidRDefault="007A1AB1" w:rsidP="007A1AB1">
            <w:pPr>
              <w:spacing w:before="0"/>
              <w:jc w:val="right"/>
              <w:rPr>
                <w:sz w:val="18"/>
                <w:szCs w:val="18"/>
              </w:rPr>
            </w:pPr>
            <w:r w:rsidRPr="007A1AB1">
              <w:rPr>
                <w:sz w:val="18"/>
                <w:szCs w:val="18"/>
              </w:rPr>
              <w:t>-0,1 %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sz w:val="18"/>
                <w:szCs w:val="18"/>
              </w:rPr>
            </w:pPr>
            <w:r w:rsidRPr="007A1AB1">
              <w:rPr>
                <w:sz w:val="18"/>
                <w:szCs w:val="18"/>
              </w:rPr>
              <w:t>Zábřeh</w:t>
            </w:r>
          </w:p>
        </w:tc>
        <w:tc>
          <w:tcPr>
            <w:tcW w:w="466" w:type="pct"/>
            <w:tcBorders>
              <w:top w:val="nil"/>
              <w:left w:val="single" w:sz="4" w:space="0" w:color="auto"/>
              <w:bottom w:val="single" w:sz="4" w:space="0" w:color="auto"/>
              <w:right w:val="single" w:sz="4" w:space="0" w:color="auto"/>
            </w:tcBorders>
            <w:shd w:val="clear" w:color="000000" w:fill="FCFCFF"/>
            <w:vAlign w:val="center"/>
            <w:hideMark/>
          </w:tcPr>
          <w:p w:rsidR="007A1AB1" w:rsidRPr="007A1AB1" w:rsidRDefault="007A1AB1" w:rsidP="007A1AB1">
            <w:pPr>
              <w:spacing w:before="0"/>
              <w:jc w:val="right"/>
              <w:rPr>
                <w:sz w:val="18"/>
                <w:szCs w:val="18"/>
              </w:rPr>
            </w:pPr>
            <w:r w:rsidRPr="007A1AB1">
              <w:rPr>
                <w:sz w:val="18"/>
                <w:szCs w:val="18"/>
              </w:rPr>
              <w:t>6 454</w:t>
            </w:r>
          </w:p>
        </w:tc>
        <w:tc>
          <w:tcPr>
            <w:tcW w:w="469" w:type="pct"/>
            <w:tcBorders>
              <w:top w:val="nil"/>
              <w:left w:val="single" w:sz="4" w:space="0" w:color="auto"/>
              <w:bottom w:val="single" w:sz="4" w:space="0" w:color="auto"/>
              <w:right w:val="single" w:sz="4" w:space="0" w:color="auto"/>
            </w:tcBorders>
            <w:shd w:val="clear" w:color="000000" w:fill="FCFBFE"/>
            <w:vAlign w:val="center"/>
            <w:hideMark/>
          </w:tcPr>
          <w:p w:rsidR="007A1AB1" w:rsidRPr="007A1AB1" w:rsidRDefault="007A1AB1" w:rsidP="007A1AB1">
            <w:pPr>
              <w:spacing w:before="0"/>
              <w:jc w:val="right"/>
              <w:rPr>
                <w:sz w:val="18"/>
                <w:szCs w:val="18"/>
              </w:rPr>
            </w:pPr>
            <w:r w:rsidRPr="007A1AB1">
              <w:rPr>
                <w:sz w:val="18"/>
                <w:szCs w:val="18"/>
              </w:rPr>
              <w:t>6 545</w:t>
            </w:r>
          </w:p>
        </w:tc>
        <w:tc>
          <w:tcPr>
            <w:tcW w:w="470" w:type="pct"/>
            <w:tcBorders>
              <w:top w:val="nil"/>
              <w:left w:val="single" w:sz="4" w:space="0" w:color="auto"/>
              <w:bottom w:val="single" w:sz="4" w:space="0" w:color="auto"/>
              <w:right w:val="single" w:sz="4" w:space="0" w:color="auto"/>
            </w:tcBorders>
            <w:shd w:val="clear" w:color="000000" w:fill="FBFBFE"/>
            <w:vAlign w:val="center"/>
            <w:hideMark/>
          </w:tcPr>
          <w:p w:rsidR="007A1AB1" w:rsidRPr="007A1AB1" w:rsidRDefault="007A1AB1" w:rsidP="007A1AB1">
            <w:pPr>
              <w:spacing w:before="0"/>
              <w:jc w:val="right"/>
              <w:rPr>
                <w:sz w:val="18"/>
                <w:szCs w:val="18"/>
              </w:rPr>
            </w:pPr>
            <w:r w:rsidRPr="007A1AB1">
              <w:rPr>
                <w:sz w:val="18"/>
                <w:szCs w:val="18"/>
              </w:rPr>
              <w:t>6 295</w:t>
            </w:r>
          </w:p>
        </w:tc>
        <w:tc>
          <w:tcPr>
            <w:tcW w:w="508" w:type="pct"/>
            <w:tcBorders>
              <w:top w:val="nil"/>
              <w:left w:val="single" w:sz="4" w:space="0" w:color="auto"/>
              <w:bottom w:val="single" w:sz="4" w:space="0" w:color="auto"/>
              <w:right w:val="single" w:sz="4" w:space="0" w:color="auto"/>
            </w:tcBorders>
            <w:shd w:val="clear" w:color="000000" w:fill="A4D9B3"/>
            <w:noWrap/>
            <w:vAlign w:val="center"/>
            <w:hideMark/>
          </w:tcPr>
          <w:p w:rsidR="007A1AB1" w:rsidRPr="007A1AB1" w:rsidRDefault="007A1AB1" w:rsidP="007A1AB1">
            <w:pPr>
              <w:spacing w:before="0"/>
              <w:jc w:val="right"/>
              <w:rPr>
                <w:sz w:val="18"/>
                <w:szCs w:val="18"/>
              </w:rPr>
            </w:pPr>
            <w:r w:rsidRPr="007A1AB1">
              <w:rPr>
                <w:sz w:val="18"/>
                <w:szCs w:val="18"/>
              </w:rPr>
              <w:t>91</w:t>
            </w:r>
          </w:p>
        </w:tc>
        <w:tc>
          <w:tcPr>
            <w:tcW w:w="511" w:type="pct"/>
            <w:tcBorders>
              <w:top w:val="nil"/>
              <w:left w:val="single" w:sz="4" w:space="0" w:color="auto"/>
              <w:bottom w:val="single" w:sz="4" w:space="0" w:color="auto"/>
              <w:right w:val="single" w:sz="4" w:space="0" w:color="auto"/>
            </w:tcBorders>
            <w:shd w:val="clear" w:color="000000" w:fill="AADBB8"/>
            <w:noWrap/>
            <w:vAlign w:val="center"/>
            <w:hideMark/>
          </w:tcPr>
          <w:p w:rsidR="007A1AB1" w:rsidRPr="007A1AB1" w:rsidRDefault="007A1AB1" w:rsidP="007A1AB1">
            <w:pPr>
              <w:spacing w:before="0"/>
              <w:jc w:val="right"/>
              <w:rPr>
                <w:sz w:val="18"/>
                <w:szCs w:val="18"/>
              </w:rPr>
            </w:pPr>
            <w:r w:rsidRPr="007A1AB1">
              <w:rPr>
                <w:sz w:val="18"/>
                <w:szCs w:val="18"/>
              </w:rPr>
              <w:t>-250</w:t>
            </w:r>
          </w:p>
        </w:tc>
        <w:tc>
          <w:tcPr>
            <w:tcW w:w="384" w:type="pct"/>
            <w:tcBorders>
              <w:top w:val="nil"/>
              <w:left w:val="single" w:sz="4" w:space="0" w:color="auto"/>
              <w:bottom w:val="single" w:sz="4" w:space="0" w:color="auto"/>
              <w:right w:val="single" w:sz="4" w:space="0" w:color="auto"/>
            </w:tcBorders>
            <w:shd w:val="clear" w:color="000000" w:fill="FCF2F5"/>
            <w:noWrap/>
            <w:vAlign w:val="bottom"/>
            <w:hideMark/>
          </w:tcPr>
          <w:p w:rsidR="007A1AB1" w:rsidRPr="007A1AB1" w:rsidRDefault="007A1AB1" w:rsidP="007A1AB1">
            <w:pPr>
              <w:spacing w:before="0"/>
              <w:jc w:val="right"/>
              <w:rPr>
                <w:sz w:val="18"/>
                <w:szCs w:val="18"/>
              </w:rPr>
            </w:pPr>
            <w:r w:rsidRPr="007A1AB1">
              <w:rPr>
                <w:sz w:val="18"/>
                <w:szCs w:val="18"/>
              </w:rPr>
              <w:t>19,1 %</w:t>
            </w:r>
          </w:p>
        </w:tc>
        <w:tc>
          <w:tcPr>
            <w:tcW w:w="384" w:type="pct"/>
            <w:tcBorders>
              <w:top w:val="nil"/>
              <w:left w:val="single" w:sz="4" w:space="0" w:color="auto"/>
              <w:bottom w:val="single" w:sz="4" w:space="0" w:color="auto"/>
              <w:right w:val="single" w:sz="4" w:space="0" w:color="auto"/>
            </w:tcBorders>
            <w:shd w:val="clear" w:color="000000" w:fill="FAA9AB"/>
            <w:noWrap/>
            <w:vAlign w:val="bottom"/>
            <w:hideMark/>
          </w:tcPr>
          <w:p w:rsidR="007A1AB1" w:rsidRPr="007A1AB1" w:rsidRDefault="007A1AB1" w:rsidP="007A1AB1">
            <w:pPr>
              <w:spacing w:before="0"/>
              <w:jc w:val="right"/>
              <w:rPr>
                <w:sz w:val="18"/>
                <w:szCs w:val="18"/>
              </w:rPr>
            </w:pPr>
            <w:r w:rsidRPr="007A1AB1">
              <w:rPr>
                <w:sz w:val="18"/>
                <w:szCs w:val="18"/>
              </w:rPr>
              <w:t>20,0 %</w:t>
            </w:r>
          </w:p>
        </w:tc>
        <w:tc>
          <w:tcPr>
            <w:tcW w:w="384" w:type="pct"/>
            <w:tcBorders>
              <w:top w:val="nil"/>
              <w:left w:val="single" w:sz="4" w:space="0" w:color="auto"/>
              <w:bottom w:val="single" w:sz="4" w:space="0" w:color="auto"/>
              <w:right w:val="single" w:sz="4" w:space="0" w:color="auto"/>
            </w:tcBorders>
            <w:shd w:val="clear" w:color="000000" w:fill="FBC7CA"/>
            <w:noWrap/>
            <w:vAlign w:val="bottom"/>
            <w:hideMark/>
          </w:tcPr>
          <w:p w:rsidR="007A1AB1" w:rsidRPr="007A1AB1" w:rsidRDefault="007A1AB1" w:rsidP="007A1AB1">
            <w:pPr>
              <w:spacing w:before="0"/>
              <w:jc w:val="right"/>
              <w:rPr>
                <w:sz w:val="18"/>
                <w:szCs w:val="18"/>
              </w:rPr>
            </w:pPr>
            <w:r w:rsidRPr="007A1AB1">
              <w:rPr>
                <w:sz w:val="18"/>
                <w:szCs w:val="18"/>
              </w:rPr>
              <w:t>19,6 %</w:t>
            </w:r>
          </w:p>
        </w:tc>
        <w:tc>
          <w:tcPr>
            <w:tcW w:w="404" w:type="pct"/>
            <w:tcBorders>
              <w:top w:val="nil"/>
              <w:left w:val="single" w:sz="4" w:space="0" w:color="auto"/>
              <w:bottom w:val="single" w:sz="4" w:space="0" w:color="auto"/>
              <w:right w:val="single" w:sz="4" w:space="0" w:color="auto"/>
            </w:tcBorders>
            <w:shd w:val="clear" w:color="000000" w:fill="A9DBB8"/>
            <w:noWrap/>
            <w:vAlign w:val="bottom"/>
            <w:hideMark/>
          </w:tcPr>
          <w:p w:rsidR="007A1AB1" w:rsidRPr="007A1AB1" w:rsidRDefault="007A1AB1" w:rsidP="007A1AB1">
            <w:pPr>
              <w:spacing w:before="0"/>
              <w:jc w:val="right"/>
              <w:rPr>
                <w:sz w:val="18"/>
                <w:szCs w:val="18"/>
              </w:rPr>
            </w:pPr>
            <w:r w:rsidRPr="007A1AB1">
              <w:rPr>
                <w:sz w:val="18"/>
                <w:szCs w:val="18"/>
              </w:rPr>
              <w:t>0,8 %</w:t>
            </w:r>
          </w:p>
        </w:tc>
        <w:tc>
          <w:tcPr>
            <w:tcW w:w="398" w:type="pct"/>
            <w:tcBorders>
              <w:top w:val="nil"/>
              <w:left w:val="single" w:sz="4" w:space="0" w:color="auto"/>
              <w:bottom w:val="single" w:sz="4" w:space="0" w:color="auto"/>
              <w:right w:val="single" w:sz="4" w:space="0" w:color="auto"/>
            </w:tcBorders>
            <w:shd w:val="clear" w:color="000000" w:fill="E8F4EE"/>
            <w:noWrap/>
            <w:vAlign w:val="bottom"/>
            <w:hideMark/>
          </w:tcPr>
          <w:p w:rsidR="007A1AB1" w:rsidRPr="007A1AB1" w:rsidRDefault="007A1AB1" w:rsidP="007A1AB1">
            <w:pPr>
              <w:spacing w:before="0"/>
              <w:jc w:val="right"/>
              <w:rPr>
                <w:sz w:val="18"/>
                <w:szCs w:val="18"/>
              </w:rPr>
            </w:pPr>
            <w:r w:rsidRPr="007A1AB1">
              <w:rPr>
                <w:sz w:val="18"/>
                <w:szCs w:val="18"/>
              </w:rPr>
              <w:t>-0,3 %</w:t>
            </w:r>
          </w:p>
        </w:tc>
      </w:tr>
      <w:tr w:rsidR="007A1AB1" w:rsidRPr="007A1AB1" w:rsidTr="00DD1B74">
        <w:trPr>
          <w:trHeight w:val="2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7A1AB1" w:rsidRPr="007A1AB1" w:rsidRDefault="007A1AB1" w:rsidP="007A1AB1">
            <w:pPr>
              <w:spacing w:before="0"/>
              <w:rPr>
                <w:b/>
                <w:bCs/>
                <w:sz w:val="18"/>
                <w:szCs w:val="18"/>
              </w:rPr>
            </w:pPr>
            <w:r w:rsidRPr="007A1AB1">
              <w:rPr>
                <w:b/>
                <w:bCs/>
                <w:sz w:val="18"/>
                <w:szCs w:val="18"/>
              </w:rPr>
              <w:t>Celkem OK</w:t>
            </w:r>
          </w:p>
        </w:tc>
        <w:tc>
          <w:tcPr>
            <w:tcW w:w="466" w:type="pct"/>
            <w:tcBorders>
              <w:top w:val="nil"/>
              <w:left w:val="nil"/>
              <w:bottom w:val="single" w:sz="4" w:space="0" w:color="auto"/>
              <w:right w:val="single" w:sz="4" w:space="0" w:color="auto"/>
            </w:tcBorders>
            <w:shd w:val="clear" w:color="auto" w:fill="auto"/>
            <w:vAlign w:val="center"/>
            <w:hideMark/>
          </w:tcPr>
          <w:p w:rsidR="007A1AB1" w:rsidRPr="007A1AB1" w:rsidRDefault="007A1AB1" w:rsidP="007A1AB1">
            <w:pPr>
              <w:spacing w:before="0"/>
              <w:jc w:val="right"/>
              <w:rPr>
                <w:b/>
                <w:sz w:val="18"/>
                <w:szCs w:val="18"/>
              </w:rPr>
            </w:pPr>
            <w:r w:rsidRPr="007A1AB1">
              <w:rPr>
                <w:b/>
                <w:sz w:val="18"/>
                <w:szCs w:val="18"/>
              </w:rPr>
              <w:t>119 076</w:t>
            </w:r>
          </w:p>
        </w:tc>
        <w:tc>
          <w:tcPr>
            <w:tcW w:w="469" w:type="pct"/>
            <w:tcBorders>
              <w:top w:val="nil"/>
              <w:left w:val="nil"/>
              <w:bottom w:val="single" w:sz="4" w:space="0" w:color="auto"/>
              <w:right w:val="single" w:sz="4" w:space="0" w:color="auto"/>
            </w:tcBorders>
            <w:shd w:val="clear" w:color="auto" w:fill="auto"/>
            <w:vAlign w:val="center"/>
            <w:hideMark/>
          </w:tcPr>
          <w:p w:rsidR="007A1AB1" w:rsidRPr="007A1AB1" w:rsidRDefault="007A1AB1" w:rsidP="007A1AB1">
            <w:pPr>
              <w:spacing w:before="0"/>
              <w:jc w:val="right"/>
              <w:rPr>
                <w:b/>
                <w:bCs/>
                <w:sz w:val="18"/>
                <w:szCs w:val="18"/>
              </w:rPr>
            </w:pPr>
            <w:r w:rsidRPr="007A1AB1">
              <w:rPr>
                <w:b/>
                <w:bCs/>
                <w:sz w:val="18"/>
                <w:szCs w:val="18"/>
              </w:rPr>
              <w:t>122 433</w:t>
            </w:r>
          </w:p>
        </w:tc>
        <w:tc>
          <w:tcPr>
            <w:tcW w:w="470" w:type="pct"/>
            <w:tcBorders>
              <w:top w:val="nil"/>
              <w:left w:val="nil"/>
              <w:bottom w:val="single" w:sz="4" w:space="0" w:color="auto"/>
              <w:right w:val="single" w:sz="4" w:space="0" w:color="auto"/>
            </w:tcBorders>
            <w:shd w:val="clear" w:color="auto" w:fill="auto"/>
            <w:vAlign w:val="center"/>
            <w:hideMark/>
          </w:tcPr>
          <w:p w:rsidR="007A1AB1" w:rsidRPr="007A1AB1" w:rsidRDefault="007A1AB1" w:rsidP="007A1AB1">
            <w:pPr>
              <w:spacing w:before="0"/>
              <w:jc w:val="right"/>
              <w:rPr>
                <w:b/>
                <w:bCs/>
                <w:sz w:val="18"/>
                <w:szCs w:val="18"/>
              </w:rPr>
            </w:pPr>
            <w:r w:rsidRPr="007A1AB1">
              <w:rPr>
                <w:b/>
                <w:bCs/>
                <w:sz w:val="18"/>
                <w:szCs w:val="18"/>
              </w:rPr>
              <w:t>117 128</w:t>
            </w:r>
          </w:p>
        </w:tc>
        <w:tc>
          <w:tcPr>
            <w:tcW w:w="508" w:type="pct"/>
            <w:tcBorders>
              <w:top w:val="nil"/>
              <w:left w:val="single" w:sz="4" w:space="0" w:color="auto"/>
              <w:bottom w:val="single" w:sz="4" w:space="0" w:color="auto"/>
              <w:right w:val="single" w:sz="4" w:space="0" w:color="auto"/>
            </w:tcBorders>
            <w:shd w:val="clear" w:color="000000" w:fill="6EC385"/>
            <w:noWrap/>
            <w:vAlign w:val="center"/>
            <w:hideMark/>
          </w:tcPr>
          <w:p w:rsidR="007A1AB1" w:rsidRPr="007A1AB1" w:rsidRDefault="007A1AB1" w:rsidP="007A1AB1">
            <w:pPr>
              <w:spacing w:before="0"/>
              <w:jc w:val="right"/>
              <w:rPr>
                <w:b/>
                <w:sz w:val="18"/>
                <w:szCs w:val="18"/>
              </w:rPr>
            </w:pPr>
            <w:r w:rsidRPr="007A1AB1">
              <w:rPr>
                <w:b/>
                <w:sz w:val="18"/>
                <w:szCs w:val="18"/>
              </w:rPr>
              <w:t>3 357</w:t>
            </w:r>
          </w:p>
        </w:tc>
        <w:tc>
          <w:tcPr>
            <w:tcW w:w="511" w:type="pct"/>
            <w:tcBorders>
              <w:top w:val="nil"/>
              <w:left w:val="single" w:sz="4" w:space="0" w:color="auto"/>
              <w:bottom w:val="single" w:sz="4" w:space="0" w:color="auto"/>
              <w:right w:val="single" w:sz="4" w:space="0" w:color="auto"/>
            </w:tcBorders>
            <w:shd w:val="clear" w:color="000000" w:fill="FCFCFF"/>
            <w:noWrap/>
            <w:vAlign w:val="center"/>
            <w:hideMark/>
          </w:tcPr>
          <w:p w:rsidR="007A1AB1" w:rsidRPr="007A1AB1" w:rsidRDefault="007A1AB1" w:rsidP="007A1AB1">
            <w:pPr>
              <w:spacing w:before="0"/>
              <w:jc w:val="right"/>
              <w:rPr>
                <w:b/>
                <w:sz w:val="18"/>
                <w:szCs w:val="18"/>
              </w:rPr>
            </w:pPr>
            <w:r w:rsidRPr="007A1AB1">
              <w:rPr>
                <w:b/>
                <w:sz w:val="18"/>
                <w:szCs w:val="18"/>
              </w:rPr>
              <w:t>-5 305</w:t>
            </w:r>
          </w:p>
        </w:tc>
        <w:tc>
          <w:tcPr>
            <w:tcW w:w="384" w:type="pct"/>
            <w:tcBorders>
              <w:top w:val="nil"/>
              <w:left w:val="single" w:sz="4" w:space="0" w:color="auto"/>
              <w:bottom w:val="single" w:sz="4" w:space="0" w:color="auto"/>
              <w:right w:val="single" w:sz="4" w:space="0" w:color="auto"/>
            </w:tcBorders>
            <w:shd w:val="clear" w:color="000000" w:fill="CEDBEE"/>
            <w:noWrap/>
            <w:vAlign w:val="bottom"/>
            <w:hideMark/>
          </w:tcPr>
          <w:p w:rsidR="007A1AB1" w:rsidRPr="007A1AB1" w:rsidRDefault="007A1AB1" w:rsidP="007A1AB1">
            <w:pPr>
              <w:spacing w:before="0"/>
              <w:jc w:val="right"/>
              <w:rPr>
                <w:b/>
                <w:sz w:val="18"/>
                <w:szCs w:val="18"/>
              </w:rPr>
            </w:pPr>
            <w:r w:rsidRPr="007A1AB1">
              <w:rPr>
                <w:b/>
                <w:sz w:val="18"/>
                <w:szCs w:val="18"/>
              </w:rPr>
              <w:t>18,6 %</w:t>
            </w:r>
          </w:p>
        </w:tc>
        <w:tc>
          <w:tcPr>
            <w:tcW w:w="384" w:type="pct"/>
            <w:tcBorders>
              <w:top w:val="nil"/>
              <w:left w:val="single" w:sz="4" w:space="0" w:color="auto"/>
              <w:bottom w:val="single" w:sz="4" w:space="0" w:color="auto"/>
              <w:right w:val="single" w:sz="4" w:space="0" w:color="auto"/>
            </w:tcBorders>
            <w:shd w:val="clear" w:color="000000" w:fill="FBC5C7"/>
            <w:noWrap/>
            <w:vAlign w:val="bottom"/>
            <w:hideMark/>
          </w:tcPr>
          <w:p w:rsidR="007A1AB1" w:rsidRPr="007A1AB1" w:rsidRDefault="007A1AB1" w:rsidP="007A1AB1">
            <w:pPr>
              <w:spacing w:before="0"/>
              <w:jc w:val="right"/>
              <w:rPr>
                <w:b/>
                <w:sz w:val="18"/>
                <w:szCs w:val="18"/>
              </w:rPr>
            </w:pPr>
            <w:r w:rsidRPr="007A1AB1">
              <w:rPr>
                <w:b/>
                <w:sz w:val="18"/>
                <w:szCs w:val="18"/>
              </w:rPr>
              <w:t>19,7 %</w:t>
            </w:r>
          </w:p>
        </w:tc>
        <w:tc>
          <w:tcPr>
            <w:tcW w:w="384" w:type="pct"/>
            <w:tcBorders>
              <w:top w:val="nil"/>
              <w:left w:val="single" w:sz="4" w:space="0" w:color="auto"/>
              <w:bottom w:val="single" w:sz="4" w:space="0" w:color="auto"/>
              <w:right w:val="single" w:sz="4" w:space="0" w:color="auto"/>
            </w:tcBorders>
            <w:shd w:val="clear" w:color="000000" w:fill="FCEAEC"/>
            <w:noWrap/>
            <w:vAlign w:val="bottom"/>
            <w:hideMark/>
          </w:tcPr>
          <w:p w:rsidR="007A1AB1" w:rsidRPr="007A1AB1" w:rsidRDefault="007A1AB1" w:rsidP="007A1AB1">
            <w:pPr>
              <w:spacing w:before="0"/>
              <w:jc w:val="right"/>
              <w:rPr>
                <w:b/>
                <w:sz w:val="18"/>
                <w:szCs w:val="18"/>
              </w:rPr>
            </w:pPr>
            <w:r w:rsidRPr="007A1AB1">
              <w:rPr>
                <w:b/>
                <w:sz w:val="18"/>
                <w:szCs w:val="18"/>
              </w:rPr>
              <w:t>19,2 %</w:t>
            </w:r>
          </w:p>
        </w:tc>
        <w:tc>
          <w:tcPr>
            <w:tcW w:w="404" w:type="pct"/>
            <w:tcBorders>
              <w:top w:val="nil"/>
              <w:left w:val="single" w:sz="4" w:space="0" w:color="auto"/>
              <w:bottom w:val="single" w:sz="4" w:space="0" w:color="auto"/>
              <w:right w:val="single" w:sz="4" w:space="0" w:color="auto"/>
            </w:tcBorders>
            <w:shd w:val="clear" w:color="000000" w:fill="A1D7B0"/>
            <w:noWrap/>
            <w:vAlign w:val="bottom"/>
            <w:hideMark/>
          </w:tcPr>
          <w:p w:rsidR="007A1AB1" w:rsidRPr="007A1AB1" w:rsidRDefault="007A1AB1" w:rsidP="007A1AB1">
            <w:pPr>
              <w:spacing w:before="0"/>
              <w:jc w:val="right"/>
              <w:rPr>
                <w:b/>
                <w:sz w:val="18"/>
                <w:szCs w:val="18"/>
              </w:rPr>
            </w:pPr>
            <w:r w:rsidRPr="007A1AB1">
              <w:rPr>
                <w:b/>
                <w:sz w:val="18"/>
                <w:szCs w:val="18"/>
              </w:rPr>
              <w:t>1,0 %</w:t>
            </w:r>
          </w:p>
        </w:tc>
        <w:tc>
          <w:tcPr>
            <w:tcW w:w="398" w:type="pct"/>
            <w:tcBorders>
              <w:top w:val="nil"/>
              <w:left w:val="single" w:sz="4" w:space="0" w:color="auto"/>
              <w:bottom w:val="single" w:sz="4" w:space="0" w:color="auto"/>
              <w:right w:val="single" w:sz="4" w:space="0" w:color="auto"/>
            </w:tcBorders>
            <w:shd w:val="clear" w:color="000000" w:fill="ECF6F1"/>
            <w:noWrap/>
            <w:vAlign w:val="bottom"/>
            <w:hideMark/>
          </w:tcPr>
          <w:p w:rsidR="007A1AB1" w:rsidRPr="007A1AB1" w:rsidRDefault="007A1AB1" w:rsidP="007A1AB1">
            <w:pPr>
              <w:spacing w:before="0"/>
              <w:jc w:val="right"/>
              <w:rPr>
                <w:b/>
                <w:sz w:val="18"/>
                <w:szCs w:val="18"/>
              </w:rPr>
            </w:pPr>
            <w:r w:rsidRPr="007A1AB1">
              <w:rPr>
                <w:b/>
                <w:sz w:val="18"/>
                <w:szCs w:val="18"/>
              </w:rPr>
              <w:t>-0,4 %</w:t>
            </w:r>
          </w:p>
        </w:tc>
      </w:tr>
    </w:tbl>
    <w:p w:rsidR="00AF4350" w:rsidRPr="0039748C" w:rsidRDefault="00AF4350" w:rsidP="007A1AB1">
      <w:pPr>
        <w:pStyle w:val="Zdrojobjektu"/>
      </w:pPr>
      <w:r w:rsidRPr="0039748C">
        <w:t>Zdroj: ČSÚ, vlastní prognózy obyvatel pro jednotlivá SO ORP, data k 1. 1. daného roku, zpracování ACCENDO (2022)</w:t>
      </w:r>
    </w:p>
    <w:p w:rsidR="00AF4350" w:rsidRPr="0039748C" w:rsidRDefault="00AF4350" w:rsidP="00DD1B74">
      <w:pPr>
        <w:pStyle w:val="popistabulkySPRSS2024"/>
      </w:pPr>
      <w:bookmarkStart w:id="83" w:name="_Toc117607073"/>
      <w:r w:rsidRPr="0039748C">
        <w:lastRenderedPageBreak/>
        <w:t xml:space="preserve">Tabulka </w:t>
      </w:r>
      <w:r w:rsidR="00412C70">
        <w:fldChar w:fldCharType="begin"/>
      </w:r>
      <w:r w:rsidR="00412C70">
        <w:instrText xml:space="preserve"> SEQ Tabulka \* ARABIC </w:instrText>
      </w:r>
      <w:r w:rsidR="00412C70">
        <w:fldChar w:fldCharType="separate"/>
      </w:r>
      <w:r w:rsidR="003A12AF">
        <w:rPr>
          <w:noProof/>
        </w:rPr>
        <w:t>13</w:t>
      </w:r>
      <w:r w:rsidR="00412C70">
        <w:rPr>
          <w:noProof/>
        </w:rPr>
        <w:fldChar w:fldCharType="end"/>
      </w:r>
      <w:r w:rsidRPr="0039748C">
        <w:t xml:space="preserve"> Počet a podíl dětské složky (osob ve věku 0–14 let) v letech 2012, 2022 a 2032</w:t>
      </w:r>
      <w:bookmarkEnd w:id="83"/>
    </w:p>
    <w:tbl>
      <w:tblPr>
        <w:tblW w:w="5000" w:type="pct"/>
        <w:tblCellMar>
          <w:left w:w="70" w:type="dxa"/>
          <w:right w:w="70" w:type="dxa"/>
        </w:tblCellMar>
        <w:tblLook w:val="04A0" w:firstRow="1" w:lastRow="0" w:firstColumn="1" w:lastColumn="0" w:noHBand="0" w:noVBand="1"/>
      </w:tblPr>
      <w:tblGrid>
        <w:gridCol w:w="1056"/>
        <w:gridCol w:w="708"/>
        <w:gridCol w:w="708"/>
        <w:gridCol w:w="708"/>
        <w:gridCol w:w="940"/>
        <w:gridCol w:w="944"/>
        <w:gridCol w:w="706"/>
        <w:gridCol w:w="706"/>
        <w:gridCol w:w="706"/>
        <w:gridCol w:w="940"/>
        <w:gridCol w:w="940"/>
      </w:tblGrid>
      <w:tr w:rsidR="00DD1B74" w:rsidRPr="00DD1B74" w:rsidTr="00DD1B74">
        <w:trPr>
          <w:trHeight w:val="20"/>
        </w:trPr>
        <w:tc>
          <w:tcPr>
            <w:tcW w:w="6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DD1B74" w:rsidRPr="00DD1B74" w:rsidRDefault="00DD1B74" w:rsidP="00DD1B74">
            <w:pPr>
              <w:spacing w:before="0"/>
              <w:jc w:val="center"/>
              <w:rPr>
                <w:b/>
                <w:bCs/>
                <w:sz w:val="18"/>
                <w:szCs w:val="18"/>
              </w:rPr>
            </w:pPr>
            <w:r w:rsidRPr="00DD1B74">
              <w:rPr>
                <w:b/>
                <w:bCs/>
                <w:sz w:val="18"/>
                <w:szCs w:val="18"/>
              </w:rPr>
              <w:t>SO ORP</w:t>
            </w:r>
          </w:p>
        </w:tc>
        <w:tc>
          <w:tcPr>
            <w:tcW w:w="2215" w:type="pct"/>
            <w:gridSpan w:val="5"/>
            <w:tcBorders>
              <w:top w:val="single" w:sz="4" w:space="0" w:color="auto"/>
              <w:left w:val="nil"/>
              <w:bottom w:val="single" w:sz="4" w:space="0" w:color="auto"/>
              <w:right w:val="single" w:sz="4" w:space="0" w:color="000000"/>
            </w:tcBorders>
            <w:shd w:val="clear" w:color="000000" w:fill="F2F2F2"/>
            <w:noWrap/>
            <w:vAlign w:val="center"/>
            <w:hideMark/>
          </w:tcPr>
          <w:p w:rsidR="00DD1B74" w:rsidRPr="00DD1B74" w:rsidRDefault="00DD1B74" w:rsidP="00DD1B74">
            <w:pPr>
              <w:spacing w:before="0"/>
              <w:jc w:val="center"/>
              <w:rPr>
                <w:b/>
                <w:bCs/>
                <w:sz w:val="18"/>
                <w:szCs w:val="18"/>
              </w:rPr>
            </w:pPr>
            <w:r w:rsidRPr="00DD1B74">
              <w:rPr>
                <w:b/>
                <w:bCs/>
                <w:sz w:val="18"/>
                <w:szCs w:val="18"/>
              </w:rPr>
              <w:t>Počet obyvatel (0-14 let)</w:t>
            </w:r>
          </w:p>
        </w:tc>
        <w:tc>
          <w:tcPr>
            <w:tcW w:w="2141" w:type="pct"/>
            <w:gridSpan w:val="5"/>
            <w:tcBorders>
              <w:top w:val="single" w:sz="4" w:space="0" w:color="auto"/>
              <w:left w:val="nil"/>
              <w:bottom w:val="single" w:sz="4" w:space="0" w:color="auto"/>
              <w:right w:val="single" w:sz="4" w:space="0" w:color="000000"/>
            </w:tcBorders>
            <w:shd w:val="clear" w:color="000000" w:fill="F2F2F2"/>
            <w:noWrap/>
            <w:vAlign w:val="center"/>
            <w:hideMark/>
          </w:tcPr>
          <w:p w:rsidR="00DD1B74" w:rsidRPr="00DD1B74" w:rsidRDefault="00DD1B74" w:rsidP="00DD1B74">
            <w:pPr>
              <w:spacing w:before="0"/>
              <w:jc w:val="center"/>
              <w:rPr>
                <w:b/>
                <w:bCs/>
                <w:sz w:val="18"/>
                <w:szCs w:val="18"/>
              </w:rPr>
            </w:pPr>
            <w:r w:rsidRPr="00DD1B74">
              <w:rPr>
                <w:b/>
                <w:bCs/>
                <w:sz w:val="18"/>
                <w:szCs w:val="18"/>
              </w:rPr>
              <w:t>Podíl dětské složky obyvatel (0–14 let)</w:t>
            </w:r>
          </w:p>
        </w:tc>
      </w:tr>
      <w:tr w:rsidR="00DD1B74" w:rsidRPr="00DD1B74" w:rsidTr="00DD1B74">
        <w:trPr>
          <w:trHeight w:val="20"/>
        </w:trPr>
        <w:tc>
          <w:tcPr>
            <w:tcW w:w="644" w:type="pct"/>
            <w:vMerge/>
            <w:tcBorders>
              <w:top w:val="single" w:sz="4" w:space="0" w:color="auto"/>
              <w:left w:val="single" w:sz="4" w:space="0" w:color="auto"/>
              <w:bottom w:val="single" w:sz="4" w:space="0" w:color="auto"/>
              <w:right w:val="single" w:sz="4" w:space="0" w:color="auto"/>
            </w:tcBorders>
            <w:vAlign w:val="center"/>
            <w:hideMark/>
          </w:tcPr>
          <w:p w:rsidR="00DD1B74" w:rsidRPr="00DD1B74" w:rsidRDefault="00DD1B74" w:rsidP="00DD1B74">
            <w:pPr>
              <w:spacing w:before="0"/>
              <w:jc w:val="center"/>
              <w:rPr>
                <w:b/>
                <w:bCs/>
                <w:sz w:val="18"/>
                <w:szCs w:val="18"/>
              </w:rPr>
            </w:pPr>
          </w:p>
        </w:tc>
        <w:tc>
          <w:tcPr>
            <w:tcW w:w="351" w:type="pct"/>
            <w:tcBorders>
              <w:top w:val="nil"/>
              <w:left w:val="nil"/>
              <w:bottom w:val="single" w:sz="4" w:space="0" w:color="auto"/>
              <w:right w:val="single" w:sz="4" w:space="0" w:color="auto"/>
            </w:tcBorders>
            <w:shd w:val="clear" w:color="000000" w:fill="F2F2F2"/>
            <w:noWrap/>
            <w:vAlign w:val="center"/>
            <w:hideMark/>
          </w:tcPr>
          <w:p w:rsidR="00DD1B74" w:rsidRPr="00DD1B74" w:rsidRDefault="00DD1B74" w:rsidP="00DD1B74">
            <w:pPr>
              <w:spacing w:before="0"/>
              <w:jc w:val="center"/>
              <w:rPr>
                <w:b/>
                <w:bCs/>
                <w:sz w:val="18"/>
                <w:szCs w:val="18"/>
              </w:rPr>
            </w:pPr>
            <w:r w:rsidRPr="00DD1B74">
              <w:rPr>
                <w:b/>
                <w:bCs/>
                <w:sz w:val="18"/>
                <w:szCs w:val="18"/>
              </w:rPr>
              <w:t>2012</w:t>
            </w:r>
          </w:p>
        </w:tc>
        <w:tc>
          <w:tcPr>
            <w:tcW w:w="351" w:type="pct"/>
            <w:tcBorders>
              <w:top w:val="nil"/>
              <w:left w:val="nil"/>
              <w:bottom w:val="single" w:sz="4" w:space="0" w:color="auto"/>
              <w:right w:val="single" w:sz="4" w:space="0" w:color="auto"/>
            </w:tcBorders>
            <w:shd w:val="clear" w:color="000000" w:fill="F2F2F2"/>
            <w:noWrap/>
            <w:vAlign w:val="center"/>
            <w:hideMark/>
          </w:tcPr>
          <w:p w:rsidR="00DD1B74" w:rsidRPr="00DD1B74" w:rsidRDefault="00DD1B74" w:rsidP="00DD1B74">
            <w:pPr>
              <w:spacing w:before="0"/>
              <w:jc w:val="center"/>
              <w:rPr>
                <w:b/>
                <w:bCs/>
                <w:sz w:val="18"/>
                <w:szCs w:val="18"/>
              </w:rPr>
            </w:pPr>
            <w:r w:rsidRPr="00DD1B74">
              <w:rPr>
                <w:b/>
                <w:bCs/>
                <w:sz w:val="18"/>
                <w:szCs w:val="18"/>
              </w:rPr>
              <w:t>2022</w:t>
            </w:r>
          </w:p>
        </w:tc>
        <w:tc>
          <w:tcPr>
            <w:tcW w:w="351" w:type="pct"/>
            <w:tcBorders>
              <w:top w:val="nil"/>
              <w:left w:val="nil"/>
              <w:bottom w:val="single" w:sz="4" w:space="0" w:color="auto"/>
              <w:right w:val="single" w:sz="4" w:space="0" w:color="auto"/>
            </w:tcBorders>
            <w:shd w:val="clear" w:color="000000" w:fill="F2F2F2"/>
            <w:noWrap/>
            <w:vAlign w:val="center"/>
            <w:hideMark/>
          </w:tcPr>
          <w:p w:rsidR="00DD1B74" w:rsidRPr="00DD1B74" w:rsidRDefault="00DD1B74" w:rsidP="00DD1B74">
            <w:pPr>
              <w:spacing w:before="0"/>
              <w:jc w:val="center"/>
              <w:rPr>
                <w:b/>
                <w:bCs/>
                <w:sz w:val="18"/>
                <w:szCs w:val="18"/>
              </w:rPr>
            </w:pPr>
            <w:r w:rsidRPr="00DD1B74">
              <w:rPr>
                <w:b/>
                <w:bCs/>
                <w:sz w:val="18"/>
                <w:szCs w:val="18"/>
              </w:rPr>
              <w:t>2032</w:t>
            </w:r>
          </w:p>
        </w:tc>
        <w:tc>
          <w:tcPr>
            <w:tcW w:w="580" w:type="pct"/>
            <w:tcBorders>
              <w:top w:val="nil"/>
              <w:left w:val="nil"/>
              <w:bottom w:val="single" w:sz="4" w:space="0" w:color="auto"/>
              <w:right w:val="single" w:sz="4" w:space="0" w:color="auto"/>
            </w:tcBorders>
            <w:shd w:val="clear" w:color="000000" w:fill="F2F2F2"/>
            <w:vAlign w:val="center"/>
            <w:hideMark/>
          </w:tcPr>
          <w:p w:rsidR="00DD1B74" w:rsidRPr="00DD1B74" w:rsidRDefault="00DD1B74" w:rsidP="00DD1B74">
            <w:pPr>
              <w:spacing w:before="0"/>
              <w:jc w:val="center"/>
              <w:rPr>
                <w:b/>
                <w:bCs/>
                <w:sz w:val="18"/>
                <w:szCs w:val="18"/>
              </w:rPr>
            </w:pPr>
            <w:r w:rsidRPr="00DD1B74">
              <w:rPr>
                <w:b/>
                <w:bCs/>
                <w:sz w:val="18"/>
                <w:szCs w:val="18"/>
              </w:rPr>
              <w:t>Změna 2012–2022</w:t>
            </w:r>
          </w:p>
        </w:tc>
        <w:tc>
          <w:tcPr>
            <w:tcW w:w="580" w:type="pct"/>
            <w:tcBorders>
              <w:top w:val="nil"/>
              <w:left w:val="nil"/>
              <w:bottom w:val="single" w:sz="4" w:space="0" w:color="auto"/>
              <w:right w:val="single" w:sz="4" w:space="0" w:color="auto"/>
            </w:tcBorders>
            <w:shd w:val="clear" w:color="000000" w:fill="F2F2F2"/>
            <w:vAlign w:val="center"/>
            <w:hideMark/>
          </w:tcPr>
          <w:p w:rsidR="00DD1B74" w:rsidRPr="00DD1B74" w:rsidRDefault="00DD1B74" w:rsidP="00DD1B74">
            <w:pPr>
              <w:spacing w:before="0"/>
              <w:jc w:val="center"/>
              <w:rPr>
                <w:b/>
                <w:bCs/>
                <w:sz w:val="18"/>
                <w:szCs w:val="18"/>
              </w:rPr>
            </w:pPr>
            <w:r w:rsidRPr="00DD1B74">
              <w:rPr>
                <w:b/>
                <w:bCs/>
                <w:sz w:val="18"/>
                <w:szCs w:val="18"/>
              </w:rPr>
              <w:t>Změna 2022–2032</w:t>
            </w:r>
          </w:p>
        </w:tc>
        <w:tc>
          <w:tcPr>
            <w:tcW w:w="327" w:type="pct"/>
            <w:tcBorders>
              <w:top w:val="nil"/>
              <w:left w:val="nil"/>
              <w:bottom w:val="single" w:sz="4" w:space="0" w:color="auto"/>
              <w:right w:val="single" w:sz="4" w:space="0" w:color="auto"/>
            </w:tcBorders>
            <w:shd w:val="clear" w:color="000000" w:fill="F2F2F2"/>
            <w:noWrap/>
            <w:vAlign w:val="center"/>
            <w:hideMark/>
          </w:tcPr>
          <w:p w:rsidR="00DD1B74" w:rsidRPr="00DD1B74" w:rsidRDefault="00DD1B74" w:rsidP="00DD1B74">
            <w:pPr>
              <w:spacing w:before="0"/>
              <w:jc w:val="center"/>
              <w:rPr>
                <w:b/>
                <w:bCs/>
                <w:sz w:val="18"/>
                <w:szCs w:val="18"/>
              </w:rPr>
            </w:pPr>
            <w:r w:rsidRPr="00DD1B74">
              <w:rPr>
                <w:b/>
                <w:bCs/>
                <w:sz w:val="18"/>
                <w:szCs w:val="18"/>
              </w:rPr>
              <w:t>2012</w:t>
            </w:r>
          </w:p>
        </w:tc>
        <w:tc>
          <w:tcPr>
            <w:tcW w:w="327" w:type="pct"/>
            <w:tcBorders>
              <w:top w:val="nil"/>
              <w:left w:val="nil"/>
              <w:bottom w:val="single" w:sz="4" w:space="0" w:color="auto"/>
              <w:right w:val="single" w:sz="4" w:space="0" w:color="auto"/>
            </w:tcBorders>
            <w:shd w:val="clear" w:color="000000" w:fill="F2F2F2"/>
            <w:noWrap/>
            <w:vAlign w:val="center"/>
            <w:hideMark/>
          </w:tcPr>
          <w:p w:rsidR="00DD1B74" w:rsidRPr="00DD1B74" w:rsidRDefault="00DD1B74" w:rsidP="00DD1B74">
            <w:pPr>
              <w:spacing w:before="0"/>
              <w:jc w:val="center"/>
              <w:rPr>
                <w:b/>
                <w:bCs/>
                <w:sz w:val="18"/>
                <w:szCs w:val="18"/>
              </w:rPr>
            </w:pPr>
            <w:r w:rsidRPr="00DD1B74">
              <w:rPr>
                <w:b/>
                <w:bCs/>
                <w:sz w:val="18"/>
                <w:szCs w:val="18"/>
              </w:rPr>
              <w:t>2022</w:t>
            </w:r>
          </w:p>
        </w:tc>
        <w:tc>
          <w:tcPr>
            <w:tcW w:w="327" w:type="pct"/>
            <w:tcBorders>
              <w:top w:val="nil"/>
              <w:left w:val="nil"/>
              <w:bottom w:val="single" w:sz="4" w:space="0" w:color="auto"/>
              <w:right w:val="single" w:sz="4" w:space="0" w:color="auto"/>
            </w:tcBorders>
            <w:shd w:val="clear" w:color="000000" w:fill="F2F2F2"/>
            <w:noWrap/>
            <w:vAlign w:val="center"/>
            <w:hideMark/>
          </w:tcPr>
          <w:p w:rsidR="00DD1B74" w:rsidRPr="00DD1B74" w:rsidRDefault="00DD1B74" w:rsidP="00DD1B74">
            <w:pPr>
              <w:spacing w:before="0"/>
              <w:jc w:val="center"/>
              <w:rPr>
                <w:b/>
                <w:bCs/>
                <w:sz w:val="18"/>
                <w:szCs w:val="18"/>
              </w:rPr>
            </w:pPr>
            <w:r w:rsidRPr="00DD1B74">
              <w:rPr>
                <w:b/>
                <w:bCs/>
                <w:sz w:val="18"/>
                <w:szCs w:val="18"/>
              </w:rPr>
              <w:t>2032</w:t>
            </w:r>
          </w:p>
        </w:tc>
        <w:tc>
          <w:tcPr>
            <w:tcW w:w="580" w:type="pct"/>
            <w:tcBorders>
              <w:top w:val="nil"/>
              <w:left w:val="nil"/>
              <w:bottom w:val="single" w:sz="4" w:space="0" w:color="auto"/>
              <w:right w:val="single" w:sz="4" w:space="0" w:color="auto"/>
            </w:tcBorders>
            <w:shd w:val="clear" w:color="000000" w:fill="F2F2F2"/>
            <w:vAlign w:val="center"/>
            <w:hideMark/>
          </w:tcPr>
          <w:p w:rsidR="00DD1B74" w:rsidRPr="00DD1B74" w:rsidRDefault="00DD1B74" w:rsidP="00DD1B74">
            <w:pPr>
              <w:spacing w:before="0"/>
              <w:jc w:val="center"/>
              <w:rPr>
                <w:b/>
                <w:bCs/>
                <w:sz w:val="18"/>
                <w:szCs w:val="18"/>
              </w:rPr>
            </w:pPr>
            <w:r w:rsidRPr="00DD1B74">
              <w:rPr>
                <w:b/>
                <w:bCs/>
                <w:sz w:val="18"/>
                <w:szCs w:val="18"/>
              </w:rPr>
              <w:t>Změna 2012–2022</w:t>
            </w:r>
          </w:p>
        </w:tc>
        <w:tc>
          <w:tcPr>
            <w:tcW w:w="580" w:type="pct"/>
            <w:tcBorders>
              <w:top w:val="nil"/>
              <w:left w:val="nil"/>
              <w:bottom w:val="single" w:sz="4" w:space="0" w:color="auto"/>
              <w:right w:val="single" w:sz="4" w:space="0" w:color="auto"/>
            </w:tcBorders>
            <w:shd w:val="clear" w:color="000000" w:fill="F2F2F2"/>
            <w:vAlign w:val="center"/>
            <w:hideMark/>
          </w:tcPr>
          <w:p w:rsidR="00DD1B74" w:rsidRPr="00DD1B74" w:rsidRDefault="00DD1B74" w:rsidP="00DD1B74">
            <w:pPr>
              <w:spacing w:before="0"/>
              <w:jc w:val="center"/>
              <w:rPr>
                <w:b/>
                <w:bCs/>
                <w:sz w:val="18"/>
                <w:szCs w:val="18"/>
              </w:rPr>
            </w:pPr>
            <w:r w:rsidRPr="00DD1B74">
              <w:rPr>
                <w:b/>
                <w:bCs/>
                <w:sz w:val="18"/>
                <w:szCs w:val="18"/>
              </w:rPr>
              <w:t>Změna 2022–2032</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Hranice</w:t>
            </w:r>
          </w:p>
        </w:tc>
        <w:tc>
          <w:tcPr>
            <w:tcW w:w="351"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rsidR="00DD1B74" w:rsidRPr="00DD1B74" w:rsidRDefault="00DD1B74" w:rsidP="00DD1B74">
            <w:pPr>
              <w:spacing w:before="0"/>
              <w:jc w:val="right"/>
              <w:rPr>
                <w:sz w:val="18"/>
                <w:szCs w:val="18"/>
              </w:rPr>
            </w:pPr>
            <w:r w:rsidRPr="00DD1B74">
              <w:rPr>
                <w:sz w:val="18"/>
                <w:szCs w:val="18"/>
              </w:rPr>
              <w:t>5 142</w:t>
            </w:r>
          </w:p>
        </w:tc>
        <w:tc>
          <w:tcPr>
            <w:tcW w:w="351"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rsidR="00DD1B74" w:rsidRPr="00DD1B74" w:rsidRDefault="00DD1B74" w:rsidP="00DD1B74">
            <w:pPr>
              <w:spacing w:before="0"/>
              <w:jc w:val="right"/>
              <w:rPr>
                <w:sz w:val="18"/>
                <w:szCs w:val="18"/>
              </w:rPr>
            </w:pPr>
            <w:r w:rsidRPr="00DD1B74">
              <w:rPr>
                <w:sz w:val="18"/>
                <w:szCs w:val="18"/>
              </w:rPr>
              <w:t>5 178</w:t>
            </w:r>
          </w:p>
        </w:tc>
        <w:tc>
          <w:tcPr>
            <w:tcW w:w="35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DD1B74" w:rsidRPr="00DD1B74" w:rsidRDefault="00DD1B74" w:rsidP="00DD1B74">
            <w:pPr>
              <w:spacing w:before="0"/>
              <w:jc w:val="right"/>
              <w:rPr>
                <w:sz w:val="18"/>
                <w:szCs w:val="18"/>
              </w:rPr>
            </w:pPr>
            <w:r w:rsidRPr="00DD1B74">
              <w:rPr>
                <w:sz w:val="18"/>
                <w:szCs w:val="18"/>
              </w:rPr>
              <w:t>4 994</w:t>
            </w:r>
          </w:p>
        </w:tc>
        <w:tc>
          <w:tcPr>
            <w:tcW w:w="580" w:type="pct"/>
            <w:tcBorders>
              <w:top w:val="single" w:sz="4" w:space="0" w:color="auto"/>
              <w:left w:val="single" w:sz="4" w:space="0" w:color="auto"/>
              <w:bottom w:val="single" w:sz="4" w:space="0" w:color="auto"/>
              <w:right w:val="single" w:sz="4" w:space="0" w:color="auto"/>
            </w:tcBorders>
            <w:shd w:val="clear" w:color="000000" w:fill="A8DAB7"/>
            <w:noWrap/>
            <w:vAlign w:val="bottom"/>
            <w:hideMark/>
          </w:tcPr>
          <w:p w:rsidR="00DD1B74" w:rsidRPr="00DD1B74" w:rsidRDefault="00DD1B74" w:rsidP="00DD1B74">
            <w:pPr>
              <w:spacing w:before="0"/>
              <w:jc w:val="right"/>
              <w:rPr>
                <w:sz w:val="18"/>
                <w:szCs w:val="18"/>
              </w:rPr>
            </w:pPr>
            <w:r w:rsidRPr="00DD1B74">
              <w:rPr>
                <w:sz w:val="18"/>
                <w:szCs w:val="18"/>
              </w:rPr>
              <w:t>36</w:t>
            </w:r>
          </w:p>
        </w:tc>
        <w:tc>
          <w:tcPr>
            <w:tcW w:w="580" w:type="pct"/>
            <w:tcBorders>
              <w:top w:val="single" w:sz="4" w:space="0" w:color="auto"/>
              <w:left w:val="single" w:sz="4" w:space="0" w:color="auto"/>
              <w:bottom w:val="single" w:sz="4" w:space="0" w:color="auto"/>
              <w:right w:val="single" w:sz="4" w:space="0" w:color="auto"/>
            </w:tcBorders>
            <w:shd w:val="clear" w:color="000000" w:fill="ABDBB9"/>
            <w:noWrap/>
            <w:vAlign w:val="bottom"/>
            <w:hideMark/>
          </w:tcPr>
          <w:p w:rsidR="00DD1B74" w:rsidRPr="00DD1B74" w:rsidRDefault="00DD1B74" w:rsidP="00DD1B74">
            <w:pPr>
              <w:spacing w:before="0"/>
              <w:jc w:val="right"/>
              <w:rPr>
                <w:sz w:val="18"/>
                <w:szCs w:val="18"/>
              </w:rPr>
            </w:pPr>
            <w:r w:rsidRPr="00DD1B74">
              <w:rPr>
                <w:sz w:val="18"/>
                <w:szCs w:val="18"/>
              </w:rPr>
              <w:t>-184</w:t>
            </w:r>
          </w:p>
        </w:tc>
        <w:tc>
          <w:tcPr>
            <w:tcW w:w="327" w:type="pct"/>
            <w:tcBorders>
              <w:top w:val="single" w:sz="4" w:space="0" w:color="auto"/>
              <w:left w:val="single" w:sz="4" w:space="0" w:color="auto"/>
              <w:bottom w:val="single" w:sz="4" w:space="0" w:color="auto"/>
              <w:right w:val="single" w:sz="4" w:space="0" w:color="auto"/>
            </w:tcBorders>
            <w:shd w:val="clear" w:color="000000" w:fill="F6F7FC"/>
            <w:noWrap/>
            <w:vAlign w:val="bottom"/>
            <w:hideMark/>
          </w:tcPr>
          <w:p w:rsidR="00DD1B74" w:rsidRPr="00DD1B74" w:rsidRDefault="00DD1B74" w:rsidP="00DD1B74">
            <w:pPr>
              <w:spacing w:before="0"/>
              <w:jc w:val="right"/>
              <w:rPr>
                <w:sz w:val="18"/>
                <w:szCs w:val="18"/>
              </w:rPr>
            </w:pPr>
            <w:r w:rsidRPr="00DD1B74">
              <w:rPr>
                <w:sz w:val="18"/>
                <w:szCs w:val="18"/>
              </w:rPr>
              <w:t>14,8 %</w:t>
            </w:r>
          </w:p>
        </w:tc>
        <w:tc>
          <w:tcPr>
            <w:tcW w:w="327" w:type="pct"/>
            <w:tcBorders>
              <w:top w:val="single" w:sz="4" w:space="0" w:color="auto"/>
              <w:left w:val="single" w:sz="4" w:space="0" w:color="auto"/>
              <w:bottom w:val="single" w:sz="4" w:space="0" w:color="auto"/>
              <w:right w:val="single" w:sz="4" w:space="0" w:color="auto"/>
            </w:tcBorders>
            <w:shd w:val="clear" w:color="000000" w:fill="FBD4D7"/>
            <w:noWrap/>
            <w:vAlign w:val="bottom"/>
            <w:hideMark/>
          </w:tcPr>
          <w:p w:rsidR="00DD1B74" w:rsidRPr="00DD1B74" w:rsidRDefault="00DD1B74" w:rsidP="00DD1B74">
            <w:pPr>
              <w:spacing w:before="0"/>
              <w:jc w:val="right"/>
              <w:rPr>
                <w:sz w:val="18"/>
                <w:szCs w:val="18"/>
              </w:rPr>
            </w:pPr>
            <w:r w:rsidRPr="00DD1B74">
              <w:rPr>
                <w:sz w:val="18"/>
                <w:szCs w:val="18"/>
              </w:rPr>
              <w:t>15,4 %</w:t>
            </w:r>
          </w:p>
        </w:tc>
        <w:tc>
          <w:tcPr>
            <w:tcW w:w="327" w:type="pct"/>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DD1B74" w:rsidRPr="00DD1B74" w:rsidRDefault="00DD1B74" w:rsidP="00DD1B74">
            <w:pPr>
              <w:spacing w:before="0"/>
              <w:jc w:val="right"/>
              <w:rPr>
                <w:sz w:val="18"/>
                <w:szCs w:val="18"/>
              </w:rPr>
            </w:pPr>
            <w:r w:rsidRPr="00DD1B74">
              <w:rPr>
                <w:sz w:val="18"/>
                <w:szCs w:val="18"/>
              </w:rPr>
              <w:t>15,1 %</w:t>
            </w:r>
          </w:p>
        </w:tc>
        <w:tc>
          <w:tcPr>
            <w:tcW w:w="580" w:type="pct"/>
            <w:tcBorders>
              <w:top w:val="single" w:sz="4" w:space="0" w:color="auto"/>
              <w:left w:val="single" w:sz="4" w:space="0" w:color="auto"/>
              <w:bottom w:val="single" w:sz="4" w:space="0" w:color="auto"/>
              <w:right w:val="single" w:sz="4" w:space="0" w:color="auto"/>
            </w:tcBorders>
            <w:shd w:val="clear" w:color="000000" w:fill="C5E6CF"/>
            <w:noWrap/>
            <w:vAlign w:val="bottom"/>
            <w:hideMark/>
          </w:tcPr>
          <w:p w:rsidR="00DD1B74" w:rsidRPr="00DD1B74" w:rsidRDefault="00DD1B74" w:rsidP="00DD1B74">
            <w:pPr>
              <w:spacing w:before="0"/>
              <w:jc w:val="right"/>
              <w:rPr>
                <w:sz w:val="18"/>
                <w:szCs w:val="18"/>
              </w:rPr>
            </w:pPr>
            <w:r w:rsidRPr="00DD1B74">
              <w:rPr>
                <w:sz w:val="18"/>
                <w:szCs w:val="18"/>
              </w:rPr>
              <w:t>0,6 %</w:t>
            </w:r>
          </w:p>
        </w:tc>
        <w:tc>
          <w:tcPr>
            <w:tcW w:w="580" w:type="pct"/>
            <w:tcBorders>
              <w:top w:val="single" w:sz="4" w:space="0" w:color="auto"/>
              <w:left w:val="single" w:sz="4" w:space="0" w:color="auto"/>
              <w:bottom w:val="single" w:sz="4" w:space="0" w:color="auto"/>
              <w:right w:val="single" w:sz="4" w:space="0" w:color="auto"/>
            </w:tcBorders>
            <w:shd w:val="clear" w:color="000000" w:fill="89CE9C"/>
            <w:noWrap/>
            <w:vAlign w:val="bottom"/>
            <w:hideMark/>
          </w:tcPr>
          <w:p w:rsidR="00DD1B74" w:rsidRPr="00DD1B74" w:rsidRDefault="00DD1B74" w:rsidP="00DD1B74">
            <w:pPr>
              <w:spacing w:before="0"/>
              <w:jc w:val="right"/>
              <w:rPr>
                <w:sz w:val="18"/>
                <w:szCs w:val="18"/>
              </w:rPr>
            </w:pPr>
            <w:r w:rsidRPr="00DD1B74">
              <w:rPr>
                <w:sz w:val="18"/>
                <w:szCs w:val="18"/>
              </w:rPr>
              <w:t>-0,3 %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Jeseník</w:t>
            </w:r>
          </w:p>
        </w:tc>
        <w:tc>
          <w:tcPr>
            <w:tcW w:w="351"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rsidR="00DD1B74" w:rsidRPr="00DD1B74" w:rsidRDefault="00DD1B74" w:rsidP="00DD1B74">
            <w:pPr>
              <w:spacing w:before="0"/>
              <w:jc w:val="right"/>
              <w:rPr>
                <w:sz w:val="18"/>
                <w:szCs w:val="18"/>
              </w:rPr>
            </w:pPr>
            <w:r w:rsidRPr="00DD1B74">
              <w:rPr>
                <w:sz w:val="18"/>
                <w:szCs w:val="18"/>
              </w:rPr>
              <w:t>5 808</w:t>
            </w:r>
          </w:p>
        </w:tc>
        <w:tc>
          <w:tcPr>
            <w:tcW w:w="351"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rsidR="00DD1B74" w:rsidRPr="00DD1B74" w:rsidRDefault="00DD1B74" w:rsidP="00DD1B74">
            <w:pPr>
              <w:spacing w:before="0"/>
              <w:jc w:val="right"/>
              <w:rPr>
                <w:sz w:val="18"/>
                <w:szCs w:val="18"/>
              </w:rPr>
            </w:pPr>
            <w:r w:rsidRPr="00DD1B74">
              <w:rPr>
                <w:sz w:val="18"/>
                <w:szCs w:val="18"/>
              </w:rPr>
              <w:t>5 180</w:t>
            </w:r>
          </w:p>
        </w:tc>
        <w:tc>
          <w:tcPr>
            <w:tcW w:w="35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DD1B74" w:rsidRPr="00DD1B74" w:rsidRDefault="00DD1B74" w:rsidP="00DD1B74">
            <w:pPr>
              <w:spacing w:before="0"/>
              <w:jc w:val="right"/>
              <w:rPr>
                <w:sz w:val="18"/>
                <w:szCs w:val="18"/>
              </w:rPr>
            </w:pPr>
            <w:r w:rsidRPr="00DD1B74">
              <w:rPr>
                <w:sz w:val="18"/>
                <w:szCs w:val="18"/>
              </w:rPr>
              <w:t>5 028</w:t>
            </w:r>
          </w:p>
        </w:tc>
        <w:tc>
          <w:tcPr>
            <w:tcW w:w="580" w:type="pct"/>
            <w:tcBorders>
              <w:top w:val="single" w:sz="4" w:space="0" w:color="auto"/>
              <w:left w:val="single" w:sz="4" w:space="0" w:color="auto"/>
              <w:bottom w:val="single" w:sz="4" w:space="0" w:color="auto"/>
              <w:right w:val="single" w:sz="4" w:space="0" w:color="auto"/>
            </w:tcBorders>
            <w:shd w:val="clear" w:color="000000" w:fill="B1DEBE"/>
            <w:noWrap/>
            <w:vAlign w:val="bottom"/>
            <w:hideMark/>
          </w:tcPr>
          <w:p w:rsidR="00DD1B74" w:rsidRPr="00DD1B74" w:rsidRDefault="00DD1B74" w:rsidP="00DD1B74">
            <w:pPr>
              <w:spacing w:before="0"/>
              <w:jc w:val="right"/>
              <w:rPr>
                <w:sz w:val="18"/>
                <w:szCs w:val="18"/>
              </w:rPr>
            </w:pPr>
            <w:r w:rsidRPr="00DD1B74">
              <w:rPr>
                <w:sz w:val="18"/>
                <w:szCs w:val="18"/>
              </w:rPr>
              <w:t>-628</w:t>
            </w:r>
          </w:p>
        </w:tc>
        <w:tc>
          <w:tcPr>
            <w:tcW w:w="580" w:type="pct"/>
            <w:tcBorders>
              <w:top w:val="single" w:sz="4" w:space="0" w:color="auto"/>
              <w:left w:val="single" w:sz="4" w:space="0" w:color="auto"/>
              <w:bottom w:val="single" w:sz="4" w:space="0" w:color="auto"/>
              <w:right w:val="single" w:sz="4" w:space="0" w:color="auto"/>
            </w:tcBorders>
            <w:shd w:val="clear" w:color="000000" w:fill="AADBB9"/>
            <w:noWrap/>
            <w:vAlign w:val="bottom"/>
            <w:hideMark/>
          </w:tcPr>
          <w:p w:rsidR="00DD1B74" w:rsidRPr="00DD1B74" w:rsidRDefault="00DD1B74" w:rsidP="00DD1B74">
            <w:pPr>
              <w:spacing w:before="0"/>
              <w:jc w:val="right"/>
              <w:rPr>
                <w:sz w:val="18"/>
                <w:szCs w:val="18"/>
              </w:rPr>
            </w:pPr>
            <w:r w:rsidRPr="00DD1B74">
              <w:rPr>
                <w:sz w:val="18"/>
                <w:szCs w:val="18"/>
              </w:rPr>
              <w:t>-152</w:t>
            </w:r>
          </w:p>
        </w:tc>
        <w:tc>
          <w:tcPr>
            <w:tcW w:w="327" w:type="pct"/>
            <w:tcBorders>
              <w:top w:val="single" w:sz="4" w:space="0" w:color="auto"/>
              <w:left w:val="single" w:sz="4" w:space="0" w:color="auto"/>
              <w:bottom w:val="single" w:sz="4" w:space="0" w:color="auto"/>
              <w:right w:val="single" w:sz="4" w:space="0" w:color="auto"/>
            </w:tcBorders>
            <w:shd w:val="clear" w:color="000000" w:fill="ACC3E2"/>
            <w:noWrap/>
            <w:vAlign w:val="bottom"/>
            <w:hideMark/>
          </w:tcPr>
          <w:p w:rsidR="00DD1B74" w:rsidRPr="00DD1B74" w:rsidRDefault="00DD1B74" w:rsidP="00DD1B74">
            <w:pPr>
              <w:spacing w:before="0"/>
              <w:jc w:val="right"/>
              <w:rPr>
                <w:sz w:val="18"/>
                <w:szCs w:val="18"/>
              </w:rPr>
            </w:pPr>
            <w:r w:rsidRPr="00DD1B74">
              <w:rPr>
                <w:sz w:val="18"/>
                <w:szCs w:val="18"/>
              </w:rPr>
              <w:t>14,3 %</w:t>
            </w:r>
          </w:p>
        </w:tc>
        <w:tc>
          <w:tcPr>
            <w:tcW w:w="327" w:type="pct"/>
            <w:tcBorders>
              <w:top w:val="single" w:sz="4" w:space="0" w:color="auto"/>
              <w:left w:val="single" w:sz="4" w:space="0" w:color="auto"/>
              <w:bottom w:val="single" w:sz="4" w:space="0" w:color="auto"/>
              <w:right w:val="single" w:sz="4" w:space="0" w:color="auto"/>
            </w:tcBorders>
            <w:shd w:val="clear" w:color="000000" w:fill="86A9D5"/>
            <w:noWrap/>
            <w:vAlign w:val="bottom"/>
            <w:hideMark/>
          </w:tcPr>
          <w:p w:rsidR="00DD1B74" w:rsidRPr="00DD1B74" w:rsidRDefault="00DD1B74" w:rsidP="00DD1B74">
            <w:pPr>
              <w:spacing w:before="0"/>
              <w:jc w:val="right"/>
              <w:rPr>
                <w:sz w:val="18"/>
                <w:szCs w:val="18"/>
              </w:rPr>
            </w:pPr>
            <w:r w:rsidRPr="00DD1B74">
              <w:rPr>
                <w:sz w:val="18"/>
                <w:szCs w:val="18"/>
              </w:rPr>
              <w:t>14,1 %</w:t>
            </w:r>
          </w:p>
        </w:tc>
        <w:tc>
          <w:tcPr>
            <w:tcW w:w="327" w:type="pct"/>
            <w:tcBorders>
              <w:top w:val="single" w:sz="4" w:space="0" w:color="auto"/>
              <w:left w:val="single" w:sz="4" w:space="0" w:color="auto"/>
              <w:bottom w:val="single" w:sz="4" w:space="0" w:color="auto"/>
              <w:right w:val="single" w:sz="4" w:space="0" w:color="auto"/>
            </w:tcBorders>
            <w:shd w:val="clear" w:color="000000" w:fill="89ABD6"/>
            <w:noWrap/>
            <w:vAlign w:val="bottom"/>
            <w:hideMark/>
          </w:tcPr>
          <w:p w:rsidR="00DD1B74" w:rsidRPr="00DD1B74" w:rsidRDefault="00DD1B74" w:rsidP="00DD1B74">
            <w:pPr>
              <w:spacing w:before="0"/>
              <w:jc w:val="right"/>
              <w:rPr>
                <w:sz w:val="18"/>
                <w:szCs w:val="18"/>
              </w:rPr>
            </w:pPr>
            <w:r w:rsidRPr="00DD1B74">
              <w:rPr>
                <w:sz w:val="18"/>
                <w:szCs w:val="18"/>
              </w:rPr>
              <w:t>14,1 %</w:t>
            </w:r>
          </w:p>
        </w:tc>
        <w:tc>
          <w:tcPr>
            <w:tcW w:w="580"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DD1B74" w:rsidRPr="00DD1B74" w:rsidRDefault="00DD1B74" w:rsidP="00DD1B74">
            <w:pPr>
              <w:spacing w:before="0"/>
              <w:jc w:val="right"/>
              <w:rPr>
                <w:sz w:val="18"/>
                <w:szCs w:val="18"/>
              </w:rPr>
            </w:pPr>
            <w:r w:rsidRPr="00DD1B74">
              <w:rPr>
                <w:sz w:val="18"/>
                <w:szCs w:val="18"/>
              </w:rPr>
              <w:t>-0,3 %</w:t>
            </w:r>
          </w:p>
        </w:tc>
        <w:tc>
          <w:tcPr>
            <w:tcW w:w="580"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DD1B74" w:rsidRPr="00DD1B74" w:rsidRDefault="00DD1B74" w:rsidP="00DD1B74">
            <w:pPr>
              <w:spacing w:before="0"/>
              <w:jc w:val="right"/>
              <w:rPr>
                <w:sz w:val="18"/>
                <w:szCs w:val="18"/>
              </w:rPr>
            </w:pPr>
            <w:r w:rsidRPr="00DD1B74">
              <w:rPr>
                <w:sz w:val="18"/>
                <w:szCs w:val="18"/>
              </w:rPr>
              <w:t>0,0 %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Konice</w:t>
            </w:r>
          </w:p>
        </w:tc>
        <w:tc>
          <w:tcPr>
            <w:tcW w:w="351" w:type="pct"/>
            <w:tcBorders>
              <w:top w:val="single" w:sz="4" w:space="0" w:color="auto"/>
              <w:left w:val="single" w:sz="4" w:space="0" w:color="auto"/>
              <w:bottom w:val="single" w:sz="4" w:space="0" w:color="auto"/>
              <w:right w:val="single" w:sz="4" w:space="0" w:color="auto"/>
            </w:tcBorders>
            <w:shd w:val="clear" w:color="000000" w:fill="5D8CC7"/>
            <w:noWrap/>
            <w:vAlign w:val="bottom"/>
            <w:hideMark/>
          </w:tcPr>
          <w:p w:rsidR="00DD1B74" w:rsidRPr="00DD1B74" w:rsidRDefault="00DD1B74" w:rsidP="00DD1B74">
            <w:pPr>
              <w:spacing w:before="0"/>
              <w:jc w:val="right"/>
              <w:rPr>
                <w:sz w:val="18"/>
                <w:szCs w:val="18"/>
              </w:rPr>
            </w:pPr>
            <w:r w:rsidRPr="00DD1B74">
              <w:rPr>
                <w:sz w:val="18"/>
                <w:szCs w:val="18"/>
              </w:rPr>
              <w:t>1 564</w:t>
            </w:r>
          </w:p>
        </w:tc>
        <w:tc>
          <w:tcPr>
            <w:tcW w:w="351" w:type="pct"/>
            <w:tcBorders>
              <w:top w:val="single" w:sz="4" w:space="0" w:color="auto"/>
              <w:left w:val="single" w:sz="4" w:space="0" w:color="auto"/>
              <w:bottom w:val="single" w:sz="4" w:space="0" w:color="auto"/>
              <w:right w:val="single" w:sz="4" w:space="0" w:color="auto"/>
            </w:tcBorders>
            <w:shd w:val="clear" w:color="000000" w:fill="5C8BC6"/>
            <w:noWrap/>
            <w:vAlign w:val="bottom"/>
            <w:hideMark/>
          </w:tcPr>
          <w:p w:rsidR="00DD1B74" w:rsidRPr="00DD1B74" w:rsidRDefault="00DD1B74" w:rsidP="00DD1B74">
            <w:pPr>
              <w:spacing w:before="0"/>
              <w:jc w:val="right"/>
              <w:rPr>
                <w:sz w:val="18"/>
                <w:szCs w:val="18"/>
              </w:rPr>
            </w:pPr>
            <w:r w:rsidRPr="00DD1B74">
              <w:rPr>
                <w:sz w:val="18"/>
                <w:szCs w:val="18"/>
              </w:rPr>
              <w:t>1 531</w:t>
            </w:r>
          </w:p>
        </w:tc>
        <w:tc>
          <w:tcPr>
            <w:tcW w:w="351"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DD1B74" w:rsidRPr="00DD1B74" w:rsidRDefault="00DD1B74" w:rsidP="00DD1B74">
            <w:pPr>
              <w:spacing w:before="0"/>
              <w:jc w:val="right"/>
              <w:rPr>
                <w:sz w:val="18"/>
                <w:szCs w:val="18"/>
              </w:rPr>
            </w:pPr>
            <w:r w:rsidRPr="00DD1B74">
              <w:rPr>
                <w:sz w:val="18"/>
                <w:szCs w:val="18"/>
              </w:rPr>
              <w:t>1 479</w:t>
            </w:r>
          </w:p>
        </w:tc>
        <w:tc>
          <w:tcPr>
            <w:tcW w:w="580" w:type="pct"/>
            <w:tcBorders>
              <w:top w:val="single" w:sz="4" w:space="0" w:color="auto"/>
              <w:left w:val="single" w:sz="4" w:space="0" w:color="auto"/>
              <w:bottom w:val="single" w:sz="4" w:space="0" w:color="auto"/>
              <w:right w:val="single" w:sz="4" w:space="0" w:color="auto"/>
            </w:tcBorders>
            <w:shd w:val="clear" w:color="000000" w:fill="A9DBB7"/>
            <w:noWrap/>
            <w:vAlign w:val="bottom"/>
            <w:hideMark/>
          </w:tcPr>
          <w:p w:rsidR="00DD1B74" w:rsidRPr="00DD1B74" w:rsidRDefault="00DD1B74" w:rsidP="00DD1B74">
            <w:pPr>
              <w:spacing w:before="0"/>
              <w:jc w:val="right"/>
              <w:rPr>
                <w:sz w:val="18"/>
                <w:szCs w:val="18"/>
              </w:rPr>
            </w:pPr>
            <w:r w:rsidRPr="00DD1B74">
              <w:rPr>
                <w:sz w:val="18"/>
                <w:szCs w:val="18"/>
              </w:rPr>
              <w:t>-33</w:t>
            </w:r>
          </w:p>
        </w:tc>
        <w:tc>
          <w:tcPr>
            <w:tcW w:w="580" w:type="pct"/>
            <w:tcBorders>
              <w:top w:val="single" w:sz="4" w:space="0" w:color="auto"/>
              <w:left w:val="single" w:sz="4" w:space="0" w:color="auto"/>
              <w:bottom w:val="single" w:sz="4" w:space="0" w:color="auto"/>
              <w:right w:val="single" w:sz="4" w:space="0" w:color="auto"/>
            </w:tcBorders>
            <w:shd w:val="clear" w:color="000000" w:fill="A9DBB8"/>
            <w:noWrap/>
            <w:vAlign w:val="bottom"/>
            <w:hideMark/>
          </w:tcPr>
          <w:p w:rsidR="00DD1B74" w:rsidRPr="00DD1B74" w:rsidRDefault="00DD1B74" w:rsidP="00DD1B74">
            <w:pPr>
              <w:spacing w:before="0"/>
              <w:jc w:val="right"/>
              <w:rPr>
                <w:sz w:val="18"/>
                <w:szCs w:val="18"/>
              </w:rPr>
            </w:pPr>
            <w:r w:rsidRPr="00DD1B74">
              <w:rPr>
                <w:sz w:val="18"/>
                <w:szCs w:val="18"/>
              </w:rPr>
              <w:t>-52</w:t>
            </w:r>
          </w:p>
        </w:tc>
        <w:tc>
          <w:tcPr>
            <w:tcW w:w="327" w:type="pct"/>
            <w:tcBorders>
              <w:top w:val="single" w:sz="4" w:space="0" w:color="auto"/>
              <w:left w:val="single" w:sz="4" w:space="0" w:color="auto"/>
              <w:bottom w:val="single" w:sz="4" w:space="0" w:color="auto"/>
              <w:right w:val="single" w:sz="4" w:space="0" w:color="auto"/>
            </w:tcBorders>
            <w:shd w:val="clear" w:color="000000" w:fill="85A8D5"/>
            <w:noWrap/>
            <w:vAlign w:val="bottom"/>
            <w:hideMark/>
          </w:tcPr>
          <w:p w:rsidR="00DD1B74" w:rsidRPr="00DD1B74" w:rsidRDefault="00DD1B74" w:rsidP="00DD1B74">
            <w:pPr>
              <w:spacing w:before="0"/>
              <w:jc w:val="right"/>
              <w:rPr>
                <w:sz w:val="18"/>
                <w:szCs w:val="18"/>
              </w:rPr>
            </w:pPr>
            <w:r w:rsidRPr="00DD1B74">
              <w:rPr>
                <w:sz w:val="18"/>
                <w:szCs w:val="18"/>
              </w:rPr>
              <w:t>14,1 %</w:t>
            </w:r>
          </w:p>
        </w:tc>
        <w:tc>
          <w:tcPr>
            <w:tcW w:w="327" w:type="pct"/>
            <w:tcBorders>
              <w:top w:val="single" w:sz="4" w:space="0" w:color="auto"/>
              <w:left w:val="single" w:sz="4" w:space="0" w:color="auto"/>
              <w:bottom w:val="single" w:sz="4" w:space="0" w:color="auto"/>
              <w:right w:val="single" w:sz="4" w:space="0" w:color="auto"/>
            </w:tcBorders>
            <w:shd w:val="clear" w:color="000000" w:fill="C4D4EB"/>
            <w:noWrap/>
            <w:vAlign w:val="bottom"/>
            <w:hideMark/>
          </w:tcPr>
          <w:p w:rsidR="00DD1B74" w:rsidRPr="00DD1B74" w:rsidRDefault="00DD1B74" w:rsidP="00DD1B74">
            <w:pPr>
              <w:spacing w:before="0"/>
              <w:jc w:val="right"/>
              <w:rPr>
                <w:sz w:val="18"/>
                <w:szCs w:val="18"/>
              </w:rPr>
            </w:pPr>
            <w:r w:rsidRPr="00DD1B74">
              <w:rPr>
                <w:sz w:val="18"/>
                <w:szCs w:val="18"/>
              </w:rPr>
              <w:t>14,5 %</w:t>
            </w:r>
          </w:p>
        </w:tc>
        <w:tc>
          <w:tcPr>
            <w:tcW w:w="327" w:type="pct"/>
            <w:tcBorders>
              <w:top w:val="single" w:sz="4" w:space="0" w:color="auto"/>
              <w:left w:val="single" w:sz="4" w:space="0" w:color="auto"/>
              <w:bottom w:val="single" w:sz="4" w:space="0" w:color="auto"/>
              <w:right w:val="single" w:sz="4" w:space="0" w:color="auto"/>
            </w:tcBorders>
            <w:shd w:val="clear" w:color="000000" w:fill="C7D6EC"/>
            <w:noWrap/>
            <w:vAlign w:val="bottom"/>
            <w:hideMark/>
          </w:tcPr>
          <w:p w:rsidR="00DD1B74" w:rsidRPr="00DD1B74" w:rsidRDefault="00DD1B74" w:rsidP="00DD1B74">
            <w:pPr>
              <w:spacing w:before="0"/>
              <w:jc w:val="right"/>
              <w:rPr>
                <w:sz w:val="18"/>
                <w:szCs w:val="18"/>
              </w:rPr>
            </w:pPr>
            <w:r w:rsidRPr="00DD1B74">
              <w:rPr>
                <w:sz w:val="18"/>
                <w:szCs w:val="18"/>
              </w:rPr>
              <w:t>14,5 %</w:t>
            </w:r>
          </w:p>
        </w:tc>
        <w:tc>
          <w:tcPr>
            <w:tcW w:w="580" w:type="pct"/>
            <w:tcBorders>
              <w:top w:val="single" w:sz="4" w:space="0" w:color="auto"/>
              <w:left w:val="single" w:sz="4" w:space="0" w:color="auto"/>
              <w:bottom w:val="single" w:sz="4" w:space="0" w:color="auto"/>
              <w:right w:val="single" w:sz="4" w:space="0" w:color="auto"/>
            </w:tcBorders>
            <w:shd w:val="clear" w:color="000000" w:fill="D0EAD9"/>
            <w:noWrap/>
            <w:vAlign w:val="bottom"/>
            <w:hideMark/>
          </w:tcPr>
          <w:p w:rsidR="00DD1B74" w:rsidRPr="00DD1B74" w:rsidRDefault="00DD1B74" w:rsidP="00DD1B74">
            <w:pPr>
              <w:spacing w:before="0"/>
              <w:jc w:val="right"/>
              <w:rPr>
                <w:sz w:val="18"/>
                <w:szCs w:val="18"/>
              </w:rPr>
            </w:pPr>
            <w:r w:rsidRPr="00DD1B74">
              <w:rPr>
                <w:sz w:val="18"/>
                <w:szCs w:val="18"/>
              </w:rPr>
              <w:t>0,4 %</w:t>
            </w:r>
          </w:p>
        </w:tc>
        <w:tc>
          <w:tcPr>
            <w:tcW w:w="580" w:type="pct"/>
            <w:tcBorders>
              <w:top w:val="single" w:sz="4" w:space="0" w:color="auto"/>
              <w:left w:val="single" w:sz="4" w:space="0" w:color="auto"/>
              <w:bottom w:val="single" w:sz="4" w:space="0" w:color="auto"/>
              <w:right w:val="single" w:sz="4" w:space="0" w:color="auto"/>
            </w:tcBorders>
            <w:shd w:val="clear" w:color="000000" w:fill="64BF7C"/>
            <w:noWrap/>
            <w:vAlign w:val="bottom"/>
            <w:hideMark/>
          </w:tcPr>
          <w:p w:rsidR="00DD1B74" w:rsidRPr="00DD1B74" w:rsidRDefault="00DD1B74" w:rsidP="00DD1B74">
            <w:pPr>
              <w:spacing w:before="0"/>
              <w:jc w:val="right"/>
              <w:rPr>
                <w:sz w:val="18"/>
                <w:szCs w:val="18"/>
              </w:rPr>
            </w:pPr>
            <w:r w:rsidRPr="00DD1B74">
              <w:rPr>
                <w:sz w:val="18"/>
                <w:szCs w:val="18"/>
              </w:rPr>
              <w:t>0,0 %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Lipník n. B.</w:t>
            </w:r>
          </w:p>
        </w:tc>
        <w:tc>
          <w:tcPr>
            <w:tcW w:w="351" w:type="pct"/>
            <w:tcBorders>
              <w:top w:val="single" w:sz="4" w:space="0" w:color="auto"/>
              <w:left w:val="single" w:sz="4" w:space="0" w:color="auto"/>
              <w:bottom w:val="single" w:sz="4" w:space="0" w:color="auto"/>
              <w:right w:val="single" w:sz="4" w:space="0" w:color="auto"/>
            </w:tcBorders>
            <w:shd w:val="clear" w:color="000000" w:fill="7DA3D2"/>
            <w:noWrap/>
            <w:vAlign w:val="bottom"/>
            <w:hideMark/>
          </w:tcPr>
          <w:p w:rsidR="00DD1B74" w:rsidRPr="00DD1B74" w:rsidRDefault="00DD1B74" w:rsidP="00DD1B74">
            <w:pPr>
              <w:spacing w:before="0"/>
              <w:jc w:val="right"/>
              <w:rPr>
                <w:sz w:val="18"/>
                <w:szCs w:val="18"/>
              </w:rPr>
            </w:pPr>
            <w:r w:rsidRPr="00DD1B74">
              <w:rPr>
                <w:sz w:val="18"/>
                <w:szCs w:val="18"/>
              </w:rPr>
              <w:t>2 251</w:t>
            </w:r>
          </w:p>
        </w:tc>
        <w:tc>
          <w:tcPr>
            <w:tcW w:w="351" w:type="pct"/>
            <w:tcBorders>
              <w:top w:val="single" w:sz="4" w:space="0" w:color="auto"/>
              <w:left w:val="single" w:sz="4" w:space="0" w:color="auto"/>
              <w:bottom w:val="single" w:sz="4" w:space="0" w:color="auto"/>
              <w:right w:val="single" w:sz="4" w:space="0" w:color="auto"/>
            </w:tcBorders>
            <w:shd w:val="clear" w:color="000000" w:fill="80A4D3"/>
            <w:noWrap/>
            <w:vAlign w:val="bottom"/>
            <w:hideMark/>
          </w:tcPr>
          <w:p w:rsidR="00DD1B74" w:rsidRPr="00DD1B74" w:rsidRDefault="00DD1B74" w:rsidP="00DD1B74">
            <w:pPr>
              <w:spacing w:before="0"/>
              <w:jc w:val="right"/>
              <w:rPr>
                <w:sz w:val="18"/>
                <w:szCs w:val="18"/>
              </w:rPr>
            </w:pPr>
            <w:r w:rsidRPr="00DD1B74">
              <w:rPr>
                <w:sz w:val="18"/>
                <w:szCs w:val="18"/>
              </w:rPr>
              <w:t>2 302</w:t>
            </w:r>
          </w:p>
        </w:tc>
        <w:tc>
          <w:tcPr>
            <w:tcW w:w="351" w:type="pct"/>
            <w:tcBorders>
              <w:top w:val="single" w:sz="4" w:space="0" w:color="auto"/>
              <w:left w:val="single" w:sz="4" w:space="0" w:color="auto"/>
              <w:bottom w:val="single" w:sz="4" w:space="0" w:color="auto"/>
              <w:right w:val="single" w:sz="4" w:space="0" w:color="auto"/>
            </w:tcBorders>
            <w:shd w:val="clear" w:color="000000" w:fill="7AA1D1"/>
            <w:noWrap/>
            <w:vAlign w:val="bottom"/>
            <w:hideMark/>
          </w:tcPr>
          <w:p w:rsidR="00DD1B74" w:rsidRPr="00DD1B74" w:rsidRDefault="00DD1B74" w:rsidP="00DD1B74">
            <w:pPr>
              <w:spacing w:before="0"/>
              <w:jc w:val="right"/>
              <w:rPr>
                <w:sz w:val="18"/>
                <w:szCs w:val="18"/>
              </w:rPr>
            </w:pPr>
            <w:r w:rsidRPr="00DD1B74">
              <w:rPr>
                <w:sz w:val="18"/>
                <w:szCs w:val="18"/>
              </w:rPr>
              <w:t>2 185</w:t>
            </w:r>
          </w:p>
        </w:tc>
        <w:tc>
          <w:tcPr>
            <w:tcW w:w="580" w:type="pct"/>
            <w:tcBorders>
              <w:top w:val="single" w:sz="4" w:space="0" w:color="auto"/>
              <w:left w:val="single" w:sz="4" w:space="0" w:color="auto"/>
              <w:bottom w:val="single" w:sz="4" w:space="0" w:color="auto"/>
              <w:right w:val="single" w:sz="4" w:space="0" w:color="auto"/>
            </w:tcBorders>
            <w:shd w:val="clear" w:color="000000" w:fill="A8DAB6"/>
            <w:noWrap/>
            <w:vAlign w:val="bottom"/>
            <w:hideMark/>
          </w:tcPr>
          <w:p w:rsidR="00DD1B74" w:rsidRPr="00DD1B74" w:rsidRDefault="00DD1B74" w:rsidP="00DD1B74">
            <w:pPr>
              <w:spacing w:before="0"/>
              <w:jc w:val="right"/>
              <w:rPr>
                <w:sz w:val="18"/>
                <w:szCs w:val="18"/>
              </w:rPr>
            </w:pPr>
            <w:r w:rsidRPr="00DD1B74">
              <w:rPr>
                <w:sz w:val="18"/>
                <w:szCs w:val="18"/>
              </w:rPr>
              <w:t>51</w:t>
            </w:r>
          </w:p>
        </w:tc>
        <w:tc>
          <w:tcPr>
            <w:tcW w:w="580" w:type="pct"/>
            <w:tcBorders>
              <w:top w:val="single" w:sz="4" w:space="0" w:color="auto"/>
              <w:left w:val="single" w:sz="4" w:space="0" w:color="auto"/>
              <w:bottom w:val="single" w:sz="4" w:space="0" w:color="auto"/>
              <w:right w:val="single" w:sz="4" w:space="0" w:color="auto"/>
            </w:tcBorders>
            <w:shd w:val="clear" w:color="000000" w:fill="AADBB8"/>
            <w:noWrap/>
            <w:vAlign w:val="bottom"/>
            <w:hideMark/>
          </w:tcPr>
          <w:p w:rsidR="00DD1B74" w:rsidRPr="00DD1B74" w:rsidRDefault="00DD1B74" w:rsidP="00DD1B74">
            <w:pPr>
              <w:spacing w:before="0"/>
              <w:jc w:val="right"/>
              <w:rPr>
                <w:sz w:val="18"/>
                <w:szCs w:val="18"/>
              </w:rPr>
            </w:pPr>
            <w:r w:rsidRPr="00DD1B74">
              <w:rPr>
                <w:sz w:val="18"/>
                <w:szCs w:val="18"/>
              </w:rPr>
              <w:t>-117</w:t>
            </w:r>
          </w:p>
        </w:tc>
        <w:tc>
          <w:tcPr>
            <w:tcW w:w="327" w:type="pct"/>
            <w:tcBorders>
              <w:top w:val="single" w:sz="4" w:space="0" w:color="auto"/>
              <w:left w:val="single" w:sz="4" w:space="0" w:color="auto"/>
              <w:bottom w:val="single" w:sz="4" w:space="0" w:color="auto"/>
              <w:right w:val="single" w:sz="4" w:space="0" w:color="auto"/>
            </w:tcBorders>
            <w:shd w:val="clear" w:color="000000" w:fill="D9E3F2"/>
            <w:noWrap/>
            <w:vAlign w:val="bottom"/>
            <w:hideMark/>
          </w:tcPr>
          <w:p w:rsidR="00DD1B74" w:rsidRPr="00DD1B74" w:rsidRDefault="00DD1B74" w:rsidP="00DD1B74">
            <w:pPr>
              <w:spacing w:before="0"/>
              <w:jc w:val="right"/>
              <w:rPr>
                <w:sz w:val="18"/>
                <w:szCs w:val="18"/>
              </w:rPr>
            </w:pPr>
            <w:r w:rsidRPr="00DD1B74">
              <w:rPr>
                <w:sz w:val="18"/>
                <w:szCs w:val="18"/>
              </w:rPr>
              <w:t>14,6 %</w:t>
            </w:r>
          </w:p>
        </w:tc>
        <w:tc>
          <w:tcPr>
            <w:tcW w:w="327" w:type="pct"/>
            <w:tcBorders>
              <w:top w:val="single" w:sz="4" w:space="0" w:color="auto"/>
              <w:left w:val="single" w:sz="4" w:space="0" w:color="auto"/>
              <w:bottom w:val="single" w:sz="4" w:space="0" w:color="auto"/>
              <w:right w:val="single" w:sz="4" w:space="0" w:color="auto"/>
            </w:tcBorders>
            <w:shd w:val="clear" w:color="000000" w:fill="FBD7D9"/>
            <w:noWrap/>
            <w:vAlign w:val="bottom"/>
            <w:hideMark/>
          </w:tcPr>
          <w:p w:rsidR="00DD1B74" w:rsidRPr="00DD1B74" w:rsidRDefault="00DD1B74" w:rsidP="00DD1B74">
            <w:pPr>
              <w:spacing w:before="0"/>
              <w:jc w:val="right"/>
              <w:rPr>
                <w:sz w:val="18"/>
                <w:szCs w:val="18"/>
              </w:rPr>
            </w:pPr>
            <w:r w:rsidRPr="00DD1B74">
              <w:rPr>
                <w:sz w:val="18"/>
                <w:szCs w:val="18"/>
              </w:rPr>
              <w:t>15,4 %</w:t>
            </w:r>
          </w:p>
        </w:tc>
        <w:tc>
          <w:tcPr>
            <w:tcW w:w="327"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DD1B74" w:rsidRPr="00DD1B74" w:rsidRDefault="00DD1B74" w:rsidP="00DD1B74">
            <w:pPr>
              <w:spacing w:before="0"/>
              <w:jc w:val="right"/>
              <w:rPr>
                <w:sz w:val="18"/>
                <w:szCs w:val="18"/>
              </w:rPr>
            </w:pPr>
            <w:r w:rsidRPr="00DD1B74">
              <w:rPr>
                <w:sz w:val="18"/>
                <w:szCs w:val="18"/>
              </w:rPr>
              <w:t>14,9 %</w:t>
            </w:r>
          </w:p>
        </w:tc>
        <w:tc>
          <w:tcPr>
            <w:tcW w:w="580" w:type="pct"/>
            <w:tcBorders>
              <w:top w:val="single" w:sz="4" w:space="0" w:color="auto"/>
              <w:left w:val="single" w:sz="4" w:space="0" w:color="auto"/>
              <w:bottom w:val="single" w:sz="4" w:space="0" w:color="auto"/>
              <w:right w:val="single" w:sz="4" w:space="0" w:color="auto"/>
            </w:tcBorders>
            <w:shd w:val="clear" w:color="000000" w:fill="BAE2C6"/>
            <w:noWrap/>
            <w:vAlign w:val="bottom"/>
            <w:hideMark/>
          </w:tcPr>
          <w:p w:rsidR="00DD1B74" w:rsidRPr="00DD1B74" w:rsidRDefault="00DD1B74" w:rsidP="00DD1B74">
            <w:pPr>
              <w:spacing w:before="0"/>
              <w:jc w:val="right"/>
              <w:rPr>
                <w:sz w:val="18"/>
                <w:szCs w:val="18"/>
              </w:rPr>
            </w:pPr>
            <w:r w:rsidRPr="00DD1B74">
              <w:rPr>
                <w:sz w:val="18"/>
                <w:szCs w:val="18"/>
              </w:rPr>
              <w:t>0,7 %</w:t>
            </w:r>
          </w:p>
        </w:tc>
        <w:tc>
          <w:tcPr>
            <w:tcW w:w="580" w:type="pct"/>
            <w:tcBorders>
              <w:top w:val="single" w:sz="4" w:space="0" w:color="auto"/>
              <w:left w:val="single" w:sz="4" w:space="0" w:color="auto"/>
              <w:bottom w:val="single" w:sz="4" w:space="0" w:color="auto"/>
              <w:right w:val="single" w:sz="4" w:space="0" w:color="auto"/>
            </w:tcBorders>
            <w:shd w:val="clear" w:color="000000" w:fill="A2D8B1"/>
            <w:noWrap/>
            <w:vAlign w:val="bottom"/>
            <w:hideMark/>
          </w:tcPr>
          <w:p w:rsidR="00DD1B74" w:rsidRPr="00DD1B74" w:rsidRDefault="00DD1B74" w:rsidP="00DD1B74">
            <w:pPr>
              <w:spacing w:before="0"/>
              <w:jc w:val="right"/>
              <w:rPr>
                <w:sz w:val="18"/>
                <w:szCs w:val="18"/>
              </w:rPr>
            </w:pPr>
            <w:r w:rsidRPr="00DD1B74">
              <w:rPr>
                <w:sz w:val="18"/>
                <w:szCs w:val="18"/>
              </w:rPr>
              <w:t>-0,5 %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Litovel</w:t>
            </w:r>
          </w:p>
        </w:tc>
        <w:tc>
          <w:tcPr>
            <w:tcW w:w="351" w:type="pct"/>
            <w:tcBorders>
              <w:top w:val="single" w:sz="4" w:space="0" w:color="auto"/>
              <w:left w:val="single" w:sz="4" w:space="0" w:color="auto"/>
              <w:bottom w:val="single" w:sz="4" w:space="0" w:color="auto"/>
              <w:right w:val="single" w:sz="4" w:space="0" w:color="auto"/>
            </w:tcBorders>
            <w:shd w:val="clear" w:color="000000" w:fill="B5CAE6"/>
            <w:noWrap/>
            <w:vAlign w:val="bottom"/>
            <w:hideMark/>
          </w:tcPr>
          <w:p w:rsidR="00DD1B74" w:rsidRPr="00DD1B74" w:rsidRDefault="00DD1B74" w:rsidP="00DD1B74">
            <w:pPr>
              <w:spacing w:before="0"/>
              <w:jc w:val="right"/>
              <w:rPr>
                <w:sz w:val="18"/>
                <w:szCs w:val="18"/>
              </w:rPr>
            </w:pPr>
            <w:r w:rsidRPr="00DD1B74">
              <w:rPr>
                <w:sz w:val="18"/>
                <w:szCs w:val="18"/>
              </w:rPr>
              <w:t>3 458</w:t>
            </w:r>
          </w:p>
        </w:tc>
        <w:tc>
          <w:tcPr>
            <w:tcW w:w="351" w:type="pct"/>
            <w:tcBorders>
              <w:top w:val="single" w:sz="4" w:space="0" w:color="auto"/>
              <w:left w:val="single" w:sz="4" w:space="0" w:color="auto"/>
              <w:bottom w:val="single" w:sz="4" w:space="0" w:color="auto"/>
              <w:right w:val="single" w:sz="4" w:space="0" w:color="auto"/>
            </w:tcBorders>
            <w:shd w:val="clear" w:color="000000" w:fill="C6D6EC"/>
            <w:noWrap/>
            <w:vAlign w:val="bottom"/>
            <w:hideMark/>
          </w:tcPr>
          <w:p w:rsidR="00DD1B74" w:rsidRPr="00DD1B74" w:rsidRDefault="00DD1B74" w:rsidP="00DD1B74">
            <w:pPr>
              <w:spacing w:before="0"/>
              <w:jc w:val="right"/>
              <w:rPr>
                <w:sz w:val="18"/>
                <w:szCs w:val="18"/>
              </w:rPr>
            </w:pPr>
            <w:r w:rsidRPr="00DD1B74">
              <w:rPr>
                <w:sz w:val="18"/>
                <w:szCs w:val="18"/>
              </w:rPr>
              <w:t>3 815</w:t>
            </w:r>
          </w:p>
        </w:tc>
        <w:tc>
          <w:tcPr>
            <w:tcW w:w="351" w:type="pct"/>
            <w:tcBorders>
              <w:top w:val="single" w:sz="4" w:space="0" w:color="auto"/>
              <w:left w:val="single" w:sz="4" w:space="0" w:color="auto"/>
              <w:bottom w:val="single" w:sz="4" w:space="0" w:color="auto"/>
              <w:right w:val="single" w:sz="4" w:space="0" w:color="auto"/>
            </w:tcBorders>
            <w:shd w:val="clear" w:color="000000" w:fill="B8CCE7"/>
            <w:noWrap/>
            <w:vAlign w:val="bottom"/>
            <w:hideMark/>
          </w:tcPr>
          <w:p w:rsidR="00DD1B74" w:rsidRPr="00DD1B74" w:rsidRDefault="00DD1B74" w:rsidP="00DD1B74">
            <w:pPr>
              <w:spacing w:before="0"/>
              <w:jc w:val="right"/>
              <w:rPr>
                <w:sz w:val="18"/>
                <w:szCs w:val="18"/>
              </w:rPr>
            </w:pPr>
            <w:r w:rsidRPr="00DD1B74">
              <w:rPr>
                <w:sz w:val="18"/>
                <w:szCs w:val="18"/>
              </w:rPr>
              <w:t>3 521</w:t>
            </w:r>
          </w:p>
        </w:tc>
        <w:tc>
          <w:tcPr>
            <w:tcW w:w="580" w:type="pct"/>
            <w:tcBorders>
              <w:top w:val="single" w:sz="4" w:space="0" w:color="auto"/>
              <w:left w:val="single" w:sz="4" w:space="0" w:color="auto"/>
              <w:bottom w:val="single" w:sz="4" w:space="0" w:color="auto"/>
              <w:right w:val="single" w:sz="4" w:space="0" w:color="auto"/>
            </w:tcBorders>
            <w:shd w:val="clear" w:color="000000" w:fill="A4D9B3"/>
            <w:noWrap/>
            <w:vAlign w:val="bottom"/>
            <w:hideMark/>
          </w:tcPr>
          <w:p w:rsidR="00DD1B74" w:rsidRPr="00DD1B74" w:rsidRDefault="00DD1B74" w:rsidP="00DD1B74">
            <w:pPr>
              <w:spacing w:before="0"/>
              <w:jc w:val="right"/>
              <w:rPr>
                <w:sz w:val="18"/>
                <w:szCs w:val="18"/>
              </w:rPr>
            </w:pPr>
            <w:r w:rsidRPr="00DD1B74">
              <w:rPr>
                <w:sz w:val="18"/>
                <w:szCs w:val="18"/>
              </w:rPr>
              <w:t>357</w:t>
            </w:r>
          </w:p>
        </w:tc>
        <w:tc>
          <w:tcPr>
            <w:tcW w:w="580" w:type="pct"/>
            <w:tcBorders>
              <w:top w:val="single" w:sz="4" w:space="0" w:color="auto"/>
              <w:left w:val="single" w:sz="4" w:space="0" w:color="auto"/>
              <w:bottom w:val="single" w:sz="4" w:space="0" w:color="auto"/>
              <w:right w:val="single" w:sz="4" w:space="0" w:color="auto"/>
            </w:tcBorders>
            <w:shd w:val="clear" w:color="000000" w:fill="ACDCBA"/>
            <w:noWrap/>
            <w:vAlign w:val="bottom"/>
            <w:hideMark/>
          </w:tcPr>
          <w:p w:rsidR="00DD1B74" w:rsidRPr="00DD1B74" w:rsidRDefault="00DD1B74" w:rsidP="00DD1B74">
            <w:pPr>
              <w:spacing w:before="0"/>
              <w:jc w:val="right"/>
              <w:rPr>
                <w:sz w:val="18"/>
                <w:szCs w:val="18"/>
              </w:rPr>
            </w:pPr>
            <w:r w:rsidRPr="00DD1B74">
              <w:rPr>
                <w:sz w:val="18"/>
                <w:szCs w:val="18"/>
              </w:rPr>
              <w:t>-294</w:t>
            </w:r>
          </w:p>
        </w:tc>
        <w:tc>
          <w:tcPr>
            <w:tcW w:w="327" w:type="pct"/>
            <w:tcBorders>
              <w:top w:val="single" w:sz="4" w:space="0" w:color="auto"/>
              <w:left w:val="single" w:sz="4" w:space="0" w:color="auto"/>
              <w:bottom w:val="single" w:sz="4" w:space="0" w:color="auto"/>
              <w:right w:val="single" w:sz="4" w:space="0" w:color="auto"/>
            </w:tcBorders>
            <w:shd w:val="clear" w:color="000000" w:fill="D1DEF0"/>
            <w:noWrap/>
            <w:vAlign w:val="bottom"/>
            <w:hideMark/>
          </w:tcPr>
          <w:p w:rsidR="00DD1B74" w:rsidRPr="00DD1B74" w:rsidRDefault="00DD1B74" w:rsidP="00DD1B74">
            <w:pPr>
              <w:spacing w:before="0"/>
              <w:jc w:val="right"/>
              <w:rPr>
                <w:sz w:val="18"/>
                <w:szCs w:val="18"/>
              </w:rPr>
            </w:pPr>
            <w:r w:rsidRPr="00DD1B74">
              <w:rPr>
                <w:sz w:val="18"/>
                <w:szCs w:val="18"/>
              </w:rPr>
              <w:t>14,6 %</w:t>
            </w:r>
          </w:p>
        </w:tc>
        <w:tc>
          <w:tcPr>
            <w:tcW w:w="327" w:type="pct"/>
            <w:tcBorders>
              <w:top w:val="single" w:sz="4" w:space="0" w:color="auto"/>
              <w:left w:val="single" w:sz="4" w:space="0" w:color="auto"/>
              <w:bottom w:val="single" w:sz="4" w:space="0" w:color="auto"/>
              <w:right w:val="single" w:sz="4" w:space="0" w:color="auto"/>
            </w:tcBorders>
            <w:shd w:val="clear" w:color="000000" w:fill="FA999B"/>
            <w:noWrap/>
            <w:vAlign w:val="bottom"/>
            <w:hideMark/>
          </w:tcPr>
          <w:p w:rsidR="00DD1B74" w:rsidRPr="00DD1B74" w:rsidRDefault="00DD1B74" w:rsidP="00DD1B74">
            <w:pPr>
              <w:spacing w:before="0"/>
              <w:jc w:val="right"/>
              <w:rPr>
                <w:sz w:val="18"/>
                <w:szCs w:val="18"/>
              </w:rPr>
            </w:pPr>
            <w:r w:rsidRPr="00DD1B74">
              <w:rPr>
                <w:sz w:val="18"/>
                <w:szCs w:val="18"/>
              </w:rPr>
              <w:t>16,2 %</w:t>
            </w:r>
          </w:p>
        </w:tc>
        <w:tc>
          <w:tcPr>
            <w:tcW w:w="327" w:type="pct"/>
            <w:tcBorders>
              <w:top w:val="single" w:sz="4" w:space="0" w:color="auto"/>
              <w:left w:val="single" w:sz="4" w:space="0" w:color="auto"/>
              <w:bottom w:val="single" w:sz="4" w:space="0" w:color="auto"/>
              <w:right w:val="single" w:sz="4" w:space="0" w:color="auto"/>
            </w:tcBorders>
            <w:shd w:val="clear" w:color="000000" w:fill="FCDBDD"/>
            <w:noWrap/>
            <w:vAlign w:val="bottom"/>
            <w:hideMark/>
          </w:tcPr>
          <w:p w:rsidR="00DD1B74" w:rsidRPr="00DD1B74" w:rsidRDefault="00DD1B74" w:rsidP="00DD1B74">
            <w:pPr>
              <w:spacing w:before="0"/>
              <w:jc w:val="right"/>
              <w:rPr>
                <w:sz w:val="18"/>
                <w:szCs w:val="18"/>
              </w:rPr>
            </w:pPr>
            <w:r w:rsidRPr="00DD1B74">
              <w:rPr>
                <w:sz w:val="18"/>
                <w:szCs w:val="18"/>
              </w:rPr>
              <w:t>15,3 %</w:t>
            </w:r>
          </w:p>
        </w:tc>
        <w:tc>
          <w:tcPr>
            <w:tcW w:w="580" w:type="pct"/>
            <w:tcBorders>
              <w:top w:val="single" w:sz="4" w:space="0" w:color="auto"/>
              <w:left w:val="single" w:sz="4" w:space="0" w:color="auto"/>
              <w:bottom w:val="single" w:sz="4" w:space="0" w:color="auto"/>
              <w:right w:val="single" w:sz="4" w:space="0" w:color="auto"/>
            </w:tcBorders>
            <w:shd w:val="clear" w:color="000000" w:fill="80CA94"/>
            <w:noWrap/>
            <w:vAlign w:val="bottom"/>
            <w:hideMark/>
          </w:tcPr>
          <w:p w:rsidR="00DD1B74" w:rsidRPr="00DD1B74" w:rsidRDefault="00DD1B74" w:rsidP="00DD1B74">
            <w:pPr>
              <w:spacing w:before="0"/>
              <w:jc w:val="right"/>
              <w:rPr>
                <w:sz w:val="18"/>
                <w:szCs w:val="18"/>
              </w:rPr>
            </w:pPr>
            <w:r w:rsidRPr="00DD1B74">
              <w:rPr>
                <w:sz w:val="18"/>
                <w:szCs w:val="18"/>
              </w:rPr>
              <w:t>1,6 %</w:t>
            </w:r>
          </w:p>
        </w:tc>
        <w:tc>
          <w:tcPr>
            <w:tcW w:w="580" w:type="pct"/>
            <w:tcBorders>
              <w:top w:val="single" w:sz="4" w:space="0" w:color="auto"/>
              <w:left w:val="single" w:sz="4" w:space="0" w:color="auto"/>
              <w:bottom w:val="single" w:sz="4" w:space="0" w:color="auto"/>
              <w:right w:val="single" w:sz="4" w:space="0" w:color="auto"/>
            </w:tcBorders>
            <w:shd w:val="clear" w:color="000000" w:fill="CEEAD8"/>
            <w:noWrap/>
            <w:vAlign w:val="bottom"/>
            <w:hideMark/>
          </w:tcPr>
          <w:p w:rsidR="00DD1B74" w:rsidRPr="00DD1B74" w:rsidRDefault="00DD1B74" w:rsidP="00DD1B74">
            <w:pPr>
              <w:spacing w:before="0"/>
              <w:jc w:val="right"/>
              <w:rPr>
                <w:sz w:val="18"/>
                <w:szCs w:val="18"/>
              </w:rPr>
            </w:pPr>
            <w:r w:rsidRPr="00DD1B74">
              <w:rPr>
                <w:sz w:val="18"/>
                <w:szCs w:val="18"/>
              </w:rPr>
              <w:t>-0,9 %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Mohelnice</w:t>
            </w:r>
          </w:p>
        </w:tc>
        <w:tc>
          <w:tcPr>
            <w:tcW w:w="351" w:type="pct"/>
            <w:tcBorders>
              <w:top w:val="single" w:sz="4" w:space="0" w:color="auto"/>
              <w:left w:val="single" w:sz="4" w:space="0" w:color="auto"/>
              <w:bottom w:val="single" w:sz="4" w:space="0" w:color="auto"/>
              <w:right w:val="single" w:sz="4" w:space="0" w:color="auto"/>
            </w:tcBorders>
            <w:shd w:val="clear" w:color="000000" w:fill="8EAED8"/>
            <w:noWrap/>
            <w:vAlign w:val="bottom"/>
            <w:hideMark/>
          </w:tcPr>
          <w:p w:rsidR="00DD1B74" w:rsidRPr="00DD1B74" w:rsidRDefault="00DD1B74" w:rsidP="00DD1B74">
            <w:pPr>
              <w:spacing w:before="0"/>
              <w:jc w:val="right"/>
              <w:rPr>
                <w:sz w:val="18"/>
                <w:szCs w:val="18"/>
              </w:rPr>
            </w:pPr>
            <w:r w:rsidRPr="00DD1B74">
              <w:rPr>
                <w:sz w:val="18"/>
                <w:szCs w:val="18"/>
              </w:rPr>
              <w:t>2 609</w:t>
            </w:r>
          </w:p>
        </w:tc>
        <w:tc>
          <w:tcPr>
            <w:tcW w:w="351" w:type="pct"/>
            <w:tcBorders>
              <w:top w:val="single" w:sz="4" w:space="0" w:color="auto"/>
              <w:left w:val="single" w:sz="4" w:space="0" w:color="auto"/>
              <w:bottom w:val="single" w:sz="4" w:space="0" w:color="auto"/>
              <w:right w:val="single" w:sz="4" w:space="0" w:color="auto"/>
            </w:tcBorders>
            <w:shd w:val="clear" w:color="000000" w:fill="99B6DC"/>
            <w:noWrap/>
            <w:vAlign w:val="bottom"/>
            <w:hideMark/>
          </w:tcPr>
          <w:p w:rsidR="00DD1B74" w:rsidRPr="00DD1B74" w:rsidRDefault="00DD1B74" w:rsidP="00DD1B74">
            <w:pPr>
              <w:spacing w:before="0"/>
              <w:jc w:val="right"/>
              <w:rPr>
                <w:sz w:val="18"/>
                <w:szCs w:val="18"/>
              </w:rPr>
            </w:pPr>
            <w:r w:rsidRPr="00DD1B74">
              <w:rPr>
                <w:sz w:val="18"/>
                <w:szCs w:val="18"/>
              </w:rPr>
              <w:t>2 851</w:t>
            </w:r>
          </w:p>
        </w:tc>
        <w:tc>
          <w:tcPr>
            <w:tcW w:w="351" w:type="pct"/>
            <w:tcBorders>
              <w:top w:val="single" w:sz="4" w:space="0" w:color="auto"/>
              <w:left w:val="single" w:sz="4" w:space="0" w:color="auto"/>
              <w:bottom w:val="single" w:sz="4" w:space="0" w:color="auto"/>
              <w:right w:val="single" w:sz="4" w:space="0" w:color="auto"/>
            </w:tcBorders>
            <w:shd w:val="clear" w:color="000000" w:fill="94B3DA"/>
            <w:noWrap/>
            <w:vAlign w:val="bottom"/>
            <w:hideMark/>
          </w:tcPr>
          <w:p w:rsidR="00DD1B74" w:rsidRPr="00DD1B74" w:rsidRDefault="00DD1B74" w:rsidP="00DD1B74">
            <w:pPr>
              <w:spacing w:before="0"/>
              <w:jc w:val="right"/>
              <w:rPr>
                <w:sz w:val="18"/>
                <w:szCs w:val="18"/>
              </w:rPr>
            </w:pPr>
            <w:r w:rsidRPr="00DD1B74">
              <w:rPr>
                <w:sz w:val="18"/>
                <w:szCs w:val="18"/>
              </w:rPr>
              <w:t>2 740</w:t>
            </w:r>
          </w:p>
        </w:tc>
        <w:tc>
          <w:tcPr>
            <w:tcW w:w="580" w:type="pct"/>
            <w:tcBorders>
              <w:top w:val="single" w:sz="4" w:space="0" w:color="auto"/>
              <w:left w:val="single" w:sz="4" w:space="0" w:color="auto"/>
              <w:bottom w:val="single" w:sz="4" w:space="0" w:color="auto"/>
              <w:right w:val="single" w:sz="4" w:space="0" w:color="auto"/>
            </w:tcBorders>
            <w:shd w:val="clear" w:color="000000" w:fill="A5D9B4"/>
            <w:noWrap/>
            <w:vAlign w:val="bottom"/>
            <w:hideMark/>
          </w:tcPr>
          <w:p w:rsidR="00DD1B74" w:rsidRPr="00DD1B74" w:rsidRDefault="00DD1B74" w:rsidP="00DD1B74">
            <w:pPr>
              <w:spacing w:before="0"/>
              <w:jc w:val="right"/>
              <w:rPr>
                <w:sz w:val="18"/>
                <w:szCs w:val="18"/>
              </w:rPr>
            </w:pPr>
            <w:r w:rsidRPr="00DD1B74">
              <w:rPr>
                <w:sz w:val="18"/>
                <w:szCs w:val="18"/>
              </w:rPr>
              <w:t>242</w:t>
            </w:r>
          </w:p>
        </w:tc>
        <w:tc>
          <w:tcPr>
            <w:tcW w:w="580" w:type="pct"/>
            <w:tcBorders>
              <w:top w:val="single" w:sz="4" w:space="0" w:color="auto"/>
              <w:left w:val="single" w:sz="4" w:space="0" w:color="auto"/>
              <w:bottom w:val="single" w:sz="4" w:space="0" w:color="auto"/>
              <w:right w:val="single" w:sz="4" w:space="0" w:color="auto"/>
            </w:tcBorders>
            <w:shd w:val="clear" w:color="000000" w:fill="AADBB8"/>
            <w:noWrap/>
            <w:vAlign w:val="bottom"/>
            <w:hideMark/>
          </w:tcPr>
          <w:p w:rsidR="00DD1B74" w:rsidRPr="00DD1B74" w:rsidRDefault="00DD1B74" w:rsidP="00DD1B74">
            <w:pPr>
              <w:spacing w:before="0"/>
              <w:jc w:val="right"/>
              <w:rPr>
                <w:sz w:val="18"/>
                <w:szCs w:val="18"/>
              </w:rPr>
            </w:pPr>
            <w:r w:rsidRPr="00DD1B74">
              <w:rPr>
                <w:sz w:val="18"/>
                <w:szCs w:val="18"/>
              </w:rPr>
              <w:t>-111</w:t>
            </w:r>
          </w:p>
        </w:tc>
        <w:tc>
          <w:tcPr>
            <w:tcW w:w="327" w:type="pct"/>
            <w:tcBorders>
              <w:top w:val="single" w:sz="4" w:space="0" w:color="auto"/>
              <w:left w:val="single" w:sz="4" w:space="0" w:color="auto"/>
              <w:bottom w:val="single" w:sz="4" w:space="0" w:color="auto"/>
              <w:right w:val="single" w:sz="4" w:space="0" w:color="auto"/>
            </w:tcBorders>
            <w:shd w:val="clear" w:color="000000" w:fill="6F99CD"/>
            <w:noWrap/>
            <w:vAlign w:val="bottom"/>
            <w:hideMark/>
          </w:tcPr>
          <w:p w:rsidR="00DD1B74" w:rsidRPr="00DD1B74" w:rsidRDefault="00DD1B74" w:rsidP="00DD1B74">
            <w:pPr>
              <w:spacing w:before="0"/>
              <w:jc w:val="right"/>
              <w:rPr>
                <w:sz w:val="18"/>
                <w:szCs w:val="18"/>
              </w:rPr>
            </w:pPr>
            <w:r w:rsidRPr="00DD1B74">
              <w:rPr>
                <w:sz w:val="18"/>
                <w:szCs w:val="18"/>
              </w:rPr>
              <w:t>13,9 %</w:t>
            </w:r>
          </w:p>
        </w:tc>
        <w:tc>
          <w:tcPr>
            <w:tcW w:w="327" w:type="pct"/>
            <w:tcBorders>
              <w:top w:val="single" w:sz="4" w:space="0" w:color="auto"/>
              <w:left w:val="single" w:sz="4" w:space="0" w:color="auto"/>
              <w:bottom w:val="single" w:sz="4" w:space="0" w:color="auto"/>
              <w:right w:val="single" w:sz="4" w:space="0" w:color="auto"/>
            </w:tcBorders>
            <w:shd w:val="clear" w:color="000000" w:fill="FBC3C5"/>
            <w:noWrap/>
            <w:vAlign w:val="bottom"/>
            <w:hideMark/>
          </w:tcPr>
          <w:p w:rsidR="00DD1B74" w:rsidRPr="00DD1B74" w:rsidRDefault="00DD1B74" w:rsidP="00DD1B74">
            <w:pPr>
              <w:spacing w:before="0"/>
              <w:jc w:val="right"/>
              <w:rPr>
                <w:sz w:val="18"/>
                <w:szCs w:val="18"/>
              </w:rPr>
            </w:pPr>
            <w:r w:rsidRPr="00DD1B74">
              <w:rPr>
                <w:sz w:val="18"/>
                <w:szCs w:val="18"/>
              </w:rPr>
              <w:t>15,7 %</w:t>
            </w:r>
          </w:p>
        </w:tc>
        <w:tc>
          <w:tcPr>
            <w:tcW w:w="327" w:type="pct"/>
            <w:tcBorders>
              <w:top w:val="single" w:sz="4" w:space="0" w:color="auto"/>
              <w:left w:val="single" w:sz="4" w:space="0" w:color="auto"/>
              <w:bottom w:val="single" w:sz="4" w:space="0" w:color="auto"/>
              <w:right w:val="single" w:sz="4" w:space="0" w:color="auto"/>
            </w:tcBorders>
            <w:shd w:val="clear" w:color="000000" w:fill="FCD8DB"/>
            <w:noWrap/>
            <w:vAlign w:val="bottom"/>
            <w:hideMark/>
          </w:tcPr>
          <w:p w:rsidR="00DD1B74" w:rsidRPr="00DD1B74" w:rsidRDefault="00DD1B74" w:rsidP="00DD1B74">
            <w:pPr>
              <w:spacing w:before="0"/>
              <w:jc w:val="right"/>
              <w:rPr>
                <w:sz w:val="18"/>
                <w:szCs w:val="18"/>
              </w:rPr>
            </w:pPr>
            <w:r w:rsidRPr="00DD1B74">
              <w:rPr>
                <w:sz w:val="18"/>
                <w:szCs w:val="18"/>
              </w:rPr>
              <w:t>15,4 %</w:t>
            </w:r>
          </w:p>
        </w:tc>
        <w:tc>
          <w:tcPr>
            <w:tcW w:w="580" w:type="pct"/>
            <w:tcBorders>
              <w:top w:val="single" w:sz="4" w:space="0" w:color="auto"/>
              <w:left w:val="single" w:sz="4" w:space="0" w:color="auto"/>
              <w:bottom w:val="single" w:sz="4" w:space="0" w:color="auto"/>
              <w:right w:val="single" w:sz="4" w:space="0" w:color="auto"/>
            </w:tcBorders>
            <w:shd w:val="clear" w:color="000000" w:fill="7AC78F"/>
            <w:noWrap/>
            <w:vAlign w:val="bottom"/>
            <w:hideMark/>
          </w:tcPr>
          <w:p w:rsidR="00DD1B74" w:rsidRPr="00DD1B74" w:rsidRDefault="00DD1B74" w:rsidP="00DD1B74">
            <w:pPr>
              <w:spacing w:before="0"/>
              <w:jc w:val="right"/>
              <w:rPr>
                <w:sz w:val="18"/>
                <w:szCs w:val="18"/>
              </w:rPr>
            </w:pPr>
            <w:r w:rsidRPr="00DD1B74">
              <w:rPr>
                <w:sz w:val="18"/>
                <w:szCs w:val="18"/>
              </w:rPr>
              <w:t>1,7 %</w:t>
            </w:r>
          </w:p>
        </w:tc>
        <w:tc>
          <w:tcPr>
            <w:tcW w:w="580" w:type="pct"/>
            <w:tcBorders>
              <w:top w:val="single" w:sz="4" w:space="0" w:color="auto"/>
              <w:left w:val="single" w:sz="4" w:space="0" w:color="auto"/>
              <w:bottom w:val="single" w:sz="4" w:space="0" w:color="auto"/>
              <w:right w:val="single" w:sz="4" w:space="0" w:color="auto"/>
            </w:tcBorders>
            <w:shd w:val="clear" w:color="000000" w:fill="88CD9B"/>
            <w:noWrap/>
            <w:vAlign w:val="bottom"/>
            <w:hideMark/>
          </w:tcPr>
          <w:p w:rsidR="00DD1B74" w:rsidRPr="00DD1B74" w:rsidRDefault="00DD1B74" w:rsidP="00DD1B74">
            <w:pPr>
              <w:spacing w:before="0"/>
              <w:jc w:val="right"/>
              <w:rPr>
                <w:sz w:val="18"/>
                <w:szCs w:val="18"/>
              </w:rPr>
            </w:pPr>
            <w:r w:rsidRPr="00DD1B74">
              <w:rPr>
                <w:sz w:val="18"/>
                <w:szCs w:val="18"/>
              </w:rPr>
              <w:t>-0,3 %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Olomouc</w:t>
            </w:r>
          </w:p>
        </w:tc>
        <w:tc>
          <w:tcPr>
            <w:tcW w:w="351" w:type="pct"/>
            <w:tcBorders>
              <w:top w:val="single" w:sz="4" w:space="0" w:color="auto"/>
              <w:left w:val="single" w:sz="4" w:space="0" w:color="auto"/>
              <w:bottom w:val="single" w:sz="4" w:space="0" w:color="auto"/>
              <w:right w:val="single" w:sz="4" w:space="0" w:color="auto"/>
            </w:tcBorders>
            <w:shd w:val="clear" w:color="000000" w:fill="F98284"/>
            <w:noWrap/>
            <w:vAlign w:val="bottom"/>
            <w:hideMark/>
          </w:tcPr>
          <w:p w:rsidR="00DD1B74" w:rsidRPr="00DD1B74" w:rsidRDefault="00DD1B74" w:rsidP="00DD1B74">
            <w:pPr>
              <w:spacing w:before="0"/>
              <w:jc w:val="right"/>
              <w:rPr>
                <w:sz w:val="18"/>
                <w:szCs w:val="18"/>
              </w:rPr>
            </w:pPr>
            <w:r w:rsidRPr="00DD1B74">
              <w:rPr>
                <w:sz w:val="18"/>
                <w:szCs w:val="18"/>
              </w:rPr>
              <w:t>23 957</w:t>
            </w:r>
          </w:p>
        </w:tc>
        <w:tc>
          <w:tcPr>
            <w:tcW w:w="351"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DD1B74" w:rsidRPr="00DD1B74" w:rsidRDefault="00DD1B74" w:rsidP="00DD1B74">
            <w:pPr>
              <w:spacing w:before="0"/>
              <w:jc w:val="right"/>
              <w:rPr>
                <w:sz w:val="18"/>
                <w:szCs w:val="18"/>
              </w:rPr>
            </w:pPr>
            <w:r w:rsidRPr="00DD1B74">
              <w:rPr>
                <w:sz w:val="18"/>
                <w:szCs w:val="18"/>
              </w:rPr>
              <w:t>27 678</w:t>
            </w:r>
          </w:p>
        </w:tc>
        <w:tc>
          <w:tcPr>
            <w:tcW w:w="351" w:type="pct"/>
            <w:tcBorders>
              <w:top w:val="single" w:sz="4" w:space="0" w:color="auto"/>
              <w:left w:val="single" w:sz="4" w:space="0" w:color="auto"/>
              <w:bottom w:val="single" w:sz="4" w:space="0" w:color="auto"/>
              <w:right w:val="single" w:sz="4" w:space="0" w:color="auto"/>
            </w:tcBorders>
            <w:shd w:val="clear" w:color="000000" w:fill="F9797C"/>
            <w:noWrap/>
            <w:vAlign w:val="bottom"/>
            <w:hideMark/>
          </w:tcPr>
          <w:p w:rsidR="00DD1B74" w:rsidRPr="00DD1B74" w:rsidRDefault="00DD1B74" w:rsidP="00DD1B74">
            <w:pPr>
              <w:spacing w:before="0"/>
              <w:jc w:val="right"/>
              <w:rPr>
                <w:sz w:val="18"/>
                <w:szCs w:val="18"/>
              </w:rPr>
            </w:pPr>
            <w:r w:rsidRPr="00DD1B74">
              <w:rPr>
                <w:sz w:val="18"/>
                <w:szCs w:val="18"/>
              </w:rPr>
              <w:t>25 213</w:t>
            </w:r>
          </w:p>
        </w:tc>
        <w:tc>
          <w:tcPr>
            <w:tcW w:w="580" w:type="pct"/>
            <w:tcBorders>
              <w:top w:val="single" w:sz="4" w:space="0" w:color="auto"/>
              <w:left w:val="single" w:sz="4" w:space="0" w:color="auto"/>
              <w:bottom w:val="single" w:sz="4" w:space="0" w:color="auto"/>
              <w:right w:val="single" w:sz="4" w:space="0" w:color="auto"/>
            </w:tcBorders>
            <w:shd w:val="clear" w:color="000000" w:fill="78C78D"/>
            <w:noWrap/>
            <w:vAlign w:val="bottom"/>
            <w:hideMark/>
          </w:tcPr>
          <w:p w:rsidR="00DD1B74" w:rsidRPr="00DD1B74" w:rsidRDefault="00DD1B74" w:rsidP="00DD1B74">
            <w:pPr>
              <w:spacing w:before="0"/>
              <w:jc w:val="right"/>
              <w:rPr>
                <w:sz w:val="18"/>
                <w:szCs w:val="18"/>
              </w:rPr>
            </w:pPr>
            <w:r w:rsidRPr="00DD1B74">
              <w:rPr>
                <w:sz w:val="18"/>
                <w:szCs w:val="18"/>
              </w:rPr>
              <w:t>3 721</w:t>
            </w:r>
          </w:p>
        </w:tc>
        <w:tc>
          <w:tcPr>
            <w:tcW w:w="580" w:type="pct"/>
            <w:tcBorders>
              <w:top w:val="single" w:sz="4" w:space="0" w:color="auto"/>
              <w:left w:val="single" w:sz="4" w:space="0" w:color="auto"/>
              <w:bottom w:val="single" w:sz="4" w:space="0" w:color="auto"/>
              <w:right w:val="single" w:sz="4" w:space="0" w:color="auto"/>
            </w:tcBorders>
            <w:shd w:val="clear" w:color="000000" w:fill="C9E8D3"/>
            <w:noWrap/>
            <w:vAlign w:val="bottom"/>
            <w:hideMark/>
          </w:tcPr>
          <w:p w:rsidR="00DD1B74" w:rsidRPr="00DD1B74" w:rsidRDefault="00DD1B74" w:rsidP="00DD1B74">
            <w:pPr>
              <w:spacing w:before="0"/>
              <w:jc w:val="right"/>
              <w:rPr>
                <w:sz w:val="18"/>
                <w:szCs w:val="18"/>
              </w:rPr>
            </w:pPr>
            <w:r w:rsidRPr="00DD1B74">
              <w:rPr>
                <w:sz w:val="18"/>
                <w:szCs w:val="18"/>
              </w:rPr>
              <w:t>-2 465</w:t>
            </w:r>
          </w:p>
        </w:tc>
        <w:tc>
          <w:tcPr>
            <w:tcW w:w="327" w:type="pct"/>
            <w:tcBorders>
              <w:top w:val="single" w:sz="4" w:space="0" w:color="auto"/>
              <w:left w:val="single" w:sz="4" w:space="0" w:color="auto"/>
              <w:bottom w:val="single" w:sz="4" w:space="0" w:color="auto"/>
              <w:right w:val="single" w:sz="4" w:space="0" w:color="auto"/>
            </w:tcBorders>
            <w:shd w:val="clear" w:color="000000" w:fill="F1F4FB"/>
            <w:noWrap/>
            <w:vAlign w:val="bottom"/>
            <w:hideMark/>
          </w:tcPr>
          <w:p w:rsidR="00DD1B74" w:rsidRPr="00DD1B74" w:rsidRDefault="00DD1B74" w:rsidP="00DD1B74">
            <w:pPr>
              <w:spacing w:before="0"/>
              <w:jc w:val="right"/>
              <w:rPr>
                <w:sz w:val="18"/>
                <w:szCs w:val="18"/>
              </w:rPr>
            </w:pPr>
            <w:r w:rsidRPr="00DD1B74">
              <w:rPr>
                <w:sz w:val="18"/>
                <w:szCs w:val="18"/>
              </w:rPr>
              <w:t>14,8 %</w:t>
            </w:r>
          </w:p>
        </w:tc>
        <w:tc>
          <w:tcPr>
            <w:tcW w:w="327"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DD1B74" w:rsidRPr="00DD1B74" w:rsidRDefault="00DD1B74" w:rsidP="00DD1B74">
            <w:pPr>
              <w:spacing w:before="0"/>
              <w:jc w:val="right"/>
              <w:rPr>
                <w:sz w:val="18"/>
                <w:szCs w:val="18"/>
              </w:rPr>
            </w:pPr>
            <w:r w:rsidRPr="00DD1B74">
              <w:rPr>
                <w:sz w:val="18"/>
                <w:szCs w:val="18"/>
              </w:rPr>
              <w:t>16,9 %</w:t>
            </w:r>
          </w:p>
        </w:tc>
        <w:tc>
          <w:tcPr>
            <w:tcW w:w="327" w:type="pct"/>
            <w:tcBorders>
              <w:top w:val="single" w:sz="4" w:space="0" w:color="auto"/>
              <w:left w:val="single" w:sz="4" w:space="0" w:color="auto"/>
              <w:bottom w:val="single" w:sz="4" w:space="0" w:color="auto"/>
              <w:right w:val="single" w:sz="4" w:space="0" w:color="auto"/>
            </w:tcBorders>
            <w:shd w:val="clear" w:color="000000" w:fill="FBC8CB"/>
            <w:noWrap/>
            <w:vAlign w:val="bottom"/>
            <w:hideMark/>
          </w:tcPr>
          <w:p w:rsidR="00DD1B74" w:rsidRPr="00DD1B74" w:rsidRDefault="00DD1B74" w:rsidP="00DD1B74">
            <w:pPr>
              <w:spacing w:before="0"/>
              <w:jc w:val="right"/>
              <w:rPr>
                <w:sz w:val="18"/>
                <w:szCs w:val="18"/>
              </w:rPr>
            </w:pPr>
            <w:r w:rsidRPr="00DD1B74">
              <w:rPr>
                <w:sz w:val="18"/>
                <w:szCs w:val="18"/>
              </w:rPr>
              <w:t>15,6 %</w:t>
            </w:r>
          </w:p>
        </w:tc>
        <w:tc>
          <w:tcPr>
            <w:tcW w:w="580"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DD1B74" w:rsidRPr="00DD1B74" w:rsidRDefault="00DD1B74" w:rsidP="00DD1B74">
            <w:pPr>
              <w:spacing w:before="0"/>
              <w:jc w:val="right"/>
              <w:rPr>
                <w:sz w:val="18"/>
                <w:szCs w:val="18"/>
              </w:rPr>
            </w:pPr>
            <w:r w:rsidRPr="00DD1B74">
              <w:rPr>
                <w:sz w:val="18"/>
                <w:szCs w:val="18"/>
              </w:rPr>
              <w:t>2,0 %</w:t>
            </w:r>
          </w:p>
        </w:tc>
        <w:tc>
          <w:tcPr>
            <w:tcW w:w="580"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DD1B74" w:rsidRPr="00DD1B74" w:rsidRDefault="00DD1B74" w:rsidP="00DD1B74">
            <w:pPr>
              <w:spacing w:before="0"/>
              <w:jc w:val="right"/>
              <w:rPr>
                <w:sz w:val="18"/>
                <w:szCs w:val="18"/>
              </w:rPr>
            </w:pPr>
            <w:r w:rsidRPr="00DD1B74">
              <w:rPr>
                <w:sz w:val="18"/>
                <w:szCs w:val="18"/>
              </w:rPr>
              <w:t>-1,3 %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Prostějov</w:t>
            </w:r>
          </w:p>
        </w:tc>
        <w:tc>
          <w:tcPr>
            <w:tcW w:w="351" w:type="pct"/>
            <w:tcBorders>
              <w:top w:val="single" w:sz="4" w:space="0" w:color="auto"/>
              <w:left w:val="single" w:sz="4" w:space="0" w:color="auto"/>
              <w:bottom w:val="single" w:sz="4" w:space="0" w:color="auto"/>
              <w:right w:val="single" w:sz="4" w:space="0" w:color="auto"/>
            </w:tcBorders>
            <w:shd w:val="clear" w:color="000000" w:fill="FBBEC0"/>
            <w:noWrap/>
            <w:vAlign w:val="bottom"/>
            <w:hideMark/>
          </w:tcPr>
          <w:p w:rsidR="00DD1B74" w:rsidRPr="00DD1B74" w:rsidRDefault="00DD1B74" w:rsidP="00DD1B74">
            <w:pPr>
              <w:spacing w:before="0"/>
              <w:jc w:val="right"/>
              <w:rPr>
                <w:sz w:val="18"/>
                <w:szCs w:val="18"/>
              </w:rPr>
            </w:pPr>
            <w:r w:rsidRPr="00DD1B74">
              <w:rPr>
                <w:sz w:val="18"/>
                <w:szCs w:val="18"/>
              </w:rPr>
              <w:t>14 652</w:t>
            </w:r>
          </w:p>
        </w:tc>
        <w:tc>
          <w:tcPr>
            <w:tcW w:w="351" w:type="pct"/>
            <w:tcBorders>
              <w:top w:val="single" w:sz="4" w:space="0" w:color="auto"/>
              <w:left w:val="single" w:sz="4" w:space="0" w:color="auto"/>
              <w:bottom w:val="single" w:sz="4" w:space="0" w:color="auto"/>
              <w:right w:val="single" w:sz="4" w:space="0" w:color="auto"/>
            </w:tcBorders>
            <w:shd w:val="clear" w:color="000000" w:fill="FBB8BB"/>
            <w:noWrap/>
            <w:vAlign w:val="bottom"/>
            <w:hideMark/>
          </w:tcPr>
          <w:p w:rsidR="00DD1B74" w:rsidRPr="00DD1B74" w:rsidRDefault="00DD1B74" w:rsidP="00DD1B74">
            <w:pPr>
              <w:spacing w:before="0"/>
              <w:jc w:val="right"/>
              <w:rPr>
                <w:sz w:val="18"/>
                <w:szCs w:val="18"/>
              </w:rPr>
            </w:pPr>
            <w:r w:rsidRPr="00DD1B74">
              <w:rPr>
                <w:sz w:val="18"/>
                <w:szCs w:val="18"/>
              </w:rPr>
              <w:t>15 543</w:t>
            </w:r>
          </w:p>
        </w:tc>
        <w:tc>
          <w:tcPr>
            <w:tcW w:w="351" w:type="pct"/>
            <w:tcBorders>
              <w:top w:val="single" w:sz="4" w:space="0" w:color="auto"/>
              <w:left w:val="single" w:sz="4" w:space="0" w:color="auto"/>
              <w:bottom w:val="single" w:sz="4" w:space="0" w:color="auto"/>
              <w:right w:val="single" w:sz="4" w:space="0" w:color="auto"/>
            </w:tcBorders>
            <w:shd w:val="clear" w:color="000000" w:fill="FBBFC1"/>
            <w:noWrap/>
            <w:vAlign w:val="bottom"/>
            <w:hideMark/>
          </w:tcPr>
          <w:p w:rsidR="00DD1B74" w:rsidRPr="00DD1B74" w:rsidRDefault="00DD1B74" w:rsidP="00DD1B74">
            <w:pPr>
              <w:spacing w:before="0"/>
              <w:jc w:val="right"/>
              <w:rPr>
                <w:sz w:val="18"/>
                <w:szCs w:val="18"/>
              </w:rPr>
            </w:pPr>
            <w:r w:rsidRPr="00DD1B74">
              <w:rPr>
                <w:sz w:val="18"/>
                <w:szCs w:val="18"/>
              </w:rPr>
              <w:t>14 487</w:t>
            </w:r>
          </w:p>
        </w:tc>
        <w:tc>
          <w:tcPr>
            <w:tcW w:w="580" w:type="pct"/>
            <w:tcBorders>
              <w:top w:val="single" w:sz="4" w:space="0" w:color="auto"/>
              <w:left w:val="single" w:sz="4" w:space="0" w:color="auto"/>
              <w:bottom w:val="single" w:sz="4" w:space="0" w:color="auto"/>
              <w:right w:val="single" w:sz="4" w:space="0" w:color="auto"/>
            </w:tcBorders>
            <w:shd w:val="clear" w:color="000000" w:fill="9DD6AD"/>
            <w:noWrap/>
            <w:vAlign w:val="bottom"/>
            <w:hideMark/>
          </w:tcPr>
          <w:p w:rsidR="00DD1B74" w:rsidRPr="00DD1B74" w:rsidRDefault="00DD1B74" w:rsidP="00DD1B74">
            <w:pPr>
              <w:spacing w:before="0"/>
              <w:jc w:val="right"/>
              <w:rPr>
                <w:sz w:val="18"/>
                <w:szCs w:val="18"/>
              </w:rPr>
            </w:pPr>
            <w:r w:rsidRPr="00DD1B74">
              <w:rPr>
                <w:sz w:val="18"/>
                <w:szCs w:val="18"/>
              </w:rPr>
              <w:t>891</w:t>
            </w:r>
          </w:p>
        </w:tc>
        <w:tc>
          <w:tcPr>
            <w:tcW w:w="580" w:type="pct"/>
            <w:tcBorders>
              <w:top w:val="single" w:sz="4" w:space="0" w:color="auto"/>
              <w:left w:val="single" w:sz="4" w:space="0" w:color="auto"/>
              <w:bottom w:val="single" w:sz="4" w:space="0" w:color="auto"/>
              <w:right w:val="single" w:sz="4" w:space="0" w:color="auto"/>
            </w:tcBorders>
            <w:shd w:val="clear" w:color="000000" w:fill="B6E0C3"/>
            <w:noWrap/>
            <w:vAlign w:val="bottom"/>
            <w:hideMark/>
          </w:tcPr>
          <w:p w:rsidR="00DD1B74" w:rsidRPr="00DD1B74" w:rsidRDefault="00DD1B74" w:rsidP="00DD1B74">
            <w:pPr>
              <w:spacing w:before="0"/>
              <w:jc w:val="right"/>
              <w:rPr>
                <w:sz w:val="18"/>
                <w:szCs w:val="18"/>
              </w:rPr>
            </w:pPr>
            <w:r w:rsidRPr="00DD1B74">
              <w:rPr>
                <w:sz w:val="18"/>
                <w:szCs w:val="18"/>
              </w:rPr>
              <w:t>-1 056</w:t>
            </w:r>
          </w:p>
        </w:tc>
        <w:tc>
          <w:tcPr>
            <w:tcW w:w="327"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DD1B74" w:rsidRPr="00DD1B74" w:rsidRDefault="00DD1B74" w:rsidP="00DD1B74">
            <w:pPr>
              <w:spacing w:before="0"/>
              <w:jc w:val="right"/>
              <w:rPr>
                <w:sz w:val="18"/>
                <w:szCs w:val="18"/>
              </w:rPr>
            </w:pPr>
            <w:r w:rsidRPr="00DD1B74">
              <w:rPr>
                <w:sz w:val="18"/>
                <w:szCs w:val="18"/>
              </w:rPr>
              <w:t>14,9 %</w:t>
            </w:r>
          </w:p>
        </w:tc>
        <w:tc>
          <w:tcPr>
            <w:tcW w:w="327" w:type="pct"/>
            <w:tcBorders>
              <w:top w:val="single" w:sz="4" w:space="0" w:color="auto"/>
              <w:left w:val="single" w:sz="4" w:space="0" w:color="auto"/>
              <w:bottom w:val="single" w:sz="4" w:space="0" w:color="auto"/>
              <w:right w:val="single" w:sz="4" w:space="0" w:color="auto"/>
            </w:tcBorders>
            <w:shd w:val="clear" w:color="000000" w:fill="FAA8AA"/>
            <w:noWrap/>
            <w:vAlign w:val="bottom"/>
            <w:hideMark/>
          </w:tcPr>
          <w:p w:rsidR="00DD1B74" w:rsidRPr="00DD1B74" w:rsidRDefault="00DD1B74" w:rsidP="00DD1B74">
            <w:pPr>
              <w:spacing w:before="0"/>
              <w:jc w:val="right"/>
              <w:rPr>
                <w:sz w:val="18"/>
                <w:szCs w:val="18"/>
              </w:rPr>
            </w:pPr>
            <w:r w:rsidRPr="00DD1B74">
              <w:rPr>
                <w:sz w:val="18"/>
                <w:szCs w:val="18"/>
              </w:rPr>
              <w:t>16,0 %</w:t>
            </w:r>
          </w:p>
        </w:tc>
        <w:tc>
          <w:tcPr>
            <w:tcW w:w="327" w:type="pct"/>
            <w:tcBorders>
              <w:top w:val="single" w:sz="4" w:space="0" w:color="auto"/>
              <w:left w:val="single" w:sz="4" w:space="0" w:color="auto"/>
              <w:bottom w:val="single" w:sz="4" w:space="0" w:color="auto"/>
              <w:right w:val="single" w:sz="4" w:space="0" w:color="auto"/>
            </w:tcBorders>
            <w:shd w:val="clear" w:color="000000" w:fill="FCE0E3"/>
            <w:noWrap/>
            <w:vAlign w:val="bottom"/>
            <w:hideMark/>
          </w:tcPr>
          <w:p w:rsidR="00DD1B74" w:rsidRPr="00DD1B74" w:rsidRDefault="00DD1B74" w:rsidP="00DD1B74">
            <w:pPr>
              <w:spacing w:before="0"/>
              <w:jc w:val="right"/>
              <w:rPr>
                <w:sz w:val="18"/>
                <w:szCs w:val="18"/>
              </w:rPr>
            </w:pPr>
            <w:r w:rsidRPr="00DD1B74">
              <w:rPr>
                <w:sz w:val="18"/>
                <w:szCs w:val="18"/>
              </w:rPr>
              <w:t>15,3 %</w:t>
            </w:r>
          </w:p>
        </w:tc>
        <w:tc>
          <w:tcPr>
            <w:tcW w:w="580" w:type="pct"/>
            <w:tcBorders>
              <w:top w:val="single" w:sz="4" w:space="0" w:color="auto"/>
              <w:left w:val="single" w:sz="4" w:space="0" w:color="auto"/>
              <w:bottom w:val="single" w:sz="4" w:space="0" w:color="auto"/>
              <w:right w:val="single" w:sz="4" w:space="0" w:color="auto"/>
            </w:tcBorders>
            <w:shd w:val="clear" w:color="000000" w:fill="A0D7B0"/>
            <w:noWrap/>
            <w:vAlign w:val="bottom"/>
            <w:hideMark/>
          </w:tcPr>
          <w:p w:rsidR="00DD1B74" w:rsidRPr="00DD1B74" w:rsidRDefault="00DD1B74" w:rsidP="00DD1B74">
            <w:pPr>
              <w:spacing w:before="0"/>
              <w:jc w:val="right"/>
              <w:rPr>
                <w:sz w:val="18"/>
                <w:szCs w:val="18"/>
              </w:rPr>
            </w:pPr>
            <w:r w:rsidRPr="00DD1B74">
              <w:rPr>
                <w:sz w:val="18"/>
                <w:szCs w:val="18"/>
              </w:rPr>
              <w:t>1,1 %</w:t>
            </w:r>
          </w:p>
        </w:tc>
        <w:tc>
          <w:tcPr>
            <w:tcW w:w="580" w:type="pct"/>
            <w:tcBorders>
              <w:top w:val="single" w:sz="4" w:space="0" w:color="auto"/>
              <w:left w:val="single" w:sz="4" w:space="0" w:color="auto"/>
              <w:bottom w:val="single" w:sz="4" w:space="0" w:color="auto"/>
              <w:right w:val="single" w:sz="4" w:space="0" w:color="auto"/>
            </w:tcBorders>
            <w:shd w:val="clear" w:color="000000" w:fill="C0E4CB"/>
            <w:noWrap/>
            <w:vAlign w:val="bottom"/>
            <w:hideMark/>
          </w:tcPr>
          <w:p w:rsidR="00DD1B74" w:rsidRPr="00DD1B74" w:rsidRDefault="00DD1B74" w:rsidP="00DD1B74">
            <w:pPr>
              <w:spacing w:before="0"/>
              <w:jc w:val="right"/>
              <w:rPr>
                <w:sz w:val="18"/>
                <w:szCs w:val="18"/>
              </w:rPr>
            </w:pPr>
            <w:r w:rsidRPr="00DD1B74">
              <w:rPr>
                <w:sz w:val="18"/>
                <w:szCs w:val="18"/>
              </w:rPr>
              <w:t>-0,8 %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Přerov</w:t>
            </w:r>
          </w:p>
        </w:tc>
        <w:tc>
          <w:tcPr>
            <w:tcW w:w="351" w:type="pct"/>
            <w:tcBorders>
              <w:top w:val="single" w:sz="4" w:space="0" w:color="auto"/>
              <w:left w:val="single" w:sz="4" w:space="0" w:color="auto"/>
              <w:bottom w:val="single" w:sz="4" w:space="0" w:color="auto"/>
              <w:right w:val="single" w:sz="4" w:space="0" w:color="auto"/>
            </w:tcBorders>
            <w:shd w:val="clear" w:color="000000" w:fill="FBD3D5"/>
            <w:noWrap/>
            <w:vAlign w:val="bottom"/>
            <w:hideMark/>
          </w:tcPr>
          <w:p w:rsidR="00DD1B74" w:rsidRPr="00DD1B74" w:rsidRDefault="00DD1B74" w:rsidP="00DD1B74">
            <w:pPr>
              <w:spacing w:before="0"/>
              <w:jc w:val="right"/>
              <w:rPr>
                <w:sz w:val="18"/>
                <w:szCs w:val="18"/>
              </w:rPr>
            </w:pPr>
            <w:r w:rsidRPr="00DD1B74">
              <w:rPr>
                <w:sz w:val="18"/>
                <w:szCs w:val="18"/>
              </w:rPr>
              <w:t>11 453</w:t>
            </w:r>
          </w:p>
        </w:tc>
        <w:tc>
          <w:tcPr>
            <w:tcW w:w="351" w:type="pct"/>
            <w:tcBorders>
              <w:top w:val="single" w:sz="4" w:space="0" w:color="auto"/>
              <w:left w:val="single" w:sz="4" w:space="0" w:color="auto"/>
              <w:bottom w:val="single" w:sz="4" w:space="0" w:color="auto"/>
              <w:right w:val="single" w:sz="4" w:space="0" w:color="auto"/>
            </w:tcBorders>
            <w:shd w:val="clear" w:color="000000" w:fill="FBD2D5"/>
            <w:noWrap/>
            <w:vAlign w:val="bottom"/>
            <w:hideMark/>
          </w:tcPr>
          <w:p w:rsidR="00DD1B74" w:rsidRPr="00DD1B74" w:rsidRDefault="00DD1B74" w:rsidP="00DD1B74">
            <w:pPr>
              <w:spacing w:before="0"/>
              <w:jc w:val="right"/>
              <w:rPr>
                <w:sz w:val="18"/>
                <w:szCs w:val="18"/>
              </w:rPr>
            </w:pPr>
            <w:r w:rsidRPr="00DD1B74">
              <w:rPr>
                <w:sz w:val="18"/>
                <w:szCs w:val="18"/>
              </w:rPr>
              <w:t>11 482</w:t>
            </w:r>
          </w:p>
        </w:tc>
        <w:tc>
          <w:tcPr>
            <w:tcW w:w="351" w:type="pct"/>
            <w:tcBorders>
              <w:top w:val="single" w:sz="4" w:space="0" w:color="auto"/>
              <w:left w:val="single" w:sz="4" w:space="0" w:color="auto"/>
              <w:bottom w:val="single" w:sz="4" w:space="0" w:color="auto"/>
              <w:right w:val="single" w:sz="4" w:space="0" w:color="auto"/>
            </w:tcBorders>
            <w:shd w:val="clear" w:color="000000" w:fill="FBD6D8"/>
            <w:noWrap/>
            <w:vAlign w:val="bottom"/>
            <w:hideMark/>
          </w:tcPr>
          <w:p w:rsidR="00DD1B74" w:rsidRPr="00DD1B74" w:rsidRDefault="00DD1B74" w:rsidP="00DD1B74">
            <w:pPr>
              <w:spacing w:before="0"/>
              <w:jc w:val="right"/>
              <w:rPr>
                <w:sz w:val="18"/>
                <w:szCs w:val="18"/>
              </w:rPr>
            </w:pPr>
            <w:r w:rsidRPr="00DD1B74">
              <w:rPr>
                <w:sz w:val="18"/>
                <w:szCs w:val="18"/>
              </w:rPr>
              <w:t>10 989</w:t>
            </w:r>
          </w:p>
        </w:tc>
        <w:tc>
          <w:tcPr>
            <w:tcW w:w="580" w:type="pct"/>
            <w:tcBorders>
              <w:top w:val="single" w:sz="4" w:space="0" w:color="auto"/>
              <w:left w:val="single" w:sz="4" w:space="0" w:color="auto"/>
              <w:bottom w:val="single" w:sz="4" w:space="0" w:color="auto"/>
              <w:right w:val="single" w:sz="4" w:space="0" w:color="auto"/>
            </w:tcBorders>
            <w:shd w:val="clear" w:color="000000" w:fill="A8DAB7"/>
            <w:noWrap/>
            <w:vAlign w:val="bottom"/>
            <w:hideMark/>
          </w:tcPr>
          <w:p w:rsidR="00DD1B74" w:rsidRPr="00DD1B74" w:rsidRDefault="00DD1B74" w:rsidP="00DD1B74">
            <w:pPr>
              <w:spacing w:before="0"/>
              <w:jc w:val="right"/>
              <w:rPr>
                <w:sz w:val="18"/>
                <w:szCs w:val="18"/>
              </w:rPr>
            </w:pPr>
            <w:r w:rsidRPr="00DD1B74">
              <w:rPr>
                <w:sz w:val="18"/>
                <w:szCs w:val="18"/>
              </w:rPr>
              <w:t>29</w:t>
            </w:r>
          </w:p>
        </w:tc>
        <w:tc>
          <w:tcPr>
            <w:tcW w:w="580" w:type="pct"/>
            <w:tcBorders>
              <w:top w:val="single" w:sz="4" w:space="0" w:color="auto"/>
              <w:left w:val="single" w:sz="4" w:space="0" w:color="auto"/>
              <w:bottom w:val="single" w:sz="4" w:space="0" w:color="auto"/>
              <w:right w:val="single" w:sz="4" w:space="0" w:color="auto"/>
            </w:tcBorders>
            <w:shd w:val="clear" w:color="000000" w:fill="AFDDBD"/>
            <w:noWrap/>
            <w:vAlign w:val="bottom"/>
            <w:hideMark/>
          </w:tcPr>
          <w:p w:rsidR="00DD1B74" w:rsidRPr="00DD1B74" w:rsidRDefault="00DD1B74" w:rsidP="00DD1B74">
            <w:pPr>
              <w:spacing w:before="0"/>
              <w:jc w:val="right"/>
              <w:rPr>
                <w:sz w:val="18"/>
                <w:szCs w:val="18"/>
              </w:rPr>
            </w:pPr>
            <w:r w:rsidRPr="00DD1B74">
              <w:rPr>
                <w:sz w:val="18"/>
                <w:szCs w:val="18"/>
              </w:rPr>
              <w:t>-493</w:t>
            </w:r>
          </w:p>
        </w:tc>
        <w:tc>
          <w:tcPr>
            <w:tcW w:w="327"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DD1B74" w:rsidRPr="00DD1B74" w:rsidRDefault="00DD1B74" w:rsidP="00DD1B74">
            <w:pPr>
              <w:spacing w:before="0"/>
              <w:jc w:val="right"/>
              <w:rPr>
                <w:sz w:val="18"/>
                <w:szCs w:val="18"/>
              </w:rPr>
            </w:pPr>
            <w:r w:rsidRPr="00DD1B74">
              <w:rPr>
                <w:sz w:val="18"/>
                <w:szCs w:val="18"/>
              </w:rPr>
              <w:t>13,8 %</w:t>
            </w:r>
          </w:p>
        </w:tc>
        <w:tc>
          <w:tcPr>
            <w:tcW w:w="327" w:type="pct"/>
            <w:tcBorders>
              <w:top w:val="single" w:sz="4" w:space="0" w:color="auto"/>
              <w:left w:val="single" w:sz="4" w:space="0" w:color="auto"/>
              <w:bottom w:val="single" w:sz="4" w:space="0" w:color="auto"/>
              <w:right w:val="single" w:sz="4" w:space="0" w:color="auto"/>
            </w:tcBorders>
            <w:shd w:val="clear" w:color="000000" w:fill="E1E9F5"/>
            <w:noWrap/>
            <w:vAlign w:val="bottom"/>
            <w:hideMark/>
          </w:tcPr>
          <w:p w:rsidR="00DD1B74" w:rsidRPr="00DD1B74" w:rsidRDefault="00DD1B74" w:rsidP="00DD1B74">
            <w:pPr>
              <w:spacing w:before="0"/>
              <w:jc w:val="right"/>
              <w:rPr>
                <w:sz w:val="18"/>
                <w:szCs w:val="18"/>
              </w:rPr>
            </w:pPr>
            <w:r w:rsidRPr="00DD1B74">
              <w:rPr>
                <w:sz w:val="18"/>
                <w:szCs w:val="18"/>
              </w:rPr>
              <w:t>14,7 %</w:t>
            </w:r>
          </w:p>
        </w:tc>
        <w:tc>
          <w:tcPr>
            <w:tcW w:w="327" w:type="pct"/>
            <w:tcBorders>
              <w:top w:val="single" w:sz="4" w:space="0" w:color="auto"/>
              <w:left w:val="single" w:sz="4" w:space="0" w:color="auto"/>
              <w:bottom w:val="single" w:sz="4" w:space="0" w:color="auto"/>
              <w:right w:val="single" w:sz="4" w:space="0" w:color="auto"/>
            </w:tcBorders>
            <w:shd w:val="clear" w:color="000000" w:fill="CBD9ED"/>
            <w:noWrap/>
            <w:vAlign w:val="bottom"/>
            <w:hideMark/>
          </w:tcPr>
          <w:p w:rsidR="00DD1B74" w:rsidRPr="00DD1B74" w:rsidRDefault="00DD1B74" w:rsidP="00DD1B74">
            <w:pPr>
              <w:spacing w:before="0"/>
              <w:jc w:val="right"/>
              <w:rPr>
                <w:sz w:val="18"/>
                <w:szCs w:val="18"/>
              </w:rPr>
            </w:pPr>
            <w:r w:rsidRPr="00DD1B74">
              <w:rPr>
                <w:sz w:val="18"/>
                <w:szCs w:val="18"/>
              </w:rPr>
              <w:t>14,6 %</w:t>
            </w:r>
          </w:p>
        </w:tc>
        <w:tc>
          <w:tcPr>
            <w:tcW w:w="580" w:type="pct"/>
            <w:tcBorders>
              <w:top w:val="single" w:sz="4" w:space="0" w:color="auto"/>
              <w:left w:val="single" w:sz="4" w:space="0" w:color="auto"/>
              <w:bottom w:val="single" w:sz="4" w:space="0" w:color="auto"/>
              <w:right w:val="single" w:sz="4" w:space="0" w:color="auto"/>
            </w:tcBorders>
            <w:shd w:val="clear" w:color="000000" w:fill="AFDDBD"/>
            <w:noWrap/>
            <w:vAlign w:val="bottom"/>
            <w:hideMark/>
          </w:tcPr>
          <w:p w:rsidR="00DD1B74" w:rsidRPr="00DD1B74" w:rsidRDefault="00DD1B74" w:rsidP="00DD1B74">
            <w:pPr>
              <w:spacing w:before="0"/>
              <w:jc w:val="right"/>
              <w:rPr>
                <w:sz w:val="18"/>
                <w:szCs w:val="18"/>
              </w:rPr>
            </w:pPr>
            <w:r w:rsidRPr="00DD1B74">
              <w:rPr>
                <w:sz w:val="18"/>
                <w:szCs w:val="18"/>
              </w:rPr>
              <w:t>0,9 %</w:t>
            </w:r>
          </w:p>
        </w:tc>
        <w:tc>
          <w:tcPr>
            <w:tcW w:w="580" w:type="pct"/>
            <w:tcBorders>
              <w:top w:val="single" w:sz="4" w:space="0" w:color="auto"/>
              <w:left w:val="single" w:sz="4" w:space="0" w:color="auto"/>
              <w:bottom w:val="single" w:sz="4" w:space="0" w:color="auto"/>
              <w:right w:val="single" w:sz="4" w:space="0" w:color="auto"/>
            </w:tcBorders>
            <w:shd w:val="clear" w:color="000000" w:fill="78C78D"/>
            <w:noWrap/>
            <w:vAlign w:val="bottom"/>
            <w:hideMark/>
          </w:tcPr>
          <w:p w:rsidR="00DD1B74" w:rsidRPr="00DD1B74" w:rsidRDefault="00DD1B74" w:rsidP="00DD1B74">
            <w:pPr>
              <w:spacing w:before="0"/>
              <w:jc w:val="right"/>
              <w:rPr>
                <w:sz w:val="18"/>
                <w:szCs w:val="18"/>
              </w:rPr>
            </w:pPr>
            <w:r w:rsidRPr="00DD1B74">
              <w:rPr>
                <w:sz w:val="18"/>
                <w:szCs w:val="18"/>
              </w:rPr>
              <w:t>-0,1 %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Šternberk</w:t>
            </w:r>
          </w:p>
        </w:tc>
        <w:tc>
          <w:tcPr>
            <w:tcW w:w="351" w:type="pct"/>
            <w:tcBorders>
              <w:top w:val="single" w:sz="4" w:space="0" w:color="auto"/>
              <w:left w:val="single" w:sz="4" w:space="0" w:color="auto"/>
              <w:bottom w:val="single" w:sz="4" w:space="0" w:color="auto"/>
              <w:right w:val="single" w:sz="4" w:space="0" w:color="auto"/>
            </w:tcBorders>
            <w:shd w:val="clear" w:color="000000" w:fill="B7CBE6"/>
            <w:noWrap/>
            <w:vAlign w:val="bottom"/>
            <w:hideMark/>
          </w:tcPr>
          <w:p w:rsidR="00DD1B74" w:rsidRPr="00DD1B74" w:rsidRDefault="00DD1B74" w:rsidP="00DD1B74">
            <w:pPr>
              <w:spacing w:before="0"/>
              <w:jc w:val="right"/>
              <w:rPr>
                <w:sz w:val="18"/>
                <w:szCs w:val="18"/>
              </w:rPr>
            </w:pPr>
            <w:r w:rsidRPr="00DD1B74">
              <w:rPr>
                <w:sz w:val="18"/>
                <w:szCs w:val="18"/>
              </w:rPr>
              <w:t>3 498</w:t>
            </w:r>
          </w:p>
        </w:tc>
        <w:tc>
          <w:tcPr>
            <w:tcW w:w="351" w:type="pct"/>
            <w:tcBorders>
              <w:top w:val="single" w:sz="4" w:space="0" w:color="auto"/>
              <w:left w:val="single" w:sz="4" w:space="0" w:color="auto"/>
              <w:bottom w:val="single" w:sz="4" w:space="0" w:color="auto"/>
              <w:right w:val="single" w:sz="4" w:space="0" w:color="auto"/>
            </w:tcBorders>
            <w:shd w:val="clear" w:color="000000" w:fill="C7D6EC"/>
            <w:noWrap/>
            <w:vAlign w:val="bottom"/>
            <w:hideMark/>
          </w:tcPr>
          <w:p w:rsidR="00DD1B74" w:rsidRPr="00DD1B74" w:rsidRDefault="00DD1B74" w:rsidP="00DD1B74">
            <w:pPr>
              <w:spacing w:before="0"/>
              <w:jc w:val="right"/>
              <w:rPr>
                <w:sz w:val="18"/>
                <w:szCs w:val="18"/>
              </w:rPr>
            </w:pPr>
            <w:r w:rsidRPr="00DD1B74">
              <w:rPr>
                <w:sz w:val="18"/>
                <w:szCs w:val="18"/>
              </w:rPr>
              <w:t>3 834</w:t>
            </w:r>
          </w:p>
        </w:tc>
        <w:tc>
          <w:tcPr>
            <w:tcW w:w="351" w:type="pct"/>
            <w:tcBorders>
              <w:top w:val="single" w:sz="4" w:space="0" w:color="auto"/>
              <w:left w:val="single" w:sz="4" w:space="0" w:color="auto"/>
              <w:bottom w:val="single" w:sz="4" w:space="0" w:color="auto"/>
              <w:right w:val="single" w:sz="4" w:space="0" w:color="auto"/>
            </w:tcBorders>
            <w:shd w:val="clear" w:color="000000" w:fill="B8CCE7"/>
            <w:noWrap/>
            <w:vAlign w:val="bottom"/>
            <w:hideMark/>
          </w:tcPr>
          <w:p w:rsidR="00DD1B74" w:rsidRPr="00DD1B74" w:rsidRDefault="00DD1B74" w:rsidP="00DD1B74">
            <w:pPr>
              <w:spacing w:before="0"/>
              <w:jc w:val="right"/>
              <w:rPr>
                <w:sz w:val="18"/>
                <w:szCs w:val="18"/>
              </w:rPr>
            </w:pPr>
            <w:r w:rsidRPr="00DD1B74">
              <w:rPr>
                <w:sz w:val="18"/>
                <w:szCs w:val="18"/>
              </w:rPr>
              <w:t>3 520</w:t>
            </w:r>
          </w:p>
        </w:tc>
        <w:tc>
          <w:tcPr>
            <w:tcW w:w="580" w:type="pct"/>
            <w:tcBorders>
              <w:top w:val="single" w:sz="4" w:space="0" w:color="auto"/>
              <w:left w:val="single" w:sz="4" w:space="0" w:color="auto"/>
              <w:bottom w:val="single" w:sz="4" w:space="0" w:color="auto"/>
              <w:right w:val="single" w:sz="4" w:space="0" w:color="auto"/>
            </w:tcBorders>
            <w:shd w:val="clear" w:color="000000" w:fill="A4D9B3"/>
            <w:noWrap/>
            <w:vAlign w:val="bottom"/>
            <w:hideMark/>
          </w:tcPr>
          <w:p w:rsidR="00DD1B74" w:rsidRPr="00DD1B74" w:rsidRDefault="00DD1B74" w:rsidP="00DD1B74">
            <w:pPr>
              <w:spacing w:before="0"/>
              <w:jc w:val="right"/>
              <w:rPr>
                <w:sz w:val="18"/>
                <w:szCs w:val="18"/>
              </w:rPr>
            </w:pPr>
            <w:r w:rsidRPr="00DD1B74">
              <w:rPr>
                <w:sz w:val="18"/>
                <w:szCs w:val="18"/>
              </w:rPr>
              <w:t>336</w:t>
            </w:r>
          </w:p>
        </w:tc>
        <w:tc>
          <w:tcPr>
            <w:tcW w:w="580" w:type="pct"/>
            <w:tcBorders>
              <w:top w:val="single" w:sz="4" w:space="0" w:color="auto"/>
              <w:left w:val="single" w:sz="4" w:space="0" w:color="auto"/>
              <w:bottom w:val="single" w:sz="4" w:space="0" w:color="auto"/>
              <w:right w:val="single" w:sz="4" w:space="0" w:color="auto"/>
            </w:tcBorders>
            <w:shd w:val="clear" w:color="000000" w:fill="ADDCBB"/>
            <w:noWrap/>
            <w:vAlign w:val="bottom"/>
            <w:hideMark/>
          </w:tcPr>
          <w:p w:rsidR="00DD1B74" w:rsidRPr="00DD1B74" w:rsidRDefault="00DD1B74" w:rsidP="00DD1B74">
            <w:pPr>
              <w:spacing w:before="0"/>
              <w:jc w:val="right"/>
              <w:rPr>
                <w:sz w:val="18"/>
                <w:szCs w:val="18"/>
              </w:rPr>
            </w:pPr>
            <w:r w:rsidRPr="00DD1B74">
              <w:rPr>
                <w:sz w:val="18"/>
                <w:szCs w:val="18"/>
              </w:rPr>
              <w:t>-314</w:t>
            </w:r>
          </w:p>
        </w:tc>
        <w:tc>
          <w:tcPr>
            <w:tcW w:w="327" w:type="pct"/>
            <w:tcBorders>
              <w:top w:val="single" w:sz="4" w:space="0" w:color="auto"/>
              <w:left w:val="single" w:sz="4" w:space="0" w:color="auto"/>
              <w:bottom w:val="single" w:sz="4" w:space="0" w:color="auto"/>
              <w:right w:val="single" w:sz="4" w:space="0" w:color="auto"/>
            </w:tcBorders>
            <w:shd w:val="clear" w:color="000000" w:fill="E9EEF8"/>
            <w:noWrap/>
            <w:vAlign w:val="bottom"/>
            <w:hideMark/>
          </w:tcPr>
          <w:p w:rsidR="00DD1B74" w:rsidRPr="00DD1B74" w:rsidRDefault="00DD1B74" w:rsidP="00DD1B74">
            <w:pPr>
              <w:spacing w:before="0"/>
              <w:jc w:val="right"/>
              <w:rPr>
                <w:sz w:val="18"/>
                <w:szCs w:val="18"/>
              </w:rPr>
            </w:pPr>
            <w:r w:rsidRPr="00DD1B74">
              <w:rPr>
                <w:sz w:val="18"/>
                <w:szCs w:val="18"/>
              </w:rPr>
              <w:t>14,8 %</w:t>
            </w:r>
          </w:p>
        </w:tc>
        <w:tc>
          <w:tcPr>
            <w:tcW w:w="327" w:type="pct"/>
            <w:tcBorders>
              <w:top w:val="single" w:sz="4" w:space="0" w:color="auto"/>
              <w:left w:val="single" w:sz="4" w:space="0" w:color="auto"/>
              <w:bottom w:val="single" w:sz="4" w:space="0" w:color="auto"/>
              <w:right w:val="single" w:sz="4" w:space="0" w:color="auto"/>
            </w:tcBorders>
            <w:shd w:val="clear" w:color="000000" w:fill="FAA2A4"/>
            <w:noWrap/>
            <w:vAlign w:val="bottom"/>
            <w:hideMark/>
          </w:tcPr>
          <w:p w:rsidR="00DD1B74" w:rsidRPr="00DD1B74" w:rsidRDefault="00DD1B74" w:rsidP="00DD1B74">
            <w:pPr>
              <w:spacing w:before="0"/>
              <w:jc w:val="right"/>
              <w:rPr>
                <w:sz w:val="18"/>
                <w:szCs w:val="18"/>
              </w:rPr>
            </w:pPr>
            <w:r w:rsidRPr="00DD1B74">
              <w:rPr>
                <w:sz w:val="18"/>
                <w:szCs w:val="18"/>
              </w:rPr>
              <w:t>16,1 %</w:t>
            </w:r>
          </w:p>
        </w:tc>
        <w:tc>
          <w:tcPr>
            <w:tcW w:w="327"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DD1B74" w:rsidRPr="00DD1B74" w:rsidRDefault="00DD1B74" w:rsidP="00DD1B74">
            <w:pPr>
              <w:spacing w:before="0"/>
              <w:jc w:val="right"/>
              <w:rPr>
                <w:sz w:val="18"/>
                <w:szCs w:val="18"/>
              </w:rPr>
            </w:pPr>
            <w:r w:rsidRPr="00DD1B74">
              <w:rPr>
                <w:sz w:val="18"/>
                <w:szCs w:val="18"/>
              </w:rPr>
              <w:t>15,0 %</w:t>
            </w:r>
          </w:p>
        </w:tc>
        <w:tc>
          <w:tcPr>
            <w:tcW w:w="580" w:type="pct"/>
            <w:tcBorders>
              <w:top w:val="single" w:sz="4" w:space="0" w:color="auto"/>
              <w:left w:val="single" w:sz="4" w:space="0" w:color="auto"/>
              <w:bottom w:val="single" w:sz="4" w:space="0" w:color="auto"/>
              <w:right w:val="single" w:sz="4" w:space="0" w:color="auto"/>
            </w:tcBorders>
            <w:shd w:val="clear" w:color="000000" w:fill="92D1A4"/>
            <w:noWrap/>
            <w:vAlign w:val="bottom"/>
            <w:hideMark/>
          </w:tcPr>
          <w:p w:rsidR="00DD1B74" w:rsidRPr="00DD1B74" w:rsidRDefault="00DD1B74" w:rsidP="00DD1B74">
            <w:pPr>
              <w:spacing w:before="0"/>
              <w:jc w:val="right"/>
              <w:rPr>
                <w:sz w:val="18"/>
                <w:szCs w:val="18"/>
              </w:rPr>
            </w:pPr>
            <w:r w:rsidRPr="00DD1B74">
              <w:rPr>
                <w:sz w:val="18"/>
                <w:szCs w:val="18"/>
              </w:rPr>
              <w:t>1,3 %</w:t>
            </w:r>
          </w:p>
        </w:tc>
        <w:tc>
          <w:tcPr>
            <w:tcW w:w="580" w:type="pct"/>
            <w:tcBorders>
              <w:top w:val="single" w:sz="4" w:space="0" w:color="auto"/>
              <w:left w:val="single" w:sz="4" w:space="0" w:color="auto"/>
              <w:bottom w:val="single" w:sz="4" w:space="0" w:color="auto"/>
              <w:right w:val="single" w:sz="4" w:space="0" w:color="auto"/>
            </w:tcBorders>
            <w:shd w:val="clear" w:color="000000" w:fill="E2F2E9"/>
            <w:noWrap/>
            <w:vAlign w:val="bottom"/>
            <w:hideMark/>
          </w:tcPr>
          <w:p w:rsidR="00DD1B74" w:rsidRPr="00DD1B74" w:rsidRDefault="00DD1B74" w:rsidP="00DD1B74">
            <w:pPr>
              <w:spacing w:before="0"/>
              <w:jc w:val="right"/>
              <w:rPr>
                <w:sz w:val="18"/>
                <w:szCs w:val="18"/>
              </w:rPr>
            </w:pPr>
            <w:r w:rsidRPr="00DD1B74">
              <w:rPr>
                <w:sz w:val="18"/>
                <w:szCs w:val="18"/>
              </w:rPr>
              <w:t>-1,1 %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Šumperk</w:t>
            </w:r>
          </w:p>
        </w:tc>
        <w:tc>
          <w:tcPr>
            <w:tcW w:w="351" w:type="pct"/>
            <w:tcBorders>
              <w:top w:val="single" w:sz="4" w:space="0" w:color="auto"/>
              <w:left w:val="single" w:sz="4" w:space="0" w:color="auto"/>
              <w:bottom w:val="single" w:sz="4" w:space="0" w:color="auto"/>
              <w:right w:val="single" w:sz="4" w:space="0" w:color="auto"/>
            </w:tcBorders>
            <w:shd w:val="clear" w:color="000000" w:fill="FCD9DC"/>
            <w:noWrap/>
            <w:vAlign w:val="bottom"/>
            <w:hideMark/>
          </w:tcPr>
          <w:p w:rsidR="00DD1B74" w:rsidRPr="00DD1B74" w:rsidRDefault="00DD1B74" w:rsidP="00DD1B74">
            <w:pPr>
              <w:spacing w:before="0"/>
              <w:jc w:val="right"/>
              <w:rPr>
                <w:sz w:val="18"/>
                <w:szCs w:val="18"/>
              </w:rPr>
            </w:pPr>
            <w:r w:rsidRPr="00DD1B74">
              <w:rPr>
                <w:sz w:val="18"/>
                <w:szCs w:val="18"/>
              </w:rPr>
              <w:t>10 383</w:t>
            </w:r>
          </w:p>
        </w:tc>
        <w:tc>
          <w:tcPr>
            <w:tcW w:w="351" w:type="pct"/>
            <w:tcBorders>
              <w:top w:val="single" w:sz="4" w:space="0" w:color="auto"/>
              <w:left w:val="single" w:sz="4" w:space="0" w:color="auto"/>
              <w:bottom w:val="single" w:sz="4" w:space="0" w:color="auto"/>
              <w:right w:val="single" w:sz="4" w:space="0" w:color="auto"/>
            </w:tcBorders>
            <w:shd w:val="clear" w:color="000000" w:fill="FCDBDD"/>
            <w:noWrap/>
            <w:vAlign w:val="bottom"/>
            <w:hideMark/>
          </w:tcPr>
          <w:p w:rsidR="00DD1B74" w:rsidRPr="00DD1B74" w:rsidRDefault="00DD1B74" w:rsidP="00DD1B74">
            <w:pPr>
              <w:spacing w:before="0"/>
              <w:jc w:val="right"/>
              <w:rPr>
                <w:sz w:val="18"/>
                <w:szCs w:val="18"/>
              </w:rPr>
            </w:pPr>
            <w:r w:rsidRPr="00DD1B74">
              <w:rPr>
                <w:sz w:val="18"/>
                <w:szCs w:val="18"/>
              </w:rPr>
              <w:t>10 203</w:t>
            </w:r>
          </w:p>
        </w:tc>
        <w:tc>
          <w:tcPr>
            <w:tcW w:w="351" w:type="pct"/>
            <w:tcBorders>
              <w:top w:val="single" w:sz="4" w:space="0" w:color="auto"/>
              <w:left w:val="single" w:sz="4" w:space="0" w:color="auto"/>
              <w:bottom w:val="single" w:sz="4" w:space="0" w:color="auto"/>
              <w:right w:val="single" w:sz="4" w:space="0" w:color="auto"/>
            </w:tcBorders>
            <w:shd w:val="clear" w:color="000000" w:fill="FCE0E2"/>
            <w:noWrap/>
            <w:vAlign w:val="bottom"/>
            <w:hideMark/>
          </w:tcPr>
          <w:p w:rsidR="00DD1B74" w:rsidRPr="00DD1B74" w:rsidRDefault="00DD1B74" w:rsidP="00DD1B74">
            <w:pPr>
              <w:spacing w:before="0"/>
              <w:jc w:val="right"/>
              <w:rPr>
                <w:sz w:val="18"/>
                <w:szCs w:val="18"/>
              </w:rPr>
            </w:pPr>
            <w:r w:rsidRPr="00DD1B74">
              <w:rPr>
                <w:sz w:val="18"/>
                <w:szCs w:val="18"/>
              </w:rPr>
              <w:t>9 428</w:t>
            </w:r>
          </w:p>
        </w:tc>
        <w:tc>
          <w:tcPr>
            <w:tcW w:w="580" w:type="pct"/>
            <w:tcBorders>
              <w:top w:val="single" w:sz="4" w:space="0" w:color="auto"/>
              <w:left w:val="single" w:sz="4" w:space="0" w:color="auto"/>
              <w:bottom w:val="single" w:sz="4" w:space="0" w:color="auto"/>
              <w:right w:val="single" w:sz="4" w:space="0" w:color="auto"/>
            </w:tcBorders>
            <w:shd w:val="clear" w:color="000000" w:fill="ABDBB9"/>
            <w:noWrap/>
            <w:vAlign w:val="bottom"/>
            <w:hideMark/>
          </w:tcPr>
          <w:p w:rsidR="00DD1B74" w:rsidRPr="00DD1B74" w:rsidRDefault="00DD1B74" w:rsidP="00DD1B74">
            <w:pPr>
              <w:spacing w:before="0"/>
              <w:jc w:val="right"/>
              <w:rPr>
                <w:sz w:val="18"/>
                <w:szCs w:val="18"/>
              </w:rPr>
            </w:pPr>
            <w:r w:rsidRPr="00DD1B74">
              <w:rPr>
                <w:sz w:val="18"/>
                <w:szCs w:val="18"/>
              </w:rPr>
              <w:t>-180</w:t>
            </w:r>
          </w:p>
        </w:tc>
        <w:tc>
          <w:tcPr>
            <w:tcW w:w="580" w:type="pct"/>
            <w:tcBorders>
              <w:top w:val="single" w:sz="4" w:space="0" w:color="auto"/>
              <w:left w:val="single" w:sz="4" w:space="0" w:color="auto"/>
              <w:bottom w:val="single" w:sz="4" w:space="0" w:color="auto"/>
              <w:right w:val="single" w:sz="4" w:space="0" w:color="auto"/>
            </w:tcBorders>
            <w:shd w:val="clear" w:color="000000" w:fill="B3DFC0"/>
            <w:noWrap/>
            <w:vAlign w:val="bottom"/>
            <w:hideMark/>
          </w:tcPr>
          <w:p w:rsidR="00DD1B74" w:rsidRPr="00DD1B74" w:rsidRDefault="00DD1B74" w:rsidP="00DD1B74">
            <w:pPr>
              <w:spacing w:before="0"/>
              <w:jc w:val="right"/>
              <w:rPr>
                <w:sz w:val="18"/>
                <w:szCs w:val="18"/>
              </w:rPr>
            </w:pPr>
            <w:r w:rsidRPr="00DD1B74">
              <w:rPr>
                <w:sz w:val="18"/>
                <w:szCs w:val="18"/>
              </w:rPr>
              <w:t>-775</w:t>
            </w:r>
          </w:p>
        </w:tc>
        <w:tc>
          <w:tcPr>
            <w:tcW w:w="327" w:type="pct"/>
            <w:tcBorders>
              <w:top w:val="single" w:sz="4" w:space="0" w:color="auto"/>
              <w:left w:val="single" w:sz="4" w:space="0" w:color="auto"/>
              <w:bottom w:val="single" w:sz="4" w:space="0" w:color="auto"/>
              <w:right w:val="single" w:sz="4" w:space="0" w:color="auto"/>
            </w:tcBorders>
            <w:shd w:val="clear" w:color="000000" w:fill="D2DEF0"/>
            <w:noWrap/>
            <w:vAlign w:val="bottom"/>
            <w:hideMark/>
          </w:tcPr>
          <w:p w:rsidR="00DD1B74" w:rsidRPr="00DD1B74" w:rsidRDefault="00DD1B74" w:rsidP="00DD1B74">
            <w:pPr>
              <w:spacing w:before="0"/>
              <w:jc w:val="right"/>
              <w:rPr>
                <w:sz w:val="18"/>
                <w:szCs w:val="18"/>
              </w:rPr>
            </w:pPr>
            <w:r w:rsidRPr="00DD1B74">
              <w:rPr>
                <w:sz w:val="18"/>
                <w:szCs w:val="18"/>
              </w:rPr>
              <w:t>14,6 %</w:t>
            </w:r>
          </w:p>
        </w:tc>
        <w:tc>
          <w:tcPr>
            <w:tcW w:w="327" w:type="pct"/>
            <w:tcBorders>
              <w:top w:val="single" w:sz="4" w:space="0" w:color="auto"/>
              <w:left w:val="single" w:sz="4" w:space="0" w:color="auto"/>
              <w:bottom w:val="single" w:sz="4" w:space="0" w:color="auto"/>
              <w:right w:val="single" w:sz="4" w:space="0" w:color="auto"/>
            </w:tcBorders>
            <w:shd w:val="clear" w:color="000000" w:fill="FCEAEC"/>
            <w:noWrap/>
            <w:vAlign w:val="bottom"/>
            <w:hideMark/>
          </w:tcPr>
          <w:p w:rsidR="00DD1B74" w:rsidRPr="00DD1B74" w:rsidRDefault="00DD1B74" w:rsidP="00DD1B74">
            <w:pPr>
              <w:spacing w:before="0"/>
              <w:jc w:val="right"/>
              <w:rPr>
                <w:sz w:val="18"/>
                <w:szCs w:val="18"/>
              </w:rPr>
            </w:pPr>
            <w:r w:rsidRPr="00DD1B74">
              <w:rPr>
                <w:sz w:val="18"/>
                <w:szCs w:val="18"/>
              </w:rPr>
              <w:t>15,1 %</w:t>
            </w:r>
          </w:p>
        </w:tc>
        <w:tc>
          <w:tcPr>
            <w:tcW w:w="327" w:type="pct"/>
            <w:tcBorders>
              <w:top w:val="single" w:sz="4" w:space="0" w:color="auto"/>
              <w:left w:val="single" w:sz="4" w:space="0" w:color="auto"/>
              <w:bottom w:val="single" w:sz="4" w:space="0" w:color="auto"/>
              <w:right w:val="single" w:sz="4" w:space="0" w:color="auto"/>
            </w:tcBorders>
            <w:shd w:val="clear" w:color="000000" w:fill="B6CAE6"/>
            <w:noWrap/>
            <w:vAlign w:val="bottom"/>
            <w:hideMark/>
          </w:tcPr>
          <w:p w:rsidR="00DD1B74" w:rsidRPr="00DD1B74" w:rsidRDefault="00DD1B74" w:rsidP="00DD1B74">
            <w:pPr>
              <w:spacing w:before="0"/>
              <w:jc w:val="right"/>
              <w:rPr>
                <w:sz w:val="18"/>
                <w:szCs w:val="18"/>
              </w:rPr>
            </w:pPr>
            <w:r w:rsidRPr="00DD1B74">
              <w:rPr>
                <w:sz w:val="18"/>
                <w:szCs w:val="18"/>
              </w:rPr>
              <w:t>14,4 %</w:t>
            </w:r>
          </w:p>
        </w:tc>
        <w:tc>
          <w:tcPr>
            <w:tcW w:w="580" w:type="pct"/>
            <w:tcBorders>
              <w:top w:val="single" w:sz="4" w:space="0" w:color="auto"/>
              <w:left w:val="single" w:sz="4" w:space="0" w:color="auto"/>
              <w:bottom w:val="single" w:sz="4" w:space="0" w:color="auto"/>
              <w:right w:val="single" w:sz="4" w:space="0" w:color="auto"/>
            </w:tcBorders>
            <w:shd w:val="clear" w:color="000000" w:fill="C8E7D2"/>
            <w:noWrap/>
            <w:vAlign w:val="bottom"/>
            <w:hideMark/>
          </w:tcPr>
          <w:p w:rsidR="00DD1B74" w:rsidRPr="00DD1B74" w:rsidRDefault="00DD1B74" w:rsidP="00DD1B74">
            <w:pPr>
              <w:spacing w:before="0"/>
              <w:jc w:val="right"/>
              <w:rPr>
                <w:sz w:val="18"/>
                <w:szCs w:val="18"/>
              </w:rPr>
            </w:pPr>
            <w:r w:rsidRPr="00DD1B74">
              <w:rPr>
                <w:sz w:val="18"/>
                <w:szCs w:val="18"/>
              </w:rPr>
              <w:t>0,5 %</w:t>
            </w:r>
          </w:p>
        </w:tc>
        <w:tc>
          <w:tcPr>
            <w:tcW w:w="580" w:type="pct"/>
            <w:tcBorders>
              <w:top w:val="single" w:sz="4" w:space="0" w:color="auto"/>
              <w:left w:val="single" w:sz="4" w:space="0" w:color="auto"/>
              <w:bottom w:val="single" w:sz="4" w:space="0" w:color="auto"/>
              <w:right w:val="single" w:sz="4" w:space="0" w:color="auto"/>
            </w:tcBorders>
            <w:shd w:val="clear" w:color="000000" w:fill="BBE2C7"/>
            <w:noWrap/>
            <w:vAlign w:val="bottom"/>
            <w:hideMark/>
          </w:tcPr>
          <w:p w:rsidR="00DD1B74" w:rsidRPr="00DD1B74" w:rsidRDefault="00DD1B74" w:rsidP="00DD1B74">
            <w:pPr>
              <w:spacing w:before="0"/>
              <w:jc w:val="right"/>
              <w:rPr>
                <w:sz w:val="18"/>
                <w:szCs w:val="18"/>
              </w:rPr>
            </w:pPr>
            <w:r w:rsidRPr="00DD1B74">
              <w:rPr>
                <w:sz w:val="18"/>
                <w:szCs w:val="18"/>
              </w:rPr>
              <w:t>-0,7 %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Uničov</w:t>
            </w:r>
          </w:p>
        </w:tc>
        <w:tc>
          <w:tcPr>
            <w:tcW w:w="351" w:type="pct"/>
            <w:tcBorders>
              <w:top w:val="single" w:sz="4" w:space="0" w:color="auto"/>
              <w:left w:val="single" w:sz="4" w:space="0" w:color="auto"/>
              <w:bottom w:val="single" w:sz="4" w:space="0" w:color="auto"/>
              <w:right w:val="single" w:sz="4" w:space="0" w:color="auto"/>
            </w:tcBorders>
            <w:shd w:val="clear" w:color="000000" w:fill="ADC4E3"/>
            <w:noWrap/>
            <w:vAlign w:val="bottom"/>
            <w:hideMark/>
          </w:tcPr>
          <w:p w:rsidR="00DD1B74" w:rsidRPr="00DD1B74" w:rsidRDefault="00DD1B74" w:rsidP="00DD1B74">
            <w:pPr>
              <w:spacing w:before="0"/>
              <w:jc w:val="right"/>
              <w:rPr>
                <w:sz w:val="18"/>
                <w:szCs w:val="18"/>
              </w:rPr>
            </w:pPr>
            <w:r w:rsidRPr="00DD1B74">
              <w:rPr>
                <w:sz w:val="18"/>
                <w:szCs w:val="18"/>
              </w:rPr>
              <w:t>3 274</w:t>
            </w:r>
          </w:p>
        </w:tc>
        <w:tc>
          <w:tcPr>
            <w:tcW w:w="351" w:type="pct"/>
            <w:tcBorders>
              <w:top w:val="single" w:sz="4" w:space="0" w:color="auto"/>
              <w:left w:val="single" w:sz="4" w:space="0" w:color="auto"/>
              <w:bottom w:val="single" w:sz="4" w:space="0" w:color="auto"/>
              <w:right w:val="single" w:sz="4" w:space="0" w:color="auto"/>
            </w:tcBorders>
            <w:shd w:val="clear" w:color="000000" w:fill="B0C6E4"/>
            <w:noWrap/>
            <w:vAlign w:val="bottom"/>
            <w:hideMark/>
          </w:tcPr>
          <w:p w:rsidR="00DD1B74" w:rsidRPr="00DD1B74" w:rsidRDefault="00DD1B74" w:rsidP="00DD1B74">
            <w:pPr>
              <w:spacing w:before="0"/>
              <w:jc w:val="right"/>
              <w:rPr>
                <w:sz w:val="18"/>
                <w:szCs w:val="18"/>
              </w:rPr>
            </w:pPr>
            <w:r w:rsidRPr="00DD1B74">
              <w:rPr>
                <w:sz w:val="18"/>
                <w:szCs w:val="18"/>
              </w:rPr>
              <w:t>3 343</w:t>
            </w:r>
          </w:p>
        </w:tc>
        <w:tc>
          <w:tcPr>
            <w:tcW w:w="351" w:type="pct"/>
            <w:tcBorders>
              <w:top w:val="single" w:sz="4" w:space="0" w:color="auto"/>
              <w:left w:val="single" w:sz="4" w:space="0" w:color="auto"/>
              <w:bottom w:val="single" w:sz="4" w:space="0" w:color="auto"/>
              <w:right w:val="single" w:sz="4" w:space="0" w:color="auto"/>
            </w:tcBorders>
            <w:shd w:val="clear" w:color="000000" w:fill="ACC3E2"/>
            <w:noWrap/>
            <w:vAlign w:val="bottom"/>
            <w:hideMark/>
          </w:tcPr>
          <w:p w:rsidR="00DD1B74" w:rsidRPr="00DD1B74" w:rsidRDefault="00DD1B74" w:rsidP="00DD1B74">
            <w:pPr>
              <w:spacing w:before="0"/>
              <w:jc w:val="right"/>
              <w:rPr>
                <w:sz w:val="18"/>
                <w:szCs w:val="18"/>
              </w:rPr>
            </w:pPr>
            <w:r w:rsidRPr="00DD1B74">
              <w:rPr>
                <w:sz w:val="18"/>
                <w:szCs w:val="18"/>
              </w:rPr>
              <w:t>3 257</w:t>
            </w:r>
          </w:p>
        </w:tc>
        <w:tc>
          <w:tcPr>
            <w:tcW w:w="580" w:type="pct"/>
            <w:tcBorders>
              <w:top w:val="single" w:sz="4" w:space="0" w:color="auto"/>
              <w:left w:val="single" w:sz="4" w:space="0" w:color="auto"/>
              <w:bottom w:val="single" w:sz="4" w:space="0" w:color="auto"/>
              <w:right w:val="single" w:sz="4" w:space="0" w:color="auto"/>
            </w:tcBorders>
            <w:shd w:val="clear" w:color="000000" w:fill="A8DAB6"/>
            <w:noWrap/>
            <w:vAlign w:val="bottom"/>
            <w:hideMark/>
          </w:tcPr>
          <w:p w:rsidR="00DD1B74" w:rsidRPr="00DD1B74" w:rsidRDefault="00DD1B74" w:rsidP="00DD1B74">
            <w:pPr>
              <w:spacing w:before="0"/>
              <w:jc w:val="right"/>
              <w:rPr>
                <w:sz w:val="18"/>
                <w:szCs w:val="18"/>
              </w:rPr>
            </w:pPr>
            <w:r w:rsidRPr="00DD1B74">
              <w:rPr>
                <w:sz w:val="18"/>
                <w:szCs w:val="18"/>
              </w:rPr>
              <w:t>69</w:t>
            </w:r>
          </w:p>
        </w:tc>
        <w:tc>
          <w:tcPr>
            <w:tcW w:w="580" w:type="pct"/>
            <w:tcBorders>
              <w:top w:val="single" w:sz="4" w:space="0" w:color="auto"/>
              <w:left w:val="single" w:sz="4" w:space="0" w:color="auto"/>
              <w:bottom w:val="single" w:sz="4" w:space="0" w:color="auto"/>
              <w:right w:val="single" w:sz="4" w:space="0" w:color="auto"/>
            </w:tcBorders>
            <w:shd w:val="clear" w:color="000000" w:fill="AADBB8"/>
            <w:noWrap/>
            <w:vAlign w:val="bottom"/>
            <w:hideMark/>
          </w:tcPr>
          <w:p w:rsidR="00DD1B74" w:rsidRPr="00DD1B74" w:rsidRDefault="00DD1B74" w:rsidP="00DD1B74">
            <w:pPr>
              <w:spacing w:before="0"/>
              <w:jc w:val="right"/>
              <w:rPr>
                <w:sz w:val="18"/>
                <w:szCs w:val="18"/>
              </w:rPr>
            </w:pPr>
            <w:r w:rsidRPr="00DD1B74">
              <w:rPr>
                <w:sz w:val="18"/>
                <w:szCs w:val="18"/>
              </w:rPr>
              <w:t>-86</w:t>
            </w:r>
          </w:p>
        </w:tc>
        <w:tc>
          <w:tcPr>
            <w:tcW w:w="327" w:type="pct"/>
            <w:tcBorders>
              <w:top w:val="single" w:sz="4" w:space="0" w:color="auto"/>
              <w:left w:val="single" w:sz="4" w:space="0" w:color="auto"/>
              <w:bottom w:val="single" w:sz="4" w:space="0" w:color="auto"/>
              <w:right w:val="single" w:sz="4" w:space="0" w:color="auto"/>
            </w:tcBorders>
            <w:shd w:val="clear" w:color="000000" w:fill="A6BFE0"/>
            <w:noWrap/>
            <w:vAlign w:val="bottom"/>
            <w:hideMark/>
          </w:tcPr>
          <w:p w:rsidR="00DD1B74" w:rsidRPr="00DD1B74" w:rsidRDefault="00DD1B74" w:rsidP="00DD1B74">
            <w:pPr>
              <w:spacing w:before="0"/>
              <w:jc w:val="right"/>
              <w:rPr>
                <w:sz w:val="18"/>
                <w:szCs w:val="18"/>
              </w:rPr>
            </w:pPr>
            <w:r w:rsidRPr="00DD1B74">
              <w:rPr>
                <w:sz w:val="18"/>
                <w:szCs w:val="18"/>
              </w:rPr>
              <w:t>14,3 %</w:t>
            </w:r>
          </w:p>
        </w:tc>
        <w:tc>
          <w:tcPr>
            <w:tcW w:w="327" w:type="pct"/>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DD1B74" w:rsidRPr="00DD1B74" w:rsidRDefault="00DD1B74" w:rsidP="00DD1B74">
            <w:pPr>
              <w:spacing w:before="0"/>
              <w:jc w:val="right"/>
              <w:rPr>
                <w:sz w:val="18"/>
                <w:szCs w:val="18"/>
              </w:rPr>
            </w:pPr>
            <w:r w:rsidRPr="00DD1B74">
              <w:rPr>
                <w:sz w:val="18"/>
                <w:szCs w:val="18"/>
              </w:rPr>
              <w:t>15,2 %</w:t>
            </w:r>
          </w:p>
        </w:tc>
        <w:tc>
          <w:tcPr>
            <w:tcW w:w="327" w:type="pct"/>
            <w:tcBorders>
              <w:top w:val="single" w:sz="4" w:space="0" w:color="auto"/>
              <w:left w:val="single" w:sz="4" w:space="0" w:color="auto"/>
              <w:bottom w:val="single" w:sz="4" w:space="0" w:color="auto"/>
              <w:right w:val="single" w:sz="4" w:space="0" w:color="auto"/>
            </w:tcBorders>
            <w:shd w:val="clear" w:color="000000" w:fill="FCECEF"/>
            <w:noWrap/>
            <w:vAlign w:val="bottom"/>
            <w:hideMark/>
          </w:tcPr>
          <w:p w:rsidR="00DD1B74" w:rsidRPr="00DD1B74" w:rsidRDefault="00DD1B74" w:rsidP="00DD1B74">
            <w:pPr>
              <w:spacing w:before="0"/>
              <w:jc w:val="right"/>
              <w:rPr>
                <w:sz w:val="18"/>
                <w:szCs w:val="18"/>
              </w:rPr>
            </w:pPr>
            <w:r w:rsidRPr="00DD1B74">
              <w:rPr>
                <w:sz w:val="18"/>
                <w:szCs w:val="18"/>
              </w:rPr>
              <w:t>15,1 %</w:t>
            </w:r>
          </w:p>
        </w:tc>
        <w:tc>
          <w:tcPr>
            <w:tcW w:w="580" w:type="pct"/>
            <w:tcBorders>
              <w:top w:val="single" w:sz="4" w:space="0" w:color="auto"/>
              <w:left w:val="single" w:sz="4" w:space="0" w:color="auto"/>
              <w:bottom w:val="single" w:sz="4" w:space="0" w:color="auto"/>
              <w:right w:val="single" w:sz="4" w:space="0" w:color="auto"/>
            </w:tcBorders>
            <w:shd w:val="clear" w:color="000000" w:fill="B2DFC0"/>
            <w:noWrap/>
            <w:vAlign w:val="bottom"/>
            <w:hideMark/>
          </w:tcPr>
          <w:p w:rsidR="00DD1B74" w:rsidRPr="00DD1B74" w:rsidRDefault="00DD1B74" w:rsidP="00DD1B74">
            <w:pPr>
              <w:spacing w:before="0"/>
              <w:jc w:val="right"/>
              <w:rPr>
                <w:sz w:val="18"/>
                <w:szCs w:val="18"/>
              </w:rPr>
            </w:pPr>
            <w:r w:rsidRPr="00DD1B74">
              <w:rPr>
                <w:sz w:val="18"/>
                <w:szCs w:val="18"/>
              </w:rPr>
              <w:t>0,9 %</w:t>
            </w:r>
          </w:p>
        </w:tc>
        <w:tc>
          <w:tcPr>
            <w:tcW w:w="580" w:type="pct"/>
            <w:tcBorders>
              <w:top w:val="single" w:sz="4" w:space="0" w:color="auto"/>
              <w:left w:val="single" w:sz="4" w:space="0" w:color="auto"/>
              <w:bottom w:val="single" w:sz="4" w:space="0" w:color="auto"/>
              <w:right w:val="single" w:sz="4" w:space="0" w:color="auto"/>
            </w:tcBorders>
            <w:shd w:val="clear" w:color="000000" w:fill="6FC385"/>
            <w:noWrap/>
            <w:vAlign w:val="bottom"/>
            <w:hideMark/>
          </w:tcPr>
          <w:p w:rsidR="00DD1B74" w:rsidRPr="00DD1B74" w:rsidRDefault="00DD1B74" w:rsidP="00DD1B74">
            <w:pPr>
              <w:spacing w:before="0"/>
              <w:jc w:val="right"/>
              <w:rPr>
                <w:sz w:val="18"/>
                <w:szCs w:val="18"/>
              </w:rPr>
            </w:pPr>
            <w:r w:rsidRPr="00DD1B74">
              <w:rPr>
                <w:sz w:val="18"/>
                <w:szCs w:val="18"/>
              </w:rPr>
              <w:t>-0,1 %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DD1B74">
            <w:pPr>
              <w:spacing w:before="0"/>
              <w:rPr>
                <w:sz w:val="18"/>
                <w:szCs w:val="18"/>
              </w:rPr>
            </w:pPr>
            <w:r w:rsidRPr="00DD1B74">
              <w:rPr>
                <w:sz w:val="18"/>
                <w:szCs w:val="18"/>
              </w:rPr>
              <w:t>Zábřeh</w:t>
            </w:r>
          </w:p>
        </w:tc>
        <w:tc>
          <w:tcPr>
            <w:tcW w:w="351" w:type="pct"/>
            <w:tcBorders>
              <w:top w:val="single" w:sz="4" w:space="0" w:color="auto"/>
              <w:left w:val="single" w:sz="4" w:space="0" w:color="auto"/>
              <w:bottom w:val="single" w:sz="4" w:space="0" w:color="auto"/>
              <w:right w:val="single" w:sz="4" w:space="0" w:color="auto"/>
            </w:tcBorders>
            <w:shd w:val="clear" w:color="000000" w:fill="F9FAFE"/>
            <w:noWrap/>
            <w:vAlign w:val="bottom"/>
            <w:hideMark/>
          </w:tcPr>
          <w:p w:rsidR="00DD1B74" w:rsidRPr="00DD1B74" w:rsidRDefault="00DD1B74" w:rsidP="00DD1B74">
            <w:pPr>
              <w:spacing w:before="0"/>
              <w:jc w:val="right"/>
              <w:rPr>
                <w:sz w:val="18"/>
                <w:szCs w:val="18"/>
              </w:rPr>
            </w:pPr>
            <w:r w:rsidRPr="00DD1B74">
              <w:rPr>
                <w:sz w:val="18"/>
                <w:szCs w:val="18"/>
              </w:rPr>
              <w:t>4 923</w:t>
            </w:r>
          </w:p>
        </w:tc>
        <w:tc>
          <w:tcPr>
            <w:tcW w:w="351"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rsidR="00DD1B74" w:rsidRPr="00DD1B74" w:rsidRDefault="00DD1B74" w:rsidP="00DD1B74">
            <w:pPr>
              <w:spacing w:before="0"/>
              <w:jc w:val="right"/>
              <w:rPr>
                <w:sz w:val="18"/>
                <w:szCs w:val="18"/>
              </w:rPr>
            </w:pPr>
            <w:r w:rsidRPr="00DD1B74">
              <w:rPr>
                <w:sz w:val="18"/>
                <w:szCs w:val="18"/>
              </w:rPr>
              <w:t>5 287</w:t>
            </w:r>
          </w:p>
        </w:tc>
        <w:tc>
          <w:tcPr>
            <w:tcW w:w="35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DD1B74" w:rsidRPr="00DD1B74" w:rsidRDefault="00DD1B74" w:rsidP="00DD1B74">
            <w:pPr>
              <w:spacing w:before="0"/>
              <w:jc w:val="right"/>
              <w:rPr>
                <w:sz w:val="18"/>
                <w:szCs w:val="18"/>
              </w:rPr>
            </w:pPr>
            <w:r w:rsidRPr="00DD1B74">
              <w:rPr>
                <w:sz w:val="18"/>
                <w:szCs w:val="18"/>
              </w:rPr>
              <w:t>4 974</w:t>
            </w:r>
          </w:p>
        </w:tc>
        <w:tc>
          <w:tcPr>
            <w:tcW w:w="580" w:type="pct"/>
            <w:tcBorders>
              <w:top w:val="single" w:sz="4" w:space="0" w:color="auto"/>
              <w:left w:val="single" w:sz="4" w:space="0" w:color="auto"/>
              <w:bottom w:val="single" w:sz="4" w:space="0" w:color="auto"/>
              <w:right w:val="single" w:sz="4" w:space="0" w:color="auto"/>
            </w:tcBorders>
            <w:shd w:val="clear" w:color="000000" w:fill="A4D8B3"/>
            <w:noWrap/>
            <w:vAlign w:val="bottom"/>
            <w:hideMark/>
          </w:tcPr>
          <w:p w:rsidR="00DD1B74" w:rsidRPr="00DD1B74" w:rsidRDefault="00DD1B74" w:rsidP="00DD1B74">
            <w:pPr>
              <w:spacing w:before="0"/>
              <w:jc w:val="right"/>
              <w:rPr>
                <w:sz w:val="18"/>
                <w:szCs w:val="18"/>
              </w:rPr>
            </w:pPr>
            <w:r w:rsidRPr="00DD1B74">
              <w:rPr>
                <w:sz w:val="18"/>
                <w:szCs w:val="18"/>
              </w:rPr>
              <w:t>364</w:t>
            </w:r>
          </w:p>
        </w:tc>
        <w:tc>
          <w:tcPr>
            <w:tcW w:w="580" w:type="pct"/>
            <w:tcBorders>
              <w:top w:val="single" w:sz="4" w:space="0" w:color="auto"/>
              <w:left w:val="single" w:sz="4" w:space="0" w:color="auto"/>
              <w:bottom w:val="single" w:sz="4" w:space="0" w:color="auto"/>
              <w:right w:val="single" w:sz="4" w:space="0" w:color="auto"/>
            </w:tcBorders>
            <w:shd w:val="clear" w:color="000000" w:fill="ADDCBA"/>
            <w:noWrap/>
            <w:vAlign w:val="bottom"/>
            <w:hideMark/>
          </w:tcPr>
          <w:p w:rsidR="00DD1B74" w:rsidRPr="00DD1B74" w:rsidRDefault="00DD1B74" w:rsidP="00DD1B74">
            <w:pPr>
              <w:spacing w:before="0"/>
              <w:jc w:val="right"/>
              <w:rPr>
                <w:sz w:val="18"/>
                <w:szCs w:val="18"/>
              </w:rPr>
            </w:pPr>
            <w:r w:rsidRPr="00DD1B74">
              <w:rPr>
                <w:sz w:val="18"/>
                <w:szCs w:val="18"/>
              </w:rPr>
              <w:t>-313</w:t>
            </w:r>
          </w:p>
        </w:tc>
        <w:tc>
          <w:tcPr>
            <w:tcW w:w="327" w:type="pct"/>
            <w:tcBorders>
              <w:top w:val="single" w:sz="4" w:space="0" w:color="auto"/>
              <w:left w:val="single" w:sz="4" w:space="0" w:color="auto"/>
              <w:bottom w:val="single" w:sz="4" w:space="0" w:color="auto"/>
              <w:right w:val="single" w:sz="4" w:space="0" w:color="auto"/>
            </w:tcBorders>
            <w:shd w:val="clear" w:color="000000" w:fill="D1DDEF"/>
            <w:noWrap/>
            <w:vAlign w:val="bottom"/>
            <w:hideMark/>
          </w:tcPr>
          <w:p w:rsidR="00DD1B74" w:rsidRPr="00DD1B74" w:rsidRDefault="00DD1B74" w:rsidP="00DD1B74">
            <w:pPr>
              <w:spacing w:before="0"/>
              <w:jc w:val="right"/>
              <w:rPr>
                <w:sz w:val="18"/>
                <w:szCs w:val="18"/>
              </w:rPr>
            </w:pPr>
            <w:r w:rsidRPr="00DD1B74">
              <w:rPr>
                <w:sz w:val="18"/>
                <w:szCs w:val="18"/>
              </w:rPr>
              <w:t>14,6 %</w:t>
            </w:r>
          </w:p>
        </w:tc>
        <w:tc>
          <w:tcPr>
            <w:tcW w:w="327" w:type="pct"/>
            <w:tcBorders>
              <w:top w:val="single" w:sz="4" w:space="0" w:color="auto"/>
              <w:left w:val="single" w:sz="4" w:space="0" w:color="auto"/>
              <w:bottom w:val="single" w:sz="4" w:space="0" w:color="auto"/>
              <w:right w:val="single" w:sz="4" w:space="0" w:color="auto"/>
            </w:tcBorders>
            <w:shd w:val="clear" w:color="000000" w:fill="FA9FA1"/>
            <w:noWrap/>
            <w:vAlign w:val="bottom"/>
            <w:hideMark/>
          </w:tcPr>
          <w:p w:rsidR="00DD1B74" w:rsidRPr="00DD1B74" w:rsidRDefault="00DD1B74" w:rsidP="00DD1B74">
            <w:pPr>
              <w:spacing w:before="0"/>
              <w:jc w:val="right"/>
              <w:rPr>
                <w:sz w:val="18"/>
                <w:szCs w:val="18"/>
              </w:rPr>
            </w:pPr>
            <w:r w:rsidRPr="00DD1B74">
              <w:rPr>
                <w:sz w:val="18"/>
                <w:szCs w:val="18"/>
              </w:rPr>
              <w:t>16,1 %</w:t>
            </w:r>
          </w:p>
        </w:tc>
        <w:tc>
          <w:tcPr>
            <w:tcW w:w="327" w:type="pct"/>
            <w:tcBorders>
              <w:top w:val="single" w:sz="4" w:space="0" w:color="auto"/>
              <w:left w:val="single" w:sz="4" w:space="0" w:color="auto"/>
              <w:bottom w:val="single" w:sz="4" w:space="0" w:color="auto"/>
              <w:right w:val="single" w:sz="4" w:space="0" w:color="auto"/>
            </w:tcBorders>
            <w:shd w:val="clear" w:color="000000" w:fill="FBCED0"/>
            <w:noWrap/>
            <w:vAlign w:val="bottom"/>
            <w:hideMark/>
          </w:tcPr>
          <w:p w:rsidR="00DD1B74" w:rsidRPr="00DD1B74" w:rsidRDefault="00DD1B74" w:rsidP="00DD1B74">
            <w:pPr>
              <w:spacing w:before="0"/>
              <w:jc w:val="right"/>
              <w:rPr>
                <w:sz w:val="18"/>
                <w:szCs w:val="18"/>
              </w:rPr>
            </w:pPr>
            <w:r w:rsidRPr="00DD1B74">
              <w:rPr>
                <w:sz w:val="18"/>
                <w:szCs w:val="18"/>
              </w:rPr>
              <w:t>15,5 %</w:t>
            </w:r>
          </w:p>
        </w:tc>
        <w:tc>
          <w:tcPr>
            <w:tcW w:w="580" w:type="pct"/>
            <w:tcBorders>
              <w:top w:val="single" w:sz="4" w:space="0" w:color="auto"/>
              <w:left w:val="single" w:sz="4" w:space="0" w:color="auto"/>
              <w:bottom w:val="single" w:sz="4" w:space="0" w:color="auto"/>
              <w:right w:val="single" w:sz="4" w:space="0" w:color="auto"/>
            </w:tcBorders>
            <w:shd w:val="clear" w:color="000000" w:fill="85CC98"/>
            <w:noWrap/>
            <w:vAlign w:val="bottom"/>
            <w:hideMark/>
          </w:tcPr>
          <w:p w:rsidR="00DD1B74" w:rsidRPr="00DD1B74" w:rsidRDefault="00DD1B74" w:rsidP="00DD1B74">
            <w:pPr>
              <w:spacing w:before="0"/>
              <w:jc w:val="right"/>
              <w:rPr>
                <w:sz w:val="18"/>
                <w:szCs w:val="18"/>
              </w:rPr>
            </w:pPr>
            <w:r w:rsidRPr="00DD1B74">
              <w:rPr>
                <w:sz w:val="18"/>
                <w:szCs w:val="18"/>
              </w:rPr>
              <w:t>1,5 %</w:t>
            </w:r>
          </w:p>
        </w:tc>
        <w:tc>
          <w:tcPr>
            <w:tcW w:w="580" w:type="pct"/>
            <w:tcBorders>
              <w:top w:val="single" w:sz="4" w:space="0" w:color="auto"/>
              <w:left w:val="single" w:sz="4" w:space="0" w:color="auto"/>
              <w:bottom w:val="single" w:sz="4" w:space="0" w:color="auto"/>
              <w:right w:val="single" w:sz="4" w:space="0" w:color="auto"/>
            </w:tcBorders>
            <w:shd w:val="clear" w:color="000000" w:fill="B0DEBE"/>
            <w:noWrap/>
            <w:vAlign w:val="bottom"/>
            <w:hideMark/>
          </w:tcPr>
          <w:p w:rsidR="00DD1B74" w:rsidRPr="00DD1B74" w:rsidRDefault="00DD1B74" w:rsidP="00DD1B74">
            <w:pPr>
              <w:spacing w:before="0"/>
              <w:jc w:val="right"/>
              <w:rPr>
                <w:sz w:val="18"/>
                <w:szCs w:val="18"/>
              </w:rPr>
            </w:pPr>
            <w:r w:rsidRPr="00DD1B74">
              <w:rPr>
                <w:sz w:val="18"/>
                <w:szCs w:val="18"/>
              </w:rPr>
              <w:t>-0,6 %</w:t>
            </w:r>
          </w:p>
        </w:tc>
      </w:tr>
      <w:tr w:rsidR="00DD1B74" w:rsidRPr="00DD1B74" w:rsidTr="00DD1B74">
        <w:trPr>
          <w:trHeight w:val="20"/>
        </w:trPr>
        <w:tc>
          <w:tcPr>
            <w:tcW w:w="644" w:type="pct"/>
            <w:tcBorders>
              <w:top w:val="nil"/>
              <w:left w:val="single" w:sz="4" w:space="0" w:color="auto"/>
              <w:bottom w:val="single" w:sz="4" w:space="0" w:color="auto"/>
              <w:right w:val="single" w:sz="4" w:space="0" w:color="auto"/>
            </w:tcBorders>
            <w:shd w:val="clear" w:color="auto" w:fill="auto"/>
            <w:vAlign w:val="center"/>
            <w:hideMark/>
          </w:tcPr>
          <w:p w:rsidR="00DD1B74" w:rsidRPr="00DD1B74" w:rsidRDefault="00DD1B74" w:rsidP="00E07890">
            <w:pPr>
              <w:spacing w:before="0"/>
              <w:rPr>
                <w:b/>
                <w:bCs/>
                <w:sz w:val="18"/>
                <w:szCs w:val="18"/>
              </w:rPr>
            </w:pPr>
            <w:r w:rsidRPr="00DD1B74">
              <w:rPr>
                <w:b/>
                <w:bCs/>
                <w:sz w:val="18"/>
                <w:szCs w:val="18"/>
              </w:rPr>
              <w:t>Celkem OK</w:t>
            </w:r>
          </w:p>
        </w:tc>
        <w:tc>
          <w:tcPr>
            <w:tcW w:w="351" w:type="pct"/>
            <w:tcBorders>
              <w:top w:val="nil"/>
              <w:left w:val="nil"/>
              <w:bottom w:val="single" w:sz="4" w:space="0" w:color="auto"/>
              <w:right w:val="single" w:sz="4" w:space="0" w:color="auto"/>
            </w:tcBorders>
            <w:shd w:val="clear" w:color="auto" w:fill="auto"/>
            <w:noWrap/>
            <w:vAlign w:val="bottom"/>
            <w:hideMark/>
          </w:tcPr>
          <w:p w:rsidR="00DD1B74" w:rsidRPr="00DD1B74" w:rsidRDefault="00DD1B74" w:rsidP="00DD1B74">
            <w:pPr>
              <w:spacing w:before="0"/>
              <w:jc w:val="right"/>
              <w:rPr>
                <w:b/>
                <w:sz w:val="18"/>
                <w:szCs w:val="18"/>
              </w:rPr>
            </w:pPr>
            <w:r w:rsidRPr="00DD1B74">
              <w:rPr>
                <w:b/>
                <w:sz w:val="18"/>
                <w:szCs w:val="18"/>
              </w:rPr>
              <w:t>92 972</w:t>
            </w:r>
          </w:p>
        </w:tc>
        <w:tc>
          <w:tcPr>
            <w:tcW w:w="351" w:type="pct"/>
            <w:tcBorders>
              <w:top w:val="nil"/>
              <w:left w:val="nil"/>
              <w:bottom w:val="single" w:sz="4" w:space="0" w:color="auto"/>
              <w:right w:val="single" w:sz="4" w:space="0" w:color="auto"/>
            </w:tcBorders>
            <w:shd w:val="clear" w:color="auto" w:fill="auto"/>
            <w:noWrap/>
            <w:vAlign w:val="bottom"/>
            <w:hideMark/>
          </w:tcPr>
          <w:p w:rsidR="00DD1B74" w:rsidRPr="00DD1B74" w:rsidRDefault="00DD1B74" w:rsidP="00DD1B74">
            <w:pPr>
              <w:spacing w:before="0"/>
              <w:jc w:val="right"/>
              <w:rPr>
                <w:b/>
                <w:sz w:val="18"/>
                <w:szCs w:val="18"/>
              </w:rPr>
            </w:pPr>
            <w:r w:rsidRPr="00DD1B74">
              <w:rPr>
                <w:b/>
                <w:sz w:val="18"/>
                <w:szCs w:val="18"/>
              </w:rPr>
              <w:t>98 227</w:t>
            </w:r>
          </w:p>
        </w:tc>
        <w:tc>
          <w:tcPr>
            <w:tcW w:w="351" w:type="pct"/>
            <w:tcBorders>
              <w:top w:val="nil"/>
              <w:left w:val="nil"/>
              <w:bottom w:val="single" w:sz="4" w:space="0" w:color="auto"/>
              <w:right w:val="single" w:sz="4" w:space="0" w:color="auto"/>
            </w:tcBorders>
            <w:shd w:val="clear" w:color="auto" w:fill="auto"/>
            <w:noWrap/>
            <w:vAlign w:val="bottom"/>
            <w:hideMark/>
          </w:tcPr>
          <w:p w:rsidR="00DD1B74" w:rsidRPr="00DD1B74" w:rsidRDefault="00DD1B74" w:rsidP="00DD1B74">
            <w:pPr>
              <w:spacing w:before="0"/>
              <w:jc w:val="right"/>
              <w:rPr>
                <w:b/>
                <w:sz w:val="18"/>
                <w:szCs w:val="18"/>
              </w:rPr>
            </w:pPr>
            <w:r w:rsidRPr="00DD1B74">
              <w:rPr>
                <w:b/>
                <w:sz w:val="18"/>
                <w:szCs w:val="18"/>
              </w:rPr>
              <w:t>91 815</w:t>
            </w:r>
          </w:p>
        </w:tc>
        <w:tc>
          <w:tcPr>
            <w:tcW w:w="580"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DD1B74" w:rsidRPr="00DD1B74" w:rsidRDefault="00DD1B74" w:rsidP="00DD1B74">
            <w:pPr>
              <w:spacing w:before="0"/>
              <w:jc w:val="right"/>
              <w:rPr>
                <w:b/>
                <w:sz w:val="18"/>
                <w:szCs w:val="18"/>
              </w:rPr>
            </w:pPr>
            <w:r w:rsidRPr="00DD1B74">
              <w:rPr>
                <w:b/>
                <w:sz w:val="18"/>
                <w:szCs w:val="18"/>
              </w:rPr>
              <w:t>5 255</w:t>
            </w:r>
          </w:p>
        </w:tc>
        <w:tc>
          <w:tcPr>
            <w:tcW w:w="580"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DD1B74" w:rsidRPr="00DD1B74" w:rsidRDefault="00DD1B74" w:rsidP="00DD1B74">
            <w:pPr>
              <w:spacing w:before="0"/>
              <w:jc w:val="right"/>
              <w:rPr>
                <w:b/>
                <w:sz w:val="18"/>
                <w:szCs w:val="18"/>
              </w:rPr>
            </w:pPr>
            <w:r w:rsidRPr="00DD1B74">
              <w:rPr>
                <w:b/>
                <w:sz w:val="18"/>
                <w:szCs w:val="18"/>
              </w:rPr>
              <w:t>-6 412</w:t>
            </w:r>
          </w:p>
        </w:tc>
        <w:tc>
          <w:tcPr>
            <w:tcW w:w="327" w:type="pct"/>
            <w:tcBorders>
              <w:top w:val="single" w:sz="4" w:space="0" w:color="auto"/>
              <w:left w:val="single" w:sz="4" w:space="0" w:color="auto"/>
              <w:bottom w:val="single" w:sz="4" w:space="0" w:color="auto"/>
              <w:right w:val="single" w:sz="4" w:space="0" w:color="auto"/>
            </w:tcBorders>
            <w:shd w:val="clear" w:color="000000" w:fill="CBD9ED"/>
            <w:noWrap/>
            <w:vAlign w:val="bottom"/>
            <w:hideMark/>
          </w:tcPr>
          <w:p w:rsidR="00DD1B74" w:rsidRPr="00DD1B74" w:rsidRDefault="00DD1B74" w:rsidP="00DD1B74">
            <w:pPr>
              <w:spacing w:before="0"/>
              <w:jc w:val="right"/>
              <w:rPr>
                <w:b/>
                <w:sz w:val="18"/>
                <w:szCs w:val="18"/>
              </w:rPr>
            </w:pPr>
            <w:r w:rsidRPr="00DD1B74">
              <w:rPr>
                <w:b/>
                <w:sz w:val="18"/>
                <w:szCs w:val="18"/>
              </w:rPr>
              <w:t>14,6 %</w:t>
            </w:r>
          </w:p>
        </w:tc>
        <w:tc>
          <w:tcPr>
            <w:tcW w:w="327" w:type="pct"/>
            <w:tcBorders>
              <w:top w:val="single" w:sz="4" w:space="0" w:color="auto"/>
              <w:left w:val="single" w:sz="4" w:space="0" w:color="auto"/>
              <w:bottom w:val="single" w:sz="4" w:space="0" w:color="auto"/>
              <w:right w:val="single" w:sz="4" w:space="0" w:color="auto"/>
            </w:tcBorders>
            <w:shd w:val="clear" w:color="000000" w:fill="FBBABD"/>
            <w:noWrap/>
            <w:vAlign w:val="bottom"/>
            <w:hideMark/>
          </w:tcPr>
          <w:p w:rsidR="00DD1B74" w:rsidRPr="00DD1B74" w:rsidRDefault="00DD1B74" w:rsidP="00DD1B74">
            <w:pPr>
              <w:spacing w:before="0"/>
              <w:jc w:val="right"/>
              <w:rPr>
                <w:b/>
                <w:sz w:val="18"/>
                <w:szCs w:val="18"/>
              </w:rPr>
            </w:pPr>
            <w:r w:rsidRPr="00DD1B74">
              <w:rPr>
                <w:b/>
                <w:sz w:val="18"/>
                <w:szCs w:val="18"/>
              </w:rPr>
              <w:t>15,8 %</w:t>
            </w:r>
          </w:p>
        </w:tc>
        <w:tc>
          <w:tcPr>
            <w:tcW w:w="327" w:type="pct"/>
            <w:tcBorders>
              <w:top w:val="single" w:sz="4" w:space="0" w:color="auto"/>
              <w:left w:val="single" w:sz="4" w:space="0" w:color="auto"/>
              <w:bottom w:val="single" w:sz="4" w:space="0" w:color="auto"/>
              <w:right w:val="single" w:sz="4" w:space="0" w:color="auto"/>
            </w:tcBorders>
            <w:shd w:val="clear" w:color="000000" w:fill="FCEEF1"/>
            <w:noWrap/>
            <w:vAlign w:val="bottom"/>
            <w:hideMark/>
          </w:tcPr>
          <w:p w:rsidR="00DD1B74" w:rsidRPr="00DD1B74" w:rsidRDefault="00DD1B74" w:rsidP="00DD1B74">
            <w:pPr>
              <w:spacing w:before="0"/>
              <w:jc w:val="right"/>
              <w:rPr>
                <w:b/>
                <w:sz w:val="18"/>
                <w:szCs w:val="18"/>
              </w:rPr>
            </w:pPr>
            <w:r w:rsidRPr="00DD1B74">
              <w:rPr>
                <w:b/>
                <w:sz w:val="18"/>
                <w:szCs w:val="18"/>
              </w:rPr>
              <w:t>15,1 %</w:t>
            </w:r>
          </w:p>
        </w:tc>
        <w:tc>
          <w:tcPr>
            <w:tcW w:w="580" w:type="pct"/>
            <w:tcBorders>
              <w:top w:val="single" w:sz="4" w:space="0" w:color="auto"/>
              <w:left w:val="single" w:sz="4" w:space="0" w:color="auto"/>
              <w:bottom w:val="single" w:sz="4" w:space="0" w:color="auto"/>
              <w:right w:val="single" w:sz="4" w:space="0" w:color="auto"/>
            </w:tcBorders>
            <w:shd w:val="clear" w:color="000000" w:fill="9BD5AB"/>
            <w:noWrap/>
            <w:vAlign w:val="bottom"/>
            <w:hideMark/>
          </w:tcPr>
          <w:p w:rsidR="00DD1B74" w:rsidRPr="00DD1B74" w:rsidRDefault="00DD1B74" w:rsidP="00DD1B74">
            <w:pPr>
              <w:spacing w:before="0"/>
              <w:jc w:val="right"/>
              <w:rPr>
                <w:b/>
                <w:sz w:val="18"/>
                <w:szCs w:val="18"/>
              </w:rPr>
            </w:pPr>
            <w:r w:rsidRPr="00DD1B74">
              <w:rPr>
                <w:b/>
                <w:sz w:val="18"/>
                <w:szCs w:val="18"/>
              </w:rPr>
              <w:t>1,2 %</w:t>
            </w:r>
          </w:p>
        </w:tc>
        <w:tc>
          <w:tcPr>
            <w:tcW w:w="580" w:type="pct"/>
            <w:tcBorders>
              <w:top w:val="single" w:sz="4" w:space="0" w:color="auto"/>
              <w:left w:val="single" w:sz="4" w:space="0" w:color="auto"/>
              <w:bottom w:val="single" w:sz="4" w:space="0" w:color="auto"/>
              <w:right w:val="single" w:sz="4" w:space="0" w:color="auto"/>
            </w:tcBorders>
            <w:shd w:val="clear" w:color="000000" w:fill="B8E1C4"/>
            <w:noWrap/>
            <w:vAlign w:val="bottom"/>
            <w:hideMark/>
          </w:tcPr>
          <w:p w:rsidR="00DD1B74" w:rsidRPr="00DD1B74" w:rsidRDefault="00DD1B74" w:rsidP="00DD1B74">
            <w:pPr>
              <w:spacing w:before="0"/>
              <w:jc w:val="right"/>
              <w:rPr>
                <w:b/>
                <w:sz w:val="18"/>
                <w:szCs w:val="18"/>
              </w:rPr>
            </w:pPr>
            <w:r w:rsidRPr="00DD1B74">
              <w:rPr>
                <w:b/>
                <w:sz w:val="18"/>
                <w:szCs w:val="18"/>
              </w:rPr>
              <w:t>-0,7 %</w:t>
            </w:r>
          </w:p>
        </w:tc>
      </w:tr>
    </w:tbl>
    <w:p w:rsidR="00AF4350" w:rsidRDefault="00AF4350" w:rsidP="00DD1B74">
      <w:pPr>
        <w:pStyle w:val="Zdrojobjektu"/>
      </w:pPr>
      <w:r w:rsidRPr="0039748C">
        <w:t>Zdroj: ČSÚ, vlastní prognózy obyvatel pro jednotlivá SO ORP, data k 1. 1. daného roku</w:t>
      </w:r>
    </w:p>
    <w:p w:rsidR="00AF4350" w:rsidRPr="0039748C" w:rsidRDefault="00AF4350" w:rsidP="00A34764">
      <w:r w:rsidRPr="0039748C">
        <w:t>Počet osob s uděleným pobytovým oprávněním v souvislosti s válkou na Ukrajině v OK podle pohlaví a</w:t>
      </w:r>
      <w:r>
        <w:t> </w:t>
      </w:r>
      <w:r w:rsidRPr="0039748C">
        <w:t>věku je uveden v kapitole Etnické menšiny a cizinci. Dětská složka a mládež je zde členěna do kategorií 0–2 roky, 2–5 let, 6–14 let a 15–17 let.</w:t>
      </w:r>
    </w:p>
    <w:p w:rsidR="00AF4350" w:rsidRPr="0039748C" w:rsidRDefault="00AF4350" w:rsidP="00DD1B74">
      <w:pPr>
        <w:pStyle w:val="popistabulkySPRSS2024"/>
      </w:pPr>
      <w:bookmarkStart w:id="84" w:name="_Toc117607074"/>
      <w:r w:rsidRPr="0039748C">
        <w:t xml:space="preserve">Tabulka </w:t>
      </w:r>
      <w:r w:rsidR="00412C70">
        <w:fldChar w:fldCharType="begin"/>
      </w:r>
      <w:r w:rsidR="00412C70">
        <w:instrText xml:space="preserve"> SEQ Tabulka \* ARABIC </w:instrText>
      </w:r>
      <w:r w:rsidR="00412C70">
        <w:fldChar w:fldCharType="separate"/>
      </w:r>
      <w:r w:rsidR="003A12AF">
        <w:rPr>
          <w:noProof/>
        </w:rPr>
        <w:t>14</w:t>
      </w:r>
      <w:r w:rsidR="00412C70">
        <w:rPr>
          <w:noProof/>
        </w:rPr>
        <w:fldChar w:fldCharType="end"/>
      </w:r>
      <w:r>
        <w:rPr>
          <w:noProof/>
        </w:rPr>
        <w:t>:</w:t>
      </w:r>
      <w:r w:rsidRPr="0039748C">
        <w:t xml:space="preserve"> Vývoj dětské složky obyvatel ve SO ORP včetně prognózy do roku 2032</w:t>
      </w:r>
      <w:bookmarkEnd w:id="84"/>
    </w:p>
    <w:tbl>
      <w:tblPr>
        <w:tblW w:w="5000" w:type="pct"/>
        <w:tblCellMar>
          <w:left w:w="70" w:type="dxa"/>
          <w:right w:w="70" w:type="dxa"/>
        </w:tblCellMar>
        <w:tblLook w:val="04A0" w:firstRow="1" w:lastRow="0" w:firstColumn="1" w:lastColumn="0" w:noHBand="0" w:noVBand="1"/>
      </w:tblPr>
      <w:tblGrid>
        <w:gridCol w:w="2399"/>
        <w:gridCol w:w="920"/>
        <w:gridCol w:w="921"/>
        <w:gridCol w:w="921"/>
        <w:gridCol w:w="921"/>
        <w:gridCol w:w="924"/>
        <w:gridCol w:w="1028"/>
        <w:gridCol w:w="1028"/>
      </w:tblGrid>
      <w:tr w:rsidR="00E07890" w:rsidRPr="00E07890" w:rsidTr="00E07890">
        <w:trPr>
          <w:trHeight w:val="20"/>
          <w:tblHeader/>
        </w:trPr>
        <w:tc>
          <w:tcPr>
            <w:tcW w:w="132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07890" w:rsidRPr="00E07890" w:rsidRDefault="00E07890" w:rsidP="00E07890">
            <w:pPr>
              <w:spacing w:before="0"/>
              <w:jc w:val="center"/>
              <w:rPr>
                <w:b/>
                <w:bCs/>
                <w:sz w:val="18"/>
                <w:szCs w:val="18"/>
              </w:rPr>
            </w:pPr>
            <w:r w:rsidRPr="00E07890">
              <w:rPr>
                <w:b/>
                <w:bCs/>
                <w:sz w:val="18"/>
                <w:szCs w:val="18"/>
              </w:rPr>
              <w:t>SO ORP</w:t>
            </w:r>
          </w:p>
        </w:tc>
        <w:tc>
          <w:tcPr>
            <w:tcW w:w="2542" w:type="pct"/>
            <w:gridSpan w:val="5"/>
            <w:tcBorders>
              <w:top w:val="single" w:sz="4" w:space="0" w:color="auto"/>
              <w:left w:val="nil"/>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b/>
                <w:bCs/>
                <w:sz w:val="18"/>
                <w:szCs w:val="18"/>
              </w:rPr>
            </w:pPr>
            <w:r w:rsidRPr="00E07890">
              <w:rPr>
                <w:b/>
                <w:bCs/>
                <w:sz w:val="18"/>
                <w:szCs w:val="18"/>
              </w:rPr>
              <w:t>Podíl dětské složky obyvatel</w:t>
            </w:r>
          </w:p>
        </w:tc>
        <w:tc>
          <w:tcPr>
            <w:tcW w:w="113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07890" w:rsidRPr="00E07890" w:rsidRDefault="00E07890" w:rsidP="00E07890">
            <w:pPr>
              <w:spacing w:before="0"/>
              <w:jc w:val="center"/>
              <w:rPr>
                <w:b/>
                <w:bCs/>
                <w:sz w:val="18"/>
                <w:szCs w:val="18"/>
              </w:rPr>
            </w:pPr>
            <w:r w:rsidRPr="00E07890">
              <w:rPr>
                <w:b/>
                <w:bCs/>
                <w:sz w:val="18"/>
                <w:szCs w:val="18"/>
              </w:rPr>
              <w:t>Změna podílu</w:t>
            </w:r>
          </w:p>
        </w:tc>
      </w:tr>
      <w:tr w:rsidR="00E07890" w:rsidRPr="00E07890" w:rsidTr="00E07890">
        <w:trPr>
          <w:trHeight w:val="20"/>
          <w:tblHead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E07890" w:rsidRPr="00E07890" w:rsidRDefault="00E07890" w:rsidP="00E07890">
            <w:pPr>
              <w:spacing w:before="0"/>
              <w:jc w:val="center"/>
              <w:rPr>
                <w:b/>
                <w:bCs/>
                <w:sz w:val="18"/>
                <w:szCs w:val="18"/>
              </w:rPr>
            </w:pPr>
          </w:p>
        </w:tc>
        <w:tc>
          <w:tcPr>
            <w:tcW w:w="508" w:type="pct"/>
            <w:tcBorders>
              <w:top w:val="nil"/>
              <w:left w:val="nil"/>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b/>
                <w:bCs/>
                <w:sz w:val="18"/>
                <w:szCs w:val="18"/>
              </w:rPr>
            </w:pPr>
            <w:r w:rsidRPr="00E07890">
              <w:rPr>
                <w:b/>
                <w:bCs/>
                <w:sz w:val="18"/>
                <w:szCs w:val="18"/>
              </w:rPr>
              <w:t>2012</w:t>
            </w:r>
          </w:p>
        </w:tc>
        <w:tc>
          <w:tcPr>
            <w:tcW w:w="508" w:type="pct"/>
            <w:tcBorders>
              <w:top w:val="nil"/>
              <w:left w:val="nil"/>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b/>
                <w:bCs/>
                <w:sz w:val="18"/>
                <w:szCs w:val="18"/>
              </w:rPr>
            </w:pPr>
            <w:r w:rsidRPr="00E07890">
              <w:rPr>
                <w:b/>
                <w:bCs/>
                <w:sz w:val="18"/>
                <w:szCs w:val="18"/>
              </w:rPr>
              <w:t>2017</w:t>
            </w:r>
          </w:p>
        </w:tc>
        <w:tc>
          <w:tcPr>
            <w:tcW w:w="508" w:type="pct"/>
            <w:tcBorders>
              <w:top w:val="nil"/>
              <w:left w:val="nil"/>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b/>
                <w:bCs/>
                <w:sz w:val="18"/>
                <w:szCs w:val="18"/>
              </w:rPr>
            </w:pPr>
            <w:r w:rsidRPr="00E07890">
              <w:rPr>
                <w:b/>
                <w:bCs/>
                <w:sz w:val="18"/>
                <w:szCs w:val="18"/>
              </w:rPr>
              <w:t>2022</w:t>
            </w:r>
          </w:p>
        </w:tc>
        <w:tc>
          <w:tcPr>
            <w:tcW w:w="508" w:type="pct"/>
            <w:tcBorders>
              <w:top w:val="nil"/>
              <w:left w:val="nil"/>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b/>
                <w:bCs/>
                <w:sz w:val="18"/>
                <w:szCs w:val="18"/>
              </w:rPr>
            </w:pPr>
            <w:r w:rsidRPr="00E07890">
              <w:rPr>
                <w:b/>
                <w:bCs/>
                <w:sz w:val="18"/>
                <w:szCs w:val="18"/>
              </w:rPr>
              <w:t>2027</w:t>
            </w:r>
          </w:p>
        </w:tc>
        <w:tc>
          <w:tcPr>
            <w:tcW w:w="510" w:type="pct"/>
            <w:tcBorders>
              <w:top w:val="nil"/>
              <w:left w:val="nil"/>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b/>
                <w:bCs/>
                <w:sz w:val="18"/>
                <w:szCs w:val="18"/>
              </w:rPr>
            </w:pPr>
            <w:r w:rsidRPr="00E07890">
              <w:rPr>
                <w:b/>
                <w:bCs/>
                <w:sz w:val="18"/>
                <w:szCs w:val="18"/>
              </w:rPr>
              <w:t>2032</w:t>
            </w:r>
          </w:p>
        </w:tc>
        <w:tc>
          <w:tcPr>
            <w:tcW w:w="5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07890" w:rsidRPr="00E07890" w:rsidRDefault="00E07890" w:rsidP="00E07890">
            <w:pPr>
              <w:spacing w:before="0"/>
              <w:jc w:val="center"/>
              <w:rPr>
                <w:b/>
                <w:bCs/>
                <w:sz w:val="18"/>
                <w:szCs w:val="18"/>
              </w:rPr>
            </w:pPr>
            <w:r w:rsidRPr="00E07890">
              <w:rPr>
                <w:b/>
                <w:bCs/>
                <w:sz w:val="18"/>
                <w:szCs w:val="18"/>
              </w:rPr>
              <w:t>2012–2022</w:t>
            </w:r>
          </w:p>
        </w:tc>
        <w:tc>
          <w:tcPr>
            <w:tcW w:w="567" w:type="pct"/>
            <w:tcBorders>
              <w:top w:val="single" w:sz="4" w:space="0" w:color="auto"/>
              <w:left w:val="single" w:sz="4" w:space="0" w:color="auto"/>
              <w:bottom w:val="single" w:sz="4" w:space="0" w:color="auto"/>
              <w:right w:val="single" w:sz="4" w:space="0" w:color="auto"/>
            </w:tcBorders>
            <w:shd w:val="clear" w:color="000000" w:fill="F2F2F2"/>
            <w:vAlign w:val="center"/>
          </w:tcPr>
          <w:p w:rsidR="00E07890" w:rsidRPr="00E07890" w:rsidRDefault="00E07890" w:rsidP="00E07890">
            <w:pPr>
              <w:spacing w:before="0"/>
              <w:jc w:val="center"/>
              <w:rPr>
                <w:b/>
                <w:bCs/>
                <w:sz w:val="18"/>
                <w:szCs w:val="18"/>
              </w:rPr>
            </w:pPr>
            <w:r w:rsidRPr="00E07890">
              <w:rPr>
                <w:b/>
                <w:bCs/>
                <w:sz w:val="18"/>
                <w:szCs w:val="18"/>
              </w:rPr>
              <w:t>2022–2032</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Olomouc</w:t>
            </w:r>
          </w:p>
        </w:tc>
        <w:tc>
          <w:tcPr>
            <w:tcW w:w="508" w:type="pct"/>
            <w:tcBorders>
              <w:top w:val="single" w:sz="4" w:space="0" w:color="auto"/>
              <w:left w:val="single" w:sz="4" w:space="0" w:color="auto"/>
              <w:bottom w:val="single" w:sz="4" w:space="0" w:color="auto"/>
              <w:right w:val="single" w:sz="4" w:space="0" w:color="auto"/>
            </w:tcBorders>
            <w:shd w:val="clear" w:color="000000" w:fill="DBE5F3"/>
            <w:noWrap/>
            <w:vAlign w:val="bottom"/>
            <w:hideMark/>
          </w:tcPr>
          <w:p w:rsidR="00E07890" w:rsidRPr="00E07890" w:rsidRDefault="00E07890" w:rsidP="00E07890">
            <w:pPr>
              <w:spacing w:before="0"/>
              <w:rPr>
                <w:sz w:val="18"/>
                <w:szCs w:val="18"/>
              </w:rPr>
            </w:pPr>
            <w:r w:rsidRPr="00E07890">
              <w:rPr>
                <w:sz w:val="18"/>
                <w:szCs w:val="18"/>
              </w:rPr>
              <w:t>14,8 %</w:t>
            </w:r>
          </w:p>
        </w:tc>
        <w:tc>
          <w:tcPr>
            <w:tcW w:w="508" w:type="pct"/>
            <w:tcBorders>
              <w:top w:val="single" w:sz="4" w:space="0" w:color="auto"/>
              <w:left w:val="single" w:sz="4" w:space="0" w:color="auto"/>
              <w:bottom w:val="single" w:sz="4" w:space="0" w:color="auto"/>
              <w:right w:val="single" w:sz="4" w:space="0" w:color="auto"/>
            </w:tcBorders>
            <w:shd w:val="clear" w:color="000000" w:fill="FAA3A5"/>
            <w:noWrap/>
            <w:vAlign w:val="bottom"/>
            <w:hideMark/>
          </w:tcPr>
          <w:p w:rsidR="00E07890" w:rsidRPr="00E07890" w:rsidRDefault="00E07890" w:rsidP="00E07890">
            <w:pPr>
              <w:spacing w:before="0"/>
              <w:rPr>
                <w:sz w:val="18"/>
                <w:szCs w:val="18"/>
              </w:rPr>
            </w:pPr>
            <w:r w:rsidRPr="00E07890">
              <w:rPr>
                <w:sz w:val="18"/>
                <w:szCs w:val="18"/>
              </w:rPr>
              <w:t>16,2 %</w:t>
            </w:r>
          </w:p>
        </w:tc>
        <w:tc>
          <w:tcPr>
            <w:tcW w:w="508"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E07890" w:rsidRPr="00E07890" w:rsidRDefault="00E07890" w:rsidP="00E07890">
            <w:pPr>
              <w:spacing w:before="0"/>
              <w:rPr>
                <w:sz w:val="18"/>
                <w:szCs w:val="18"/>
              </w:rPr>
            </w:pPr>
            <w:r w:rsidRPr="00E07890">
              <w:rPr>
                <w:sz w:val="18"/>
                <w:szCs w:val="18"/>
              </w:rPr>
              <w:t>16,9 %</w:t>
            </w:r>
          </w:p>
        </w:tc>
        <w:tc>
          <w:tcPr>
            <w:tcW w:w="508" w:type="pct"/>
            <w:tcBorders>
              <w:top w:val="single" w:sz="4" w:space="0" w:color="auto"/>
              <w:left w:val="single" w:sz="4" w:space="0" w:color="auto"/>
              <w:bottom w:val="single" w:sz="4" w:space="0" w:color="auto"/>
              <w:right w:val="single" w:sz="4" w:space="0" w:color="auto"/>
            </w:tcBorders>
            <w:shd w:val="clear" w:color="000000" w:fill="F98385"/>
            <w:noWrap/>
            <w:vAlign w:val="bottom"/>
            <w:hideMark/>
          </w:tcPr>
          <w:p w:rsidR="00E07890" w:rsidRPr="00E07890" w:rsidRDefault="00E07890" w:rsidP="00E07890">
            <w:pPr>
              <w:spacing w:before="0"/>
              <w:rPr>
                <w:sz w:val="18"/>
                <w:szCs w:val="18"/>
              </w:rPr>
            </w:pPr>
            <w:r w:rsidRPr="00E07890">
              <w:rPr>
                <w:sz w:val="18"/>
                <w:szCs w:val="18"/>
              </w:rPr>
              <w:t>16,6 %</w:t>
            </w:r>
          </w:p>
        </w:tc>
        <w:tc>
          <w:tcPr>
            <w:tcW w:w="510" w:type="pct"/>
            <w:tcBorders>
              <w:top w:val="single" w:sz="4" w:space="0" w:color="auto"/>
              <w:left w:val="single" w:sz="4" w:space="0" w:color="auto"/>
              <w:bottom w:val="single" w:sz="4" w:space="0" w:color="auto"/>
              <w:right w:val="single" w:sz="4" w:space="0" w:color="auto"/>
            </w:tcBorders>
            <w:shd w:val="clear" w:color="000000" w:fill="FBD4D7"/>
            <w:noWrap/>
            <w:vAlign w:val="bottom"/>
            <w:hideMark/>
          </w:tcPr>
          <w:p w:rsidR="00E07890" w:rsidRPr="00E07890" w:rsidRDefault="00E07890" w:rsidP="00E07890">
            <w:pPr>
              <w:spacing w:before="0"/>
              <w:rPr>
                <w:sz w:val="18"/>
                <w:szCs w:val="18"/>
              </w:rPr>
            </w:pPr>
            <w:r w:rsidRPr="00E07890">
              <w:rPr>
                <w:sz w:val="18"/>
                <w:szCs w:val="18"/>
              </w:rPr>
              <w:t>15,6 %</w:t>
            </w:r>
          </w:p>
        </w:tc>
        <w:tc>
          <w:tcPr>
            <w:tcW w:w="56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E07890" w:rsidRPr="00E07890" w:rsidRDefault="00E07890" w:rsidP="00E07890">
            <w:pPr>
              <w:spacing w:before="0"/>
              <w:rPr>
                <w:sz w:val="18"/>
                <w:szCs w:val="18"/>
              </w:rPr>
            </w:pPr>
            <w:r w:rsidRPr="00E07890">
              <w:rPr>
                <w:sz w:val="18"/>
                <w:szCs w:val="18"/>
              </w:rPr>
              <w:t>2,0 %</w:t>
            </w:r>
          </w:p>
        </w:tc>
        <w:tc>
          <w:tcPr>
            <w:tcW w:w="567"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rPr>
                <w:sz w:val="18"/>
                <w:szCs w:val="18"/>
              </w:rPr>
            </w:pPr>
            <w:r w:rsidRPr="00E07890">
              <w:rPr>
                <w:sz w:val="18"/>
                <w:szCs w:val="18"/>
              </w:rPr>
              <w:t>-1,3 %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Zábřeh</w:t>
            </w:r>
          </w:p>
        </w:tc>
        <w:tc>
          <w:tcPr>
            <w:tcW w:w="508" w:type="pct"/>
            <w:tcBorders>
              <w:top w:val="single" w:sz="4" w:space="0" w:color="auto"/>
              <w:left w:val="single" w:sz="4" w:space="0" w:color="auto"/>
              <w:bottom w:val="single" w:sz="4" w:space="0" w:color="auto"/>
              <w:right w:val="single" w:sz="4" w:space="0" w:color="auto"/>
            </w:tcBorders>
            <w:shd w:val="clear" w:color="000000" w:fill="C3D4EB"/>
            <w:noWrap/>
            <w:vAlign w:val="bottom"/>
            <w:hideMark/>
          </w:tcPr>
          <w:p w:rsidR="00E07890" w:rsidRPr="00E07890" w:rsidRDefault="00E07890" w:rsidP="00E07890">
            <w:pPr>
              <w:spacing w:before="0"/>
              <w:rPr>
                <w:sz w:val="18"/>
                <w:szCs w:val="18"/>
              </w:rPr>
            </w:pPr>
            <w:r w:rsidRPr="00E07890">
              <w:rPr>
                <w:sz w:val="18"/>
                <w:szCs w:val="18"/>
              </w:rPr>
              <w:t>14,6 %</w:t>
            </w:r>
          </w:p>
        </w:tc>
        <w:tc>
          <w:tcPr>
            <w:tcW w:w="508" w:type="pct"/>
            <w:tcBorders>
              <w:top w:val="single" w:sz="4" w:space="0" w:color="auto"/>
              <w:left w:val="single" w:sz="4" w:space="0" w:color="auto"/>
              <w:bottom w:val="single" w:sz="4" w:space="0" w:color="auto"/>
              <w:right w:val="single" w:sz="4" w:space="0" w:color="auto"/>
            </w:tcBorders>
            <w:shd w:val="clear" w:color="000000" w:fill="FCEBEE"/>
            <w:noWrap/>
            <w:vAlign w:val="bottom"/>
            <w:hideMark/>
          </w:tcPr>
          <w:p w:rsidR="00E07890" w:rsidRPr="00E07890" w:rsidRDefault="00E07890" w:rsidP="00E07890">
            <w:pPr>
              <w:spacing w:before="0"/>
              <w:rPr>
                <w:sz w:val="18"/>
                <w:szCs w:val="18"/>
              </w:rPr>
            </w:pPr>
            <w:r w:rsidRPr="00E07890">
              <w:rPr>
                <w:sz w:val="18"/>
                <w:szCs w:val="18"/>
              </w:rPr>
              <w:t>15,3 %</w:t>
            </w:r>
          </w:p>
        </w:tc>
        <w:tc>
          <w:tcPr>
            <w:tcW w:w="508" w:type="pct"/>
            <w:tcBorders>
              <w:top w:val="single" w:sz="4" w:space="0" w:color="auto"/>
              <w:left w:val="single" w:sz="4" w:space="0" w:color="auto"/>
              <w:bottom w:val="single" w:sz="4" w:space="0" w:color="auto"/>
              <w:right w:val="single" w:sz="4" w:space="0" w:color="auto"/>
            </w:tcBorders>
            <w:shd w:val="clear" w:color="000000" w:fill="FAA6A8"/>
            <w:noWrap/>
            <w:vAlign w:val="bottom"/>
            <w:hideMark/>
          </w:tcPr>
          <w:p w:rsidR="00E07890" w:rsidRPr="00E07890" w:rsidRDefault="00E07890" w:rsidP="00E07890">
            <w:pPr>
              <w:spacing w:before="0"/>
              <w:rPr>
                <w:sz w:val="18"/>
                <w:szCs w:val="18"/>
              </w:rPr>
            </w:pPr>
            <w:r w:rsidRPr="00E07890">
              <w:rPr>
                <w:sz w:val="18"/>
                <w:szCs w:val="18"/>
              </w:rPr>
              <w:t>16,1 %</w:t>
            </w:r>
          </w:p>
        </w:tc>
        <w:tc>
          <w:tcPr>
            <w:tcW w:w="508" w:type="pct"/>
            <w:tcBorders>
              <w:top w:val="single" w:sz="4" w:space="0" w:color="auto"/>
              <w:left w:val="single" w:sz="4" w:space="0" w:color="auto"/>
              <w:bottom w:val="single" w:sz="4" w:space="0" w:color="auto"/>
              <w:right w:val="single" w:sz="4" w:space="0" w:color="auto"/>
            </w:tcBorders>
            <w:shd w:val="clear" w:color="000000" w:fill="FAAFB2"/>
            <w:noWrap/>
            <w:vAlign w:val="bottom"/>
            <w:hideMark/>
          </w:tcPr>
          <w:p w:rsidR="00E07890" w:rsidRPr="00E07890" w:rsidRDefault="00E07890" w:rsidP="00E07890">
            <w:pPr>
              <w:spacing w:before="0"/>
              <w:rPr>
                <w:sz w:val="18"/>
                <w:szCs w:val="18"/>
              </w:rPr>
            </w:pPr>
            <w:r w:rsidRPr="00E07890">
              <w:rPr>
                <w:sz w:val="18"/>
                <w:szCs w:val="18"/>
              </w:rPr>
              <w:t>16,0 %</w:t>
            </w:r>
          </w:p>
        </w:tc>
        <w:tc>
          <w:tcPr>
            <w:tcW w:w="510" w:type="pct"/>
            <w:tcBorders>
              <w:top w:val="single" w:sz="4" w:space="0" w:color="auto"/>
              <w:left w:val="single" w:sz="4" w:space="0" w:color="auto"/>
              <w:bottom w:val="single" w:sz="4" w:space="0" w:color="auto"/>
              <w:right w:val="single" w:sz="4" w:space="0" w:color="auto"/>
            </w:tcBorders>
            <w:shd w:val="clear" w:color="000000" w:fill="FCDADD"/>
            <w:noWrap/>
            <w:vAlign w:val="bottom"/>
            <w:hideMark/>
          </w:tcPr>
          <w:p w:rsidR="00E07890" w:rsidRPr="00E07890" w:rsidRDefault="00E07890" w:rsidP="00E07890">
            <w:pPr>
              <w:spacing w:before="0"/>
              <w:rPr>
                <w:sz w:val="18"/>
                <w:szCs w:val="18"/>
              </w:rPr>
            </w:pPr>
            <w:r w:rsidRPr="00E07890">
              <w:rPr>
                <w:sz w:val="18"/>
                <w:szCs w:val="18"/>
              </w:rPr>
              <w:t>15,5 %</w:t>
            </w:r>
          </w:p>
        </w:tc>
        <w:tc>
          <w:tcPr>
            <w:tcW w:w="567" w:type="pct"/>
            <w:tcBorders>
              <w:top w:val="single" w:sz="4" w:space="0" w:color="auto"/>
              <w:left w:val="single" w:sz="4" w:space="0" w:color="auto"/>
              <w:bottom w:val="single" w:sz="4" w:space="0" w:color="auto"/>
              <w:right w:val="single" w:sz="4" w:space="0" w:color="auto"/>
            </w:tcBorders>
            <w:shd w:val="clear" w:color="000000" w:fill="85CC98"/>
            <w:noWrap/>
            <w:vAlign w:val="bottom"/>
            <w:hideMark/>
          </w:tcPr>
          <w:p w:rsidR="00E07890" w:rsidRPr="00E07890" w:rsidRDefault="00E07890" w:rsidP="00E07890">
            <w:pPr>
              <w:spacing w:before="0"/>
              <w:rPr>
                <w:sz w:val="18"/>
                <w:szCs w:val="18"/>
              </w:rPr>
            </w:pPr>
            <w:r w:rsidRPr="00E07890">
              <w:rPr>
                <w:sz w:val="18"/>
                <w:szCs w:val="18"/>
              </w:rPr>
              <w:t>1,5 %</w:t>
            </w:r>
          </w:p>
        </w:tc>
        <w:tc>
          <w:tcPr>
            <w:tcW w:w="567" w:type="pct"/>
            <w:tcBorders>
              <w:top w:val="single" w:sz="4" w:space="0" w:color="auto"/>
              <w:left w:val="single" w:sz="4" w:space="0" w:color="auto"/>
              <w:bottom w:val="single" w:sz="4" w:space="0" w:color="auto"/>
              <w:right w:val="single" w:sz="4" w:space="0" w:color="auto"/>
            </w:tcBorders>
            <w:shd w:val="clear" w:color="000000" w:fill="B0DEBE"/>
            <w:noWrap/>
            <w:vAlign w:val="bottom"/>
            <w:hideMark/>
          </w:tcPr>
          <w:p w:rsidR="00E07890" w:rsidRPr="00E07890" w:rsidRDefault="00E07890" w:rsidP="00E07890">
            <w:pPr>
              <w:spacing w:before="0"/>
              <w:rPr>
                <w:sz w:val="18"/>
                <w:szCs w:val="18"/>
              </w:rPr>
            </w:pPr>
            <w:r w:rsidRPr="00E07890">
              <w:rPr>
                <w:sz w:val="18"/>
                <w:szCs w:val="18"/>
              </w:rPr>
              <w:t>-0,6 %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Mohelnice</w:t>
            </w:r>
          </w:p>
        </w:tc>
        <w:tc>
          <w:tcPr>
            <w:tcW w:w="508" w:type="pct"/>
            <w:tcBorders>
              <w:top w:val="single" w:sz="4" w:space="0" w:color="auto"/>
              <w:left w:val="single" w:sz="4" w:space="0" w:color="auto"/>
              <w:bottom w:val="single" w:sz="4" w:space="0" w:color="auto"/>
              <w:right w:val="single" w:sz="4" w:space="0" w:color="auto"/>
            </w:tcBorders>
            <w:shd w:val="clear" w:color="000000" w:fill="79A0D1"/>
            <w:noWrap/>
            <w:vAlign w:val="bottom"/>
            <w:hideMark/>
          </w:tcPr>
          <w:p w:rsidR="00E07890" w:rsidRPr="00E07890" w:rsidRDefault="00E07890" w:rsidP="00E07890">
            <w:pPr>
              <w:spacing w:before="0"/>
              <w:rPr>
                <w:sz w:val="18"/>
                <w:szCs w:val="18"/>
              </w:rPr>
            </w:pPr>
            <w:r w:rsidRPr="00E07890">
              <w:rPr>
                <w:sz w:val="18"/>
                <w:szCs w:val="18"/>
              </w:rPr>
              <w:t>13,9 %</w:t>
            </w:r>
          </w:p>
        </w:tc>
        <w:tc>
          <w:tcPr>
            <w:tcW w:w="508" w:type="pct"/>
            <w:tcBorders>
              <w:top w:val="single" w:sz="4" w:space="0" w:color="auto"/>
              <w:left w:val="single" w:sz="4" w:space="0" w:color="auto"/>
              <w:bottom w:val="single" w:sz="4" w:space="0" w:color="auto"/>
              <w:right w:val="single" w:sz="4" w:space="0" w:color="auto"/>
            </w:tcBorders>
            <w:shd w:val="clear" w:color="000000" w:fill="A3BDDF"/>
            <w:noWrap/>
            <w:vAlign w:val="bottom"/>
            <w:hideMark/>
          </w:tcPr>
          <w:p w:rsidR="00E07890" w:rsidRPr="00E07890" w:rsidRDefault="00E07890" w:rsidP="00E07890">
            <w:pPr>
              <w:spacing w:before="0"/>
              <w:rPr>
                <w:sz w:val="18"/>
                <w:szCs w:val="18"/>
              </w:rPr>
            </w:pPr>
            <w:r w:rsidRPr="00E07890">
              <w:rPr>
                <w:sz w:val="18"/>
                <w:szCs w:val="18"/>
              </w:rPr>
              <w:t>14,3 %</w:t>
            </w:r>
          </w:p>
        </w:tc>
        <w:tc>
          <w:tcPr>
            <w:tcW w:w="508" w:type="pct"/>
            <w:tcBorders>
              <w:top w:val="single" w:sz="4" w:space="0" w:color="auto"/>
              <w:left w:val="single" w:sz="4" w:space="0" w:color="auto"/>
              <w:bottom w:val="single" w:sz="4" w:space="0" w:color="auto"/>
              <w:right w:val="single" w:sz="4" w:space="0" w:color="auto"/>
            </w:tcBorders>
            <w:shd w:val="clear" w:color="000000" w:fill="FBCED0"/>
            <w:noWrap/>
            <w:vAlign w:val="bottom"/>
            <w:hideMark/>
          </w:tcPr>
          <w:p w:rsidR="00E07890" w:rsidRPr="00E07890" w:rsidRDefault="00E07890" w:rsidP="00E07890">
            <w:pPr>
              <w:spacing w:before="0"/>
              <w:rPr>
                <w:sz w:val="18"/>
                <w:szCs w:val="18"/>
              </w:rPr>
            </w:pPr>
            <w:r w:rsidRPr="00E07890">
              <w:rPr>
                <w:sz w:val="18"/>
                <w:szCs w:val="18"/>
              </w:rPr>
              <w:t>15,7 %</w:t>
            </w:r>
          </w:p>
        </w:tc>
        <w:tc>
          <w:tcPr>
            <w:tcW w:w="508" w:type="pct"/>
            <w:tcBorders>
              <w:top w:val="single" w:sz="4" w:space="0" w:color="auto"/>
              <w:left w:val="single" w:sz="4" w:space="0" w:color="auto"/>
              <w:bottom w:val="single" w:sz="4" w:space="0" w:color="auto"/>
              <w:right w:val="single" w:sz="4" w:space="0" w:color="auto"/>
            </w:tcBorders>
            <w:shd w:val="clear" w:color="000000" w:fill="FBC4C7"/>
            <w:noWrap/>
            <w:vAlign w:val="bottom"/>
            <w:hideMark/>
          </w:tcPr>
          <w:p w:rsidR="00E07890" w:rsidRPr="00E07890" w:rsidRDefault="00E07890" w:rsidP="00E07890">
            <w:pPr>
              <w:spacing w:before="0"/>
              <w:rPr>
                <w:sz w:val="18"/>
                <w:szCs w:val="18"/>
              </w:rPr>
            </w:pPr>
            <w:r w:rsidRPr="00E07890">
              <w:rPr>
                <w:sz w:val="18"/>
                <w:szCs w:val="18"/>
              </w:rPr>
              <w:t>15,8 %</w:t>
            </w:r>
          </w:p>
        </w:tc>
        <w:tc>
          <w:tcPr>
            <w:tcW w:w="510" w:type="pct"/>
            <w:tcBorders>
              <w:top w:val="single" w:sz="4" w:space="0" w:color="auto"/>
              <w:left w:val="single" w:sz="4" w:space="0" w:color="auto"/>
              <w:bottom w:val="single" w:sz="4" w:space="0" w:color="auto"/>
              <w:right w:val="single" w:sz="4" w:space="0" w:color="auto"/>
            </w:tcBorders>
            <w:shd w:val="clear" w:color="000000" w:fill="FCE6E9"/>
            <w:noWrap/>
            <w:vAlign w:val="bottom"/>
            <w:hideMark/>
          </w:tcPr>
          <w:p w:rsidR="00E07890" w:rsidRPr="00E07890" w:rsidRDefault="00E07890" w:rsidP="00E07890">
            <w:pPr>
              <w:spacing w:before="0"/>
              <w:rPr>
                <w:sz w:val="18"/>
                <w:szCs w:val="18"/>
              </w:rPr>
            </w:pPr>
            <w:r w:rsidRPr="00E07890">
              <w:rPr>
                <w:sz w:val="18"/>
                <w:szCs w:val="18"/>
              </w:rPr>
              <w:t>15,4 %</w:t>
            </w:r>
          </w:p>
        </w:tc>
        <w:tc>
          <w:tcPr>
            <w:tcW w:w="567" w:type="pct"/>
            <w:tcBorders>
              <w:top w:val="single" w:sz="4" w:space="0" w:color="auto"/>
              <w:left w:val="single" w:sz="4" w:space="0" w:color="auto"/>
              <w:bottom w:val="single" w:sz="4" w:space="0" w:color="auto"/>
              <w:right w:val="single" w:sz="4" w:space="0" w:color="auto"/>
            </w:tcBorders>
            <w:shd w:val="clear" w:color="000000" w:fill="7AC78F"/>
            <w:noWrap/>
            <w:vAlign w:val="bottom"/>
            <w:hideMark/>
          </w:tcPr>
          <w:p w:rsidR="00E07890" w:rsidRPr="00E07890" w:rsidRDefault="00E07890" w:rsidP="00E07890">
            <w:pPr>
              <w:spacing w:before="0"/>
              <w:rPr>
                <w:sz w:val="18"/>
                <w:szCs w:val="18"/>
              </w:rPr>
            </w:pPr>
            <w:r w:rsidRPr="00E07890">
              <w:rPr>
                <w:sz w:val="18"/>
                <w:szCs w:val="18"/>
              </w:rPr>
              <w:t>1,7 %</w:t>
            </w:r>
          </w:p>
        </w:tc>
        <w:tc>
          <w:tcPr>
            <w:tcW w:w="567" w:type="pct"/>
            <w:tcBorders>
              <w:top w:val="single" w:sz="4" w:space="0" w:color="auto"/>
              <w:left w:val="single" w:sz="4" w:space="0" w:color="auto"/>
              <w:bottom w:val="single" w:sz="4" w:space="0" w:color="auto"/>
              <w:right w:val="single" w:sz="4" w:space="0" w:color="auto"/>
            </w:tcBorders>
            <w:shd w:val="clear" w:color="000000" w:fill="88CD9B"/>
            <w:noWrap/>
            <w:vAlign w:val="bottom"/>
            <w:hideMark/>
          </w:tcPr>
          <w:p w:rsidR="00E07890" w:rsidRPr="00E07890" w:rsidRDefault="00E07890" w:rsidP="00E07890">
            <w:pPr>
              <w:spacing w:before="0"/>
              <w:rPr>
                <w:sz w:val="18"/>
                <w:szCs w:val="18"/>
              </w:rPr>
            </w:pPr>
            <w:r w:rsidRPr="00E07890">
              <w:rPr>
                <w:sz w:val="18"/>
                <w:szCs w:val="18"/>
              </w:rPr>
              <w:t>-0,3 %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Litovel</w:t>
            </w:r>
          </w:p>
        </w:tc>
        <w:tc>
          <w:tcPr>
            <w:tcW w:w="508" w:type="pct"/>
            <w:tcBorders>
              <w:top w:val="single" w:sz="4" w:space="0" w:color="auto"/>
              <w:left w:val="single" w:sz="4" w:space="0" w:color="auto"/>
              <w:bottom w:val="single" w:sz="4" w:space="0" w:color="auto"/>
              <w:right w:val="single" w:sz="4" w:space="0" w:color="auto"/>
            </w:tcBorders>
            <w:shd w:val="clear" w:color="000000" w:fill="C3D4EB"/>
            <w:noWrap/>
            <w:vAlign w:val="bottom"/>
            <w:hideMark/>
          </w:tcPr>
          <w:p w:rsidR="00E07890" w:rsidRPr="00E07890" w:rsidRDefault="00E07890" w:rsidP="00E07890">
            <w:pPr>
              <w:spacing w:before="0"/>
              <w:rPr>
                <w:sz w:val="18"/>
                <w:szCs w:val="18"/>
              </w:rPr>
            </w:pPr>
            <w:r w:rsidRPr="00E07890">
              <w:rPr>
                <w:sz w:val="18"/>
                <w:szCs w:val="18"/>
              </w:rPr>
              <w:t>14,6 %</w:t>
            </w:r>
          </w:p>
        </w:tc>
        <w:tc>
          <w:tcPr>
            <w:tcW w:w="508"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rsidR="00E07890" w:rsidRPr="00E07890" w:rsidRDefault="00E07890" w:rsidP="00E07890">
            <w:pPr>
              <w:spacing w:before="0"/>
              <w:rPr>
                <w:sz w:val="18"/>
                <w:szCs w:val="18"/>
              </w:rPr>
            </w:pPr>
            <w:r w:rsidRPr="00E07890">
              <w:rPr>
                <w:sz w:val="18"/>
                <w:szCs w:val="18"/>
              </w:rPr>
              <w:t>15,3 %</w:t>
            </w:r>
          </w:p>
        </w:tc>
        <w:tc>
          <w:tcPr>
            <w:tcW w:w="508" w:type="pct"/>
            <w:tcBorders>
              <w:top w:val="single" w:sz="4" w:space="0" w:color="auto"/>
              <w:left w:val="single" w:sz="4" w:space="0" w:color="auto"/>
              <w:bottom w:val="single" w:sz="4" w:space="0" w:color="auto"/>
              <w:right w:val="single" w:sz="4" w:space="0" w:color="auto"/>
            </w:tcBorders>
            <w:shd w:val="clear" w:color="000000" w:fill="FA9FA1"/>
            <w:noWrap/>
            <w:vAlign w:val="bottom"/>
            <w:hideMark/>
          </w:tcPr>
          <w:p w:rsidR="00E07890" w:rsidRPr="00E07890" w:rsidRDefault="00E07890" w:rsidP="00E07890">
            <w:pPr>
              <w:spacing w:before="0"/>
              <w:rPr>
                <w:sz w:val="18"/>
                <w:szCs w:val="18"/>
              </w:rPr>
            </w:pPr>
            <w:r w:rsidRPr="00E07890">
              <w:rPr>
                <w:sz w:val="18"/>
                <w:szCs w:val="18"/>
              </w:rPr>
              <w:t>16,2 %</w:t>
            </w:r>
          </w:p>
        </w:tc>
        <w:tc>
          <w:tcPr>
            <w:tcW w:w="508" w:type="pct"/>
            <w:tcBorders>
              <w:top w:val="single" w:sz="4" w:space="0" w:color="auto"/>
              <w:left w:val="single" w:sz="4" w:space="0" w:color="auto"/>
              <w:bottom w:val="single" w:sz="4" w:space="0" w:color="auto"/>
              <w:right w:val="single" w:sz="4" w:space="0" w:color="auto"/>
            </w:tcBorders>
            <w:shd w:val="clear" w:color="000000" w:fill="FAAAAD"/>
            <w:noWrap/>
            <w:vAlign w:val="bottom"/>
            <w:hideMark/>
          </w:tcPr>
          <w:p w:rsidR="00E07890" w:rsidRPr="00E07890" w:rsidRDefault="00E07890" w:rsidP="00E07890">
            <w:pPr>
              <w:spacing w:before="0"/>
              <w:rPr>
                <w:sz w:val="18"/>
                <w:szCs w:val="18"/>
              </w:rPr>
            </w:pPr>
            <w:r w:rsidRPr="00E07890">
              <w:rPr>
                <w:sz w:val="18"/>
                <w:szCs w:val="18"/>
              </w:rPr>
              <w:t>16,1 %</w:t>
            </w:r>
          </w:p>
        </w:tc>
        <w:tc>
          <w:tcPr>
            <w:tcW w:w="510" w:type="pct"/>
            <w:tcBorders>
              <w:top w:val="single" w:sz="4" w:space="0" w:color="auto"/>
              <w:left w:val="single" w:sz="4" w:space="0" w:color="auto"/>
              <w:bottom w:val="single" w:sz="4" w:space="0" w:color="auto"/>
              <w:right w:val="single" w:sz="4" w:space="0" w:color="auto"/>
            </w:tcBorders>
            <w:shd w:val="clear" w:color="000000" w:fill="FCE9EB"/>
            <w:noWrap/>
            <w:vAlign w:val="bottom"/>
            <w:hideMark/>
          </w:tcPr>
          <w:p w:rsidR="00E07890" w:rsidRPr="00E07890" w:rsidRDefault="00E07890" w:rsidP="00E07890">
            <w:pPr>
              <w:spacing w:before="0"/>
              <w:rPr>
                <w:sz w:val="18"/>
                <w:szCs w:val="18"/>
              </w:rPr>
            </w:pPr>
            <w:r w:rsidRPr="00E07890">
              <w:rPr>
                <w:sz w:val="18"/>
                <w:szCs w:val="18"/>
              </w:rPr>
              <w:t>15,3 %</w:t>
            </w:r>
          </w:p>
        </w:tc>
        <w:tc>
          <w:tcPr>
            <w:tcW w:w="567" w:type="pct"/>
            <w:tcBorders>
              <w:top w:val="single" w:sz="4" w:space="0" w:color="auto"/>
              <w:left w:val="single" w:sz="4" w:space="0" w:color="auto"/>
              <w:bottom w:val="single" w:sz="4" w:space="0" w:color="auto"/>
              <w:right w:val="single" w:sz="4" w:space="0" w:color="auto"/>
            </w:tcBorders>
            <w:shd w:val="clear" w:color="000000" w:fill="80CA94"/>
            <w:noWrap/>
            <w:vAlign w:val="bottom"/>
            <w:hideMark/>
          </w:tcPr>
          <w:p w:rsidR="00E07890" w:rsidRPr="00E07890" w:rsidRDefault="00E07890" w:rsidP="00E07890">
            <w:pPr>
              <w:spacing w:before="0"/>
              <w:rPr>
                <w:sz w:val="18"/>
                <w:szCs w:val="18"/>
              </w:rPr>
            </w:pPr>
            <w:r w:rsidRPr="00E07890">
              <w:rPr>
                <w:sz w:val="18"/>
                <w:szCs w:val="18"/>
              </w:rPr>
              <w:t>1,6 %</w:t>
            </w:r>
          </w:p>
        </w:tc>
        <w:tc>
          <w:tcPr>
            <w:tcW w:w="567" w:type="pct"/>
            <w:tcBorders>
              <w:top w:val="single" w:sz="4" w:space="0" w:color="auto"/>
              <w:left w:val="single" w:sz="4" w:space="0" w:color="auto"/>
              <w:bottom w:val="single" w:sz="4" w:space="0" w:color="auto"/>
              <w:right w:val="single" w:sz="4" w:space="0" w:color="auto"/>
            </w:tcBorders>
            <w:shd w:val="clear" w:color="000000" w:fill="CEEAD8"/>
            <w:noWrap/>
            <w:vAlign w:val="bottom"/>
            <w:hideMark/>
          </w:tcPr>
          <w:p w:rsidR="00E07890" w:rsidRPr="00E07890" w:rsidRDefault="00E07890" w:rsidP="00E07890">
            <w:pPr>
              <w:spacing w:before="0"/>
              <w:rPr>
                <w:sz w:val="18"/>
                <w:szCs w:val="18"/>
              </w:rPr>
            </w:pPr>
            <w:r w:rsidRPr="00E07890">
              <w:rPr>
                <w:sz w:val="18"/>
                <w:szCs w:val="18"/>
              </w:rPr>
              <w:t>-0,9 %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Prostějov</w:t>
            </w:r>
          </w:p>
        </w:tc>
        <w:tc>
          <w:tcPr>
            <w:tcW w:w="508" w:type="pct"/>
            <w:tcBorders>
              <w:top w:val="single" w:sz="4" w:space="0" w:color="auto"/>
              <w:left w:val="single" w:sz="4" w:space="0" w:color="auto"/>
              <w:bottom w:val="single" w:sz="4" w:space="0" w:color="auto"/>
              <w:right w:val="single" w:sz="4" w:space="0" w:color="auto"/>
            </w:tcBorders>
            <w:shd w:val="clear" w:color="000000" w:fill="E4EBF6"/>
            <w:noWrap/>
            <w:vAlign w:val="bottom"/>
            <w:hideMark/>
          </w:tcPr>
          <w:p w:rsidR="00E07890" w:rsidRPr="00E07890" w:rsidRDefault="00E07890" w:rsidP="00E07890">
            <w:pPr>
              <w:spacing w:before="0"/>
              <w:rPr>
                <w:sz w:val="18"/>
                <w:szCs w:val="18"/>
              </w:rPr>
            </w:pPr>
            <w:r w:rsidRPr="00E07890">
              <w:rPr>
                <w:sz w:val="18"/>
                <w:szCs w:val="18"/>
              </w:rPr>
              <w:t>14,9 %</w:t>
            </w:r>
          </w:p>
        </w:tc>
        <w:tc>
          <w:tcPr>
            <w:tcW w:w="508" w:type="pct"/>
            <w:tcBorders>
              <w:top w:val="single" w:sz="4" w:space="0" w:color="auto"/>
              <w:left w:val="single" w:sz="4" w:space="0" w:color="auto"/>
              <w:bottom w:val="single" w:sz="4" w:space="0" w:color="auto"/>
              <w:right w:val="single" w:sz="4" w:space="0" w:color="auto"/>
            </w:tcBorders>
            <w:shd w:val="clear" w:color="000000" w:fill="FBD3D5"/>
            <w:noWrap/>
            <w:vAlign w:val="bottom"/>
            <w:hideMark/>
          </w:tcPr>
          <w:p w:rsidR="00E07890" w:rsidRPr="00E07890" w:rsidRDefault="00E07890" w:rsidP="00E07890">
            <w:pPr>
              <w:spacing w:before="0"/>
              <w:rPr>
                <w:sz w:val="18"/>
                <w:szCs w:val="18"/>
              </w:rPr>
            </w:pPr>
            <w:r w:rsidRPr="00E07890">
              <w:rPr>
                <w:sz w:val="18"/>
                <w:szCs w:val="18"/>
              </w:rPr>
              <w:t>15,6 %</w:t>
            </w:r>
          </w:p>
        </w:tc>
        <w:tc>
          <w:tcPr>
            <w:tcW w:w="508" w:type="pct"/>
            <w:tcBorders>
              <w:top w:val="single" w:sz="4" w:space="0" w:color="auto"/>
              <w:left w:val="single" w:sz="4" w:space="0" w:color="auto"/>
              <w:bottom w:val="single" w:sz="4" w:space="0" w:color="auto"/>
              <w:right w:val="single" w:sz="4" w:space="0" w:color="auto"/>
            </w:tcBorders>
            <w:shd w:val="clear" w:color="000000" w:fill="FAAFB2"/>
            <w:noWrap/>
            <w:vAlign w:val="bottom"/>
            <w:hideMark/>
          </w:tcPr>
          <w:p w:rsidR="00E07890" w:rsidRPr="00E07890" w:rsidRDefault="00E07890" w:rsidP="00E07890">
            <w:pPr>
              <w:spacing w:before="0"/>
              <w:rPr>
                <w:sz w:val="18"/>
                <w:szCs w:val="18"/>
              </w:rPr>
            </w:pPr>
            <w:r w:rsidRPr="00E07890">
              <w:rPr>
                <w:sz w:val="18"/>
                <w:szCs w:val="18"/>
              </w:rPr>
              <w:t>16,0 %</w:t>
            </w:r>
          </w:p>
        </w:tc>
        <w:tc>
          <w:tcPr>
            <w:tcW w:w="508" w:type="pct"/>
            <w:tcBorders>
              <w:top w:val="single" w:sz="4" w:space="0" w:color="auto"/>
              <w:left w:val="single" w:sz="4" w:space="0" w:color="auto"/>
              <w:bottom w:val="single" w:sz="4" w:space="0" w:color="auto"/>
              <w:right w:val="single" w:sz="4" w:space="0" w:color="auto"/>
            </w:tcBorders>
            <w:shd w:val="clear" w:color="000000" w:fill="FBC2C5"/>
            <w:noWrap/>
            <w:vAlign w:val="bottom"/>
            <w:hideMark/>
          </w:tcPr>
          <w:p w:rsidR="00E07890" w:rsidRPr="00E07890" w:rsidRDefault="00E07890" w:rsidP="00E07890">
            <w:pPr>
              <w:spacing w:before="0"/>
              <w:rPr>
                <w:sz w:val="18"/>
                <w:szCs w:val="18"/>
              </w:rPr>
            </w:pPr>
            <w:r w:rsidRPr="00E07890">
              <w:rPr>
                <w:sz w:val="18"/>
                <w:szCs w:val="18"/>
              </w:rPr>
              <w:t>15,8 %</w:t>
            </w:r>
          </w:p>
        </w:tc>
        <w:tc>
          <w:tcPr>
            <w:tcW w:w="510"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rsidR="00E07890" w:rsidRPr="00E07890" w:rsidRDefault="00E07890" w:rsidP="00E07890">
            <w:pPr>
              <w:spacing w:before="0"/>
              <w:rPr>
                <w:sz w:val="18"/>
                <w:szCs w:val="18"/>
              </w:rPr>
            </w:pPr>
            <w:r w:rsidRPr="00E07890">
              <w:rPr>
                <w:sz w:val="18"/>
                <w:szCs w:val="18"/>
              </w:rPr>
              <w:t>15,3 %</w:t>
            </w:r>
          </w:p>
        </w:tc>
        <w:tc>
          <w:tcPr>
            <w:tcW w:w="567" w:type="pct"/>
            <w:tcBorders>
              <w:top w:val="single" w:sz="4" w:space="0" w:color="auto"/>
              <w:left w:val="single" w:sz="4" w:space="0" w:color="auto"/>
              <w:bottom w:val="single" w:sz="4" w:space="0" w:color="auto"/>
              <w:right w:val="single" w:sz="4" w:space="0" w:color="auto"/>
            </w:tcBorders>
            <w:shd w:val="clear" w:color="000000" w:fill="A0D7B0"/>
            <w:noWrap/>
            <w:vAlign w:val="bottom"/>
            <w:hideMark/>
          </w:tcPr>
          <w:p w:rsidR="00E07890" w:rsidRPr="00E07890" w:rsidRDefault="00E07890" w:rsidP="00E07890">
            <w:pPr>
              <w:spacing w:before="0"/>
              <w:rPr>
                <w:sz w:val="18"/>
                <w:szCs w:val="18"/>
              </w:rPr>
            </w:pPr>
            <w:r w:rsidRPr="00E07890">
              <w:rPr>
                <w:sz w:val="18"/>
                <w:szCs w:val="18"/>
              </w:rPr>
              <w:t>1,1 %</w:t>
            </w:r>
          </w:p>
        </w:tc>
        <w:tc>
          <w:tcPr>
            <w:tcW w:w="567" w:type="pct"/>
            <w:tcBorders>
              <w:top w:val="single" w:sz="4" w:space="0" w:color="auto"/>
              <w:left w:val="single" w:sz="4" w:space="0" w:color="auto"/>
              <w:bottom w:val="single" w:sz="4" w:space="0" w:color="auto"/>
              <w:right w:val="single" w:sz="4" w:space="0" w:color="auto"/>
            </w:tcBorders>
            <w:shd w:val="clear" w:color="000000" w:fill="C0E4CB"/>
            <w:noWrap/>
            <w:vAlign w:val="bottom"/>
            <w:hideMark/>
          </w:tcPr>
          <w:p w:rsidR="00E07890" w:rsidRPr="00E07890" w:rsidRDefault="00E07890" w:rsidP="00E07890">
            <w:pPr>
              <w:spacing w:before="0"/>
              <w:rPr>
                <w:sz w:val="18"/>
                <w:szCs w:val="18"/>
              </w:rPr>
            </w:pPr>
            <w:r w:rsidRPr="00E07890">
              <w:rPr>
                <w:sz w:val="18"/>
                <w:szCs w:val="18"/>
              </w:rPr>
              <w:t>-0,8 %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Hranice</w:t>
            </w:r>
          </w:p>
        </w:tc>
        <w:tc>
          <w:tcPr>
            <w:tcW w:w="508" w:type="pct"/>
            <w:tcBorders>
              <w:top w:val="single" w:sz="4" w:space="0" w:color="auto"/>
              <w:left w:val="single" w:sz="4" w:space="0" w:color="auto"/>
              <w:bottom w:val="single" w:sz="4" w:space="0" w:color="auto"/>
              <w:right w:val="single" w:sz="4" w:space="0" w:color="auto"/>
            </w:tcBorders>
            <w:shd w:val="clear" w:color="000000" w:fill="DFE7F4"/>
            <w:noWrap/>
            <w:vAlign w:val="bottom"/>
            <w:hideMark/>
          </w:tcPr>
          <w:p w:rsidR="00E07890" w:rsidRPr="00E07890" w:rsidRDefault="00E07890" w:rsidP="00E07890">
            <w:pPr>
              <w:spacing w:before="0"/>
              <w:rPr>
                <w:sz w:val="18"/>
                <w:szCs w:val="18"/>
              </w:rPr>
            </w:pPr>
            <w:r w:rsidRPr="00E07890">
              <w:rPr>
                <w:sz w:val="18"/>
                <w:szCs w:val="18"/>
              </w:rPr>
              <w:t>14,8 %</w:t>
            </w:r>
          </w:p>
        </w:tc>
        <w:tc>
          <w:tcPr>
            <w:tcW w:w="508"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rsidR="00E07890" w:rsidRPr="00E07890" w:rsidRDefault="00E07890" w:rsidP="00E07890">
            <w:pPr>
              <w:spacing w:before="0"/>
              <w:rPr>
                <w:sz w:val="18"/>
                <w:szCs w:val="18"/>
              </w:rPr>
            </w:pPr>
            <w:r w:rsidRPr="00E07890">
              <w:rPr>
                <w:sz w:val="18"/>
                <w:szCs w:val="18"/>
              </w:rPr>
              <w:t>15,2 %</w:t>
            </w:r>
          </w:p>
        </w:tc>
        <w:tc>
          <w:tcPr>
            <w:tcW w:w="508" w:type="pct"/>
            <w:tcBorders>
              <w:top w:val="single" w:sz="4" w:space="0" w:color="auto"/>
              <w:left w:val="single" w:sz="4" w:space="0" w:color="auto"/>
              <w:bottom w:val="single" w:sz="4" w:space="0" w:color="auto"/>
              <w:right w:val="single" w:sz="4" w:space="0" w:color="auto"/>
            </w:tcBorders>
            <w:shd w:val="clear" w:color="000000" w:fill="FCE1E4"/>
            <w:noWrap/>
            <w:vAlign w:val="bottom"/>
            <w:hideMark/>
          </w:tcPr>
          <w:p w:rsidR="00E07890" w:rsidRPr="00E07890" w:rsidRDefault="00E07890" w:rsidP="00E07890">
            <w:pPr>
              <w:spacing w:before="0"/>
              <w:rPr>
                <w:sz w:val="18"/>
                <w:szCs w:val="18"/>
              </w:rPr>
            </w:pPr>
            <w:r w:rsidRPr="00E07890">
              <w:rPr>
                <w:sz w:val="18"/>
                <w:szCs w:val="18"/>
              </w:rPr>
              <w:t>15,4 %</w:t>
            </w:r>
          </w:p>
        </w:tc>
        <w:tc>
          <w:tcPr>
            <w:tcW w:w="508" w:type="pct"/>
            <w:tcBorders>
              <w:top w:val="single" w:sz="4" w:space="0" w:color="auto"/>
              <w:left w:val="single" w:sz="4" w:space="0" w:color="auto"/>
              <w:bottom w:val="single" w:sz="4" w:space="0" w:color="auto"/>
              <w:right w:val="single" w:sz="4" w:space="0" w:color="auto"/>
            </w:tcBorders>
            <w:shd w:val="clear" w:color="000000" w:fill="FCDFE1"/>
            <w:noWrap/>
            <w:vAlign w:val="bottom"/>
            <w:hideMark/>
          </w:tcPr>
          <w:p w:rsidR="00E07890" w:rsidRPr="00E07890" w:rsidRDefault="00E07890" w:rsidP="00E07890">
            <w:pPr>
              <w:spacing w:before="0"/>
              <w:rPr>
                <w:sz w:val="18"/>
                <w:szCs w:val="18"/>
              </w:rPr>
            </w:pPr>
            <w:r w:rsidRPr="00E07890">
              <w:rPr>
                <w:sz w:val="18"/>
                <w:szCs w:val="18"/>
              </w:rPr>
              <w:t>15,5 %</w:t>
            </w:r>
          </w:p>
        </w:tc>
        <w:tc>
          <w:tcPr>
            <w:tcW w:w="510"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rsidR="00E07890" w:rsidRPr="00E07890" w:rsidRDefault="00E07890" w:rsidP="00E07890">
            <w:pPr>
              <w:spacing w:before="0"/>
              <w:rPr>
                <w:sz w:val="18"/>
                <w:szCs w:val="18"/>
              </w:rPr>
            </w:pPr>
            <w:r w:rsidRPr="00E07890">
              <w:rPr>
                <w:sz w:val="18"/>
                <w:szCs w:val="18"/>
              </w:rPr>
              <w:t>15,1 %</w:t>
            </w:r>
          </w:p>
        </w:tc>
        <w:tc>
          <w:tcPr>
            <w:tcW w:w="567" w:type="pct"/>
            <w:tcBorders>
              <w:top w:val="single" w:sz="4" w:space="0" w:color="auto"/>
              <w:left w:val="single" w:sz="4" w:space="0" w:color="auto"/>
              <w:bottom w:val="single" w:sz="4" w:space="0" w:color="auto"/>
              <w:right w:val="single" w:sz="4" w:space="0" w:color="auto"/>
            </w:tcBorders>
            <w:shd w:val="clear" w:color="000000" w:fill="C5E6CF"/>
            <w:noWrap/>
            <w:vAlign w:val="bottom"/>
            <w:hideMark/>
          </w:tcPr>
          <w:p w:rsidR="00E07890" w:rsidRPr="00E07890" w:rsidRDefault="00E07890" w:rsidP="00E07890">
            <w:pPr>
              <w:spacing w:before="0"/>
              <w:rPr>
                <w:sz w:val="18"/>
                <w:szCs w:val="18"/>
              </w:rPr>
            </w:pPr>
            <w:r w:rsidRPr="00E07890">
              <w:rPr>
                <w:sz w:val="18"/>
                <w:szCs w:val="18"/>
              </w:rPr>
              <w:t>0,6 %</w:t>
            </w:r>
          </w:p>
        </w:tc>
        <w:tc>
          <w:tcPr>
            <w:tcW w:w="567" w:type="pct"/>
            <w:tcBorders>
              <w:top w:val="single" w:sz="4" w:space="0" w:color="auto"/>
              <w:left w:val="single" w:sz="4" w:space="0" w:color="auto"/>
              <w:bottom w:val="single" w:sz="4" w:space="0" w:color="auto"/>
              <w:right w:val="single" w:sz="4" w:space="0" w:color="auto"/>
            </w:tcBorders>
            <w:shd w:val="clear" w:color="000000" w:fill="89CE9C"/>
            <w:noWrap/>
            <w:vAlign w:val="bottom"/>
            <w:hideMark/>
          </w:tcPr>
          <w:p w:rsidR="00E07890" w:rsidRPr="00E07890" w:rsidRDefault="00E07890" w:rsidP="00E07890">
            <w:pPr>
              <w:spacing w:before="0"/>
              <w:rPr>
                <w:sz w:val="18"/>
                <w:szCs w:val="18"/>
              </w:rPr>
            </w:pPr>
            <w:r w:rsidRPr="00E07890">
              <w:rPr>
                <w:sz w:val="18"/>
                <w:szCs w:val="18"/>
              </w:rPr>
              <w:t>-0,3 %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Uničov</w:t>
            </w:r>
          </w:p>
        </w:tc>
        <w:tc>
          <w:tcPr>
            <w:tcW w:w="508" w:type="pct"/>
            <w:tcBorders>
              <w:top w:val="single" w:sz="4" w:space="0" w:color="auto"/>
              <w:left w:val="single" w:sz="4" w:space="0" w:color="auto"/>
              <w:bottom w:val="single" w:sz="4" w:space="0" w:color="auto"/>
              <w:right w:val="single" w:sz="4" w:space="0" w:color="auto"/>
            </w:tcBorders>
            <w:shd w:val="clear" w:color="000000" w:fill="A3BDDF"/>
            <w:noWrap/>
            <w:vAlign w:val="bottom"/>
            <w:hideMark/>
          </w:tcPr>
          <w:p w:rsidR="00E07890" w:rsidRPr="00E07890" w:rsidRDefault="00E07890" w:rsidP="00E07890">
            <w:pPr>
              <w:spacing w:before="0"/>
              <w:rPr>
                <w:sz w:val="18"/>
                <w:szCs w:val="18"/>
              </w:rPr>
            </w:pPr>
            <w:r w:rsidRPr="00E07890">
              <w:rPr>
                <w:sz w:val="18"/>
                <w:szCs w:val="18"/>
              </w:rPr>
              <w:t>14,3 %</w:t>
            </w:r>
          </w:p>
        </w:tc>
        <w:tc>
          <w:tcPr>
            <w:tcW w:w="508" w:type="pct"/>
            <w:tcBorders>
              <w:top w:val="single" w:sz="4" w:space="0" w:color="auto"/>
              <w:left w:val="single" w:sz="4" w:space="0" w:color="auto"/>
              <w:bottom w:val="single" w:sz="4" w:space="0" w:color="auto"/>
              <w:right w:val="single" w:sz="4" w:space="0" w:color="auto"/>
            </w:tcBorders>
            <w:shd w:val="clear" w:color="000000" w:fill="C9D8ED"/>
            <w:noWrap/>
            <w:vAlign w:val="bottom"/>
            <w:hideMark/>
          </w:tcPr>
          <w:p w:rsidR="00E07890" w:rsidRPr="00E07890" w:rsidRDefault="00E07890" w:rsidP="00E07890">
            <w:pPr>
              <w:spacing w:before="0"/>
              <w:rPr>
                <w:sz w:val="18"/>
                <w:szCs w:val="18"/>
              </w:rPr>
            </w:pPr>
            <w:r w:rsidRPr="00E07890">
              <w:rPr>
                <w:sz w:val="18"/>
                <w:szCs w:val="18"/>
              </w:rPr>
              <w:t>14,6 %</w:t>
            </w:r>
          </w:p>
        </w:tc>
        <w:tc>
          <w:tcPr>
            <w:tcW w:w="508"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rsidR="00E07890" w:rsidRPr="00E07890" w:rsidRDefault="00E07890" w:rsidP="00E07890">
            <w:pPr>
              <w:spacing w:before="0"/>
              <w:rPr>
                <w:sz w:val="18"/>
                <w:szCs w:val="18"/>
              </w:rPr>
            </w:pPr>
            <w:r w:rsidRPr="00E07890">
              <w:rPr>
                <w:sz w:val="18"/>
                <w:szCs w:val="18"/>
              </w:rPr>
              <w:t>15,2 %</w:t>
            </w:r>
          </w:p>
        </w:tc>
        <w:tc>
          <w:tcPr>
            <w:tcW w:w="508"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rsidR="00E07890" w:rsidRPr="00E07890" w:rsidRDefault="00E07890" w:rsidP="00E07890">
            <w:pPr>
              <w:spacing w:before="0"/>
              <w:rPr>
                <w:sz w:val="18"/>
                <w:szCs w:val="18"/>
              </w:rPr>
            </w:pPr>
            <w:r w:rsidRPr="00E07890">
              <w:rPr>
                <w:sz w:val="18"/>
                <w:szCs w:val="18"/>
              </w:rPr>
              <w:t>15,3 %</w:t>
            </w:r>
          </w:p>
        </w:tc>
        <w:tc>
          <w:tcPr>
            <w:tcW w:w="510"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rPr>
                <w:sz w:val="18"/>
                <w:szCs w:val="18"/>
              </w:rPr>
            </w:pPr>
            <w:r w:rsidRPr="00E07890">
              <w:rPr>
                <w:sz w:val="18"/>
                <w:szCs w:val="18"/>
              </w:rPr>
              <w:t>15,1 %</w:t>
            </w:r>
          </w:p>
        </w:tc>
        <w:tc>
          <w:tcPr>
            <w:tcW w:w="567" w:type="pct"/>
            <w:tcBorders>
              <w:top w:val="single" w:sz="4" w:space="0" w:color="auto"/>
              <w:left w:val="single" w:sz="4" w:space="0" w:color="auto"/>
              <w:bottom w:val="single" w:sz="4" w:space="0" w:color="auto"/>
              <w:right w:val="single" w:sz="4" w:space="0" w:color="auto"/>
            </w:tcBorders>
            <w:shd w:val="clear" w:color="000000" w:fill="B2DFC0"/>
            <w:noWrap/>
            <w:vAlign w:val="bottom"/>
            <w:hideMark/>
          </w:tcPr>
          <w:p w:rsidR="00E07890" w:rsidRPr="00E07890" w:rsidRDefault="00E07890" w:rsidP="00E07890">
            <w:pPr>
              <w:spacing w:before="0"/>
              <w:rPr>
                <w:sz w:val="18"/>
                <w:szCs w:val="18"/>
              </w:rPr>
            </w:pPr>
            <w:r w:rsidRPr="00E07890">
              <w:rPr>
                <w:sz w:val="18"/>
                <w:szCs w:val="18"/>
              </w:rPr>
              <w:t>0,9 %</w:t>
            </w:r>
          </w:p>
        </w:tc>
        <w:tc>
          <w:tcPr>
            <w:tcW w:w="567" w:type="pct"/>
            <w:tcBorders>
              <w:top w:val="single" w:sz="4" w:space="0" w:color="auto"/>
              <w:left w:val="single" w:sz="4" w:space="0" w:color="auto"/>
              <w:bottom w:val="single" w:sz="4" w:space="0" w:color="auto"/>
              <w:right w:val="single" w:sz="4" w:space="0" w:color="auto"/>
            </w:tcBorders>
            <w:shd w:val="clear" w:color="000000" w:fill="6FC385"/>
            <w:noWrap/>
            <w:vAlign w:val="bottom"/>
            <w:hideMark/>
          </w:tcPr>
          <w:p w:rsidR="00E07890" w:rsidRPr="00E07890" w:rsidRDefault="00E07890" w:rsidP="00E07890">
            <w:pPr>
              <w:spacing w:before="0"/>
              <w:rPr>
                <w:sz w:val="18"/>
                <w:szCs w:val="18"/>
              </w:rPr>
            </w:pPr>
            <w:r w:rsidRPr="00E07890">
              <w:rPr>
                <w:sz w:val="18"/>
                <w:szCs w:val="18"/>
              </w:rPr>
              <w:t>-0,1 %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Šternberk</w:t>
            </w:r>
          </w:p>
        </w:tc>
        <w:tc>
          <w:tcPr>
            <w:tcW w:w="508" w:type="pct"/>
            <w:tcBorders>
              <w:top w:val="single" w:sz="4" w:space="0" w:color="auto"/>
              <w:left w:val="single" w:sz="4" w:space="0" w:color="auto"/>
              <w:bottom w:val="single" w:sz="4" w:space="0" w:color="auto"/>
              <w:right w:val="single" w:sz="4" w:space="0" w:color="auto"/>
            </w:tcBorders>
            <w:shd w:val="clear" w:color="000000" w:fill="D5E1F1"/>
            <w:noWrap/>
            <w:vAlign w:val="bottom"/>
            <w:hideMark/>
          </w:tcPr>
          <w:p w:rsidR="00E07890" w:rsidRPr="00E07890" w:rsidRDefault="00E07890" w:rsidP="00E07890">
            <w:pPr>
              <w:spacing w:before="0"/>
              <w:rPr>
                <w:sz w:val="18"/>
                <w:szCs w:val="18"/>
              </w:rPr>
            </w:pPr>
            <w:r w:rsidRPr="00E07890">
              <w:rPr>
                <w:sz w:val="18"/>
                <w:szCs w:val="18"/>
              </w:rPr>
              <w:t>14,8 %</w:t>
            </w:r>
          </w:p>
        </w:tc>
        <w:tc>
          <w:tcPr>
            <w:tcW w:w="508" w:type="pct"/>
            <w:tcBorders>
              <w:top w:val="single" w:sz="4" w:space="0" w:color="auto"/>
              <w:left w:val="single" w:sz="4" w:space="0" w:color="auto"/>
              <w:bottom w:val="single" w:sz="4" w:space="0" w:color="auto"/>
              <w:right w:val="single" w:sz="4" w:space="0" w:color="auto"/>
            </w:tcBorders>
            <w:shd w:val="clear" w:color="000000" w:fill="FBC3C6"/>
            <w:noWrap/>
            <w:vAlign w:val="bottom"/>
            <w:hideMark/>
          </w:tcPr>
          <w:p w:rsidR="00E07890" w:rsidRPr="00E07890" w:rsidRDefault="00E07890" w:rsidP="00E07890">
            <w:pPr>
              <w:spacing w:before="0"/>
              <w:rPr>
                <w:sz w:val="18"/>
                <w:szCs w:val="18"/>
              </w:rPr>
            </w:pPr>
            <w:r w:rsidRPr="00E07890">
              <w:rPr>
                <w:sz w:val="18"/>
                <w:szCs w:val="18"/>
              </w:rPr>
              <w:t>15,8 %</w:t>
            </w:r>
          </w:p>
        </w:tc>
        <w:tc>
          <w:tcPr>
            <w:tcW w:w="508" w:type="pct"/>
            <w:tcBorders>
              <w:top w:val="single" w:sz="4" w:space="0" w:color="auto"/>
              <w:left w:val="single" w:sz="4" w:space="0" w:color="auto"/>
              <w:bottom w:val="single" w:sz="4" w:space="0" w:color="auto"/>
              <w:right w:val="single" w:sz="4" w:space="0" w:color="auto"/>
            </w:tcBorders>
            <w:shd w:val="clear" w:color="000000" w:fill="FAA9AB"/>
            <w:noWrap/>
            <w:vAlign w:val="bottom"/>
            <w:hideMark/>
          </w:tcPr>
          <w:p w:rsidR="00E07890" w:rsidRPr="00E07890" w:rsidRDefault="00E07890" w:rsidP="00E07890">
            <w:pPr>
              <w:spacing w:before="0"/>
              <w:rPr>
                <w:sz w:val="18"/>
                <w:szCs w:val="18"/>
              </w:rPr>
            </w:pPr>
            <w:r w:rsidRPr="00E07890">
              <w:rPr>
                <w:sz w:val="18"/>
                <w:szCs w:val="18"/>
              </w:rPr>
              <w:t>16,1 %</w:t>
            </w:r>
          </w:p>
        </w:tc>
        <w:tc>
          <w:tcPr>
            <w:tcW w:w="508" w:type="pct"/>
            <w:tcBorders>
              <w:top w:val="single" w:sz="4" w:space="0" w:color="auto"/>
              <w:left w:val="single" w:sz="4" w:space="0" w:color="auto"/>
              <w:bottom w:val="single" w:sz="4" w:space="0" w:color="auto"/>
              <w:right w:val="single" w:sz="4" w:space="0" w:color="auto"/>
            </w:tcBorders>
            <w:shd w:val="clear" w:color="000000" w:fill="FBC0C3"/>
            <w:noWrap/>
            <w:vAlign w:val="bottom"/>
            <w:hideMark/>
          </w:tcPr>
          <w:p w:rsidR="00E07890" w:rsidRPr="00E07890" w:rsidRDefault="00E07890" w:rsidP="00E07890">
            <w:pPr>
              <w:spacing w:before="0"/>
              <w:rPr>
                <w:sz w:val="18"/>
                <w:szCs w:val="18"/>
              </w:rPr>
            </w:pPr>
            <w:r w:rsidRPr="00E07890">
              <w:rPr>
                <w:sz w:val="18"/>
                <w:szCs w:val="18"/>
              </w:rPr>
              <w:t>15,8 %</w:t>
            </w:r>
          </w:p>
        </w:tc>
        <w:tc>
          <w:tcPr>
            <w:tcW w:w="510" w:type="pct"/>
            <w:tcBorders>
              <w:top w:val="single" w:sz="4" w:space="0" w:color="auto"/>
              <w:left w:val="single" w:sz="4" w:space="0" w:color="auto"/>
              <w:bottom w:val="single" w:sz="4" w:space="0" w:color="auto"/>
              <w:right w:val="single" w:sz="4" w:space="0" w:color="auto"/>
            </w:tcBorders>
            <w:shd w:val="clear" w:color="000000" w:fill="F6F8FD"/>
            <w:noWrap/>
            <w:vAlign w:val="bottom"/>
            <w:hideMark/>
          </w:tcPr>
          <w:p w:rsidR="00E07890" w:rsidRPr="00E07890" w:rsidRDefault="00E07890" w:rsidP="00E07890">
            <w:pPr>
              <w:spacing w:before="0"/>
              <w:rPr>
                <w:sz w:val="18"/>
                <w:szCs w:val="18"/>
              </w:rPr>
            </w:pPr>
            <w:r w:rsidRPr="00E07890">
              <w:rPr>
                <w:sz w:val="18"/>
                <w:szCs w:val="18"/>
              </w:rPr>
              <w:t>15,0 %</w:t>
            </w:r>
          </w:p>
        </w:tc>
        <w:tc>
          <w:tcPr>
            <w:tcW w:w="567" w:type="pct"/>
            <w:tcBorders>
              <w:top w:val="single" w:sz="4" w:space="0" w:color="auto"/>
              <w:left w:val="single" w:sz="4" w:space="0" w:color="auto"/>
              <w:bottom w:val="single" w:sz="4" w:space="0" w:color="auto"/>
              <w:right w:val="single" w:sz="4" w:space="0" w:color="auto"/>
            </w:tcBorders>
            <w:shd w:val="clear" w:color="000000" w:fill="92D1A4"/>
            <w:noWrap/>
            <w:vAlign w:val="bottom"/>
            <w:hideMark/>
          </w:tcPr>
          <w:p w:rsidR="00E07890" w:rsidRPr="00E07890" w:rsidRDefault="00E07890" w:rsidP="00E07890">
            <w:pPr>
              <w:spacing w:before="0"/>
              <w:rPr>
                <w:sz w:val="18"/>
                <w:szCs w:val="18"/>
              </w:rPr>
            </w:pPr>
            <w:r w:rsidRPr="00E07890">
              <w:rPr>
                <w:sz w:val="18"/>
                <w:szCs w:val="18"/>
              </w:rPr>
              <w:t>1,3 %</w:t>
            </w:r>
          </w:p>
        </w:tc>
        <w:tc>
          <w:tcPr>
            <w:tcW w:w="567" w:type="pct"/>
            <w:tcBorders>
              <w:top w:val="single" w:sz="4" w:space="0" w:color="auto"/>
              <w:left w:val="single" w:sz="4" w:space="0" w:color="auto"/>
              <w:bottom w:val="single" w:sz="4" w:space="0" w:color="auto"/>
              <w:right w:val="single" w:sz="4" w:space="0" w:color="auto"/>
            </w:tcBorders>
            <w:shd w:val="clear" w:color="000000" w:fill="E2F2E9"/>
            <w:noWrap/>
            <w:vAlign w:val="bottom"/>
            <w:hideMark/>
          </w:tcPr>
          <w:p w:rsidR="00E07890" w:rsidRPr="00E07890" w:rsidRDefault="00E07890" w:rsidP="00E07890">
            <w:pPr>
              <w:spacing w:before="0"/>
              <w:rPr>
                <w:sz w:val="18"/>
                <w:szCs w:val="18"/>
              </w:rPr>
            </w:pPr>
            <w:r w:rsidRPr="00E07890">
              <w:rPr>
                <w:sz w:val="18"/>
                <w:szCs w:val="18"/>
              </w:rPr>
              <w:t>-1,1 %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Lipník nad Bečvou</w:t>
            </w:r>
          </w:p>
        </w:tc>
        <w:tc>
          <w:tcPr>
            <w:tcW w:w="508" w:type="pct"/>
            <w:tcBorders>
              <w:top w:val="single" w:sz="4" w:space="0" w:color="auto"/>
              <w:left w:val="single" w:sz="4" w:space="0" w:color="auto"/>
              <w:bottom w:val="single" w:sz="4" w:space="0" w:color="auto"/>
              <w:right w:val="single" w:sz="4" w:space="0" w:color="auto"/>
            </w:tcBorders>
            <w:shd w:val="clear" w:color="000000" w:fill="C9D8ED"/>
            <w:noWrap/>
            <w:vAlign w:val="bottom"/>
            <w:hideMark/>
          </w:tcPr>
          <w:p w:rsidR="00E07890" w:rsidRPr="00E07890" w:rsidRDefault="00E07890" w:rsidP="00E07890">
            <w:pPr>
              <w:spacing w:before="0"/>
              <w:rPr>
                <w:sz w:val="18"/>
                <w:szCs w:val="18"/>
              </w:rPr>
            </w:pPr>
            <w:r w:rsidRPr="00E07890">
              <w:rPr>
                <w:sz w:val="18"/>
                <w:szCs w:val="18"/>
              </w:rPr>
              <w:t>14,6 %</w:t>
            </w:r>
          </w:p>
        </w:tc>
        <w:tc>
          <w:tcPr>
            <w:tcW w:w="508"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rsidR="00E07890" w:rsidRPr="00E07890" w:rsidRDefault="00E07890" w:rsidP="00E07890">
            <w:pPr>
              <w:spacing w:before="0"/>
              <w:rPr>
                <w:sz w:val="18"/>
                <w:szCs w:val="18"/>
              </w:rPr>
            </w:pPr>
            <w:r w:rsidRPr="00E07890">
              <w:rPr>
                <w:sz w:val="18"/>
                <w:szCs w:val="18"/>
              </w:rPr>
              <w:t>15,2 %</w:t>
            </w:r>
          </w:p>
        </w:tc>
        <w:tc>
          <w:tcPr>
            <w:tcW w:w="508" w:type="pct"/>
            <w:tcBorders>
              <w:top w:val="single" w:sz="4" w:space="0" w:color="auto"/>
              <w:left w:val="single" w:sz="4" w:space="0" w:color="auto"/>
              <w:bottom w:val="single" w:sz="4" w:space="0" w:color="auto"/>
              <w:right w:val="single" w:sz="4" w:space="0" w:color="auto"/>
            </w:tcBorders>
            <w:shd w:val="clear" w:color="000000" w:fill="FCE4E7"/>
            <w:noWrap/>
            <w:vAlign w:val="bottom"/>
            <w:hideMark/>
          </w:tcPr>
          <w:p w:rsidR="00E07890" w:rsidRPr="00E07890" w:rsidRDefault="00E07890" w:rsidP="00E07890">
            <w:pPr>
              <w:spacing w:before="0"/>
              <w:rPr>
                <w:sz w:val="18"/>
                <w:szCs w:val="18"/>
              </w:rPr>
            </w:pPr>
            <w:r w:rsidRPr="00E07890">
              <w:rPr>
                <w:sz w:val="18"/>
                <w:szCs w:val="18"/>
              </w:rPr>
              <w:t>15,4 %</w:t>
            </w:r>
          </w:p>
        </w:tc>
        <w:tc>
          <w:tcPr>
            <w:tcW w:w="508"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rsidR="00E07890" w:rsidRPr="00E07890" w:rsidRDefault="00E07890" w:rsidP="00E07890">
            <w:pPr>
              <w:spacing w:before="0"/>
              <w:rPr>
                <w:sz w:val="18"/>
                <w:szCs w:val="18"/>
              </w:rPr>
            </w:pPr>
            <w:r w:rsidRPr="00E07890">
              <w:rPr>
                <w:sz w:val="18"/>
                <w:szCs w:val="18"/>
              </w:rPr>
              <w:t>15,2 %</w:t>
            </w:r>
          </w:p>
        </w:tc>
        <w:tc>
          <w:tcPr>
            <w:tcW w:w="510" w:type="pct"/>
            <w:tcBorders>
              <w:top w:val="single" w:sz="4" w:space="0" w:color="auto"/>
              <w:left w:val="single" w:sz="4" w:space="0" w:color="auto"/>
              <w:bottom w:val="single" w:sz="4" w:space="0" w:color="auto"/>
              <w:right w:val="single" w:sz="4" w:space="0" w:color="auto"/>
            </w:tcBorders>
            <w:shd w:val="clear" w:color="000000" w:fill="E3EAF6"/>
            <w:noWrap/>
            <w:vAlign w:val="bottom"/>
            <w:hideMark/>
          </w:tcPr>
          <w:p w:rsidR="00E07890" w:rsidRPr="00E07890" w:rsidRDefault="00E07890" w:rsidP="00E07890">
            <w:pPr>
              <w:spacing w:before="0"/>
              <w:rPr>
                <w:sz w:val="18"/>
                <w:szCs w:val="18"/>
              </w:rPr>
            </w:pPr>
            <w:r w:rsidRPr="00E07890">
              <w:rPr>
                <w:sz w:val="18"/>
                <w:szCs w:val="18"/>
              </w:rPr>
              <w:t>14,9 %</w:t>
            </w:r>
          </w:p>
        </w:tc>
        <w:tc>
          <w:tcPr>
            <w:tcW w:w="567" w:type="pct"/>
            <w:tcBorders>
              <w:top w:val="single" w:sz="4" w:space="0" w:color="auto"/>
              <w:left w:val="single" w:sz="4" w:space="0" w:color="auto"/>
              <w:bottom w:val="single" w:sz="4" w:space="0" w:color="auto"/>
              <w:right w:val="single" w:sz="4" w:space="0" w:color="auto"/>
            </w:tcBorders>
            <w:shd w:val="clear" w:color="000000" w:fill="BAE2C6"/>
            <w:noWrap/>
            <w:vAlign w:val="bottom"/>
            <w:hideMark/>
          </w:tcPr>
          <w:p w:rsidR="00E07890" w:rsidRPr="00E07890" w:rsidRDefault="00E07890" w:rsidP="00E07890">
            <w:pPr>
              <w:spacing w:before="0"/>
              <w:rPr>
                <w:sz w:val="18"/>
                <w:szCs w:val="18"/>
              </w:rPr>
            </w:pPr>
            <w:r w:rsidRPr="00E07890">
              <w:rPr>
                <w:sz w:val="18"/>
                <w:szCs w:val="18"/>
              </w:rPr>
              <w:t>0,7 %</w:t>
            </w:r>
          </w:p>
        </w:tc>
        <w:tc>
          <w:tcPr>
            <w:tcW w:w="567" w:type="pct"/>
            <w:tcBorders>
              <w:top w:val="single" w:sz="4" w:space="0" w:color="auto"/>
              <w:left w:val="single" w:sz="4" w:space="0" w:color="auto"/>
              <w:bottom w:val="single" w:sz="4" w:space="0" w:color="auto"/>
              <w:right w:val="single" w:sz="4" w:space="0" w:color="auto"/>
            </w:tcBorders>
            <w:shd w:val="clear" w:color="000000" w:fill="A2D8B1"/>
            <w:noWrap/>
            <w:vAlign w:val="bottom"/>
            <w:hideMark/>
          </w:tcPr>
          <w:p w:rsidR="00E07890" w:rsidRPr="00E07890" w:rsidRDefault="00E07890" w:rsidP="00E07890">
            <w:pPr>
              <w:spacing w:before="0"/>
              <w:rPr>
                <w:sz w:val="18"/>
                <w:szCs w:val="18"/>
              </w:rPr>
            </w:pPr>
            <w:r w:rsidRPr="00E07890">
              <w:rPr>
                <w:sz w:val="18"/>
                <w:szCs w:val="18"/>
              </w:rPr>
              <w:t>-0,5 %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Přerov</w:t>
            </w:r>
          </w:p>
        </w:tc>
        <w:tc>
          <w:tcPr>
            <w:tcW w:w="508" w:type="pct"/>
            <w:tcBorders>
              <w:top w:val="single" w:sz="4" w:space="0" w:color="auto"/>
              <w:left w:val="single" w:sz="4" w:space="0" w:color="auto"/>
              <w:bottom w:val="single" w:sz="4" w:space="0" w:color="auto"/>
              <w:right w:val="single" w:sz="4" w:space="0" w:color="auto"/>
            </w:tcBorders>
            <w:shd w:val="clear" w:color="000000" w:fill="6994CB"/>
            <w:noWrap/>
            <w:vAlign w:val="bottom"/>
            <w:hideMark/>
          </w:tcPr>
          <w:p w:rsidR="00E07890" w:rsidRPr="00E07890" w:rsidRDefault="00E07890" w:rsidP="00E07890">
            <w:pPr>
              <w:spacing w:before="0"/>
              <w:rPr>
                <w:sz w:val="18"/>
                <w:szCs w:val="18"/>
              </w:rPr>
            </w:pPr>
            <w:r w:rsidRPr="00E07890">
              <w:rPr>
                <w:sz w:val="18"/>
                <w:szCs w:val="18"/>
              </w:rPr>
              <w:t>13,8 %</w:t>
            </w:r>
          </w:p>
        </w:tc>
        <w:tc>
          <w:tcPr>
            <w:tcW w:w="508" w:type="pct"/>
            <w:tcBorders>
              <w:top w:val="single" w:sz="4" w:space="0" w:color="auto"/>
              <w:left w:val="single" w:sz="4" w:space="0" w:color="auto"/>
              <w:bottom w:val="single" w:sz="4" w:space="0" w:color="auto"/>
              <w:right w:val="single" w:sz="4" w:space="0" w:color="auto"/>
            </w:tcBorders>
            <w:shd w:val="clear" w:color="000000" w:fill="A2BDDF"/>
            <w:noWrap/>
            <w:vAlign w:val="bottom"/>
            <w:hideMark/>
          </w:tcPr>
          <w:p w:rsidR="00E07890" w:rsidRPr="00E07890" w:rsidRDefault="00E07890" w:rsidP="00E07890">
            <w:pPr>
              <w:spacing w:before="0"/>
              <w:rPr>
                <w:sz w:val="18"/>
                <w:szCs w:val="18"/>
              </w:rPr>
            </w:pPr>
            <w:r w:rsidRPr="00E07890">
              <w:rPr>
                <w:sz w:val="18"/>
                <w:szCs w:val="18"/>
              </w:rPr>
              <w:t>14,3 %</w:t>
            </w:r>
          </w:p>
        </w:tc>
        <w:tc>
          <w:tcPr>
            <w:tcW w:w="508" w:type="pct"/>
            <w:tcBorders>
              <w:top w:val="single" w:sz="4" w:space="0" w:color="auto"/>
              <w:left w:val="single" w:sz="4" w:space="0" w:color="auto"/>
              <w:bottom w:val="single" w:sz="4" w:space="0" w:color="auto"/>
              <w:right w:val="single" w:sz="4" w:space="0" w:color="auto"/>
            </w:tcBorders>
            <w:shd w:val="clear" w:color="000000" w:fill="CFDDEF"/>
            <w:noWrap/>
            <w:vAlign w:val="bottom"/>
            <w:hideMark/>
          </w:tcPr>
          <w:p w:rsidR="00E07890" w:rsidRPr="00E07890" w:rsidRDefault="00E07890" w:rsidP="00E07890">
            <w:pPr>
              <w:spacing w:before="0"/>
              <w:rPr>
                <w:sz w:val="18"/>
                <w:szCs w:val="18"/>
              </w:rPr>
            </w:pPr>
            <w:r w:rsidRPr="00E07890">
              <w:rPr>
                <w:sz w:val="18"/>
                <w:szCs w:val="18"/>
              </w:rPr>
              <w:t>14,7 %</w:t>
            </w:r>
          </w:p>
        </w:tc>
        <w:tc>
          <w:tcPr>
            <w:tcW w:w="508" w:type="pct"/>
            <w:tcBorders>
              <w:top w:val="single" w:sz="4" w:space="0" w:color="auto"/>
              <w:left w:val="single" w:sz="4" w:space="0" w:color="auto"/>
              <w:bottom w:val="single" w:sz="4" w:space="0" w:color="auto"/>
              <w:right w:val="single" w:sz="4" w:space="0" w:color="auto"/>
            </w:tcBorders>
            <w:shd w:val="clear" w:color="000000" w:fill="D6E1F1"/>
            <w:noWrap/>
            <w:vAlign w:val="bottom"/>
            <w:hideMark/>
          </w:tcPr>
          <w:p w:rsidR="00E07890" w:rsidRPr="00E07890" w:rsidRDefault="00E07890" w:rsidP="00E07890">
            <w:pPr>
              <w:spacing w:before="0"/>
              <w:rPr>
                <w:sz w:val="18"/>
                <w:szCs w:val="18"/>
              </w:rPr>
            </w:pPr>
            <w:r w:rsidRPr="00E07890">
              <w:rPr>
                <w:sz w:val="18"/>
                <w:szCs w:val="18"/>
              </w:rPr>
              <w:t>14,8 %</w:t>
            </w:r>
          </w:p>
        </w:tc>
        <w:tc>
          <w:tcPr>
            <w:tcW w:w="510" w:type="pct"/>
            <w:tcBorders>
              <w:top w:val="single" w:sz="4" w:space="0" w:color="auto"/>
              <w:left w:val="single" w:sz="4" w:space="0" w:color="auto"/>
              <w:bottom w:val="single" w:sz="4" w:space="0" w:color="auto"/>
              <w:right w:val="single" w:sz="4" w:space="0" w:color="auto"/>
            </w:tcBorders>
            <w:shd w:val="clear" w:color="000000" w:fill="BFD1E9"/>
            <w:noWrap/>
            <w:vAlign w:val="bottom"/>
            <w:hideMark/>
          </w:tcPr>
          <w:p w:rsidR="00E07890" w:rsidRPr="00E07890" w:rsidRDefault="00E07890" w:rsidP="00E07890">
            <w:pPr>
              <w:spacing w:before="0"/>
              <w:rPr>
                <w:sz w:val="18"/>
                <w:szCs w:val="18"/>
              </w:rPr>
            </w:pPr>
            <w:r w:rsidRPr="00E07890">
              <w:rPr>
                <w:sz w:val="18"/>
                <w:szCs w:val="18"/>
              </w:rPr>
              <w:t>14,6 %</w:t>
            </w:r>
          </w:p>
        </w:tc>
        <w:tc>
          <w:tcPr>
            <w:tcW w:w="567" w:type="pct"/>
            <w:tcBorders>
              <w:top w:val="single" w:sz="4" w:space="0" w:color="auto"/>
              <w:left w:val="single" w:sz="4" w:space="0" w:color="auto"/>
              <w:bottom w:val="single" w:sz="4" w:space="0" w:color="auto"/>
              <w:right w:val="single" w:sz="4" w:space="0" w:color="auto"/>
            </w:tcBorders>
            <w:shd w:val="clear" w:color="000000" w:fill="AFDDBD"/>
            <w:noWrap/>
            <w:vAlign w:val="bottom"/>
            <w:hideMark/>
          </w:tcPr>
          <w:p w:rsidR="00E07890" w:rsidRPr="00E07890" w:rsidRDefault="00E07890" w:rsidP="00E07890">
            <w:pPr>
              <w:spacing w:before="0"/>
              <w:rPr>
                <w:sz w:val="18"/>
                <w:szCs w:val="18"/>
              </w:rPr>
            </w:pPr>
            <w:r w:rsidRPr="00E07890">
              <w:rPr>
                <w:sz w:val="18"/>
                <w:szCs w:val="18"/>
              </w:rPr>
              <w:t>0,9 %</w:t>
            </w:r>
          </w:p>
        </w:tc>
        <w:tc>
          <w:tcPr>
            <w:tcW w:w="567" w:type="pct"/>
            <w:tcBorders>
              <w:top w:val="single" w:sz="4" w:space="0" w:color="auto"/>
              <w:left w:val="single" w:sz="4" w:space="0" w:color="auto"/>
              <w:bottom w:val="single" w:sz="4" w:space="0" w:color="auto"/>
              <w:right w:val="single" w:sz="4" w:space="0" w:color="auto"/>
            </w:tcBorders>
            <w:shd w:val="clear" w:color="000000" w:fill="78C78D"/>
            <w:noWrap/>
            <w:vAlign w:val="bottom"/>
            <w:hideMark/>
          </w:tcPr>
          <w:p w:rsidR="00E07890" w:rsidRPr="00E07890" w:rsidRDefault="00E07890" w:rsidP="00E07890">
            <w:pPr>
              <w:spacing w:before="0"/>
              <w:rPr>
                <w:sz w:val="18"/>
                <w:szCs w:val="18"/>
              </w:rPr>
            </w:pPr>
            <w:r w:rsidRPr="00E07890">
              <w:rPr>
                <w:sz w:val="18"/>
                <w:szCs w:val="18"/>
              </w:rPr>
              <w:t>-0,1 %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Konice</w:t>
            </w:r>
          </w:p>
        </w:tc>
        <w:tc>
          <w:tcPr>
            <w:tcW w:w="508" w:type="pct"/>
            <w:tcBorders>
              <w:top w:val="single" w:sz="4" w:space="0" w:color="auto"/>
              <w:left w:val="single" w:sz="4" w:space="0" w:color="auto"/>
              <w:bottom w:val="single" w:sz="4" w:space="0" w:color="auto"/>
              <w:right w:val="single" w:sz="4" w:space="0" w:color="auto"/>
            </w:tcBorders>
            <w:shd w:val="clear" w:color="000000" w:fill="8AACD7"/>
            <w:noWrap/>
            <w:vAlign w:val="bottom"/>
            <w:hideMark/>
          </w:tcPr>
          <w:p w:rsidR="00E07890" w:rsidRPr="00E07890" w:rsidRDefault="00E07890" w:rsidP="00E07890">
            <w:pPr>
              <w:spacing w:before="0"/>
              <w:rPr>
                <w:sz w:val="18"/>
                <w:szCs w:val="18"/>
              </w:rPr>
            </w:pPr>
            <w:r w:rsidRPr="00E07890">
              <w:rPr>
                <w:sz w:val="18"/>
                <w:szCs w:val="18"/>
              </w:rPr>
              <w:t>14,1 %</w:t>
            </w:r>
          </w:p>
        </w:tc>
        <w:tc>
          <w:tcPr>
            <w:tcW w:w="508"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E07890" w:rsidRPr="00E07890" w:rsidRDefault="00E07890" w:rsidP="00E07890">
            <w:pPr>
              <w:spacing w:before="0"/>
              <w:rPr>
                <w:sz w:val="18"/>
                <w:szCs w:val="18"/>
              </w:rPr>
            </w:pPr>
            <w:r w:rsidRPr="00E07890">
              <w:rPr>
                <w:sz w:val="18"/>
                <w:szCs w:val="18"/>
              </w:rPr>
              <w:t>13,7 %</w:t>
            </w:r>
          </w:p>
        </w:tc>
        <w:tc>
          <w:tcPr>
            <w:tcW w:w="508" w:type="pct"/>
            <w:tcBorders>
              <w:top w:val="single" w:sz="4" w:space="0" w:color="auto"/>
              <w:left w:val="single" w:sz="4" w:space="0" w:color="auto"/>
              <w:bottom w:val="single" w:sz="4" w:space="0" w:color="auto"/>
              <w:right w:val="single" w:sz="4" w:space="0" w:color="auto"/>
            </w:tcBorders>
            <w:shd w:val="clear" w:color="000000" w:fill="B9CDE7"/>
            <w:noWrap/>
            <w:vAlign w:val="bottom"/>
            <w:hideMark/>
          </w:tcPr>
          <w:p w:rsidR="00E07890" w:rsidRPr="00E07890" w:rsidRDefault="00E07890" w:rsidP="00E07890">
            <w:pPr>
              <w:spacing w:before="0"/>
              <w:rPr>
                <w:sz w:val="18"/>
                <w:szCs w:val="18"/>
              </w:rPr>
            </w:pPr>
            <w:r w:rsidRPr="00E07890">
              <w:rPr>
                <w:sz w:val="18"/>
                <w:szCs w:val="18"/>
              </w:rPr>
              <w:t>14,5 %</w:t>
            </w:r>
          </w:p>
        </w:tc>
        <w:tc>
          <w:tcPr>
            <w:tcW w:w="508" w:type="pct"/>
            <w:tcBorders>
              <w:top w:val="single" w:sz="4" w:space="0" w:color="auto"/>
              <w:left w:val="single" w:sz="4" w:space="0" w:color="auto"/>
              <w:bottom w:val="single" w:sz="4" w:space="0" w:color="auto"/>
              <w:right w:val="single" w:sz="4" w:space="0" w:color="auto"/>
            </w:tcBorders>
            <w:shd w:val="clear" w:color="000000" w:fill="C2D3EA"/>
            <w:noWrap/>
            <w:vAlign w:val="bottom"/>
            <w:hideMark/>
          </w:tcPr>
          <w:p w:rsidR="00E07890" w:rsidRPr="00E07890" w:rsidRDefault="00E07890" w:rsidP="00E07890">
            <w:pPr>
              <w:spacing w:before="0"/>
              <w:rPr>
                <w:sz w:val="18"/>
                <w:szCs w:val="18"/>
              </w:rPr>
            </w:pPr>
            <w:r w:rsidRPr="00E07890">
              <w:rPr>
                <w:sz w:val="18"/>
                <w:szCs w:val="18"/>
              </w:rPr>
              <w:t>14,6 %</w:t>
            </w:r>
          </w:p>
        </w:tc>
        <w:tc>
          <w:tcPr>
            <w:tcW w:w="510" w:type="pct"/>
            <w:tcBorders>
              <w:top w:val="single" w:sz="4" w:space="0" w:color="auto"/>
              <w:left w:val="single" w:sz="4" w:space="0" w:color="auto"/>
              <w:bottom w:val="single" w:sz="4" w:space="0" w:color="auto"/>
              <w:right w:val="single" w:sz="4" w:space="0" w:color="auto"/>
            </w:tcBorders>
            <w:shd w:val="clear" w:color="000000" w:fill="BBCEE8"/>
            <w:noWrap/>
            <w:vAlign w:val="bottom"/>
            <w:hideMark/>
          </w:tcPr>
          <w:p w:rsidR="00E07890" w:rsidRPr="00E07890" w:rsidRDefault="00E07890" w:rsidP="00E07890">
            <w:pPr>
              <w:spacing w:before="0"/>
              <w:rPr>
                <w:sz w:val="18"/>
                <w:szCs w:val="18"/>
              </w:rPr>
            </w:pPr>
            <w:r w:rsidRPr="00E07890">
              <w:rPr>
                <w:sz w:val="18"/>
                <w:szCs w:val="18"/>
              </w:rPr>
              <w:t>14,5 %</w:t>
            </w:r>
          </w:p>
        </w:tc>
        <w:tc>
          <w:tcPr>
            <w:tcW w:w="567" w:type="pct"/>
            <w:tcBorders>
              <w:top w:val="single" w:sz="4" w:space="0" w:color="auto"/>
              <w:left w:val="single" w:sz="4" w:space="0" w:color="auto"/>
              <w:bottom w:val="single" w:sz="4" w:space="0" w:color="auto"/>
              <w:right w:val="single" w:sz="4" w:space="0" w:color="auto"/>
            </w:tcBorders>
            <w:shd w:val="clear" w:color="000000" w:fill="D0EAD9"/>
            <w:noWrap/>
            <w:vAlign w:val="bottom"/>
            <w:hideMark/>
          </w:tcPr>
          <w:p w:rsidR="00E07890" w:rsidRPr="00E07890" w:rsidRDefault="00E07890" w:rsidP="00E07890">
            <w:pPr>
              <w:spacing w:before="0"/>
              <w:rPr>
                <w:sz w:val="18"/>
                <w:szCs w:val="18"/>
              </w:rPr>
            </w:pPr>
            <w:r w:rsidRPr="00E07890">
              <w:rPr>
                <w:sz w:val="18"/>
                <w:szCs w:val="18"/>
              </w:rPr>
              <w:t>0,4 %</w:t>
            </w:r>
          </w:p>
        </w:tc>
        <w:tc>
          <w:tcPr>
            <w:tcW w:w="567" w:type="pct"/>
            <w:tcBorders>
              <w:top w:val="single" w:sz="4" w:space="0" w:color="auto"/>
              <w:left w:val="single" w:sz="4" w:space="0" w:color="auto"/>
              <w:bottom w:val="single" w:sz="4" w:space="0" w:color="auto"/>
              <w:right w:val="single" w:sz="4" w:space="0" w:color="auto"/>
            </w:tcBorders>
            <w:shd w:val="clear" w:color="000000" w:fill="64BF7C"/>
            <w:noWrap/>
            <w:vAlign w:val="bottom"/>
            <w:hideMark/>
          </w:tcPr>
          <w:p w:rsidR="00E07890" w:rsidRPr="00E07890" w:rsidRDefault="00E07890" w:rsidP="00E07890">
            <w:pPr>
              <w:spacing w:before="0"/>
              <w:rPr>
                <w:sz w:val="18"/>
                <w:szCs w:val="18"/>
              </w:rPr>
            </w:pPr>
            <w:r w:rsidRPr="00E07890">
              <w:rPr>
                <w:sz w:val="18"/>
                <w:szCs w:val="18"/>
              </w:rPr>
              <w:t>0,0 %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Šumperk</w:t>
            </w:r>
          </w:p>
        </w:tc>
        <w:tc>
          <w:tcPr>
            <w:tcW w:w="508" w:type="pct"/>
            <w:tcBorders>
              <w:top w:val="single" w:sz="4" w:space="0" w:color="auto"/>
              <w:left w:val="single" w:sz="4" w:space="0" w:color="auto"/>
              <w:bottom w:val="single" w:sz="4" w:space="0" w:color="auto"/>
              <w:right w:val="single" w:sz="4" w:space="0" w:color="auto"/>
            </w:tcBorders>
            <w:shd w:val="clear" w:color="000000" w:fill="C4D4EB"/>
            <w:noWrap/>
            <w:vAlign w:val="bottom"/>
            <w:hideMark/>
          </w:tcPr>
          <w:p w:rsidR="00E07890" w:rsidRPr="00E07890" w:rsidRDefault="00E07890" w:rsidP="00E07890">
            <w:pPr>
              <w:spacing w:before="0"/>
              <w:rPr>
                <w:sz w:val="18"/>
                <w:szCs w:val="18"/>
              </w:rPr>
            </w:pPr>
            <w:r w:rsidRPr="00E07890">
              <w:rPr>
                <w:sz w:val="18"/>
                <w:szCs w:val="18"/>
              </w:rPr>
              <w:t>14,6 %</w:t>
            </w:r>
          </w:p>
        </w:tc>
        <w:tc>
          <w:tcPr>
            <w:tcW w:w="508" w:type="pct"/>
            <w:tcBorders>
              <w:top w:val="single" w:sz="4" w:space="0" w:color="auto"/>
              <w:left w:val="single" w:sz="4" w:space="0" w:color="auto"/>
              <w:bottom w:val="single" w:sz="4" w:space="0" w:color="auto"/>
              <w:right w:val="single" w:sz="4" w:space="0" w:color="auto"/>
            </w:tcBorders>
            <w:shd w:val="clear" w:color="000000" w:fill="F4F7FC"/>
            <w:noWrap/>
            <w:vAlign w:val="bottom"/>
            <w:hideMark/>
          </w:tcPr>
          <w:p w:rsidR="00E07890" w:rsidRPr="00E07890" w:rsidRDefault="00E07890" w:rsidP="00E07890">
            <w:pPr>
              <w:spacing w:before="0"/>
              <w:rPr>
                <w:sz w:val="18"/>
                <w:szCs w:val="18"/>
              </w:rPr>
            </w:pPr>
            <w:r w:rsidRPr="00E07890">
              <w:rPr>
                <w:sz w:val="18"/>
                <w:szCs w:val="18"/>
              </w:rPr>
              <w:t>15,0 %</w:t>
            </w:r>
          </w:p>
        </w:tc>
        <w:tc>
          <w:tcPr>
            <w:tcW w:w="508"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E07890" w:rsidRPr="00E07890" w:rsidRDefault="00E07890" w:rsidP="00E07890">
            <w:pPr>
              <w:spacing w:before="0"/>
              <w:rPr>
                <w:sz w:val="18"/>
                <w:szCs w:val="18"/>
              </w:rPr>
            </w:pPr>
            <w:r w:rsidRPr="00E07890">
              <w:rPr>
                <w:sz w:val="18"/>
                <w:szCs w:val="18"/>
              </w:rPr>
              <w:t>15,1 %</w:t>
            </w:r>
          </w:p>
        </w:tc>
        <w:tc>
          <w:tcPr>
            <w:tcW w:w="508" w:type="pct"/>
            <w:tcBorders>
              <w:top w:val="single" w:sz="4" w:space="0" w:color="auto"/>
              <w:left w:val="single" w:sz="4" w:space="0" w:color="auto"/>
              <w:bottom w:val="single" w:sz="4" w:space="0" w:color="auto"/>
              <w:right w:val="single" w:sz="4" w:space="0" w:color="auto"/>
            </w:tcBorders>
            <w:shd w:val="clear" w:color="000000" w:fill="E0E8F5"/>
            <w:noWrap/>
            <w:vAlign w:val="bottom"/>
            <w:hideMark/>
          </w:tcPr>
          <w:p w:rsidR="00E07890" w:rsidRPr="00E07890" w:rsidRDefault="00E07890" w:rsidP="00E07890">
            <w:pPr>
              <w:spacing w:before="0"/>
              <w:rPr>
                <w:sz w:val="18"/>
                <w:szCs w:val="18"/>
              </w:rPr>
            </w:pPr>
            <w:r w:rsidRPr="00E07890">
              <w:rPr>
                <w:sz w:val="18"/>
                <w:szCs w:val="18"/>
              </w:rPr>
              <w:t>14,9 %</w:t>
            </w:r>
          </w:p>
        </w:tc>
        <w:tc>
          <w:tcPr>
            <w:tcW w:w="510" w:type="pct"/>
            <w:tcBorders>
              <w:top w:val="single" w:sz="4" w:space="0" w:color="auto"/>
              <w:left w:val="single" w:sz="4" w:space="0" w:color="auto"/>
              <w:bottom w:val="single" w:sz="4" w:space="0" w:color="auto"/>
              <w:right w:val="single" w:sz="4" w:space="0" w:color="auto"/>
            </w:tcBorders>
            <w:shd w:val="clear" w:color="000000" w:fill="AFC5E3"/>
            <w:noWrap/>
            <w:vAlign w:val="bottom"/>
            <w:hideMark/>
          </w:tcPr>
          <w:p w:rsidR="00E07890" w:rsidRPr="00E07890" w:rsidRDefault="00E07890" w:rsidP="00E07890">
            <w:pPr>
              <w:spacing w:before="0"/>
              <w:rPr>
                <w:sz w:val="18"/>
                <w:szCs w:val="18"/>
              </w:rPr>
            </w:pPr>
            <w:r w:rsidRPr="00E07890">
              <w:rPr>
                <w:sz w:val="18"/>
                <w:szCs w:val="18"/>
              </w:rPr>
              <w:t>14,4 %</w:t>
            </w:r>
          </w:p>
        </w:tc>
        <w:tc>
          <w:tcPr>
            <w:tcW w:w="567" w:type="pct"/>
            <w:tcBorders>
              <w:top w:val="single" w:sz="4" w:space="0" w:color="auto"/>
              <w:left w:val="single" w:sz="4" w:space="0" w:color="auto"/>
              <w:bottom w:val="single" w:sz="4" w:space="0" w:color="auto"/>
              <w:right w:val="single" w:sz="4" w:space="0" w:color="auto"/>
            </w:tcBorders>
            <w:shd w:val="clear" w:color="000000" w:fill="C8E7D2"/>
            <w:noWrap/>
            <w:vAlign w:val="bottom"/>
            <w:hideMark/>
          </w:tcPr>
          <w:p w:rsidR="00E07890" w:rsidRPr="00E07890" w:rsidRDefault="00E07890" w:rsidP="00E07890">
            <w:pPr>
              <w:spacing w:before="0"/>
              <w:rPr>
                <w:sz w:val="18"/>
                <w:szCs w:val="18"/>
              </w:rPr>
            </w:pPr>
            <w:r w:rsidRPr="00E07890">
              <w:rPr>
                <w:sz w:val="18"/>
                <w:szCs w:val="18"/>
              </w:rPr>
              <w:t>0,5 %</w:t>
            </w:r>
          </w:p>
        </w:tc>
        <w:tc>
          <w:tcPr>
            <w:tcW w:w="567" w:type="pct"/>
            <w:tcBorders>
              <w:top w:val="single" w:sz="4" w:space="0" w:color="auto"/>
              <w:left w:val="single" w:sz="4" w:space="0" w:color="auto"/>
              <w:bottom w:val="single" w:sz="4" w:space="0" w:color="auto"/>
              <w:right w:val="single" w:sz="4" w:space="0" w:color="auto"/>
            </w:tcBorders>
            <w:shd w:val="clear" w:color="000000" w:fill="BBE2C7"/>
            <w:noWrap/>
            <w:vAlign w:val="bottom"/>
            <w:hideMark/>
          </w:tcPr>
          <w:p w:rsidR="00E07890" w:rsidRPr="00E07890" w:rsidRDefault="00E07890" w:rsidP="00E07890">
            <w:pPr>
              <w:spacing w:before="0"/>
              <w:rPr>
                <w:sz w:val="18"/>
                <w:szCs w:val="18"/>
              </w:rPr>
            </w:pPr>
            <w:r w:rsidRPr="00E07890">
              <w:rPr>
                <w:sz w:val="18"/>
                <w:szCs w:val="18"/>
              </w:rPr>
              <w:t>-0,7 %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sz w:val="18"/>
                <w:szCs w:val="18"/>
              </w:rPr>
            </w:pPr>
            <w:r w:rsidRPr="00E07890">
              <w:rPr>
                <w:sz w:val="18"/>
                <w:szCs w:val="18"/>
              </w:rPr>
              <w:t>Jeseník</w:t>
            </w:r>
          </w:p>
        </w:tc>
        <w:tc>
          <w:tcPr>
            <w:tcW w:w="508" w:type="pct"/>
            <w:tcBorders>
              <w:top w:val="single" w:sz="4" w:space="0" w:color="auto"/>
              <w:left w:val="single" w:sz="4" w:space="0" w:color="auto"/>
              <w:bottom w:val="single" w:sz="4" w:space="0" w:color="auto"/>
              <w:right w:val="single" w:sz="4" w:space="0" w:color="auto"/>
            </w:tcBorders>
            <w:shd w:val="clear" w:color="000000" w:fill="A7C0E1"/>
            <w:noWrap/>
            <w:vAlign w:val="bottom"/>
            <w:hideMark/>
          </w:tcPr>
          <w:p w:rsidR="00E07890" w:rsidRPr="00E07890" w:rsidRDefault="00E07890" w:rsidP="00E07890">
            <w:pPr>
              <w:spacing w:before="0"/>
              <w:rPr>
                <w:sz w:val="18"/>
                <w:szCs w:val="18"/>
              </w:rPr>
            </w:pPr>
            <w:r w:rsidRPr="00E07890">
              <w:rPr>
                <w:sz w:val="18"/>
                <w:szCs w:val="18"/>
              </w:rPr>
              <w:t>14,3 %</w:t>
            </w:r>
          </w:p>
        </w:tc>
        <w:tc>
          <w:tcPr>
            <w:tcW w:w="508" w:type="pct"/>
            <w:tcBorders>
              <w:top w:val="single" w:sz="4" w:space="0" w:color="auto"/>
              <w:left w:val="single" w:sz="4" w:space="0" w:color="auto"/>
              <w:bottom w:val="single" w:sz="4" w:space="0" w:color="auto"/>
              <w:right w:val="single" w:sz="4" w:space="0" w:color="auto"/>
            </w:tcBorders>
            <w:shd w:val="clear" w:color="000000" w:fill="7FA4D3"/>
            <w:noWrap/>
            <w:vAlign w:val="bottom"/>
            <w:hideMark/>
          </w:tcPr>
          <w:p w:rsidR="00E07890" w:rsidRPr="00E07890" w:rsidRDefault="00E07890" w:rsidP="00E07890">
            <w:pPr>
              <w:spacing w:before="0"/>
              <w:rPr>
                <w:sz w:val="18"/>
                <w:szCs w:val="18"/>
              </w:rPr>
            </w:pPr>
            <w:r w:rsidRPr="00E07890">
              <w:rPr>
                <w:sz w:val="18"/>
                <w:szCs w:val="18"/>
              </w:rPr>
              <w:t>14,0 %</w:t>
            </w:r>
          </w:p>
        </w:tc>
        <w:tc>
          <w:tcPr>
            <w:tcW w:w="508" w:type="pct"/>
            <w:tcBorders>
              <w:top w:val="single" w:sz="4" w:space="0" w:color="auto"/>
              <w:left w:val="single" w:sz="4" w:space="0" w:color="auto"/>
              <w:bottom w:val="single" w:sz="4" w:space="0" w:color="auto"/>
              <w:right w:val="single" w:sz="4" w:space="0" w:color="auto"/>
            </w:tcBorders>
            <w:shd w:val="clear" w:color="000000" w:fill="8BACD7"/>
            <w:noWrap/>
            <w:vAlign w:val="bottom"/>
            <w:hideMark/>
          </w:tcPr>
          <w:p w:rsidR="00E07890" w:rsidRPr="00E07890" w:rsidRDefault="00E07890" w:rsidP="00E07890">
            <w:pPr>
              <w:spacing w:before="0"/>
              <w:rPr>
                <w:sz w:val="18"/>
                <w:szCs w:val="18"/>
              </w:rPr>
            </w:pPr>
            <w:r w:rsidRPr="00E07890">
              <w:rPr>
                <w:sz w:val="18"/>
                <w:szCs w:val="18"/>
              </w:rPr>
              <w:t>14,1 %</w:t>
            </w:r>
          </w:p>
        </w:tc>
        <w:tc>
          <w:tcPr>
            <w:tcW w:w="508" w:type="pct"/>
            <w:tcBorders>
              <w:top w:val="single" w:sz="4" w:space="0" w:color="auto"/>
              <w:left w:val="single" w:sz="4" w:space="0" w:color="auto"/>
              <w:bottom w:val="single" w:sz="4" w:space="0" w:color="auto"/>
              <w:right w:val="single" w:sz="4" w:space="0" w:color="auto"/>
            </w:tcBorders>
            <w:shd w:val="clear" w:color="000000" w:fill="8AACD7"/>
            <w:noWrap/>
            <w:vAlign w:val="bottom"/>
            <w:hideMark/>
          </w:tcPr>
          <w:p w:rsidR="00E07890" w:rsidRPr="00E07890" w:rsidRDefault="00E07890" w:rsidP="00E07890">
            <w:pPr>
              <w:spacing w:before="0"/>
              <w:rPr>
                <w:sz w:val="18"/>
                <w:szCs w:val="18"/>
              </w:rPr>
            </w:pPr>
            <w:r w:rsidRPr="00E07890">
              <w:rPr>
                <w:sz w:val="18"/>
                <w:szCs w:val="18"/>
              </w:rPr>
              <w:t>14,1 %</w:t>
            </w:r>
          </w:p>
        </w:tc>
        <w:tc>
          <w:tcPr>
            <w:tcW w:w="510" w:type="pct"/>
            <w:tcBorders>
              <w:top w:val="single" w:sz="4" w:space="0" w:color="auto"/>
              <w:left w:val="single" w:sz="4" w:space="0" w:color="auto"/>
              <w:bottom w:val="single" w:sz="4" w:space="0" w:color="auto"/>
              <w:right w:val="single" w:sz="4" w:space="0" w:color="auto"/>
            </w:tcBorders>
            <w:shd w:val="clear" w:color="000000" w:fill="8DAED8"/>
            <w:noWrap/>
            <w:vAlign w:val="bottom"/>
            <w:hideMark/>
          </w:tcPr>
          <w:p w:rsidR="00E07890" w:rsidRPr="00E07890" w:rsidRDefault="00E07890" w:rsidP="00E07890">
            <w:pPr>
              <w:spacing w:before="0"/>
              <w:rPr>
                <w:sz w:val="18"/>
                <w:szCs w:val="18"/>
              </w:rPr>
            </w:pPr>
            <w:r w:rsidRPr="00E07890">
              <w:rPr>
                <w:sz w:val="18"/>
                <w:szCs w:val="18"/>
              </w:rPr>
              <w:t>14,1 %</w:t>
            </w:r>
          </w:p>
        </w:tc>
        <w:tc>
          <w:tcPr>
            <w:tcW w:w="567"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rPr>
                <w:sz w:val="18"/>
                <w:szCs w:val="18"/>
              </w:rPr>
            </w:pPr>
            <w:r w:rsidRPr="00E07890">
              <w:rPr>
                <w:sz w:val="18"/>
                <w:szCs w:val="18"/>
              </w:rPr>
              <w:t>-0,3 %</w:t>
            </w:r>
          </w:p>
        </w:tc>
        <w:tc>
          <w:tcPr>
            <w:tcW w:w="56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E07890" w:rsidRPr="00E07890" w:rsidRDefault="00E07890" w:rsidP="00E07890">
            <w:pPr>
              <w:spacing w:before="0"/>
              <w:rPr>
                <w:sz w:val="18"/>
                <w:szCs w:val="18"/>
              </w:rPr>
            </w:pPr>
            <w:r w:rsidRPr="00E07890">
              <w:rPr>
                <w:sz w:val="18"/>
                <w:szCs w:val="18"/>
              </w:rPr>
              <w:t>0,0 %</w:t>
            </w:r>
          </w:p>
        </w:tc>
      </w:tr>
      <w:tr w:rsidR="00E07890" w:rsidRPr="00E07890" w:rsidTr="002E64D7">
        <w:trPr>
          <w:trHeight w:val="20"/>
          <w:tblHeader/>
        </w:trPr>
        <w:tc>
          <w:tcPr>
            <w:tcW w:w="1324" w:type="pct"/>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b/>
                <w:bCs/>
                <w:sz w:val="18"/>
                <w:szCs w:val="18"/>
              </w:rPr>
            </w:pPr>
            <w:r>
              <w:rPr>
                <w:b/>
                <w:bCs/>
                <w:sz w:val="18"/>
                <w:szCs w:val="18"/>
              </w:rPr>
              <w:t xml:space="preserve">Celkem </w:t>
            </w:r>
            <w:r w:rsidRPr="00E07890">
              <w:rPr>
                <w:b/>
                <w:bCs/>
                <w:sz w:val="18"/>
                <w:szCs w:val="18"/>
              </w:rPr>
              <w:t>OK</w:t>
            </w:r>
          </w:p>
        </w:tc>
        <w:tc>
          <w:tcPr>
            <w:tcW w:w="508"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14,6 %</w:t>
            </w:r>
          </w:p>
        </w:tc>
        <w:tc>
          <w:tcPr>
            <w:tcW w:w="508"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15,3 %</w:t>
            </w:r>
          </w:p>
        </w:tc>
        <w:tc>
          <w:tcPr>
            <w:tcW w:w="508"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15,8 %</w:t>
            </w:r>
          </w:p>
        </w:tc>
        <w:tc>
          <w:tcPr>
            <w:tcW w:w="508"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15,6 %</w:t>
            </w:r>
          </w:p>
        </w:tc>
        <w:tc>
          <w:tcPr>
            <w:tcW w:w="510"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15,1 %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1,2 %</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-0,7 %</w:t>
            </w:r>
          </w:p>
        </w:tc>
      </w:tr>
    </w:tbl>
    <w:p w:rsidR="00AF4350" w:rsidRPr="0039748C" w:rsidRDefault="00AF4350" w:rsidP="00E07890">
      <w:pPr>
        <w:pStyle w:val="Zdrojobjektu"/>
      </w:pPr>
      <w:r w:rsidRPr="0039748C">
        <w:t>Zdroj: ČSÚ, vlastní prognózy obyvatel pro jednotlivá SO ORP, data k 1. 1. daného roku, zpracování ACCENDO (2022)</w:t>
      </w:r>
    </w:p>
    <w:p w:rsidR="00AF4350" w:rsidRPr="0039748C" w:rsidRDefault="00AF4350" w:rsidP="00A34764"/>
    <w:p w:rsidR="00AF4350" w:rsidRPr="0039748C" w:rsidRDefault="00AF4350" w:rsidP="00E07890">
      <w:pPr>
        <w:pStyle w:val="popistabulkySPRSS2024"/>
      </w:pPr>
      <w:bookmarkStart w:id="85" w:name="_Toc117607075"/>
      <w:r w:rsidRPr="0039748C">
        <w:lastRenderedPageBreak/>
        <w:t xml:space="preserve">Tabulka </w:t>
      </w:r>
      <w:r w:rsidR="00412C70">
        <w:fldChar w:fldCharType="begin"/>
      </w:r>
      <w:r w:rsidR="00412C70">
        <w:instrText xml:space="preserve"> SEQ Tabulka \* ARABIC </w:instrText>
      </w:r>
      <w:r w:rsidR="00412C70">
        <w:fldChar w:fldCharType="separate"/>
      </w:r>
      <w:r w:rsidR="003A12AF">
        <w:rPr>
          <w:noProof/>
        </w:rPr>
        <w:t>15</w:t>
      </w:r>
      <w:r w:rsidR="00412C70">
        <w:rPr>
          <w:noProof/>
        </w:rPr>
        <w:fldChar w:fldCharType="end"/>
      </w:r>
      <w:r>
        <w:t>:</w:t>
      </w:r>
      <w:r w:rsidRPr="0039748C">
        <w:t xml:space="preserve"> Podíl osob do 18 let v letech 2012, 2022 a 2032</w:t>
      </w:r>
      <w:bookmarkEnd w:id="85"/>
    </w:p>
    <w:tbl>
      <w:tblPr>
        <w:tblW w:w="5000" w:type="pct"/>
        <w:tblCellMar>
          <w:left w:w="70" w:type="dxa"/>
          <w:right w:w="70" w:type="dxa"/>
        </w:tblCellMar>
        <w:tblLook w:val="04A0" w:firstRow="1" w:lastRow="0" w:firstColumn="1" w:lastColumn="0" w:noHBand="0" w:noVBand="1"/>
      </w:tblPr>
      <w:tblGrid>
        <w:gridCol w:w="3710"/>
        <w:gridCol w:w="1276"/>
        <w:gridCol w:w="1276"/>
        <w:gridCol w:w="1276"/>
        <w:gridCol w:w="1524"/>
      </w:tblGrid>
      <w:tr w:rsidR="00E07890" w:rsidRPr="0039748C" w:rsidTr="00E07890">
        <w:trPr>
          <w:trHeight w:val="20"/>
          <w:tblHeader/>
        </w:trPr>
        <w:tc>
          <w:tcPr>
            <w:tcW w:w="204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07890" w:rsidRPr="0039748C" w:rsidRDefault="00E07890" w:rsidP="00E07890">
            <w:pPr>
              <w:keepNext/>
              <w:spacing w:before="0"/>
              <w:jc w:val="center"/>
              <w:rPr>
                <w:b/>
                <w:bCs/>
                <w:sz w:val="18"/>
                <w:szCs w:val="18"/>
              </w:rPr>
            </w:pPr>
            <w:r w:rsidRPr="0039748C">
              <w:rPr>
                <w:b/>
                <w:bCs/>
                <w:sz w:val="18"/>
                <w:szCs w:val="18"/>
              </w:rPr>
              <w:t>SO ORP</w:t>
            </w:r>
          </w:p>
        </w:tc>
        <w:tc>
          <w:tcPr>
            <w:tcW w:w="2112" w:type="pct"/>
            <w:gridSpan w:val="3"/>
            <w:tcBorders>
              <w:top w:val="single" w:sz="4" w:space="0" w:color="auto"/>
              <w:left w:val="nil"/>
              <w:bottom w:val="single" w:sz="4" w:space="0" w:color="auto"/>
              <w:right w:val="single" w:sz="4" w:space="0" w:color="auto"/>
            </w:tcBorders>
            <w:shd w:val="clear" w:color="000000" w:fill="F2F2F2"/>
            <w:noWrap/>
            <w:vAlign w:val="center"/>
            <w:hideMark/>
          </w:tcPr>
          <w:p w:rsidR="00E07890" w:rsidRPr="0039748C" w:rsidRDefault="00E07890" w:rsidP="00E07890">
            <w:pPr>
              <w:keepNext/>
              <w:spacing w:before="0"/>
              <w:jc w:val="center"/>
              <w:rPr>
                <w:b/>
                <w:bCs/>
                <w:sz w:val="18"/>
                <w:szCs w:val="18"/>
              </w:rPr>
            </w:pPr>
            <w:r w:rsidRPr="0039748C">
              <w:rPr>
                <w:b/>
                <w:bCs/>
                <w:sz w:val="18"/>
                <w:szCs w:val="18"/>
              </w:rPr>
              <w:t>Podíl osob do 18 let</w:t>
            </w:r>
          </w:p>
        </w:tc>
        <w:tc>
          <w:tcPr>
            <w:tcW w:w="84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07890" w:rsidRPr="0039748C" w:rsidRDefault="00E07890" w:rsidP="00E07890">
            <w:pPr>
              <w:keepNext/>
              <w:spacing w:before="0"/>
              <w:jc w:val="center"/>
              <w:rPr>
                <w:b/>
                <w:bCs/>
                <w:sz w:val="18"/>
                <w:szCs w:val="18"/>
              </w:rPr>
            </w:pPr>
            <w:r w:rsidRPr="0039748C">
              <w:rPr>
                <w:b/>
                <w:bCs/>
                <w:sz w:val="18"/>
                <w:szCs w:val="18"/>
              </w:rPr>
              <w:t>Relativní změna k roku 2032</w:t>
            </w:r>
          </w:p>
        </w:tc>
      </w:tr>
      <w:tr w:rsidR="00E07890" w:rsidRPr="0039748C" w:rsidTr="002E64D7">
        <w:trPr>
          <w:trHeight w:val="20"/>
          <w:tblHeader/>
        </w:trPr>
        <w:tc>
          <w:tcPr>
            <w:tcW w:w="2047" w:type="pct"/>
            <w:vMerge/>
            <w:tcBorders>
              <w:top w:val="single" w:sz="4" w:space="0" w:color="auto"/>
              <w:left w:val="single" w:sz="4" w:space="0" w:color="auto"/>
              <w:bottom w:val="single" w:sz="4" w:space="0" w:color="auto"/>
              <w:right w:val="single" w:sz="4" w:space="0" w:color="auto"/>
            </w:tcBorders>
            <w:vAlign w:val="center"/>
            <w:hideMark/>
          </w:tcPr>
          <w:p w:rsidR="00E07890" w:rsidRPr="0039748C" w:rsidRDefault="00E07890" w:rsidP="00E07890">
            <w:pPr>
              <w:keepNext/>
              <w:spacing w:before="0"/>
              <w:rPr>
                <w:b/>
                <w:bCs/>
                <w:sz w:val="18"/>
                <w:szCs w:val="18"/>
              </w:rPr>
            </w:pPr>
          </w:p>
        </w:tc>
        <w:tc>
          <w:tcPr>
            <w:tcW w:w="704" w:type="pct"/>
            <w:tcBorders>
              <w:top w:val="nil"/>
              <w:left w:val="nil"/>
              <w:bottom w:val="single" w:sz="4" w:space="0" w:color="auto"/>
              <w:right w:val="single" w:sz="4" w:space="0" w:color="auto"/>
            </w:tcBorders>
            <w:shd w:val="clear" w:color="000000" w:fill="F2F2F2"/>
            <w:noWrap/>
            <w:vAlign w:val="center"/>
            <w:hideMark/>
          </w:tcPr>
          <w:p w:rsidR="00E07890" w:rsidRPr="0039748C" w:rsidRDefault="00E07890" w:rsidP="00E07890">
            <w:pPr>
              <w:keepNext/>
              <w:spacing w:before="0"/>
              <w:rPr>
                <w:b/>
                <w:bCs/>
                <w:sz w:val="18"/>
                <w:szCs w:val="18"/>
              </w:rPr>
            </w:pPr>
            <w:r w:rsidRPr="0039748C">
              <w:rPr>
                <w:b/>
                <w:bCs/>
                <w:sz w:val="18"/>
                <w:szCs w:val="18"/>
              </w:rPr>
              <w:t>2012</w:t>
            </w:r>
          </w:p>
        </w:tc>
        <w:tc>
          <w:tcPr>
            <w:tcW w:w="704" w:type="pct"/>
            <w:tcBorders>
              <w:top w:val="nil"/>
              <w:left w:val="nil"/>
              <w:bottom w:val="single" w:sz="4" w:space="0" w:color="auto"/>
              <w:right w:val="single" w:sz="4" w:space="0" w:color="auto"/>
            </w:tcBorders>
            <w:shd w:val="clear" w:color="000000" w:fill="F2F2F2"/>
            <w:noWrap/>
            <w:vAlign w:val="center"/>
            <w:hideMark/>
          </w:tcPr>
          <w:p w:rsidR="00E07890" w:rsidRPr="0039748C" w:rsidRDefault="00E07890" w:rsidP="00E07890">
            <w:pPr>
              <w:keepNext/>
              <w:spacing w:before="0"/>
              <w:rPr>
                <w:b/>
                <w:bCs/>
                <w:sz w:val="18"/>
                <w:szCs w:val="18"/>
              </w:rPr>
            </w:pPr>
            <w:r w:rsidRPr="0039748C">
              <w:rPr>
                <w:b/>
                <w:bCs/>
                <w:sz w:val="18"/>
                <w:szCs w:val="18"/>
              </w:rPr>
              <w:t>2022</w:t>
            </w:r>
          </w:p>
        </w:tc>
        <w:tc>
          <w:tcPr>
            <w:tcW w:w="704" w:type="pct"/>
            <w:tcBorders>
              <w:top w:val="nil"/>
              <w:left w:val="nil"/>
              <w:bottom w:val="single" w:sz="4" w:space="0" w:color="auto"/>
              <w:right w:val="single" w:sz="4" w:space="0" w:color="auto"/>
            </w:tcBorders>
            <w:shd w:val="clear" w:color="000000" w:fill="F2F2F2"/>
            <w:noWrap/>
            <w:vAlign w:val="center"/>
            <w:hideMark/>
          </w:tcPr>
          <w:p w:rsidR="00E07890" w:rsidRPr="0039748C" w:rsidRDefault="00E07890" w:rsidP="00E07890">
            <w:pPr>
              <w:keepNext/>
              <w:spacing w:before="0"/>
              <w:rPr>
                <w:b/>
                <w:bCs/>
                <w:sz w:val="18"/>
                <w:szCs w:val="18"/>
              </w:rPr>
            </w:pPr>
            <w:r w:rsidRPr="0039748C">
              <w:rPr>
                <w:b/>
                <w:bCs/>
                <w:sz w:val="18"/>
                <w:szCs w:val="18"/>
              </w:rPr>
              <w:t>2032</w:t>
            </w: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E07890" w:rsidRPr="0039748C" w:rsidRDefault="00E07890" w:rsidP="00E07890">
            <w:pPr>
              <w:keepNext/>
              <w:spacing w:before="0"/>
              <w:rPr>
                <w:b/>
                <w:bCs/>
                <w:sz w:val="18"/>
                <w:szCs w:val="18"/>
              </w:rPr>
            </w:pP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Olomouc</w:t>
            </w:r>
          </w:p>
        </w:tc>
        <w:tc>
          <w:tcPr>
            <w:tcW w:w="704" w:type="pct"/>
            <w:tcBorders>
              <w:top w:val="nil"/>
              <w:left w:val="single" w:sz="4" w:space="0" w:color="auto"/>
              <w:bottom w:val="single" w:sz="4" w:space="0" w:color="auto"/>
              <w:right w:val="single" w:sz="4" w:space="0" w:color="auto"/>
            </w:tcBorders>
            <w:shd w:val="clear" w:color="000000" w:fill="BFD1E9"/>
            <w:noWrap/>
            <w:vAlign w:val="bottom"/>
            <w:hideMark/>
          </w:tcPr>
          <w:p w:rsidR="00E07890" w:rsidRPr="0039748C" w:rsidRDefault="00E07890" w:rsidP="00E07890">
            <w:pPr>
              <w:spacing w:before="0"/>
              <w:rPr>
                <w:sz w:val="18"/>
                <w:szCs w:val="18"/>
              </w:rPr>
            </w:pPr>
            <w:r w:rsidRPr="0039748C">
              <w:rPr>
                <w:sz w:val="18"/>
                <w:szCs w:val="18"/>
              </w:rPr>
              <w:t>18,5 %</w:t>
            </w:r>
          </w:p>
        </w:tc>
        <w:tc>
          <w:tcPr>
            <w:tcW w:w="704" w:type="pct"/>
            <w:tcBorders>
              <w:top w:val="nil"/>
              <w:left w:val="single" w:sz="4" w:space="0" w:color="auto"/>
              <w:bottom w:val="single" w:sz="4" w:space="0" w:color="auto"/>
              <w:right w:val="single" w:sz="4" w:space="0" w:color="auto"/>
            </w:tcBorders>
            <w:shd w:val="clear" w:color="000000" w:fill="F8696B"/>
            <w:noWrap/>
            <w:vAlign w:val="bottom"/>
            <w:hideMark/>
          </w:tcPr>
          <w:p w:rsidR="00E07890" w:rsidRPr="0039748C" w:rsidRDefault="00E07890" w:rsidP="00E07890">
            <w:pPr>
              <w:spacing w:before="0"/>
              <w:rPr>
                <w:sz w:val="18"/>
                <w:szCs w:val="18"/>
              </w:rPr>
            </w:pPr>
            <w:r w:rsidRPr="0039748C">
              <w:rPr>
                <w:sz w:val="18"/>
                <w:szCs w:val="18"/>
              </w:rPr>
              <w:t>20,7 %</w:t>
            </w:r>
          </w:p>
        </w:tc>
        <w:tc>
          <w:tcPr>
            <w:tcW w:w="704" w:type="pct"/>
            <w:tcBorders>
              <w:top w:val="nil"/>
              <w:left w:val="single" w:sz="4" w:space="0" w:color="auto"/>
              <w:bottom w:val="single" w:sz="4" w:space="0" w:color="auto"/>
              <w:right w:val="single" w:sz="4" w:space="0" w:color="auto"/>
            </w:tcBorders>
            <w:shd w:val="clear" w:color="000000" w:fill="FA989A"/>
            <w:noWrap/>
            <w:vAlign w:val="bottom"/>
            <w:hideMark/>
          </w:tcPr>
          <w:p w:rsidR="00E07890" w:rsidRPr="0039748C" w:rsidRDefault="00E07890" w:rsidP="00E07890">
            <w:pPr>
              <w:spacing w:before="0"/>
              <w:rPr>
                <w:sz w:val="18"/>
                <w:szCs w:val="18"/>
              </w:rPr>
            </w:pPr>
            <w:r w:rsidRPr="0039748C">
              <w:rPr>
                <w:sz w:val="18"/>
                <w:szCs w:val="18"/>
              </w:rPr>
              <w:t>20,2 %</w:t>
            </w:r>
          </w:p>
        </w:tc>
        <w:tc>
          <w:tcPr>
            <w:tcW w:w="841" w:type="pct"/>
            <w:tcBorders>
              <w:top w:val="single" w:sz="4" w:space="0" w:color="auto"/>
              <w:left w:val="single" w:sz="4" w:space="0" w:color="auto"/>
              <w:bottom w:val="single" w:sz="4" w:space="0" w:color="auto"/>
              <w:right w:val="single" w:sz="4" w:space="0" w:color="auto"/>
            </w:tcBorders>
            <w:shd w:val="clear" w:color="000000" w:fill="DCEFE3"/>
            <w:noWrap/>
            <w:vAlign w:val="bottom"/>
            <w:hideMark/>
          </w:tcPr>
          <w:p w:rsidR="00E07890" w:rsidRPr="0039748C" w:rsidRDefault="00E07890" w:rsidP="00E07890">
            <w:pPr>
              <w:spacing w:before="0"/>
              <w:rPr>
                <w:sz w:val="18"/>
                <w:szCs w:val="18"/>
              </w:rPr>
            </w:pPr>
            <w:r w:rsidRPr="0039748C">
              <w:rPr>
                <w:sz w:val="18"/>
                <w:szCs w:val="18"/>
              </w:rPr>
              <w:t>-0,5 %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Zábřeh</w:t>
            </w:r>
          </w:p>
        </w:tc>
        <w:tc>
          <w:tcPr>
            <w:tcW w:w="704" w:type="pct"/>
            <w:tcBorders>
              <w:top w:val="nil"/>
              <w:left w:val="single" w:sz="4" w:space="0" w:color="auto"/>
              <w:bottom w:val="single" w:sz="4" w:space="0" w:color="auto"/>
              <w:right w:val="single" w:sz="4" w:space="0" w:color="auto"/>
            </w:tcBorders>
            <w:shd w:val="clear" w:color="000000" w:fill="FCF2F5"/>
            <w:noWrap/>
            <w:vAlign w:val="bottom"/>
            <w:hideMark/>
          </w:tcPr>
          <w:p w:rsidR="00E07890" w:rsidRPr="0039748C" w:rsidRDefault="00E07890" w:rsidP="00E07890">
            <w:pPr>
              <w:spacing w:before="0"/>
              <w:rPr>
                <w:sz w:val="18"/>
                <w:szCs w:val="18"/>
              </w:rPr>
            </w:pPr>
            <w:r w:rsidRPr="0039748C">
              <w:rPr>
                <w:sz w:val="18"/>
                <w:szCs w:val="18"/>
              </w:rPr>
              <w:t>19,1 %</w:t>
            </w:r>
          </w:p>
        </w:tc>
        <w:tc>
          <w:tcPr>
            <w:tcW w:w="704" w:type="pct"/>
            <w:tcBorders>
              <w:top w:val="nil"/>
              <w:left w:val="single" w:sz="4" w:space="0" w:color="auto"/>
              <w:bottom w:val="single" w:sz="4" w:space="0" w:color="auto"/>
              <w:right w:val="single" w:sz="4" w:space="0" w:color="auto"/>
            </w:tcBorders>
            <w:shd w:val="clear" w:color="000000" w:fill="FAA9AB"/>
            <w:noWrap/>
            <w:vAlign w:val="bottom"/>
            <w:hideMark/>
          </w:tcPr>
          <w:p w:rsidR="00E07890" w:rsidRPr="0039748C" w:rsidRDefault="00E07890" w:rsidP="00E07890">
            <w:pPr>
              <w:spacing w:before="0"/>
              <w:rPr>
                <w:sz w:val="18"/>
                <w:szCs w:val="18"/>
              </w:rPr>
            </w:pPr>
            <w:r w:rsidRPr="0039748C">
              <w:rPr>
                <w:sz w:val="18"/>
                <w:szCs w:val="18"/>
              </w:rPr>
              <w:t>20,0 %</w:t>
            </w:r>
          </w:p>
        </w:tc>
        <w:tc>
          <w:tcPr>
            <w:tcW w:w="704" w:type="pct"/>
            <w:tcBorders>
              <w:top w:val="nil"/>
              <w:left w:val="single" w:sz="4" w:space="0" w:color="auto"/>
              <w:bottom w:val="single" w:sz="4" w:space="0" w:color="auto"/>
              <w:right w:val="single" w:sz="4" w:space="0" w:color="auto"/>
            </w:tcBorders>
            <w:shd w:val="clear" w:color="000000" w:fill="FBC7CA"/>
            <w:noWrap/>
            <w:vAlign w:val="bottom"/>
            <w:hideMark/>
          </w:tcPr>
          <w:p w:rsidR="00E07890" w:rsidRPr="0039748C" w:rsidRDefault="00E07890" w:rsidP="00E07890">
            <w:pPr>
              <w:spacing w:before="0"/>
              <w:rPr>
                <w:sz w:val="18"/>
                <w:szCs w:val="18"/>
              </w:rPr>
            </w:pPr>
            <w:r w:rsidRPr="0039748C">
              <w:rPr>
                <w:sz w:val="18"/>
                <w:szCs w:val="18"/>
              </w:rPr>
              <w:t>19,6 %</w:t>
            </w:r>
          </w:p>
        </w:tc>
        <w:tc>
          <w:tcPr>
            <w:tcW w:w="841" w:type="pct"/>
            <w:tcBorders>
              <w:top w:val="single" w:sz="4" w:space="0" w:color="auto"/>
              <w:left w:val="single" w:sz="4" w:space="0" w:color="auto"/>
              <w:bottom w:val="single" w:sz="4" w:space="0" w:color="auto"/>
              <w:right w:val="single" w:sz="4" w:space="0" w:color="auto"/>
            </w:tcBorders>
            <w:shd w:val="clear" w:color="000000" w:fill="BCE3C8"/>
            <w:noWrap/>
            <w:vAlign w:val="bottom"/>
            <w:hideMark/>
          </w:tcPr>
          <w:p w:rsidR="00E07890" w:rsidRPr="0039748C" w:rsidRDefault="00E07890" w:rsidP="00E07890">
            <w:pPr>
              <w:spacing w:before="0"/>
              <w:rPr>
                <w:sz w:val="18"/>
                <w:szCs w:val="18"/>
              </w:rPr>
            </w:pPr>
            <w:r w:rsidRPr="0039748C">
              <w:rPr>
                <w:sz w:val="18"/>
                <w:szCs w:val="18"/>
              </w:rPr>
              <w:t>-0,3 %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Litovel</w:t>
            </w:r>
          </w:p>
        </w:tc>
        <w:tc>
          <w:tcPr>
            <w:tcW w:w="704" w:type="pct"/>
            <w:tcBorders>
              <w:top w:val="nil"/>
              <w:left w:val="single" w:sz="4" w:space="0" w:color="auto"/>
              <w:bottom w:val="single" w:sz="4" w:space="0" w:color="auto"/>
              <w:right w:val="single" w:sz="4" w:space="0" w:color="auto"/>
            </w:tcBorders>
            <w:shd w:val="clear" w:color="000000" w:fill="DFE7F4"/>
            <w:noWrap/>
            <w:vAlign w:val="bottom"/>
            <w:hideMark/>
          </w:tcPr>
          <w:p w:rsidR="00E07890" w:rsidRPr="0039748C" w:rsidRDefault="00E07890" w:rsidP="00E07890">
            <w:pPr>
              <w:spacing w:before="0"/>
              <w:rPr>
                <w:sz w:val="18"/>
                <w:szCs w:val="18"/>
              </w:rPr>
            </w:pPr>
            <w:r w:rsidRPr="0039748C">
              <w:rPr>
                <w:sz w:val="18"/>
                <w:szCs w:val="18"/>
              </w:rPr>
              <w:t>18,8 %</w:t>
            </w:r>
          </w:p>
        </w:tc>
        <w:tc>
          <w:tcPr>
            <w:tcW w:w="704" w:type="pct"/>
            <w:tcBorders>
              <w:top w:val="nil"/>
              <w:left w:val="single" w:sz="4" w:space="0" w:color="auto"/>
              <w:bottom w:val="single" w:sz="4" w:space="0" w:color="auto"/>
              <w:right w:val="single" w:sz="4" w:space="0" w:color="auto"/>
            </w:tcBorders>
            <w:shd w:val="clear" w:color="000000" w:fill="FAABAD"/>
            <w:noWrap/>
            <w:vAlign w:val="bottom"/>
            <w:hideMark/>
          </w:tcPr>
          <w:p w:rsidR="00E07890" w:rsidRPr="0039748C" w:rsidRDefault="00E07890" w:rsidP="00E07890">
            <w:pPr>
              <w:spacing w:before="0"/>
              <w:rPr>
                <w:sz w:val="18"/>
                <w:szCs w:val="18"/>
              </w:rPr>
            </w:pPr>
            <w:r w:rsidRPr="0039748C">
              <w:rPr>
                <w:sz w:val="18"/>
                <w:szCs w:val="18"/>
              </w:rPr>
              <w:t>19,9 %</w:t>
            </w:r>
          </w:p>
        </w:tc>
        <w:tc>
          <w:tcPr>
            <w:tcW w:w="704" w:type="pct"/>
            <w:tcBorders>
              <w:top w:val="nil"/>
              <w:left w:val="single" w:sz="4" w:space="0" w:color="auto"/>
              <w:bottom w:val="single" w:sz="4" w:space="0" w:color="auto"/>
              <w:right w:val="single" w:sz="4" w:space="0" w:color="auto"/>
            </w:tcBorders>
            <w:shd w:val="clear" w:color="000000" w:fill="FBC9CC"/>
            <w:noWrap/>
            <w:vAlign w:val="bottom"/>
            <w:hideMark/>
          </w:tcPr>
          <w:p w:rsidR="00E07890" w:rsidRPr="0039748C" w:rsidRDefault="00E07890" w:rsidP="00E07890">
            <w:pPr>
              <w:spacing w:before="0"/>
              <w:rPr>
                <w:sz w:val="18"/>
                <w:szCs w:val="18"/>
              </w:rPr>
            </w:pPr>
            <w:r w:rsidRPr="0039748C">
              <w:rPr>
                <w:sz w:val="18"/>
                <w:szCs w:val="18"/>
              </w:rPr>
              <w:t>19,6 %</w:t>
            </w:r>
          </w:p>
        </w:tc>
        <w:tc>
          <w:tcPr>
            <w:tcW w:w="841" w:type="pct"/>
            <w:tcBorders>
              <w:top w:val="single" w:sz="4" w:space="0" w:color="auto"/>
              <w:left w:val="single" w:sz="4" w:space="0" w:color="auto"/>
              <w:bottom w:val="single" w:sz="4" w:space="0" w:color="auto"/>
              <w:right w:val="single" w:sz="4" w:space="0" w:color="auto"/>
            </w:tcBorders>
            <w:shd w:val="clear" w:color="000000" w:fill="BCE2C8"/>
            <w:noWrap/>
            <w:vAlign w:val="bottom"/>
            <w:hideMark/>
          </w:tcPr>
          <w:p w:rsidR="00E07890" w:rsidRPr="0039748C" w:rsidRDefault="00E07890" w:rsidP="00E07890">
            <w:pPr>
              <w:spacing w:before="0"/>
              <w:rPr>
                <w:sz w:val="18"/>
                <w:szCs w:val="18"/>
              </w:rPr>
            </w:pPr>
            <w:r w:rsidRPr="0039748C">
              <w:rPr>
                <w:sz w:val="18"/>
                <w:szCs w:val="18"/>
              </w:rPr>
              <w:t>-0,3 %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Šternberk</w:t>
            </w:r>
          </w:p>
        </w:tc>
        <w:tc>
          <w:tcPr>
            <w:tcW w:w="704" w:type="pct"/>
            <w:tcBorders>
              <w:top w:val="nil"/>
              <w:left w:val="single" w:sz="4" w:space="0" w:color="auto"/>
              <w:bottom w:val="single" w:sz="4" w:space="0" w:color="auto"/>
              <w:right w:val="single" w:sz="4" w:space="0" w:color="auto"/>
            </w:tcBorders>
            <w:shd w:val="clear" w:color="000000" w:fill="F2F5FB"/>
            <w:noWrap/>
            <w:vAlign w:val="bottom"/>
            <w:hideMark/>
          </w:tcPr>
          <w:p w:rsidR="00E07890" w:rsidRPr="0039748C" w:rsidRDefault="00E07890" w:rsidP="00E07890">
            <w:pPr>
              <w:spacing w:before="0"/>
              <w:rPr>
                <w:sz w:val="18"/>
                <w:szCs w:val="18"/>
              </w:rPr>
            </w:pPr>
            <w:r w:rsidRPr="0039748C">
              <w:rPr>
                <w:sz w:val="18"/>
                <w:szCs w:val="18"/>
              </w:rPr>
              <w:t>18,9 %</w:t>
            </w:r>
          </w:p>
        </w:tc>
        <w:tc>
          <w:tcPr>
            <w:tcW w:w="704" w:type="pct"/>
            <w:tcBorders>
              <w:top w:val="nil"/>
              <w:left w:val="single" w:sz="4" w:space="0" w:color="auto"/>
              <w:bottom w:val="single" w:sz="4" w:space="0" w:color="auto"/>
              <w:right w:val="single" w:sz="4" w:space="0" w:color="auto"/>
            </w:tcBorders>
            <w:shd w:val="clear" w:color="000000" w:fill="FA9B9D"/>
            <w:noWrap/>
            <w:vAlign w:val="bottom"/>
            <w:hideMark/>
          </w:tcPr>
          <w:p w:rsidR="00E07890" w:rsidRPr="0039748C" w:rsidRDefault="00E07890" w:rsidP="00E07890">
            <w:pPr>
              <w:spacing w:before="0"/>
              <w:rPr>
                <w:sz w:val="18"/>
                <w:szCs w:val="18"/>
              </w:rPr>
            </w:pPr>
            <w:r w:rsidRPr="0039748C">
              <w:rPr>
                <w:sz w:val="18"/>
                <w:szCs w:val="18"/>
              </w:rPr>
              <w:t>20,1 %</w:t>
            </w:r>
          </w:p>
        </w:tc>
        <w:tc>
          <w:tcPr>
            <w:tcW w:w="704" w:type="pct"/>
            <w:tcBorders>
              <w:top w:val="nil"/>
              <w:left w:val="single" w:sz="4" w:space="0" w:color="auto"/>
              <w:bottom w:val="single" w:sz="4" w:space="0" w:color="auto"/>
              <w:right w:val="single" w:sz="4" w:space="0" w:color="auto"/>
            </w:tcBorders>
            <w:shd w:val="clear" w:color="000000" w:fill="FBD6D9"/>
            <w:noWrap/>
            <w:vAlign w:val="bottom"/>
            <w:hideMark/>
          </w:tcPr>
          <w:p w:rsidR="00E07890" w:rsidRPr="0039748C" w:rsidRDefault="00E07890" w:rsidP="00E07890">
            <w:pPr>
              <w:spacing w:before="0"/>
              <w:rPr>
                <w:sz w:val="18"/>
                <w:szCs w:val="18"/>
              </w:rPr>
            </w:pPr>
            <w:r w:rsidRPr="0039748C">
              <w:rPr>
                <w:sz w:val="18"/>
                <w:szCs w:val="18"/>
              </w:rPr>
              <w:t>19,5 %</w:t>
            </w:r>
          </w:p>
        </w:tc>
        <w:tc>
          <w:tcPr>
            <w:tcW w:w="841" w:type="pct"/>
            <w:tcBorders>
              <w:top w:val="single" w:sz="4" w:space="0" w:color="auto"/>
              <w:left w:val="single" w:sz="4" w:space="0" w:color="auto"/>
              <w:bottom w:val="single" w:sz="4" w:space="0" w:color="auto"/>
              <w:right w:val="single" w:sz="4" w:space="0" w:color="auto"/>
            </w:tcBorders>
            <w:shd w:val="clear" w:color="000000" w:fill="F4F9F8"/>
            <w:noWrap/>
            <w:vAlign w:val="bottom"/>
            <w:hideMark/>
          </w:tcPr>
          <w:p w:rsidR="00E07890" w:rsidRPr="0039748C" w:rsidRDefault="00E07890" w:rsidP="00E07890">
            <w:pPr>
              <w:spacing w:before="0"/>
              <w:rPr>
                <w:sz w:val="18"/>
                <w:szCs w:val="18"/>
              </w:rPr>
            </w:pPr>
            <w:r w:rsidRPr="0039748C">
              <w:rPr>
                <w:sz w:val="18"/>
                <w:szCs w:val="18"/>
              </w:rPr>
              <w:t>-0,7 %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Prostějov</w:t>
            </w:r>
          </w:p>
        </w:tc>
        <w:tc>
          <w:tcPr>
            <w:tcW w:w="704" w:type="pct"/>
            <w:tcBorders>
              <w:top w:val="nil"/>
              <w:left w:val="single" w:sz="4" w:space="0" w:color="auto"/>
              <w:bottom w:val="single" w:sz="4" w:space="0" w:color="auto"/>
              <w:right w:val="single" w:sz="4" w:space="0" w:color="auto"/>
            </w:tcBorders>
            <w:shd w:val="clear" w:color="000000" w:fill="E2EAF6"/>
            <w:noWrap/>
            <w:vAlign w:val="bottom"/>
            <w:hideMark/>
          </w:tcPr>
          <w:p w:rsidR="00E07890" w:rsidRPr="0039748C" w:rsidRDefault="00E07890" w:rsidP="00E07890">
            <w:pPr>
              <w:spacing w:before="0"/>
              <w:rPr>
                <w:sz w:val="18"/>
                <w:szCs w:val="18"/>
              </w:rPr>
            </w:pPr>
            <w:r w:rsidRPr="0039748C">
              <w:rPr>
                <w:sz w:val="18"/>
                <w:szCs w:val="18"/>
              </w:rPr>
              <w:t>18,8 %</w:t>
            </w:r>
          </w:p>
        </w:tc>
        <w:tc>
          <w:tcPr>
            <w:tcW w:w="704" w:type="pct"/>
            <w:tcBorders>
              <w:top w:val="nil"/>
              <w:left w:val="single" w:sz="4" w:space="0" w:color="auto"/>
              <w:bottom w:val="single" w:sz="4" w:space="0" w:color="auto"/>
              <w:right w:val="single" w:sz="4" w:space="0" w:color="auto"/>
            </w:tcBorders>
            <w:shd w:val="clear" w:color="000000" w:fill="FAA2A5"/>
            <w:noWrap/>
            <w:vAlign w:val="bottom"/>
            <w:hideMark/>
          </w:tcPr>
          <w:p w:rsidR="00E07890" w:rsidRPr="0039748C" w:rsidRDefault="00E07890" w:rsidP="00E07890">
            <w:pPr>
              <w:spacing w:before="0"/>
              <w:rPr>
                <w:sz w:val="18"/>
                <w:szCs w:val="18"/>
              </w:rPr>
            </w:pPr>
            <w:r w:rsidRPr="0039748C">
              <w:rPr>
                <w:sz w:val="18"/>
                <w:szCs w:val="18"/>
              </w:rPr>
              <w:t>20,0 %</w:t>
            </w:r>
          </w:p>
        </w:tc>
        <w:tc>
          <w:tcPr>
            <w:tcW w:w="704" w:type="pct"/>
            <w:tcBorders>
              <w:top w:val="nil"/>
              <w:left w:val="single" w:sz="4" w:space="0" w:color="auto"/>
              <w:bottom w:val="single" w:sz="4" w:space="0" w:color="auto"/>
              <w:right w:val="single" w:sz="4" w:space="0" w:color="auto"/>
            </w:tcBorders>
            <w:shd w:val="clear" w:color="000000" w:fill="FCDADD"/>
            <w:noWrap/>
            <w:vAlign w:val="bottom"/>
            <w:hideMark/>
          </w:tcPr>
          <w:p w:rsidR="00E07890" w:rsidRPr="0039748C" w:rsidRDefault="00E07890" w:rsidP="00E07890">
            <w:pPr>
              <w:spacing w:before="0"/>
              <w:rPr>
                <w:sz w:val="18"/>
                <w:szCs w:val="18"/>
              </w:rPr>
            </w:pPr>
            <w:r w:rsidRPr="0039748C">
              <w:rPr>
                <w:sz w:val="18"/>
                <w:szCs w:val="18"/>
              </w:rPr>
              <w:t>19,4 %</w:t>
            </w:r>
          </w:p>
        </w:tc>
        <w:tc>
          <w:tcPr>
            <w:tcW w:w="841" w:type="pct"/>
            <w:tcBorders>
              <w:top w:val="single" w:sz="4" w:space="0" w:color="auto"/>
              <w:left w:val="single" w:sz="4" w:space="0" w:color="auto"/>
              <w:bottom w:val="single" w:sz="4" w:space="0" w:color="auto"/>
              <w:right w:val="single" w:sz="4" w:space="0" w:color="auto"/>
            </w:tcBorders>
            <w:shd w:val="clear" w:color="000000" w:fill="EDF6F2"/>
            <w:noWrap/>
            <w:vAlign w:val="bottom"/>
            <w:hideMark/>
          </w:tcPr>
          <w:p w:rsidR="00E07890" w:rsidRPr="0039748C" w:rsidRDefault="00E07890" w:rsidP="00E07890">
            <w:pPr>
              <w:spacing w:before="0"/>
              <w:rPr>
                <w:sz w:val="18"/>
                <w:szCs w:val="18"/>
              </w:rPr>
            </w:pPr>
            <w:r w:rsidRPr="0039748C">
              <w:rPr>
                <w:sz w:val="18"/>
                <w:szCs w:val="18"/>
              </w:rPr>
              <w:t>-0,6 %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Mohelnice</w:t>
            </w:r>
          </w:p>
        </w:tc>
        <w:tc>
          <w:tcPr>
            <w:tcW w:w="704" w:type="pct"/>
            <w:tcBorders>
              <w:top w:val="nil"/>
              <w:left w:val="single" w:sz="4" w:space="0" w:color="auto"/>
              <w:bottom w:val="single" w:sz="4" w:space="0" w:color="auto"/>
              <w:right w:val="single" w:sz="4" w:space="0" w:color="auto"/>
            </w:tcBorders>
            <w:shd w:val="clear" w:color="000000" w:fill="B0C6E4"/>
            <w:noWrap/>
            <w:vAlign w:val="bottom"/>
            <w:hideMark/>
          </w:tcPr>
          <w:p w:rsidR="00E07890" w:rsidRPr="0039748C" w:rsidRDefault="00E07890" w:rsidP="00E07890">
            <w:pPr>
              <w:spacing w:before="0"/>
              <w:rPr>
                <w:sz w:val="18"/>
                <w:szCs w:val="18"/>
              </w:rPr>
            </w:pPr>
            <w:r w:rsidRPr="0039748C">
              <w:rPr>
                <w:sz w:val="18"/>
                <w:szCs w:val="18"/>
              </w:rPr>
              <w:t>18,4 %</w:t>
            </w:r>
          </w:p>
        </w:tc>
        <w:tc>
          <w:tcPr>
            <w:tcW w:w="704" w:type="pct"/>
            <w:tcBorders>
              <w:top w:val="nil"/>
              <w:left w:val="single" w:sz="4" w:space="0" w:color="auto"/>
              <w:bottom w:val="single" w:sz="4" w:space="0" w:color="auto"/>
              <w:right w:val="single" w:sz="4" w:space="0" w:color="auto"/>
            </w:tcBorders>
            <w:shd w:val="clear" w:color="000000" w:fill="FCF2F5"/>
            <w:noWrap/>
            <w:vAlign w:val="bottom"/>
            <w:hideMark/>
          </w:tcPr>
          <w:p w:rsidR="00E07890" w:rsidRPr="0039748C" w:rsidRDefault="00E07890" w:rsidP="00E07890">
            <w:pPr>
              <w:spacing w:before="0"/>
              <w:rPr>
                <w:sz w:val="18"/>
                <w:szCs w:val="18"/>
              </w:rPr>
            </w:pPr>
            <w:r w:rsidRPr="0039748C">
              <w:rPr>
                <w:sz w:val="18"/>
                <w:szCs w:val="18"/>
              </w:rPr>
              <w:t>19,1 %</w:t>
            </w:r>
          </w:p>
        </w:tc>
        <w:tc>
          <w:tcPr>
            <w:tcW w:w="704" w:type="pct"/>
            <w:tcBorders>
              <w:top w:val="nil"/>
              <w:left w:val="single" w:sz="4" w:space="0" w:color="auto"/>
              <w:bottom w:val="single" w:sz="4" w:space="0" w:color="auto"/>
              <w:right w:val="single" w:sz="4" w:space="0" w:color="auto"/>
            </w:tcBorders>
            <w:shd w:val="clear" w:color="000000" w:fill="FCEEF1"/>
            <w:noWrap/>
            <w:vAlign w:val="bottom"/>
            <w:hideMark/>
          </w:tcPr>
          <w:p w:rsidR="00E07890" w:rsidRPr="0039748C" w:rsidRDefault="00E07890" w:rsidP="00E07890">
            <w:pPr>
              <w:spacing w:before="0"/>
              <w:rPr>
                <w:sz w:val="18"/>
                <w:szCs w:val="18"/>
              </w:rPr>
            </w:pPr>
            <w:r w:rsidRPr="0039748C">
              <w:rPr>
                <w:sz w:val="18"/>
                <w:szCs w:val="18"/>
              </w:rPr>
              <w:t>19,2 %</w:t>
            </w:r>
          </w:p>
        </w:tc>
        <w:tc>
          <w:tcPr>
            <w:tcW w:w="841" w:type="pct"/>
            <w:tcBorders>
              <w:top w:val="single" w:sz="4" w:space="0" w:color="auto"/>
              <w:left w:val="single" w:sz="4" w:space="0" w:color="auto"/>
              <w:bottom w:val="single" w:sz="4" w:space="0" w:color="auto"/>
              <w:right w:val="single" w:sz="4" w:space="0" w:color="auto"/>
            </w:tcBorders>
            <w:shd w:val="clear" w:color="000000" w:fill="7AC88F"/>
            <w:noWrap/>
            <w:vAlign w:val="bottom"/>
            <w:hideMark/>
          </w:tcPr>
          <w:p w:rsidR="00E07890" w:rsidRPr="0039748C" w:rsidRDefault="00E07890" w:rsidP="00E07890">
            <w:pPr>
              <w:spacing w:before="0"/>
              <w:rPr>
                <w:sz w:val="18"/>
                <w:szCs w:val="18"/>
              </w:rPr>
            </w:pPr>
            <w:r w:rsidRPr="0039748C">
              <w:rPr>
                <w:sz w:val="18"/>
                <w:szCs w:val="18"/>
              </w:rPr>
              <w:t>0,1 %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Hranice</w:t>
            </w:r>
          </w:p>
        </w:tc>
        <w:tc>
          <w:tcPr>
            <w:tcW w:w="704" w:type="pct"/>
            <w:tcBorders>
              <w:top w:val="nil"/>
              <w:left w:val="single" w:sz="4" w:space="0" w:color="auto"/>
              <w:bottom w:val="single" w:sz="4" w:space="0" w:color="auto"/>
              <w:right w:val="single" w:sz="4" w:space="0" w:color="auto"/>
            </w:tcBorders>
            <w:shd w:val="clear" w:color="000000" w:fill="FBD3D6"/>
            <w:noWrap/>
            <w:vAlign w:val="bottom"/>
            <w:hideMark/>
          </w:tcPr>
          <w:p w:rsidR="00E07890" w:rsidRPr="0039748C" w:rsidRDefault="00E07890" w:rsidP="00E07890">
            <w:pPr>
              <w:spacing w:before="0"/>
              <w:rPr>
                <w:sz w:val="18"/>
                <w:szCs w:val="18"/>
              </w:rPr>
            </w:pPr>
            <w:r w:rsidRPr="0039748C">
              <w:rPr>
                <w:sz w:val="18"/>
                <w:szCs w:val="18"/>
              </w:rPr>
              <w:t>19,5 %</w:t>
            </w:r>
          </w:p>
        </w:tc>
        <w:tc>
          <w:tcPr>
            <w:tcW w:w="704" w:type="pct"/>
            <w:tcBorders>
              <w:top w:val="nil"/>
              <w:left w:val="single" w:sz="4" w:space="0" w:color="auto"/>
              <w:bottom w:val="single" w:sz="4" w:space="0" w:color="auto"/>
              <w:right w:val="single" w:sz="4" w:space="0" w:color="auto"/>
            </w:tcBorders>
            <w:shd w:val="clear" w:color="000000" w:fill="FCD8DB"/>
            <w:noWrap/>
            <w:vAlign w:val="bottom"/>
            <w:hideMark/>
          </w:tcPr>
          <w:p w:rsidR="00E07890" w:rsidRPr="0039748C" w:rsidRDefault="00E07890" w:rsidP="00E07890">
            <w:pPr>
              <w:spacing w:before="0"/>
              <w:rPr>
                <w:sz w:val="18"/>
                <w:szCs w:val="18"/>
              </w:rPr>
            </w:pPr>
            <w:r w:rsidRPr="0039748C">
              <w:rPr>
                <w:sz w:val="18"/>
                <w:szCs w:val="18"/>
              </w:rPr>
              <w:t>19,4 %</w:t>
            </w:r>
          </w:p>
        </w:tc>
        <w:tc>
          <w:tcPr>
            <w:tcW w:w="704" w:type="pct"/>
            <w:tcBorders>
              <w:top w:val="nil"/>
              <w:left w:val="single" w:sz="4" w:space="0" w:color="auto"/>
              <w:bottom w:val="single" w:sz="4" w:space="0" w:color="auto"/>
              <w:right w:val="single" w:sz="4" w:space="0" w:color="auto"/>
            </w:tcBorders>
            <w:shd w:val="clear" w:color="000000" w:fill="FCF6F9"/>
            <w:noWrap/>
            <w:vAlign w:val="bottom"/>
            <w:hideMark/>
          </w:tcPr>
          <w:p w:rsidR="00E07890" w:rsidRPr="0039748C" w:rsidRDefault="00E07890" w:rsidP="00E07890">
            <w:pPr>
              <w:spacing w:before="0"/>
              <w:rPr>
                <w:sz w:val="18"/>
                <w:szCs w:val="18"/>
              </w:rPr>
            </w:pPr>
            <w:r w:rsidRPr="0039748C">
              <w:rPr>
                <w:sz w:val="18"/>
                <w:szCs w:val="18"/>
              </w:rPr>
              <w:t>19,1 %</w:t>
            </w:r>
          </w:p>
        </w:tc>
        <w:tc>
          <w:tcPr>
            <w:tcW w:w="841" w:type="pct"/>
            <w:tcBorders>
              <w:top w:val="single" w:sz="4" w:space="0" w:color="auto"/>
              <w:left w:val="single" w:sz="4" w:space="0" w:color="auto"/>
              <w:bottom w:val="single" w:sz="4" w:space="0" w:color="auto"/>
              <w:right w:val="single" w:sz="4" w:space="0" w:color="auto"/>
            </w:tcBorders>
            <w:shd w:val="clear" w:color="000000" w:fill="BCE2C8"/>
            <w:noWrap/>
            <w:vAlign w:val="bottom"/>
            <w:hideMark/>
          </w:tcPr>
          <w:p w:rsidR="00E07890" w:rsidRPr="0039748C" w:rsidRDefault="00E07890" w:rsidP="00E07890">
            <w:pPr>
              <w:spacing w:before="0"/>
              <w:rPr>
                <w:sz w:val="18"/>
                <w:szCs w:val="18"/>
              </w:rPr>
            </w:pPr>
            <w:r w:rsidRPr="0039748C">
              <w:rPr>
                <w:sz w:val="18"/>
                <w:szCs w:val="18"/>
              </w:rPr>
              <w:t>-0,3 %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Uničov</w:t>
            </w:r>
          </w:p>
        </w:tc>
        <w:tc>
          <w:tcPr>
            <w:tcW w:w="704" w:type="pct"/>
            <w:tcBorders>
              <w:top w:val="nil"/>
              <w:left w:val="single" w:sz="4" w:space="0" w:color="auto"/>
              <w:bottom w:val="single" w:sz="4" w:space="0" w:color="auto"/>
              <w:right w:val="single" w:sz="4" w:space="0" w:color="auto"/>
            </w:tcBorders>
            <w:shd w:val="clear" w:color="000000" w:fill="D5E0F1"/>
            <w:noWrap/>
            <w:vAlign w:val="bottom"/>
            <w:hideMark/>
          </w:tcPr>
          <w:p w:rsidR="00E07890" w:rsidRPr="0039748C" w:rsidRDefault="00E07890" w:rsidP="00E07890">
            <w:pPr>
              <w:spacing w:before="0"/>
              <w:rPr>
                <w:sz w:val="18"/>
                <w:szCs w:val="18"/>
              </w:rPr>
            </w:pPr>
            <w:r w:rsidRPr="0039748C">
              <w:rPr>
                <w:sz w:val="18"/>
                <w:szCs w:val="18"/>
              </w:rPr>
              <w:t>18,7 %</w:t>
            </w:r>
          </w:p>
        </w:tc>
        <w:tc>
          <w:tcPr>
            <w:tcW w:w="704" w:type="pct"/>
            <w:tcBorders>
              <w:top w:val="nil"/>
              <w:left w:val="single" w:sz="4" w:space="0" w:color="auto"/>
              <w:bottom w:val="single" w:sz="4" w:space="0" w:color="auto"/>
              <w:right w:val="single" w:sz="4" w:space="0" w:color="auto"/>
            </w:tcBorders>
            <w:shd w:val="clear" w:color="000000" w:fill="FCF8FB"/>
            <w:noWrap/>
            <w:vAlign w:val="bottom"/>
            <w:hideMark/>
          </w:tcPr>
          <w:p w:rsidR="00E07890" w:rsidRPr="0039748C" w:rsidRDefault="00E07890" w:rsidP="00E07890">
            <w:pPr>
              <w:spacing w:before="0"/>
              <w:rPr>
                <w:sz w:val="18"/>
                <w:szCs w:val="18"/>
              </w:rPr>
            </w:pPr>
            <w:r w:rsidRPr="0039748C">
              <w:rPr>
                <w:sz w:val="18"/>
                <w:szCs w:val="18"/>
              </w:rPr>
              <w:t>19,1 %</w:t>
            </w:r>
          </w:p>
        </w:tc>
        <w:tc>
          <w:tcPr>
            <w:tcW w:w="704" w:type="pct"/>
            <w:tcBorders>
              <w:top w:val="nil"/>
              <w:left w:val="single" w:sz="4" w:space="0" w:color="auto"/>
              <w:bottom w:val="single" w:sz="4" w:space="0" w:color="auto"/>
              <w:right w:val="single" w:sz="4" w:space="0" w:color="auto"/>
            </w:tcBorders>
            <w:shd w:val="clear" w:color="000000" w:fill="F6F7FC"/>
            <w:noWrap/>
            <w:vAlign w:val="bottom"/>
            <w:hideMark/>
          </w:tcPr>
          <w:p w:rsidR="00E07890" w:rsidRPr="0039748C" w:rsidRDefault="00E07890" w:rsidP="00E07890">
            <w:pPr>
              <w:spacing w:before="0"/>
              <w:rPr>
                <w:sz w:val="18"/>
                <w:szCs w:val="18"/>
              </w:rPr>
            </w:pPr>
            <w:r w:rsidRPr="0039748C">
              <w:rPr>
                <w:sz w:val="18"/>
                <w:szCs w:val="18"/>
              </w:rPr>
              <w:t>19,0 %</w:t>
            </w:r>
          </w:p>
        </w:tc>
        <w:tc>
          <w:tcPr>
            <w:tcW w:w="841" w:type="pct"/>
            <w:tcBorders>
              <w:top w:val="single" w:sz="4" w:space="0" w:color="auto"/>
              <w:left w:val="single" w:sz="4" w:space="0" w:color="auto"/>
              <w:bottom w:val="single" w:sz="4" w:space="0" w:color="auto"/>
              <w:right w:val="single" w:sz="4" w:space="0" w:color="auto"/>
            </w:tcBorders>
            <w:shd w:val="clear" w:color="000000" w:fill="92D2A4"/>
            <w:noWrap/>
            <w:vAlign w:val="bottom"/>
            <w:hideMark/>
          </w:tcPr>
          <w:p w:rsidR="00E07890" w:rsidRPr="0039748C" w:rsidRDefault="00E07890" w:rsidP="00E07890">
            <w:pPr>
              <w:spacing w:before="0"/>
              <w:rPr>
                <w:sz w:val="18"/>
                <w:szCs w:val="18"/>
              </w:rPr>
            </w:pPr>
            <w:r w:rsidRPr="0039748C">
              <w:rPr>
                <w:sz w:val="18"/>
                <w:szCs w:val="18"/>
              </w:rPr>
              <w:t>-0,1 %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Lipník nad Bečvou</w:t>
            </w:r>
          </w:p>
        </w:tc>
        <w:tc>
          <w:tcPr>
            <w:tcW w:w="704" w:type="pct"/>
            <w:tcBorders>
              <w:top w:val="nil"/>
              <w:left w:val="single" w:sz="4" w:space="0" w:color="auto"/>
              <w:bottom w:val="single" w:sz="4" w:space="0" w:color="auto"/>
              <w:right w:val="single" w:sz="4" w:space="0" w:color="auto"/>
            </w:tcBorders>
            <w:shd w:val="clear" w:color="000000" w:fill="ECF0F9"/>
            <w:noWrap/>
            <w:vAlign w:val="bottom"/>
            <w:hideMark/>
          </w:tcPr>
          <w:p w:rsidR="00E07890" w:rsidRPr="0039748C" w:rsidRDefault="00E07890" w:rsidP="00E07890">
            <w:pPr>
              <w:spacing w:before="0"/>
              <w:rPr>
                <w:sz w:val="18"/>
                <w:szCs w:val="18"/>
              </w:rPr>
            </w:pPr>
            <w:r w:rsidRPr="0039748C">
              <w:rPr>
                <w:sz w:val="18"/>
                <w:szCs w:val="18"/>
              </w:rPr>
              <w:t>18,9 %</w:t>
            </w:r>
          </w:p>
        </w:tc>
        <w:tc>
          <w:tcPr>
            <w:tcW w:w="704" w:type="pct"/>
            <w:tcBorders>
              <w:top w:val="nil"/>
              <w:left w:val="single" w:sz="4" w:space="0" w:color="auto"/>
              <w:bottom w:val="single" w:sz="4" w:space="0" w:color="auto"/>
              <w:right w:val="single" w:sz="4" w:space="0" w:color="auto"/>
            </w:tcBorders>
            <w:shd w:val="clear" w:color="000000" w:fill="FBC5C8"/>
            <w:noWrap/>
            <w:vAlign w:val="bottom"/>
            <w:hideMark/>
          </w:tcPr>
          <w:p w:rsidR="00E07890" w:rsidRPr="0039748C" w:rsidRDefault="00E07890" w:rsidP="00E07890">
            <w:pPr>
              <w:spacing w:before="0"/>
              <w:rPr>
                <w:sz w:val="18"/>
                <w:szCs w:val="18"/>
              </w:rPr>
            </w:pPr>
            <w:r w:rsidRPr="0039748C">
              <w:rPr>
                <w:sz w:val="18"/>
                <w:szCs w:val="18"/>
              </w:rPr>
              <w:t>19,6 %</w:t>
            </w:r>
          </w:p>
        </w:tc>
        <w:tc>
          <w:tcPr>
            <w:tcW w:w="704" w:type="pct"/>
            <w:tcBorders>
              <w:top w:val="nil"/>
              <w:left w:val="single" w:sz="4" w:space="0" w:color="auto"/>
              <w:bottom w:val="single" w:sz="4" w:space="0" w:color="auto"/>
              <w:right w:val="single" w:sz="4" w:space="0" w:color="auto"/>
            </w:tcBorders>
            <w:shd w:val="clear" w:color="000000" w:fill="F0F3FA"/>
            <w:noWrap/>
            <w:vAlign w:val="bottom"/>
            <w:hideMark/>
          </w:tcPr>
          <w:p w:rsidR="00E07890" w:rsidRPr="0039748C" w:rsidRDefault="00E07890" w:rsidP="00E07890">
            <w:pPr>
              <w:spacing w:before="0"/>
              <w:rPr>
                <w:sz w:val="18"/>
                <w:szCs w:val="18"/>
              </w:rPr>
            </w:pPr>
            <w:r w:rsidRPr="0039748C">
              <w:rPr>
                <w:sz w:val="18"/>
                <w:szCs w:val="18"/>
              </w:rPr>
              <w:t>18,9 %</w:t>
            </w:r>
          </w:p>
        </w:tc>
        <w:tc>
          <w:tcPr>
            <w:tcW w:w="84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39748C" w:rsidRDefault="00E07890" w:rsidP="00E07890">
            <w:pPr>
              <w:spacing w:before="0"/>
              <w:rPr>
                <w:sz w:val="18"/>
                <w:szCs w:val="18"/>
              </w:rPr>
            </w:pPr>
            <w:r w:rsidRPr="0039748C">
              <w:rPr>
                <w:sz w:val="18"/>
                <w:szCs w:val="18"/>
              </w:rPr>
              <w:t>-0,7 %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Přerov</w:t>
            </w:r>
          </w:p>
        </w:tc>
        <w:tc>
          <w:tcPr>
            <w:tcW w:w="704" w:type="pct"/>
            <w:tcBorders>
              <w:top w:val="nil"/>
              <w:left w:val="single" w:sz="4" w:space="0" w:color="auto"/>
              <w:bottom w:val="single" w:sz="4" w:space="0" w:color="auto"/>
              <w:right w:val="single" w:sz="4" w:space="0" w:color="auto"/>
            </w:tcBorders>
            <w:shd w:val="clear" w:color="000000" w:fill="729ACE"/>
            <w:noWrap/>
            <w:vAlign w:val="bottom"/>
            <w:hideMark/>
          </w:tcPr>
          <w:p w:rsidR="00E07890" w:rsidRPr="0039748C" w:rsidRDefault="00E07890" w:rsidP="00E07890">
            <w:pPr>
              <w:spacing w:before="0"/>
              <w:rPr>
                <w:sz w:val="18"/>
                <w:szCs w:val="18"/>
              </w:rPr>
            </w:pPr>
            <w:r w:rsidRPr="0039748C">
              <w:rPr>
                <w:sz w:val="18"/>
                <w:szCs w:val="18"/>
              </w:rPr>
              <w:t>17,9 %</w:t>
            </w:r>
          </w:p>
        </w:tc>
        <w:tc>
          <w:tcPr>
            <w:tcW w:w="704" w:type="pct"/>
            <w:tcBorders>
              <w:top w:val="nil"/>
              <w:left w:val="single" w:sz="4" w:space="0" w:color="auto"/>
              <w:bottom w:val="single" w:sz="4" w:space="0" w:color="auto"/>
              <w:right w:val="single" w:sz="4" w:space="0" w:color="auto"/>
            </w:tcBorders>
            <w:shd w:val="clear" w:color="000000" w:fill="B6CBE6"/>
            <w:noWrap/>
            <w:vAlign w:val="bottom"/>
            <w:hideMark/>
          </w:tcPr>
          <w:p w:rsidR="00E07890" w:rsidRPr="0039748C" w:rsidRDefault="00E07890" w:rsidP="00E07890">
            <w:pPr>
              <w:spacing w:before="0"/>
              <w:rPr>
                <w:sz w:val="18"/>
                <w:szCs w:val="18"/>
              </w:rPr>
            </w:pPr>
            <w:r w:rsidRPr="0039748C">
              <w:rPr>
                <w:sz w:val="18"/>
                <w:szCs w:val="18"/>
              </w:rPr>
              <w:t>18,5 %</w:t>
            </w:r>
          </w:p>
        </w:tc>
        <w:tc>
          <w:tcPr>
            <w:tcW w:w="704" w:type="pct"/>
            <w:tcBorders>
              <w:top w:val="nil"/>
              <w:left w:val="single" w:sz="4" w:space="0" w:color="auto"/>
              <w:bottom w:val="single" w:sz="4" w:space="0" w:color="auto"/>
              <w:right w:val="single" w:sz="4" w:space="0" w:color="auto"/>
            </w:tcBorders>
            <w:shd w:val="clear" w:color="000000" w:fill="B4C9E5"/>
            <w:noWrap/>
            <w:vAlign w:val="bottom"/>
            <w:hideMark/>
          </w:tcPr>
          <w:p w:rsidR="00E07890" w:rsidRPr="0039748C" w:rsidRDefault="00E07890" w:rsidP="00E07890">
            <w:pPr>
              <w:spacing w:before="0"/>
              <w:rPr>
                <w:sz w:val="18"/>
                <w:szCs w:val="18"/>
              </w:rPr>
            </w:pPr>
            <w:r w:rsidRPr="0039748C">
              <w:rPr>
                <w:sz w:val="18"/>
                <w:szCs w:val="18"/>
              </w:rPr>
              <w:t>18,4 %</w:t>
            </w:r>
          </w:p>
        </w:tc>
        <w:tc>
          <w:tcPr>
            <w:tcW w:w="841" w:type="pct"/>
            <w:tcBorders>
              <w:top w:val="single" w:sz="4" w:space="0" w:color="auto"/>
              <w:left w:val="single" w:sz="4" w:space="0" w:color="auto"/>
              <w:bottom w:val="single" w:sz="4" w:space="0" w:color="auto"/>
              <w:right w:val="single" w:sz="4" w:space="0" w:color="auto"/>
            </w:tcBorders>
            <w:shd w:val="clear" w:color="000000" w:fill="85CC98"/>
            <w:noWrap/>
            <w:vAlign w:val="bottom"/>
            <w:hideMark/>
          </w:tcPr>
          <w:p w:rsidR="00E07890" w:rsidRPr="0039748C" w:rsidRDefault="00E07890" w:rsidP="00E07890">
            <w:pPr>
              <w:spacing w:before="0"/>
              <w:rPr>
                <w:sz w:val="18"/>
                <w:szCs w:val="18"/>
              </w:rPr>
            </w:pPr>
            <w:r w:rsidRPr="0039748C">
              <w:rPr>
                <w:sz w:val="18"/>
                <w:szCs w:val="18"/>
              </w:rPr>
              <w:t>0,0 %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Šumperk</w:t>
            </w:r>
          </w:p>
        </w:tc>
        <w:tc>
          <w:tcPr>
            <w:tcW w:w="704" w:type="pct"/>
            <w:tcBorders>
              <w:top w:val="nil"/>
              <w:left w:val="single" w:sz="4" w:space="0" w:color="auto"/>
              <w:bottom w:val="single" w:sz="4" w:space="0" w:color="auto"/>
              <w:right w:val="single" w:sz="4" w:space="0" w:color="auto"/>
            </w:tcBorders>
            <w:shd w:val="clear" w:color="000000" w:fill="DFE7F4"/>
            <w:noWrap/>
            <w:vAlign w:val="bottom"/>
            <w:hideMark/>
          </w:tcPr>
          <w:p w:rsidR="00E07890" w:rsidRPr="0039748C" w:rsidRDefault="00E07890" w:rsidP="00E07890">
            <w:pPr>
              <w:spacing w:before="0"/>
              <w:rPr>
                <w:sz w:val="18"/>
                <w:szCs w:val="18"/>
              </w:rPr>
            </w:pPr>
            <w:r w:rsidRPr="0039748C">
              <w:rPr>
                <w:sz w:val="18"/>
                <w:szCs w:val="18"/>
              </w:rPr>
              <w:t>18,8 %</w:t>
            </w:r>
          </w:p>
        </w:tc>
        <w:tc>
          <w:tcPr>
            <w:tcW w:w="704" w:type="pct"/>
            <w:tcBorders>
              <w:top w:val="nil"/>
              <w:left w:val="single" w:sz="4" w:space="0" w:color="auto"/>
              <w:bottom w:val="single" w:sz="4" w:space="0" w:color="auto"/>
              <w:right w:val="single" w:sz="4" w:space="0" w:color="auto"/>
            </w:tcBorders>
            <w:shd w:val="clear" w:color="000000" w:fill="FCF1F4"/>
            <w:noWrap/>
            <w:vAlign w:val="bottom"/>
            <w:hideMark/>
          </w:tcPr>
          <w:p w:rsidR="00E07890" w:rsidRPr="0039748C" w:rsidRDefault="00E07890" w:rsidP="00E07890">
            <w:pPr>
              <w:spacing w:before="0"/>
              <w:rPr>
                <w:sz w:val="18"/>
                <w:szCs w:val="18"/>
              </w:rPr>
            </w:pPr>
            <w:r w:rsidRPr="0039748C">
              <w:rPr>
                <w:sz w:val="18"/>
                <w:szCs w:val="18"/>
              </w:rPr>
              <w:t>19,1 %</w:t>
            </w:r>
          </w:p>
        </w:tc>
        <w:tc>
          <w:tcPr>
            <w:tcW w:w="704" w:type="pct"/>
            <w:tcBorders>
              <w:top w:val="nil"/>
              <w:left w:val="single" w:sz="4" w:space="0" w:color="auto"/>
              <w:bottom w:val="single" w:sz="4" w:space="0" w:color="auto"/>
              <w:right w:val="single" w:sz="4" w:space="0" w:color="auto"/>
            </w:tcBorders>
            <w:shd w:val="clear" w:color="000000" w:fill="B1C7E4"/>
            <w:noWrap/>
            <w:vAlign w:val="bottom"/>
            <w:hideMark/>
          </w:tcPr>
          <w:p w:rsidR="00E07890" w:rsidRPr="0039748C" w:rsidRDefault="00E07890" w:rsidP="00E07890">
            <w:pPr>
              <w:spacing w:before="0"/>
              <w:rPr>
                <w:sz w:val="18"/>
                <w:szCs w:val="18"/>
              </w:rPr>
            </w:pPr>
            <w:r w:rsidRPr="0039748C">
              <w:rPr>
                <w:sz w:val="18"/>
                <w:szCs w:val="18"/>
              </w:rPr>
              <w:t>18,4 %</w:t>
            </w:r>
          </w:p>
        </w:tc>
        <w:tc>
          <w:tcPr>
            <w:tcW w:w="84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39748C" w:rsidRDefault="00E07890" w:rsidP="00E07890">
            <w:pPr>
              <w:spacing w:before="0"/>
              <w:rPr>
                <w:sz w:val="18"/>
                <w:szCs w:val="18"/>
              </w:rPr>
            </w:pPr>
            <w:r w:rsidRPr="0039748C">
              <w:rPr>
                <w:sz w:val="18"/>
                <w:szCs w:val="18"/>
              </w:rPr>
              <w:t>-0,7 %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Konice</w:t>
            </w:r>
          </w:p>
        </w:tc>
        <w:tc>
          <w:tcPr>
            <w:tcW w:w="704" w:type="pct"/>
            <w:tcBorders>
              <w:top w:val="nil"/>
              <w:left w:val="single" w:sz="4" w:space="0" w:color="auto"/>
              <w:bottom w:val="single" w:sz="4" w:space="0" w:color="auto"/>
              <w:right w:val="single" w:sz="4" w:space="0" w:color="auto"/>
            </w:tcBorders>
            <w:shd w:val="clear" w:color="000000" w:fill="A4BEE0"/>
            <w:noWrap/>
            <w:vAlign w:val="bottom"/>
            <w:hideMark/>
          </w:tcPr>
          <w:p w:rsidR="00E07890" w:rsidRPr="0039748C" w:rsidRDefault="00E07890" w:rsidP="00E07890">
            <w:pPr>
              <w:spacing w:before="0"/>
              <w:rPr>
                <w:sz w:val="18"/>
                <w:szCs w:val="18"/>
              </w:rPr>
            </w:pPr>
            <w:r w:rsidRPr="0039748C">
              <w:rPr>
                <w:sz w:val="18"/>
                <w:szCs w:val="18"/>
              </w:rPr>
              <w:t>18,3 %</w:t>
            </w:r>
          </w:p>
        </w:tc>
        <w:tc>
          <w:tcPr>
            <w:tcW w:w="704" w:type="pct"/>
            <w:tcBorders>
              <w:top w:val="nil"/>
              <w:left w:val="single" w:sz="4" w:space="0" w:color="auto"/>
              <w:bottom w:val="single" w:sz="4" w:space="0" w:color="auto"/>
              <w:right w:val="single" w:sz="4" w:space="0" w:color="auto"/>
            </w:tcBorders>
            <w:shd w:val="clear" w:color="000000" w:fill="769ED0"/>
            <w:noWrap/>
            <w:vAlign w:val="bottom"/>
            <w:hideMark/>
          </w:tcPr>
          <w:p w:rsidR="00E07890" w:rsidRPr="0039748C" w:rsidRDefault="00E07890" w:rsidP="00E07890">
            <w:pPr>
              <w:spacing w:before="0"/>
              <w:rPr>
                <w:sz w:val="18"/>
                <w:szCs w:val="18"/>
              </w:rPr>
            </w:pPr>
            <w:r w:rsidRPr="0039748C">
              <w:rPr>
                <w:sz w:val="18"/>
                <w:szCs w:val="18"/>
              </w:rPr>
              <w:t>17,9 %</w:t>
            </w:r>
          </w:p>
        </w:tc>
        <w:tc>
          <w:tcPr>
            <w:tcW w:w="704" w:type="pct"/>
            <w:tcBorders>
              <w:top w:val="nil"/>
              <w:left w:val="single" w:sz="4" w:space="0" w:color="auto"/>
              <w:bottom w:val="single" w:sz="4" w:space="0" w:color="auto"/>
              <w:right w:val="single" w:sz="4" w:space="0" w:color="auto"/>
            </w:tcBorders>
            <w:shd w:val="clear" w:color="000000" w:fill="8DAED8"/>
            <w:noWrap/>
            <w:vAlign w:val="bottom"/>
            <w:hideMark/>
          </w:tcPr>
          <w:p w:rsidR="00E07890" w:rsidRPr="0039748C" w:rsidRDefault="00E07890" w:rsidP="00E07890">
            <w:pPr>
              <w:spacing w:before="0"/>
              <w:rPr>
                <w:sz w:val="18"/>
                <w:szCs w:val="18"/>
              </w:rPr>
            </w:pPr>
            <w:r w:rsidRPr="0039748C">
              <w:rPr>
                <w:sz w:val="18"/>
                <w:szCs w:val="18"/>
              </w:rPr>
              <w:t>18,1 %</w:t>
            </w:r>
          </w:p>
        </w:tc>
        <w:tc>
          <w:tcPr>
            <w:tcW w:w="841"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E07890" w:rsidRPr="0039748C" w:rsidRDefault="00E07890" w:rsidP="00E07890">
            <w:pPr>
              <w:spacing w:before="0"/>
              <w:rPr>
                <w:sz w:val="18"/>
                <w:szCs w:val="18"/>
              </w:rPr>
            </w:pPr>
            <w:r w:rsidRPr="0039748C">
              <w:rPr>
                <w:sz w:val="18"/>
                <w:szCs w:val="18"/>
              </w:rPr>
              <w:t>0,2 %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E07890" w:rsidP="00E07890">
            <w:pPr>
              <w:spacing w:before="0"/>
              <w:rPr>
                <w:sz w:val="18"/>
                <w:szCs w:val="18"/>
              </w:rPr>
            </w:pPr>
            <w:r w:rsidRPr="0039748C">
              <w:rPr>
                <w:sz w:val="18"/>
                <w:szCs w:val="18"/>
              </w:rPr>
              <w:t>SO ORP Jeseník</w:t>
            </w:r>
          </w:p>
        </w:tc>
        <w:tc>
          <w:tcPr>
            <w:tcW w:w="704" w:type="pct"/>
            <w:tcBorders>
              <w:top w:val="nil"/>
              <w:left w:val="single" w:sz="4" w:space="0" w:color="auto"/>
              <w:bottom w:val="single" w:sz="4" w:space="0" w:color="auto"/>
              <w:right w:val="single" w:sz="4" w:space="0" w:color="auto"/>
            </w:tcBorders>
            <w:shd w:val="clear" w:color="000000" w:fill="D5E0F1"/>
            <w:noWrap/>
            <w:vAlign w:val="bottom"/>
            <w:hideMark/>
          </w:tcPr>
          <w:p w:rsidR="00E07890" w:rsidRPr="0039748C" w:rsidRDefault="00E07890" w:rsidP="00E07890">
            <w:pPr>
              <w:spacing w:before="0"/>
              <w:rPr>
                <w:sz w:val="18"/>
                <w:szCs w:val="18"/>
              </w:rPr>
            </w:pPr>
            <w:r w:rsidRPr="0039748C">
              <w:rPr>
                <w:sz w:val="18"/>
                <w:szCs w:val="18"/>
              </w:rPr>
              <w:t>18,7 %</w:t>
            </w:r>
          </w:p>
        </w:tc>
        <w:tc>
          <w:tcPr>
            <w:tcW w:w="704" w:type="pct"/>
            <w:tcBorders>
              <w:top w:val="nil"/>
              <w:left w:val="single" w:sz="4" w:space="0" w:color="auto"/>
              <w:bottom w:val="single" w:sz="4" w:space="0" w:color="auto"/>
              <w:right w:val="single" w:sz="4" w:space="0" w:color="auto"/>
            </w:tcBorders>
            <w:shd w:val="clear" w:color="000000" w:fill="799FD0"/>
            <w:noWrap/>
            <w:vAlign w:val="bottom"/>
            <w:hideMark/>
          </w:tcPr>
          <w:p w:rsidR="00E07890" w:rsidRPr="0039748C" w:rsidRDefault="00E07890" w:rsidP="00E07890">
            <w:pPr>
              <w:spacing w:before="0"/>
              <w:rPr>
                <w:sz w:val="18"/>
                <w:szCs w:val="18"/>
              </w:rPr>
            </w:pPr>
            <w:r w:rsidRPr="0039748C">
              <w:rPr>
                <w:sz w:val="18"/>
                <w:szCs w:val="18"/>
              </w:rPr>
              <w:t>18,0 %</w:t>
            </w:r>
          </w:p>
        </w:tc>
        <w:tc>
          <w:tcPr>
            <w:tcW w:w="704" w:type="pct"/>
            <w:tcBorders>
              <w:top w:val="nil"/>
              <w:left w:val="single" w:sz="4" w:space="0" w:color="auto"/>
              <w:bottom w:val="single" w:sz="4" w:space="0" w:color="auto"/>
              <w:right w:val="single" w:sz="4" w:space="0" w:color="auto"/>
            </w:tcBorders>
            <w:shd w:val="clear" w:color="000000" w:fill="5A8AC6"/>
            <w:noWrap/>
            <w:vAlign w:val="bottom"/>
            <w:hideMark/>
          </w:tcPr>
          <w:p w:rsidR="00E07890" w:rsidRPr="0039748C" w:rsidRDefault="00E07890" w:rsidP="00E07890">
            <w:pPr>
              <w:spacing w:before="0"/>
              <w:rPr>
                <w:sz w:val="18"/>
                <w:szCs w:val="18"/>
              </w:rPr>
            </w:pPr>
            <w:r w:rsidRPr="0039748C">
              <w:rPr>
                <w:sz w:val="18"/>
                <w:szCs w:val="18"/>
              </w:rPr>
              <w:t>17,7 %</w:t>
            </w:r>
          </w:p>
        </w:tc>
        <w:tc>
          <w:tcPr>
            <w:tcW w:w="841" w:type="pct"/>
            <w:tcBorders>
              <w:top w:val="single" w:sz="4" w:space="0" w:color="auto"/>
              <w:left w:val="single" w:sz="4" w:space="0" w:color="auto"/>
              <w:bottom w:val="single" w:sz="4" w:space="0" w:color="auto"/>
              <w:right w:val="single" w:sz="4" w:space="0" w:color="auto"/>
            </w:tcBorders>
            <w:shd w:val="clear" w:color="000000" w:fill="ACDCBA"/>
            <w:noWrap/>
            <w:vAlign w:val="bottom"/>
            <w:hideMark/>
          </w:tcPr>
          <w:p w:rsidR="00E07890" w:rsidRPr="0039748C" w:rsidRDefault="00E07890" w:rsidP="00E07890">
            <w:pPr>
              <w:spacing w:before="0"/>
              <w:rPr>
                <w:sz w:val="18"/>
                <w:szCs w:val="18"/>
              </w:rPr>
            </w:pPr>
            <w:r w:rsidRPr="0039748C">
              <w:rPr>
                <w:sz w:val="18"/>
                <w:szCs w:val="18"/>
              </w:rPr>
              <w:t>-0,3 %</w:t>
            </w:r>
          </w:p>
        </w:tc>
      </w:tr>
      <w:tr w:rsidR="00E07890" w:rsidRPr="0039748C" w:rsidTr="002E64D7">
        <w:trPr>
          <w:trHeight w:val="20"/>
          <w:tblHeader/>
        </w:trPr>
        <w:tc>
          <w:tcPr>
            <w:tcW w:w="2047" w:type="pct"/>
            <w:tcBorders>
              <w:top w:val="nil"/>
              <w:left w:val="single" w:sz="4" w:space="0" w:color="auto"/>
              <w:bottom w:val="single" w:sz="4" w:space="0" w:color="auto"/>
              <w:right w:val="single" w:sz="4" w:space="0" w:color="auto"/>
            </w:tcBorders>
            <w:shd w:val="clear" w:color="auto" w:fill="auto"/>
            <w:vAlign w:val="center"/>
            <w:hideMark/>
          </w:tcPr>
          <w:p w:rsidR="00E07890" w:rsidRPr="0039748C" w:rsidRDefault="000C1309" w:rsidP="000C1309">
            <w:pPr>
              <w:spacing w:before="0"/>
              <w:rPr>
                <w:b/>
                <w:bCs/>
                <w:sz w:val="18"/>
                <w:szCs w:val="18"/>
              </w:rPr>
            </w:pPr>
            <w:proofErr w:type="gramStart"/>
            <w:r>
              <w:rPr>
                <w:b/>
                <w:bCs/>
                <w:sz w:val="18"/>
                <w:szCs w:val="18"/>
              </w:rPr>
              <w:t xml:space="preserve">Celkem </w:t>
            </w:r>
            <w:r w:rsidR="00E07890" w:rsidRPr="0039748C">
              <w:rPr>
                <w:b/>
                <w:bCs/>
                <w:sz w:val="18"/>
                <w:szCs w:val="18"/>
              </w:rPr>
              <w:t xml:space="preserve"> OK</w:t>
            </w:r>
            <w:proofErr w:type="gramEnd"/>
          </w:p>
        </w:tc>
        <w:tc>
          <w:tcPr>
            <w:tcW w:w="704" w:type="pct"/>
            <w:tcBorders>
              <w:top w:val="nil"/>
              <w:left w:val="single" w:sz="4" w:space="0" w:color="auto"/>
              <w:bottom w:val="single" w:sz="4" w:space="0" w:color="auto"/>
              <w:right w:val="single" w:sz="4" w:space="0" w:color="auto"/>
            </w:tcBorders>
            <w:shd w:val="clear" w:color="000000" w:fill="CEDBEE"/>
            <w:noWrap/>
            <w:vAlign w:val="bottom"/>
            <w:hideMark/>
          </w:tcPr>
          <w:p w:rsidR="00E07890" w:rsidRPr="0039748C" w:rsidRDefault="00E07890" w:rsidP="00E07890">
            <w:pPr>
              <w:spacing w:before="0"/>
              <w:rPr>
                <w:sz w:val="18"/>
                <w:szCs w:val="18"/>
              </w:rPr>
            </w:pPr>
            <w:r w:rsidRPr="0039748C">
              <w:rPr>
                <w:sz w:val="18"/>
                <w:szCs w:val="18"/>
              </w:rPr>
              <w:t>18,6 %</w:t>
            </w:r>
          </w:p>
        </w:tc>
        <w:tc>
          <w:tcPr>
            <w:tcW w:w="704" w:type="pct"/>
            <w:tcBorders>
              <w:top w:val="nil"/>
              <w:left w:val="single" w:sz="4" w:space="0" w:color="auto"/>
              <w:bottom w:val="single" w:sz="4" w:space="0" w:color="auto"/>
              <w:right w:val="single" w:sz="4" w:space="0" w:color="auto"/>
            </w:tcBorders>
            <w:shd w:val="clear" w:color="000000" w:fill="FBC5C7"/>
            <w:noWrap/>
            <w:vAlign w:val="bottom"/>
            <w:hideMark/>
          </w:tcPr>
          <w:p w:rsidR="00E07890" w:rsidRPr="0039748C" w:rsidRDefault="00E07890" w:rsidP="00E07890">
            <w:pPr>
              <w:spacing w:before="0"/>
              <w:rPr>
                <w:sz w:val="18"/>
                <w:szCs w:val="18"/>
              </w:rPr>
            </w:pPr>
            <w:r w:rsidRPr="0039748C">
              <w:rPr>
                <w:sz w:val="18"/>
                <w:szCs w:val="18"/>
              </w:rPr>
              <w:t>19,7 %</w:t>
            </w:r>
          </w:p>
        </w:tc>
        <w:tc>
          <w:tcPr>
            <w:tcW w:w="704" w:type="pct"/>
            <w:tcBorders>
              <w:top w:val="nil"/>
              <w:left w:val="single" w:sz="4" w:space="0" w:color="auto"/>
              <w:bottom w:val="single" w:sz="4" w:space="0" w:color="auto"/>
              <w:right w:val="single" w:sz="4" w:space="0" w:color="auto"/>
            </w:tcBorders>
            <w:shd w:val="clear" w:color="000000" w:fill="FCEAEC"/>
            <w:noWrap/>
            <w:vAlign w:val="bottom"/>
            <w:hideMark/>
          </w:tcPr>
          <w:p w:rsidR="00E07890" w:rsidRPr="0039748C" w:rsidRDefault="00E07890" w:rsidP="00E07890">
            <w:pPr>
              <w:spacing w:before="0"/>
              <w:rPr>
                <w:sz w:val="18"/>
                <w:szCs w:val="18"/>
              </w:rPr>
            </w:pPr>
            <w:r w:rsidRPr="0039748C">
              <w:rPr>
                <w:sz w:val="18"/>
                <w:szCs w:val="18"/>
              </w:rPr>
              <w:t>19,2 %</w:t>
            </w:r>
          </w:p>
        </w:tc>
        <w:tc>
          <w:tcPr>
            <w:tcW w:w="841" w:type="pct"/>
            <w:tcBorders>
              <w:top w:val="single" w:sz="4" w:space="0" w:color="auto"/>
              <w:left w:val="single" w:sz="4" w:space="0" w:color="auto"/>
              <w:bottom w:val="single" w:sz="4" w:space="0" w:color="auto"/>
              <w:right w:val="single" w:sz="4" w:space="0" w:color="auto"/>
            </w:tcBorders>
            <w:shd w:val="clear" w:color="000000" w:fill="C9E8D3"/>
            <w:noWrap/>
            <w:vAlign w:val="bottom"/>
            <w:hideMark/>
          </w:tcPr>
          <w:p w:rsidR="00E07890" w:rsidRPr="0039748C" w:rsidRDefault="00E07890" w:rsidP="00E07890">
            <w:pPr>
              <w:spacing w:before="0"/>
              <w:rPr>
                <w:sz w:val="18"/>
                <w:szCs w:val="18"/>
              </w:rPr>
            </w:pPr>
            <w:r w:rsidRPr="0039748C">
              <w:rPr>
                <w:sz w:val="18"/>
                <w:szCs w:val="18"/>
              </w:rPr>
              <w:t>-0,4 %</w:t>
            </w:r>
          </w:p>
        </w:tc>
      </w:tr>
    </w:tbl>
    <w:p w:rsidR="00AF4350" w:rsidRPr="0039748C" w:rsidRDefault="00AF4350" w:rsidP="00E07890">
      <w:pPr>
        <w:pStyle w:val="Zdrojobjektu"/>
      </w:pPr>
      <w:r w:rsidRPr="0039748C">
        <w:t>Zdroj: ČSÚ, vlastní prognózy obyvatel pro jednotlivá SO ORP, data k 1. 1. daného roku, zpracování ACCENDO (2022)</w:t>
      </w:r>
    </w:p>
    <w:p w:rsidR="00AF4350" w:rsidRPr="0039748C" w:rsidRDefault="00AF4350" w:rsidP="00A34764">
      <w:pPr>
        <w:pStyle w:val="Nadpis3"/>
        <w:rPr>
          <w:rFonts w:eastAsia="Times New Roman"/>
        </w:rPr>
      </w:pPr>
      <w:bookmarkStart w:id="86" w:name="_Toc117606966"/>
      <w:r w:rsidRPr="0039748C">
        <w:rPr>
          <w:rFonts w:eastAsia="Times New Roman"/>
        </w:rPr>
        <w:t>Osoby se zdravotním postižením</w:t>
      </w:r>
      <w:bookmarkEnd w:id="86"/>
    </w:p>
    <w:p w:rsidR="00AF4350" w:rsidRPr="0039748C" w:rsidRDefault="00AF4350" w:rsidP="00A34764">
      <w:r w:rsidRPr="0039748C">
        <w:t>Z celkového objemu vyplacených příspěvků na péči bylo v roce 2020 v OK společně s Ústeckým krajem vypláceno nejvíce příspěvků určených pro osoby v I. stupni závislosti, tj. nad 30 %, podíl příspěvků pro osoby ve II. a III. st. závislosti je naopak oproti ostatním krajům nižší (30,3 %, resp. 24,1 %), podíl příspěvků pro osoby ve IV. st. závislosti (15,4 %) dosahuje v OK přibližně průměrné hodnoty za ČR (14,9 %). Zelené sloupce v tabulce představují procentuální rozložení osob s příspěvkem na péči podle věkové kategorie, údaje za OK odpovídají republikovému průměru (liší</w:t>
      </w:r>
      <w:r>
        <w:t xml:space="preserve"> se</w:t>
      </w:r>
      <w:r w:rsidRPr="0039748C">
        <w:t xml:space="preserve"> nejvíce o 1 %).</w:t>
      </w:r>
    </w:p>
    <w:p w:rsidR="00AF4350" w:rsidRPr="0039748C" w:rsidRDefault="00AF4350" w:rsidP="00E07890">
      <w:pPr>
        <w:pStyle w:val="popistabulkySPRSS2024"/>
      </w:pPr>
      <w:bookmarkStart w:id="87" w:name="_Toc117607076"/>
      <w:r w:rsidRPr="0039748C">
        <w:t xml:space="preserve">Tabulka </w:t>
      </w:r>
      <w:r w:rsidR="00412C70">
        <w:fldChar w:fldCharType="begin"/>
      </w:r>
      <w:r w:rsidR="00412C70">
        <w:instrText xml:space="preserve"> SEQ Tabulka \* ARABIC </w:instrText>
      </w:r>
      <w:r w:rsidR="00412C70">
        <w:fldChar w:fldCharType="separate"/>
      </w:r>
      <w:r w:rsidR="003A12AF">
        <w:rPr>
          <w:noProof/>
        </w:rPr>
        <w:t>16</w:t>
      </w:r>
      <w:r w:rsidR="00412C70">
        <w:rPr>
          <w:noProof/>
        </w:rPr>
        <w:fldChar w:fldCharType="end"/>
      </w:r>
      <w:r w:rsidRPr="003B04C2">
        <w:t xml:space="preserve">: </w:t>
      </w:r>
      <w:r w:rsidRPr="0039748C">
        <w:t>Příspěvek na péči podle stupně závislosti, věku a krajů v roce 2020</w:t>
      </w:r>
      <w:bookmarkEnd w:id="87"/>
    </w:p>
    <w:tbl>
      <w:tblPr>
        <w:tblW w:w="5000" w:type="pct"/>
        <w:tblCellMar>
          <w:left w:w="70" w:type="dxa"/>
          <w:right w:w="70" w:type="dxa"/>
        </w:tblCellMar>
        <w:tblLook w:val="04A0" w:firstRow="1" w:lastRow="0" w:firstColumn="1" w:lastColumn="0" w:noHBand="0" w:noVBand="1"/>
      </w:tblPr>
      <w:tblGrid>
        <w:gridCol w:w="1797"/>
        <w:gridCol w:w="783"/>
        <w:gridCol w:w="783"/>
        <w:gridCol w:w="783"/>
        <w:gridCol w:w="787"/>
        <w:gridCol w:w="826"/>
        <w:gridCol w:w="826"/>
        <w:gridCol w:w="826"/>
        <w:gridCol w:w="826"/>
        <w:gridCol w:w="825"/>
      </w:tblGrid>
      <w:tr w:rsidR="00E07890" w:rsidRPr="0039748C" w:rsidTr="00E07890">
        <w:trPr>
          <w:trHeight w:val="20"/>
        </w:trPr>
        <w:tc>
          <w:tcPr>
            <w:tcW w:w="991"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07890" w:rsidRPr="0039748C" w:rsidRDefault="00E07890" w:rsidP="00E07890">
            <w:pPr>
              <w:spacing w:before="0"/>
              <w:jc w:val="center"/>
              <w:rPr>
                <w:b/>
                <w:bCs/>
                <w:sz w:val="18"/>
                <w:szCs w:val="18"/>
              </w:rPr>
            </w:pPr>
            <w:r w:rsidRPr="0039748C">
              <w:rPr>
                <w:b/>
                <w:bCs/>
                <w:sz w:val="18"/>
                <w:szCs w:val="18"/>
              </w:rPr>
              <w:t>Kraj/ČR</w:t>
            </w:r>
          </w:p>
        </w:tc>
        <w:tc>
          <w:tcPr>
            <w:tcW w:w="1730" w:type="pct"/>
            <w:gridSpan w:val="4"/>
            <w:tcBorders>
              <w:top w:val="single" w:sz="4" w:space="0" w:color="auto"/>
              <w:left w:val="nil"/>
              <w:bottom w:val="single" w:sz="4" w:space="0" w:color="auto"/>
              <w:right w:val="single" w:sz="4" w:space="0" w:color="auto"/>
            </w:tcBorders>
            <w:shd w:val="clear" w:color="000000" w:fill="F2F2F2"/>
            <w:noWrap/>
            <w:vAlign w:val="center"/>
            <w:hideMark/>
          </w:tcPr>
          <w:p w:rsidR="00E07890" w:rsidRPr="0039748C" w:rsidRDefault="00E07890" w:rsidP="00E07890">
            <w:pPr>
              <w:spacing w:before="0"/>
              <w:jc w:val="center"/>
              <w:rPr>
                <w:b/>
                <w:bCs/>
                <w:sz w:val="18"/>
                <w:szCs w:val="18"/>
              </w:rPr>
            </w:pPr>
            <w:r w:rsidRPr="0039748C">
              <w:rPr>
                <w:b/>
                <w:bCs/>
                <w:sz w:val="18"/>
                <w:szCs w:val="18"/>
              </w:rPr>
              <w:t>v tom podle stupně závislosti</w:t>
            </w:r>
          </w:p>
        </w:tc>
        <w:tc>
          <w:tcPr>
            <w:tcW w:w="2279" w:type="pct"/>
            <w:gridSpan w:val="5"/>
            <w:tcBorders>
              <w:top w:val="single" w:sz="4" w:space="0" w:color="auto"/>
              <w:left w:val="nil"/>
              <w:bottom w:val="single" w:sz="4" w:space="0" w:color="auto"/>
              <w:right w:val="single" w:sz="4" w:space="0" w:color="auto"/>
            </w:tcBorders>
            <w:shd w:val="clear" w:color="000000" w:fill="F2F2F2"/>
            <w:noWrap/>
            <w:vAlign w:val="center"/>
            <w:hideMark/>
          </w:tcPr>
          <w:p w:rsidR="00E07890" w:rsidRPr="0039748C" w:rsidRDefault="00E07890" w:rsidP="00E07890">
            <w:pPr>
              <w:spacing w:before="0"/>
              <w:jc w:val="center"/>
              <w:rPr>
                <w:b/>
                <w:bCs/>
                <w:sz w:val="18"/>
                <w:szCs w:val="18"/>
              </w:rPr>
            </w:pPr>
            <w:r w:rsidRPr="0039748C">
              <w:rPr>
                <w:b/>
                <w:bCs/>
                <w:sz w:val="18"/>
                <w:szCs w:val="18"/>
              </w:rPr>
              <w:t>v tom podle věku oprávněné osoby</w:t>
            </w:r>
          </w:p>
        </w:tc>
      </w:tr>
      <w:tr w:rsidR="00E07890" w:rsidRPr="0039748C" w:rsidTr="00E07890">
        <w:trPr>
          <w:trHeight w:val="20"/>
        </w:trPr>
        <w:tc>
          <w:tcPr>
            <w:tcW w:w="991" w:type="pct"/>
            <w:vMerge/>
            <w:tcBorders>
              <w:top w:val="single" w:sz="4" w:space="0" w:color="auto"/>
              <w:left w:val="single" w:sz="4" w:space="0" w:color="auto"/>
              <w:bottom w:val="single" w:sz="4" w:space="0" w:color="auto"/>
              <w:right w:val="single" w:sz="4" w:space="0" w:color="auto"/>
            </w:tcBorders>
            <w:vAlign w:val="center"/>
            <w:hideMark/>
          </w:tcPr>
          <w:p w:rsidR="00E07890" w:rsidRPr="0039748C" w:rsidRDefault="00E07890" w:rsidP="00E07890">
            <w:pPr>
              <w:spacing w:before="0"/>
              <w:jc w:val="center"/>
              <w:rPr>
                <w:b/>
                <w:bCs/>
                <w:sz w:val="18"/>
                <w:szCs w:val="18"/>
              </w:rPr>
            </w:pPr>
          </w:p>
        </w:tc>
        <w:tc>
          <w:tcPr>
            <w:tcW w:w="432" w:type="pct"/>
            <w:tcBorders>
              <w:top w:val="nil"/>
              <w:left w:val="nil"/>
              <w:bottom w:val="single" w:sz="4" w:space="0" w:color="auto"/>
              <w:right w:val="single" w:sz="4" w:space="0" w:color="auto"/>
            </w:tcBorders>
            <w:shd w:val="clear" w:color="DCE6F1" w:fill="F2F2F2"/>
            <w:noWrap/>
            <w:vAlign w:val="center"/>
            <w:hideMark/>
          </w:tcPr>
          <w:p w:rsidR="00E07890" w:rsidRPr="0039748C" w:rsidRDefault="00E07890" w:rsidP="00E07890">
            <w:pPr>
              <w:spacing w:before="0"/>
              <w:jc w:val="center"/>
              <w:rPr>
                <w:b/>
                <w:bCs/>
                <w:sz w:val="18"/>
                <w:szCs w:val="18"/>
              </w:rPr>
            </w:pPr>
            <w:r w:rsidRPr="0039748C">
              <w:rPr>
                <w:b/>
                <w:bCs/>
                <w:sz w:val="18"/>
                <w:szCs w:val="18"/>
              </w:rPr>
              <w:t>I.</w:t>
            </w:r>
          </w:p>
        </w:tc>
        <w:tc>
          <w:tcPr>
            <w:tcW w:w="432" w:type="pct"/>
            <w:tcBorders>
              <w:top w:val="nil"/>
              <w:left w:val="nil"/>
              <w:bottom w:val="single" w:sz="4" w:space="0" w:color="auto"/>
              <w:right w:val="single" w:sz="4" w:space="0" w:color="auto"/>
            </w:tcBorders>
            <w:shd w:val="clear" w:color="DCE6F1" w:fill="F2F2F2"/>
            <w:noWrap/>
            <w:vAlign w:val="center"/>
            <w:hideMark/>
          </w:tcPr>
          <w:p w:rsidR="00E07890" w:rsidRPr="0039748C" w:rsidRDefault="00E07890" w:rsidP="00E07890">
            <w:pPr>
              <w:spacing w:before="0"/>
              <w:jc w:val="center"/>
              <w:rPr>
                <w:b/>
                <w:bCs/>
                <w:sz w:val="18"/>
                <w:szCs w:val="18"/>
              </w:rPr>
            </w:pPr>
            <w:r w:rsidRPr="0039748C">
              <w:rPr>
                <w:b/>
                <w:bCs/>
                <w:sz w:val="18"/>
                <w:szCs w:val="18"/>
              </w:rPr>
              <w:t>II.</w:t>
            </w:r>
          </w:p>
        </w:tc>
        <w:tc>
          <w:tcPr>
            <w:tcW w:w="432" w:type="pct"/>
            <w:tcBorders>
              <w:top w:val="nil"/>
              <w:left w:val="nil"/>
              <w:bottom w:val="single" w:sz="4" w:space="0" w:color="auto"/>
              <w:right w:val="single" w:sz="4" w:space="0" w:color="auto"/>
            </w:tcBorders>
            <w:shd w:val="clear" w:color="DCE6F1" w:fill="F2F2F2"/>
            <w:noWrap/>
            <w:vAlign w:val="center"/>
            <w:hideMark/>
          </w:tcPr>
          <w:p w:rsidR="00E07890" w:rsidRPr="0039748C" w:rsidRDefault="00E07890" w:rsidP="00E07890">
            <w:pPr>
              <w:spacing w:before="0"/>
              <w:jc w:val="center"/>
              <w:rPr>
                <w:b/>
                <w:bCs/>
                <w:sz w:val="18"/>
                <w:szCs w:val="18"/>
              </w:rPr>
            </w:pPr>
            <w:r w:rsidRPr="0039748C">
              <w:rPr>
                <w:b/>
                <w:bCs/>
                <w:sz w:val="18"/>
                <w:szCs w:val="18"/>
              </w:rPr>
              <w:t>III.</w:t>
            </w:r>
          </w:p>
        </w:tc>
        <w:tc>
          <w:tcPr>
            <w:tcW w:w="432" w:type="pct"/>
            <w:tcBorders>
              <w:top w:val="nil"/>
              <w:left w:val="nil"/>
              <w:bottom w:val="single" w:sz="4" w:space="0" w:color="auto"/>
              <w:right w:val="single" w:sz="4" w:space="0" w:color="auto"/>
            </w:tcBorders>
            <w:shd w:val="clear" w:color="DCE6F1" w:fill="F2F2F2"/>
            <w:noWrap/>
            <w:vAlign w:val="center"/>
            <w:hideMark/>
          </w:tcPr>
          <w:p w:rsidR="00E07890" w:rsidRPr="0039748C" w:rsidRDefault="00E07890" w:rsidP="00E07890">
            <w:pPr>
              <w:spacing w:before="0"/>
              <w:jc w:val="center"/>
              <w:rPr>
                <w:b/>
                <w:bCs/>
                <w:sz w:val="18"/>
                <w:szCs w:val="18"/>
              </w:rPr>
            </w:pPr>
            <w:r w:rsidRPr="0039748C">
              <w:rPr>
                <w:b/>
                <w:bCs/>
                <w:sz w:val="18"/>
                <w:szCs w:val="18"/>
              </w:rPr>
              <w:t>IV.</w:t>
            </w:r>
          </w:p>
        </w:tc>
        <w:tc>
          <w:tcPr>
            <w:tcW w:w="456" w:type="pct"/>
            <w:tcBorders>
              <w:top w:val="nil"/>
              <w:left w:val="nil"/>
              <w:bottom w:val="single" w:sz="4" w:space="0" w:color="auto"/>
              <w:right w:val="single" w:sz="4" w:space="0" w:color="auto"/>
            </w:tcBorders>
            <w:shd w:val="clear" w:color="DCE6F1" w:fill="F2F2F2"/>
            <w:noWrap/>
            <w:vAlign w:val="center"/>
            <w:hideMark/>
          </w:tcPr>
          <w:p w:rsidR="00E07890" w:rsidRPr="0039748C" w:rsidRDefault="00E07890" w:rsidP="00E07890">
            <w:pPr>
              <w:spacing w:before="0"/>
              <w:jc w:val="center"/>
              <w:rPr>
                <w:b/>
                <w:bCs/>
                <w:sz w:val="18"/>
                <w:szCs w:val="18"/>
              </w:rPr>
            </w:pPr>
            <w:r w:rsidRPr="0039748C">
              <w:rPr>
                <w:b/>
                <w:bCs/>
                <w:sz w:val="18"/>
                <w:szCs w:val="18"/>
              </w:rPr>
              <w:t>0–17</w:t>
            </w:r>
          </w:p>
        </w:tc>
        <w:tc>
          <w:tcPr>
            <w:tcW w:w="456" w:type="pct"/>
            <w:tcBorders>
              <w:top w:val="nil"/>
              <w:left w:val="nil"/>
              <w:bottom w:val="single" w:sz="4" w:space="0" w:color="auto"/>
              <w:right w:val="single" w:sz="4" w:space="0" w:color="auto"/>
            </w:tcBorders>
            <w:shd w:val="clear" w:color="DCE6F1" w:fill="F2F2F2"/>
            <w:noWrap/>
            <w:vAlign w:val="center"/>
            <w:hideMark/>
          </w:tcPr>
          <w:p w:rsidR="00E07890" w:rsidRPr="0039748C" w:rsidRDefault="00E07890" w:rsidP="00E07890">
            <w:pPr>
              <w:spacing w:before="0"/>
              <w:jc w:val="center"/>
              <w:rPr>
                <w:b/>
                <w:bCs/>
                <w:sz w:val="18"/>
                <w:szCs w:val="18"/>
              </w:rPr>
            </w:pPr>
            <w:r w:rsidRPr="0039748C">
              <w:rPr>
                <w:b/>
                <w:bCs/>
                <w:sz w:val="18"/>
                <w:szCs w:val="18"/>
              </w:rPr>
              <w:t>18–64</w:t>
            </w:r>
          </w:p>
        </w:tc>
        <w:tc>
          <w:tcPr>
            <w:tcW w:w="456" w:type="pct"/>
            <w:tcBorders>
              <w:top w:val="nil"/>
              <w:left w:val="nil"/>
              <w:bottom w:val="single" w:sz="4" w:space="0" w:color="auto"/>
              <w:right w:val="single" w:sz="4" w:space="0" w:color="auto"/>
            </w:tcBorders>
            <w:shd w:val="clear" w:color="DCE6F1" w:fill="F2F2F2"/>
            <w:noWrap/>
            <w:vAlign w:val="center"/>
            <w:hideMark/>
          </w:tcPr>
          <w:p w:rsidR="00E07890" w:rsidRPr="0039748C" w:rsidRDefault="00E07890" w:rsidP="00E07890">
            <w:pPr>
              <w:spacing w:before="0"/>
              <w:jc w:val="center"/>
              <w:rPr>
                <w:b/>
                <w:bCs/>
                <w:sz w:val="18"/>
                <w:szCs w:val="18"/>
              </w:rPr>
            </w:pPr>
            <w:r w:rsidRPr="0039748C">
              <w:rPr>
                <w:b/>
                <w:bCs/>
                <w:sz w:val="18"/>
                <w:szCs w:val="18"/>
              </w:rPr>
              <w:t>65-74</w:t>
            </w:r>
          </w:p>
        </w:tc>
        <w:tc>
          <w:tcPr>
            <w:tcW w:w="456" w:type="pct"/>
            <w:tcBorders>
              <w:top w:val="nil"/>
              <w:left w:val="nil"/>
              <w:bottom w:val="single" w:sz="4" w:space="0" w:color="auto"/>
              <w:right w:val="single" w:sz="4" w:space="0" w:color="auto"/>
            </w:tcBorders>
            <w:shd w:val="clear" w:color="DCE6F1" w:fill="F2F2F2"/>
            <w:noWrap/>
            <w:vAlign w:val="center"/>
            <w:hideMark/>
          </w:tcPr>
          <w:p w:rsidR="00E07890" w:rsidRPr="0039748C" w:rsidRDefault="00E07890" w:rsidP="00E07890">
            <w:pPr>
              <w:spacing w:before="0"/>
              <w:jc w:val="center"/>
              <w:rPr>
                <w:b/>
                <w:bCs/>
                <w:sz w:val="18"/>
                <w:szCs w:val="18"/>
              </w:rPr>
            </w:pPr>
            <w:r w:rsidRPr="0039748C">
              <w:rPr>
                <w:b/>
                <w:bCs/>
                <w:sz w:val="18"/>
                <w:szCs w:val="18"/>
              </w:rPr>
              <w:t>75–84</w:t>
            </w:r>
          </w:p>
        </w:tc>
        <w:tc>
          <w:tcPr>
            <w:tcW w:w="456" w:type="pct"/>
            <w:tcBorders>
              <w:top w:val="nil"/>
              <w:left w:val="nil"/>
              <w:bottom w:val="single" w:sz="4" w:space="0" w:color="auto"/>
              <w:right w:val="single" w:sz="4" w:space="0" w:color="auto"/>
            </w:tcBorders>
            <w:shd w:val="clear" w:color="DCE6F1" w:fill="F2F2F2"/>
            <w:noWrap/>
            <w:vAlign w:val="center"/>
            <w:hideMark/>
          </w:tcPr>
          <w:p w:rsidR="00E07890" w:rsidRPr="0039748C" w:rsidRDefault="00E07890" w:rsidP="00E07890">
            <w:pPr>
              <w:spacing w:before="0"/>
              <w:jc w:val="center"/>
              <w:rPr>
                <w:b/>
                <w:bCs/>
                <w:sz w:val="18"/>
                <w:szCs w:val="18"/>
              </w:rPr>
            </w:pPr>
            <w:r w:rsidRPr="0039748C">
              <w:rPr>
                <w:b/>
                <w:bCs/>
                <w:sz w:val="18"/>
                <w:szCs w:val="18"/>
              </w:rPr>
              <w:t>85+</w:t>
            </w:r>
          </w:p>
        </w:tc>
      </w:tr>
      <w:tr w:rsidR="00E07890" w:rsidRPr="0039748C" w:rsidTr="002E64D7">
        <w:trPr>
          <w:trHeight w:val="20"/>
        </w:trPr>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Jihočeský</w:t>
            </w:r>
          </w:p>
        </w:tc>
        <w:tc>
          <w:tcPr>
            <w:tcW w:w="432"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rsidR="00E07890" w:rsidRPr="0039748C" w:rsidRDefault="00E07890" w:rsidP="00E07890">
            <w:pPr>
              <w:spacing w:before="0"/>
              <w:rPr>
                <w:sz w:val="18"/>
                <w:szCs w:val="18"/>
              </w:rPr>
            </w:pPr>
            <w:r w:rsidRPr="0039748C">
              <w:rPr>
                <w:sz w:val="18"/>
                <w:szCs w:val="18"/>
              </w:rPr>
              <w:t>27,0 %</w:t>
            </w:r>
          </w:p>
        </w:tc>
        <w:tc>
          <w:tcPr>
            <w:tcW w:w="432" w:type="pct"/>
            <w:tcBorders>
              <w:top w:val="single" w:sz="4" w:space="0" w:color="auto"/>
              <w:left w:val="single" w:sz="4" w:space="0" w:color="auto"/>
              <w:bottom w:val="single" w:sz="4" w:space="0" w:color="auto"/>
              <w:right w:val="single" w:sz="4" w:space="0" w:color="auto"/>
            </w:tcBorders>
            <w:shd w:val="clear" w:color="000000" w:fill="FA9EA1"/>
            <w:noWrap/>
            <w:vAlign w:val="bottom"/>
            <w:hideMark/>
          </w:tcPr>
          <w:p w:rsidR="00E07890" w:rsidRPr="0039748C" w:rsidRDefault="00E07890" w:rsidP="00E07890">
            <w:pPr>
              <w:spacing w:before="0"/>
              <w:rPr>
                <w:sz w:val="18"/>
                <w:szCs w:val="18"/>
              </w:rPr>
            </w:pPr>
            <w:r w:rsidRPr="0039748C">
              <w:rPr>
                <w:sz w:val="18"/>
                <w:szCs w:val="18"/>
              </w:rPr>
              <w:t>31,5 %</w:t>
            </w:r>
          </w:p>
        </w:tc>
        <w:tc>
          <w:tcPr>
            <w:tcW w:w="432" w:type="pct"/>
            <w:tcBorders>
              <w:top w:val="single" w:sz="4" w:space="0" w:color="auto"/>
              <w:left w:val="single" w:sz="4" w:space="0" w:color="auto"/>
              <w:bottom w:val="single" w:sz="4" w:space="0" w:color="auto"/>
              <w:right w:val="single" w:sz="4" w:space="0" w:color="auto"/>
            </w:tcBorders>
            <w:shd w:val="clear" w:color="000000" w:fill="F4F6FC"/>
            <w:noWrap/>
            <w:vAlign w:val="bottom"/>
            <w:hideMark/>
          </w:tcPr>
          <w:p w:rsidR="00E07890" w:rsidRPr="0039748C" w:rsidRDefault="00E07890" w:rsidP="00E07890">
            <w:pPr>
              <w:spacing w:before="0"/>
              <w:rPr>
                <w:sz w:val="18"/>
                <w:szCs w:val="18"/>
              </w:rPr>
            </w:pPr>
            <w:r w:rsidRPr="0039748C">
              <w:rPr>
                <w:sz w:val="18"/>
                <w:szCs w:val="18"/>
              </w:rPr>
              <w:t>26,0 %</w:t>
            </w:r>
          </w:p>
        </w:tc>
        <w:tc>
          <w:tcPr>
            <w:tcW w:w="432" w:type="pct"/>
            <w:tcBorders>
              <w:top w:val="single" w:sz="4" w:space="0" w:color="auto"/>
              <w:left w:val="single" w:sz="4" w:space="0" w:color="auto"/>
              <w:bottom w:val="single" w:sz="4" w:space="0" w:color="auto"/>
              <w:right w:val="single" w:sz="4" w:space="0" w:color="auto"/>
            </w:tcBorders>
            <w:shd w:val="clear" w:color="000000" w:fill="82A6D4"/>
            <w:noWrap/>
            <w:vAlign w:val="bottom"/>
            <w:hideMark/>
          </w:tcPr>
          <w:p w:rsidR="00E07890" w:rsidRPr="0039748C" w:rsidRDefault="00E07890" w:rsidP="00E07890">
            <w:pPr>
              <w:spacing w:before="0"/>
              <w:rPr>
                <w:sz w:val="18"/>
                <w:szCs w:val="18"/>
              </w:rPr>
            </w:pPr>
            <w:r w:rsidRPr="0039748C">
              <w:rPr>
                <w:sz w:val="18"/>
                <w:szCs w:val="18"/>
              </w:rPr>
              <w:t>15,6 %</w:t>
            </w:r>
          </w:p>
        </w:tc>
        <w:tc>
          <w:tcPr>
            <w:tcW w:w="456" w:type="pct"/>
            <w:tcBorders>
              <w:top w:val="single" w:sz="4" w:space="0" w:color="auto"/>
              <w:left w:val="single" w:sz="4" w:space="0" w:color="auto"/>
              <w:bottom w:val="single" w:sz="4" w:space="0" w:color="auto"/>
              <w:right w:val="single" w:sz="4" w:space="0" w:color="auto"/>
            </w:tcBorders>
            <w:shd w:val="clear" w:color="000000" w:fill="F4F9F8"/>
            <w:noWrap/>
            <w:vAlign w:val="bottom"/>
            <w:hideMark/>
          </w:tcPr>
          <w:p w:rsidR="00E07890" w:rsidRPr="0039748C" w:rsidRDefault="00E07890" w:rsidP="00E07890">
            <w:pPr>
              <w:spacing w:before="0"/>
              <w:rPr>
                <w:sz w:val="18"/>
                <w:szCs w:val="18"/>
              </w:rPr>
            </w:pPr>
            <w:r w:rsidRPr="0039748C">
              <w:rPr>
                <w:sz w:val="18"/>
                <w:szCs w:val="18"/>
              </w:rPr>
              <w:t>8,3 %</w:t>
            </w:r>
          </w:p>
        </w:tc>
        <w:tc>
          <w:tcPr>
            <w:tcW w:w="456" w:type="pct"/>
            <w:tcBorders>
              <w:top w:val="single" w:sz="4" w:space="0" w:color="auto"/>
              <w:left w:val="single" w:sz="4" w:space="0" w:color="auto"/>
              <w:bottom w:val="single" w:sz="4" w:space="0" w:color="auto"/>
              <w:right w:val="single" w:sz="4" w:space="0" w:color="auto"/>
            </w:tcBorders>
            <w:shd w:val="clear" w:color="000000" w:fill="A4D9B3"/>
            <w:noWrap/>
            <w:vAlign w:val="bottom"/>
            <w:hideMark/>
          </w:tcPr>
          <w:p w:rsidR="00E07890" w:rsidRPr="0039748C" w:rsidRDefault="00E07890" w:rsidP="00E07890">
            <w:pPr>
              <w:spacing w:before="0"/>
              <w:rPr>
                <w:sz w:val="18"/>
                <w:szCs w:val="18"/>
              </w:rPr>
            </w:pPr>
            <w:r w:rsidRPr="0039748C">
              <w:rPr>
                <w:sz w:val="18"/>
                <w:szCs w:val="18"/>
              </w:rPr>
              <w:t>21,7 %</w:t>
            </w:r>
          </w:p>
        </w:tc>
        <w:tc>
          <w:tcPr>
            <w:tcW w:w="456" w:type="pct"/>
            <w:tcBorders>
              <w:top w:val="single" w:sz="4" w:space="0" w:color="auto"/>
              <w:left w:val="single" w:sz="4" w:space="0" w:color="auto"/>
              <w:bottom w:val="single" w:sz="4" w:space="0" w:color="auto"/>
              <w:right w:val="single" w:sz="4" w:space="0" w:color="auto"/>
            </w:tcBorders>
            <w:shd w:val="clear" w:color="000000" w:fill="C8E7D3"/>
            <w:noWrap/>
            <w:vAlign w:val="bottom"/>
            <w:hideMark/>
          </w:tcPr>
          <w:p w:rsidR="00E07890" w:rsidRPr="0039748C" w:rsidRDefault="00E07890" w:rsidP="00E07890">
            <w:pPr>
              <w:spacing w:before="0"/>
              <w:rPr>
                <w:sz w:val="18"/>
                <w:szCs w:val="18"/>
              </w:rPr>
            </w:pPr>
            <w:r w:rsidRPr="0039748C">
              <w:rPr>
                <w:sz w:val="18"/>
                <w:szCs w:val="18"/>
              </w:rPr>
              <w:t>15,6 %</w:t>
            </w:r>
          </w:p>
        </w:tc>
        <w:tc>
          <w:tcPr>
            <w:tcW w:w="456" w:type="pct"/>
            <w:tcBorders>
              <w:top w:val="single" w:sz="4" w:space="0" w:color="auto"/>
              <w:left w:val="single" w:sz="4" w:space="0" w:color="auto"/>
              <w:bottom w:val="single" w:sz="4" w:space="0" w:color="auto"/>
              <w:right w:val="single" w:sz="4" w:space="0" w:color="auto"/>
            </w:tcBorders>
            <w:shd w:val="clear" w:color="000000" w:fill="8ACE9D"/>
            <w:noWrap/>
            <w:vAlign w:val="bottom"/>
            <w:hideMark/>
          </w:tcPr>
          <w:p w:rsidR="00E07890" w:rsidRPr="0039748C" w:rsidRDefault="00E07890" w:rsidP="00E07890">
            <w:pPr>
              <w:spacing w:before="0"/>
              <w:rPr>
                <w:sz w:val="18"/>
                <w:szCs w:val="18"/>
              </w:rPr>
            </w:pPr>
            <w:r w:rsidRPr="0039748C">
              <w:rPr>
                <w:sz w:val="18"/>
                <w:szCs w:val="18"/>
              </w:rPr>
              <w:t>26,0 %</w:t>
            </w:r>
          </w:p>
        </w:tc>
        <w:tc>
          <w:tcPr>
            <w:tcW w:w="456" w:type="pct"/>
            <w:tcBorders>
              <w:top w:val="single" w:sz="4" w:space="0" w:color="auto"/>
              <w:left w:val="single" w:sz="4" w:space="0" w:color="auto"/>
              <w:bottom w:val="single" w:sz="4" w:space="0" w:color="auto"/>
              <w:right w:val="single" w:sz="4" w:space="0" w:color="auto"/>
            </w:tcBorders>
            <w:shd w:val="clear" w:color="000000" w:fill="7CC890"/>
            <w:noWrap/>
            <w:vAlign w:val="bottom"/>
            <w:hideMark/>
          </w:tcPr>
          <w:p w:rsidR="00E07890" w:rsidRPr="0039748C" w:rsidRDefault="00E07890" w:rsidP="00E07890">
            <w:pPr>
              <w:spacing w:before="0"/>
              <w:rPr>
                <w:sz w:val="18"/>
                <w:szCs w:val="18"/>
              </w:rPr>
            </w:pPr>
            <w:r w:rsidRPr="0039748C">
              <w:rPr>
                <w:sz w:val="18"/>
                <w:szCs w:val="18"/>
              </w:rPr>
              <w:t>28,4 %</w:t>
            </w:r>
          </w:p>
        </w:tc>
      </w:tr>
      <w:tr w:rsidR="00E07890" w:rsidRPr="0039748C" w:rsidTr="002E64D7">
        <w:trPr>
          <w:trHeight w:val="20"/>
        </w:trPr>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Jihomoravský</w:t>
            </w:r>
          </w:p>
        </w:tc>
        <w:tc>
          <w:tcPr>
            <w:tcW w:w="432" w:type="pct"/>
            <w:tcBorders>
              <w:top w:val="single" w:sz="4" w:space="0" w:color="auto"/>
              <w:left w:val="single" w:sz="4" w:space="0" w:color="auto"/>
              <w:bottom w:val="single" w:sz="4" w:space="0" w:color="auto"/>
              <w:right w:val="single" w:sz="4" w:space="0" w:color="auto"/>
            </w:tcBorders>
            <w:shd w:val="clear" w:color="000000" w:fill="FCE6E9"/>
            <w:noWrap/>
            <w:vAlign w:val="bottom"/>
            <w:hideMark/>
          </w:tcPr>
          <w:p w:rsidR="00E07890" w:rsidRPr="0039748C" w:rsidRDefault="00E07890" w:rsidP="00E07890">
            <w:pPr>
              <w:spacing w:before="0"/>
              <w:rPr>
                <w:sz w:val="18"/>
                <w:szCs w:val="18"/>
              </w:rPr>
            </w:pPr>
            <w:r w:rsidRPr="0039748C">
              <w:rPr>
                <w:sz w:val="18"/>
                <w:szCs w:val="18"/>
              </w:rPr>
              <w:t>27,8 %</w:t>
            </w:r>
          </w:p>
        </w:tc>
        <w:tc>
          <w:tcPr>
            <w:tcW w:w="432" w:type="pct"/>
            <w:tcBorders>
              <w:top w:val="single" w:sz="4" w:space="0" w:color="auto"/>
              <w:left w:val="single" w:sz="4" w:space="0" w:color="auto"/>
              <w:bottom w:val="single" w:sz="4" w:space="0" w:color="auto"/>
              <w:right w:val="single" w:sz="4" w:space="0" w:color="auto"/>
            </w:tcBorders>
            <w:shd w:val="clear" w:color="000000" w:fill="FAA9AB"/>
            <w:noWrap/>
            <w:vAlign w:val="bottom"/>
            <w:hideMark/>
          </w:tcPr>
          <w:p w:rsidR="00E07890" w:rsidRPr="0039748C" w:rsidRDefault="00E07890" w:rsidP="00E07890">
            <w:pPr>
              <w:spacing w:before="0"/>
              <w:rPr>
                <w:sz w:val="18"/>
                <w:szCs w:val="18"/>
              </w:rPr>
            </w:pPr>
            <w:r w:rsidRPr="0039748C">
              <w:rPr>
                <w:sz w:val="18"/>
                <w:szCs w:val="18"/>
              </w:rPr>
              <w:t>31,0 %</w:t>
            </w:r>
          </w:p>
        </w:tc>
        <w:tc>
          <w:tcPr>
            <w:tcW w:w="432"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rsidR="00E07890" w:rsidRPr="0039748C" w:rsidRDefault="00E07890" w:rsidP="00E07890">
            <w:pPr>
              <w:spacing w:before="0"/>
              <w:rPr>
                <w:sz w:val="18"/>
                <w:szCs w:val="18"/>
              </w:rPr>
            </w:pPr>
            <w:r w:rsidRPr="0039748C">
              <w:rPr>
                <w:sz w:val="18"/>
                <w:szCs w:val="18"/>
              </w:rPr>
              <w:t>25,4 %</w:t>
            </w:r>
          </w:p>
        </w:tc>
        <w:tc>
          <w:tcPr>
            <w:tcW w:w="432" w:type="pct"/>
            <w:tcBorders>
              <w:top w:val="single" w:sz="4" w:space="0" w:color="auto"/>
              <w:left w:val="single" w:sz="4" w:space="0" w:color="auto"/>
              <w:bottom w:val="single" w:sz="4" w:space="0" w:color="auto"/>
              <w:right w:val="single" w:sz="4" w:space="0" w:color="auto"/>
            </w:tcBorders>
            <w:shd w:val="clear" w:color="000000" w:fill="84A8D5"/>
            <w:noWrap/>
            <w:vAlign w:val="bottom"/>
            <w:hideMark/>
          </w:tcPr>
          <w:p w:rsidR="00E07890" w:rsidRPr="0039748C" w:rsidRDefault="00E07890" w:rsidP="00E07890">
            <w:pPr>
              <w:spacing w:before="0"/>
              <w:rPr>
                <w:sz w:val="18"/>
                <w:szCs w:val="18"/>
              </w:rPr>
            </w:pPr>
            <w:r w:rsidRPr="0039748C">
              <w:rPr>
                <w:sz w:val="18"/>
                <w:szCs w:val="18"/>
              </w:rPr>
              <w:t>15,7 %</w:t>
            </w:r>
          </w:p>
        </w:tc>
        <w:tc>
          <w:tcPr>
            <w:tcW w:w="456" w:type="pct"/>
            <w:tcBorders>
              <w:top w:val="single" w:sz="4" w:space="0" w:color="auto"/>
              <w:left w:val="single" w:sz="4" w:space="0" w:color="auto"/>
              <w:bottom w:val="single" w:sz="4" w:space="0" w:color="auto"/>
              <w:right w:val="single" w:sz="4" w:space="0" w:color="auto"/>
            </w:tcBorders>
            <w:shd w:val="clear" w:color="000000" w:fill="F2F8F6"/>
            <w:noWrap/>
            <w:vAlign w:val="bottom"/>
            <w:hideMark/>
          </w:tcPr>
          <w:p w:rsidR="00E07890" w:rsidRPr="0039748C" w:rsidRDefault="00E07890" w:rsidP="00E07890">
            <w:pPr>
              <w:spacing w:before="0"/>
              <w:rPr>
                <w:sz w:val="18"/>
                <w:szCs w:val="18"/>
              </w:rPr>
            </w:pPr>
            <w:r w:rsidRPr="0039748C">
              <w:rPr>
                <w:sz w:val="18"/>
                <w:szCs w:val="18"/>
              </w:rPr>
              <w:t>8,6 %</w:t>
            </w:r>
          </w:p>
        </w:tc>
        <w:tc>
          <w:tcPr>
            <w:tcW w:w="456" w:type="pct"/>
            <w:tcBorders>
              <w:top w:val="single" w:sz="4" w:space="0" w:color="auto"/>
              <w:left w:val="single" w:sz="4" w:space="0" w:color="auto"/>
              <w:bottom w:val="single" w:sz="4" w:space="0" w:color="auto"/>
              <w:right w:val="single" w:sz="4" w:space="0" w:color="auto"/>
            </w:tcBorders>
            <w:shd w:val="clear" w:color="000000" w:fill="AFDDBD"/>
            <w:noWrap/>
            <w:vAlign w:val="bottom"/>
            <w:hideMark/>
          </w:tcPr>
          <w:p w:rsidR="00E07890" w:rsidRPr="0039748C" w:rsidRDefault="00E07890" w:rsidP="00E07890">
            <w:pPr>
              <w:spacing w:before="0"/>
              <w:rPr>
                <w:sz w:val="18"/>
                <w:szCs w:val="18"/>
              </w:rPr>
            </w:pPr>
            <w:r w:rsidRPr="0039748C">
              <w:rPr>
                <w:sz w:val="18"/>
                <w:szCs w:val="18"/>
              </w:rPr>
              <w:t>19,8 %</w:t>
            </w:r>
          </w:p>
        </w:tc>
        <w:tc>
          <w:tcPr>
            <w:tcW w:w="456" w:type="pct"/>
            <w:tcBorders>
              <w:top w:val="single" w:sz="4" w:space="0" w:color="auto"/>
              <w:left w:val="single" w:sz="4" w:space="0" w:color="auto"/>
              <w:bottom w:val="single" w:sz="4" w:space="0" w:color="auto"/>
              <w:right w:val="single" w:sz="4" w:space="0" w:color="auto"/>
            </w:tcBorders>
            <w:shd w:val="clear" w:color="000000" w:fill="CAE8D4"/>
            <w:noWrap/>
            <w:vAlign w:val="bottom"/>
            <w:hideMark/>
          </w:tcPr>
          <w:p w:rsidR="00E07890" w:rsidRPr="0039748C" w:rsidRDefault="00E07890" w:rsidP="00E07890">
            <w:pPr>
              <w:spacing w:before="0"/>
              <w:rPr>
                <w:sz w:val="18"/>
                <w:szCs w:val="18"/>
              </w:rPr>
            </w:pPr>
            <w:r w:rsidRPr="0039748C">
              <w:rPr>
                <w:sz w:val="18"/>
                <w:szCs w:val="18"/>
              </w:rPr>
              <w:t>15,2 %</w:t>
            </w:r>
          </w:p>
        </w:tc>
        <w:tc>
          <w:tcPr>
            <w:tcW w:w="456" w:type="pct"/>
            <w:tcBorders>
              <w:top w:val="single" w:sz="4" w:space="0" w:color="auto"/>
              <w:left w:val="single" w:sz="4" w:space="0" w:color="auto"/>
              <w:bottom w:val="single" w:sz="4" w:space="0" w:color="auto"/>
              <w:right w:val="single" w:sz="4" w:space="0" w:color="auto"/>
            </w:tcBorders>
            <w:shd w:val="clear" w:color="000000" w:fill="85CC99"/>
            <w:noWrap/>
            <w:vAlign w:val="bottom"/>
            <w:hideMark/>
          </w:tcPr>
          <w:p w:rsidR="00E07890" w:rsidRPr="0039748C" w:rsidRDefault="00E07890" w:rsidP="00E07890">
            <w:pPr>
              <w:spacing w:before="0"/>
              <w:rPr>
                <w:sz w:val="18"/>
                <w:szCs w:val="18"/>
              </w:rPr>
            </w:pPr>
            <w:r w:rsidRPr="0039748C">
              <w:rPr>
                <w:sz w:val="18"/>
                <w:szCs w:val="18"/>
              </w:rPr>
              <w:t>26,8 %</w:t>
            </w:r>
          </w:p>
        </w:tc>
        <w:tc>
          <w:tcPr>
            <w:tcW w:w="456" w:type="pct"/>
            <w:tcBorders>
              <w:top w:val="single" w:sz="4" w:space="0" w:color="auto"/>
              <w:left w:val="single" w:sz="4" w:space="0" w:color="auto"/>
              <w:bottom w:val="single" w:sz="4" w:space="0" w:color="auto"/>
              <w:right w:val="single" w:sz="4" w:space="0" w:color="auto"/>
            </w:tcBorders>
            <w:shd w:val="clear" w:color="000000" w:fill="76C68B"/>
            <w:noWrap/>
            <w:vAlign w:val="bottom"/>
            <w:hideMark/>
          </w:tcPr>
          <w:p w:rsidR="00E07890" w:rsidRPr="0039748C" w:rsidRDefault="00E07890" w:rsidP="00E07890">
            <w:pPr>
              <w:spacing w:before="0"/>
              <w:rPr>
                <w:sz w:val="18"/>
                <w:szCs w:val="18"/>
              </w:rPr>
            </w:pPr>
            <w:r w:rsidRPr="0039748C">
              <w:rPr>
                <w:sz w:val="18"/>
                <w:szCs w:val="18"/>
              </w:rPr>
              <w:t>29,5 %</w:t>
            </w:r>
          </w:p>
        </w:tc>
      </w:tr>
      <w:tr w:rsidR="00E07890" w:rsidRPr="0039748C" w:rsidTr="002E64D7">
        <w:trPr>
          <w:trHeight w:val="20"/>
        </w:trPr>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Karlovarský</w:t>
            </w:r>
          </w:p>
        </w:tc>
        <w:tc>
          <w:tcPr>
            <w:tcW w:w="432" w:type="pct"/>
            <w:tcBorders>
              <w:top w:val="single" w:sz="4" w:space="0" w:color="auto"/>
              <w:left w:val="single" w:sz="4" w:space="0" w:color="auto"/>
              <w:bottom w:val="single" w:sz="4" w:space="0" w:color="auto"/>
              <w:right w:val="single" w:sz="4" w:space="0" w:color="auto"/>
            </w:tcBorders>
            <w:shd w:val="clear" w:color="000000" w:fill="FCE5E8"/>
            <w:noWrap/>
            <w:vAlign w:val="bottom"/>
            <w:hideMark/>
          </w:tcPr>
          <w:p w:rsidR="00E07890" w:rsidRPr="0039748C" w:rsidRDefault="00E07890" w:rsidP="00E07890">
            <w:pPr>
              <w:spacing w:before="0"/>
              <w:rPr>
                <w:sz w:val="18"/>
                <w:szCs w:val="18"/>
              </w:rPr>
            </w:pPr>
            <w:r w:rsidRPr="0039748C">
              <w:rPr>
                <w:sz w:val="18"/>
                <w:szCs w:val="18"/>
              </w:rPr>
              <w:t>27,9 %</w:t>
            </w:r>
          </w:p>
        </w:tc>
        <w:tc>
          <w:tcPr>
            <w:tcW w:w="432" w:type="pct"/>
            <w:tcBorders>
              <w:top w:val="single" w:sz="4" w:space="0" w:color="auto"/>
              <w:left w:val="single" w:sz="4" w:space="0" w:color="auto"/>
              <w:bottom w:val="single" w:sz="4" w:space="0" w:color="auto"/>
              <w:right w:val="single" w:sz="4" w:space="0" w:color="auto"/>
            </w:tcBorders>
            <w:shd w:val="clear" w:color="000000" w:fill="FA9799"/>
            <w:noWrap/>
            <w:vAlign w:val="bottom"/>
            <w:hideMark/>
          </w:tcPr>
          <w:p w:rsidR="00E07890" w:rsidRPr="0039748C" w:rsidRDefault="00E07890" w:rsidP="00E07890">
            <w:pPr>
              <w:spacing w:before="0"/>
              <w:rPr>
                <w:sz w:val="18"/>
                <w:szCs w:val="18"/>
              </w:rPr>
            </w:pPr>
            <w:r w:rsidRPr="0039748C">
              <w:rPr>
                <w:sz w:val="18"/>
                <w:szCs w:val="18"/>
              </w:rPr>
              <w:t>31,9 %</w:t>
            </w:r>
          </w:p>
        </w:tc>
        <w:tc>
          <w:tcPr>
            <w:tcW w:w="432" w:type="pct"/>
            <w:tcBorders>
              <w:top w:val="single" w:sz="4" w:space="0" w:color="auto"/>
              <w:left w:val="single" w:sz="4" w:space="0" w:color="auto"/>
              <w:bottom w:val="single" w:sz="4" w:space="0" w:color="auto"/>
              <w:right w:val="single" w:sz="4" w:space="0" w:color="auto"/>
            </w:tcBorders>
            <w:shd w:val="clear" w:color="000000" w:fill="F0F3FA"/>
            <w:noWrap/>
            <w:vAlign w:val="bottom"/>
            <w:hideMark/>
          </w:tcPr>
          <w:p w:rsidR="00E07890" w:rsidRPr="0039748C" w:rsidRDefault="00E07890" w:rsidP="00E07890">
            <w:pPr>
              <w:spacing w:before="0"/>
              <w:rPr>
                <w:sz w:val="18"/>
                <w:szCs w:val="18"/>
              </w:rPr>
            </w:pPr>
            <w:r w:rsidRPr="0039748C">
              <w:rPr>
                <w:sz w:val="18"/>
                <w:szCs w:val="18"/>
              </w:rPr>
              <w:t>25,6 %</w:t>
            </w:r>
          </w:p>
        </w:tc>
        <w:tc>
          <w:tcPr>
            <w:tcW w:w="432" w:type="pct"/>
            <w:tcBorders>
              <w:top w:val="single" w:sz="4" w:space="0" w:color="auto"/>
              <w:left w:val="single" w:sz="4" w:space="0" w:color="auto"/>
              <w:bottom w:val="single" w:sz="4" w:space="0" w:color="auto"/>
              <w:right w:val="single" w:sz="4" w:space="0" w:color="auto"/>
            </w:tcBorders>
            <w:shd w:val="clear" w:color="000000" w:fill="789FD0"/>
            <w:noWrap/>
            <w:vAlign w:val="bottom"/>
            <w:hideMark/>
          </w:tcPr>
          <w:p w:rsidR="00E07890" w:rsidRPr="0039748C" w:rsidRDefault="00E07890" w:rsidP="00E07890">
            <w:pPr>
              <w:spacing w:before="0"/>
              <w:rPr>
                <w:sz w:val="18"/>
                <w:szCs w:val="18"/>
              </w:rPr>
            </w:pPr>
            <w:r w:rsidRPr="0039748C">
              <w:rPr>
                <w:sz w:val="18"/>
                <w:szCs w:val="18"/>
              </w:rPr>
              <w:t>14,6 %</w:t>
            </w:r>
          </w:p>
        </w:tc>
        <w:tc>
          <w:tcPr>
            <w:tcW w:w="456" w:type="pct"/>
            <w:tcBorders>
              <w:top w:val="single" w:sz="4" w:space="0" w:color="auto"/>
              <w:left w:val="single" w:sz="4" w:space="0" w:color="auto"/>
              <w:bottom w:val="single" w:sz="4" w:space="0" w:color="auto"/>
              <w:right w:val="single" w:sz="4" w:space="0" w:color="auto"/>
            </w:tcBorders>
            <w:shd w:val="clear" w:color="000000" w:fill="EBF5F0"/>
            <w:noWrap/>
            <w:vAlign w:val="bottom"/>
            <w:hideMark/>
          </w:tcPr>
          <w:p w:rsidR="00E07890" w:rsidRPr="0039748C" w:rsidRDefault="00E07890" w:rsidP="00E07890">
            <w:pPr>
              <w:spacing w:before="0"/>
              <w:rPr>
                <w:sz w:val="18"/>
                <w:szCs w:val="18"/>
              </w:rPr>
            </w:pPr>
            <w:r w:rsidRPr="0039748C">
              <w:rPr>
                <w:sz w:val="18"/>
                <w:szCs w:val="18"/>
              </w:rPr>
              <w:t>9,8 %</w:t>
            </w:r>
          </w:p>
        </w:tc>
        <w:tc>
          <w:tcPr>
            <w:tcW w:w="456" w:type="pct"/>
            <w:tcBorders>
              <w:top w:val="single" w:sz="4" w:space="0" w:color="auto"/>
              <w:left w:val="single" w:sz="4" w:space="0" w:color="auto"/>
              <w:bottom w:val="single" w:sz="4" w:space="0" w:color="auto"/>
              <w:right w:val="single" w:sz="4" w:space="0" w:color="auto"/>
            </w:tcBorders>
            <w:shd w:val="clear" w:color="000000" w:fill="85CC99"/>
            <w:noWrap/>
            <w:vAlign w:val="bottom"/>
            <w:hideMark/>
          </w:tcPr>
          <w:p w:rsidR="00E07890" w:rsidRPr="0039748C" w:rsidRDefault="00E07890" w:rsidP="00E07890">
            <w:pPr>
              <w:spacing w:before="0"/>
              <w:rPr>
                <w:sz w:val="18"/>
                <w:szCs w:val="18"/>
              </w:rPr>
            </w:pPr>
            <w:r w:rsidRPr="0039748C">
              <w:rPr>
                <w:sz w:val="18"/>
                <w:szCs w:val="18"/>
              </w:rPr>
              <w:t>26,8 %</w:t>
            </w:r>
          </w:p>
        </w:tc>
        <w:tc>
          <w:tcPr>
            <w:tcW w:w="456" w:type="pct"/>
            <w:tcBorders>
              <w:top w:val="single" w:sz="4" w:space="0" w:color="auto"/>
              <w:left w:val="single" w:sz="4" w:space="0" w:color="auto"/>
              <w:bottom w:val="single" w:sz="4" w:space="0" w:color="auto"/>
              <w:right w:val="single" w:sz="4" w:space="0" w:color="auto"/>
            </w:tcBorders>
            <w:shd w:val="clear" w:color="000000" w:fill="BAE2C6"/>
            <w:noWrap/>
            <w:vAlign w:val="bottom"/>
            <w:hideMark/>
          </w:tcPr>
          <w:p w:rsidR="00E07890" w:rsidRPr="0039748C" w:rsidRDefault="00E07890" w:rsidP="00E07890">
            <w:pPr>
              <w:spacing w:before="0"/>
              <w:rPr>
                <w:sz w:val="18"/>
                <w:szCs w:val="18"/>
              </w:rPr>
            </w:pPr>
            <w:r w:rsidRPr="0039748C">
              <w:rPr>
                <w:sz w:val="18"/>
                <w:szCs w:val="18"/>
              </w:rPr>
              <w:t>18,0 %</w:t>
            </w:r>
          </w:p>
        </w:tc>
        <w:tc>
          <w:tcPr>
            <w:tcW w:w="456" w:type="pct"/>
            <w:tcBorders>
              <w:top w:val="single" w:sz="4" w:space="0" w:color="auto"/>
              <w:left w:val="single" w:sz="4" w:space="0" w:color="auto"/>
              <w:bottom w:val="single" w:sz="4" w:space="0" w:color="auto"/>
              <w:right w:val="single" w:sz="4" w:space="0" w:color="auto"/>
            </w:tcBorders>
            <w:shd w:val="clear" w:color="000000" w:fill="99D4A9"/>
            <w:noWrap/>
            <w:vAlign w:val="bottom"/>
            <w:hideMark/>
          </w:tcPr>
          <w:p w:rsidR="00E07890" w:rsidRPr="0039748C" w:rsidRDefault="00E07890" w:rsidP="00E07890">
            <w:pPr>
              <w:spacing w:before="0"/>
              <w:rPr>
                <w:sz w:val="18"/>
                <w:szCs w:val="18"/>
              </w:rPr>
            </w:pPr>
            <w:r w:rsidRPr="0039748C">
              <w:rPr>
                <w:sz w:val="18"/>
                <w:szCs w:val="18"/>
              </w:rPr>
              <w:t>23,6 %</w:t>
            </w:r>
          </w:p>
        </w:tc>
        <w:tc>
          <w:tcPr>
            <w:tcW w:w="456" w:type="pct"/>
            <w:tcBorders>
              <w:top w:val="single" w:sz="4" w:space="0" w:color="auto"/>
              <w:left w:val="single" w:sz="4" w:space="0" w:color="auto"/>
              <w:bottom w:val="single" w:sz="4" w:space="0" w:color="auto"/>
              <w:right w:val="single" w:sz="4" w:space="0" w:color="auto"/>
            </w:tcBorders>
            <w:shd w:val="clear" w:color="000000" w:fill="A4D9B3"/>
            <w:noWrap/>
            <w:vAlign w:val="bottom"/>
            <w:hideMark/>
          </w:tcPr>
          <w:p w:rsidR="00E07890" w:rsidRPr="0039748C" w:rsidRDefault="00E07890" w:rsidP="00E07890">
            <w:pPr>
              <w:spacing w:before="0"/>
              <w:rPr>
                <w:sz w:val="18"/>
                <w:szCs w:val="18"/>
              </w:rPr>
            </w:pPr>
            <w:r w:rsidRPr="0039748C">
              <w:rPr>
                <w:sz w:val="18"/>
                <w:szCs w:val="18"/>
              </w:rPr>
              <w:t>21,7 %</w:t>
            </w:r>
          </w:p>
        </w:tc>
      </w:tr>
      <w:tr w:rsidR="00E07890" w:rsidRPr="0039748C" w:rsidTr="002E64D7">
        <w:trPr>
          <w:trHeight w:val="20"/>
        </w:trPr>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Královéhradecký</w:t>
            </w:r>
          </w:p>
        </w:tc>
        <w:tc>
          <w:tcPr>
            <w:tcW w:w="432" w:type="pct"/>
            <w:tcBorders>
              <w:top w:val="single" w:sz="4" w:space="0" w:color="auto"/>
              <w:left w:val="single" w:sz="4" w:space="0" w:color="auto"/>
              <w:bottom w:val="single" w:sz="4" w:space="0" w:color="auto"/>
              <w:right w:val="single" w:sz="4" w:space="0" w:color="auto"/>
            </w:tcBorders>
            <w:shd w:val="clear" w:color="000000" w:fill="FCF0F2"/>
            <w:noWrap/>
            <w:vAlign w:val="bottom"/>
            <w:hideMark/>
          </w:tcPr>
          <w:p w:rsidR="00E07890" w:rsidRPr="0039748C" w:rsidRDefault="00E07890" w:rsidP="00E07890">
            <w:pPr>
              <w:spacing w:before="0"/>
              <w:rPr>
                <w:sz w:val="18"/>
                <w:szCs w:val="18"/>
              </w:rPr>
            </w:pPr>
            <w:r w:rsidRPr="0039748C">
              <w:rPr>
                <w:sz w:val="18"/>
                <w:szCs w:val="18"/>
              </w:rPr>
              <w:t>27,3 %</w:t>
            </w:r>
          </w:p>
        </w:tc>
        <w:tc>
          <w:tcPr>
            <w:tcW w:w="432" w:type="pct"/>
            <w:tcBorders>
              <w:top w:val="single" w:sz="4" w:space="0" w:color="auto"/>
              <w:left w:val="single" w:sz="4" w:space="0" w:color="auto"/>
              <w:bottom w:val="single" w:sz="4" w:space="0" w:color="auto"/>
              <w:right w:val="single" w:sz="4" w:space="0" w:color="auto"/>
            </w:tcBorders>
            <w:shd w:val="clear" w:color="000000" w:fill="F98183"/>
            <w:noWrap/>
            <w:vAlign w:val="bottom"/>
            <w:hideMark/>
          </w:tcPr>
          <w:p w:rsidR="00E07890" w:rsidRPr="0039748C" w:rsidRDefault="00E07890" w:rsidP="00E07890">
            <w:pPr>
              <w:spacing w:before="0"/>
              <w:rPr>
                <w:sz w:val="18"/>
                <w:szCs w:val="18"/>
              </w:rPr>
            </w:pPr>
            <w:r w:rsidRPr="0039748C">
              <w:rPr>
                <w:sz w:val="18"/>
                <w:szCs w:val="18"/>
              </w:rPr>
              <w:t>33,1 %</w:t>
            </w:r>
          </w:p>
        </w:tc>
        <w:tc>
          <w:tcPr>
            <w:tcW w:w="432" w:type="pct"/>
            <w:tcBorders>
              <w:top w:val="single" w:sz="4" w:space="0" w:color="auto"/>
              <w:left w:val="single" w:sz="4" w:space="0" w:color="auto"/>
              <w:bottom w:val="single" w:sz="4" w:space="0" w:color="auto"/>
              <w:right w:val="single" w:sz="4" w:space="0" w:color="auto"/>
            </w:tcBorders>
            <w:shd w:val="clear" w:color="000000" w:fill="F6F8FD"/>
            <w:noWrap/>
            <w:vAlign w:val="bottom"/>
            <w:hideMark/>
          </w:tcPr>
          <w:p w:rsidR="00E07890" w:rsidRPr="0039748C" w:rsidRDefault="00E07890" w:rsidP="00E07890">
            <w:pPr>
              <w:spacing w:before="0"/>
              <w:rPr>
                <w:sz w:val="18"/>
                <w:szCs w:val="18"/>
              </w:rPr>
            </w:pPr>
            <w:r w:rsidRPr="0039748C">
              <w:rPr>
                <w:sz w:val="18"/>
                <w:szCs w:val="18"/>
              </w:rPr>
              <w:t>26,2 %</w:t>
            </w:r>
          </w:p>
        </w:tc>
        <w:tc>
          <w:tcPr>
            <w:tcW w:w="432" w:type="pct"/>
            <w:tcBorders>
              <w:top w:val="single" w:sz="4" w:space="0" w:color="auto"/>
              <w:left w:val="single" w:sz="4" w:space="0" w:color="auto"/>
              <w:bottom w:val="single" w:sz="4" w:space="0" w:color="auto"/>
              <w:right w:val="single" w:sz="4" w:space="0" w:color="auto"/>
            </w:tcBorders>
            <w:shd w:val="clear" w:color="000000" w:fill="6B96CC"/>
            <w:noWrap/>
            <w:vAlign w:val="bottom"/>
            <w:hideMark/>
          </w:tcPr>
          <w:p w:rsidR="00E07890" w:rsidRPr="0039748C" w:rsidRDefault="00E07890" w:rsidP="00E07890">
            <w:pPr>
              <w:spacing w:before="0"/>
              <w:rPr>
                <w:sz w:val="18"/>
                <w:szCs w:val="18"/>
              </w:rPr>
            </w:pPr>
            <w:r w:rsidRPr="0039748C">
              <w:rPr>
                <w:sz w:val="18"/>
                <w:szCs w:val="18"/>
              </w:rPr>
              <w:t>13,5 %</w:t>
            </w:r>
          </w:p>
        </w:tc>
        <w:tc>
          <w:tcPr>
            <w:tcW w:w="456" w:type="pct"/>
            <w:tcBorders>
              <w:top w:val="single" w:sz="4" w:space="0" w:color="auto"/>
              <w:left w:val="single" w:sz="4" w:space="0" w:color="auto"/>
              <w:bottom w:val="single" w:sz="4" w:space="0" w:color="auto"/>
              <w:right w:val="single" w:sz="4" w:space="0" w:color="auto"/>
            </w:tcBorders>
            <w:shd w:val="clear" w:color="000000" w:fill="EEF7F3"/>
            <w:noWrap/>
            <w:vAlign w:val="bottom"/>
            <w:hideMark/>
          </w:tcPr>
          <w:p w:rsidR="00E07890" w:rsidRPr="0039748C" w:rsidRDefault="00E07890" w:rsidP="00E07890">
            <w:pPr>
              <w:spacing w:before="0"/>
              <w:rPr>
                <w:sz w:val="18"/>
                <w:szCs w:val="18"/>
              </w:rPr>
            </w:pPr>
            <w:r w:rsidRPr="0039748C">
              <w:rPr>
                <w:sz w:val="18"/>
                <w:szCs w:val="18"/>
              </w:rPr>
              <w:t>9,2 %</w:t>
            </w:r>
          </w:p>
        </w:tc>
        <w:tc>
          <w:tcPr>
            <w:tcW w:w="456" w:type="pct"/>
            <w:tcBorders>
              <w:top w:val="single" w:sz="4" w:space="0" w:color="auto"/>
              <w:left w:val="single" w:sz="4" w:space="0" w:color="auto"/>
              <w:bottom w:val="single" w:sz="4" w:space="0" w:color="auto"/>
              <w:right w:val="single" w:sz="4" w:space="0" w:color="auto"/>
            </w:tcBorders>
            <w:shd w:val="clear" w:color="000000" w:fill="A3D8B3"/>
            <w:noWrap/>
            <w:vAlign w:val="bottom"/>
            <w:hideMark/>
          </w:tcPr>
          <w:p w:rsidR="00E07890" w:rsidRPr="0039748C" w:rsidRDefault="00E07890" w:rsidP="00E07890">
            <w:pPr>
              <w:spacing w:before="0"/>
              <w:rPr>
                <w:sz w:val="18"/>
                <w:szCs w:val="18"/>
              </w:rPr>
            </w:pPr>
            <w:r w:rsidRPr="0039748C">
              <w:rPr>
                <w:sz w:val="18"/>
                <w:szCs w:val="18"/>
              </w:rPr>
              <w:t>21,8 %</w:t>
            </w:r>
          </w:p>
        </w:tc>
        <w:tc>
          <w:tcPr>
            <w:tcW w:w="456" w:type="pct"/>
            <w:tcBorders>
              <w:top w:val="single" w:sz="4" w:space="0" w:color="auto"/>
              <w:left w:val="single" w:sz="4" w:space="0" w:color="auto"/>
              <w:bottom w:val="single" w:sz="4" w:space="0" w:color="auto"/>
              <w:right w:val="single" w:sz="4" w:space="0" w:color="auto"/>
            </w:tcBorders>
            <w:shd w:val="clear" w:color="000000" w:fill="C5E6D0"/>
            <w:noWrap/>
            <w:vAlign w:val="bottom"/>
            <w:hideMark/>
          </w:tcPr>
          <w:p w:rsidR="00E07890" w:rsidRPr="0039748C" w:rsidRDefault="00E07890" w:rsidP="00E07890">
            <w:pPr>
              <w:spacing w:before="0"/>
              <w:rPr>
                <w:sz w:val="18"/>
                <w:szCs w:val="18"/>
              </w:rPr>
            </w:pPr>
            <w:r w:rsidRPr="0039748C">
              <w:rPr>
                <w:sz w:val="18"/>
                <w:szCs w:val="18"/>
              </w:rPr>
              <w:t>16,1 %</w:t>
            </w:r>
          </w:p>
        </w:tc>
        <w:tc>
          <w:tcPr>
            <w:tcW w:w="456" w:type="pct"/>
            <w:tcBorders>
              <w:top w:val="single" w:sz="4" w:space="0" w:color="auto"/>
              <w:left w:val="single" w:sz="4" w:space="0" w:color="auto"/>
              <w:bottom w:val="single" w:sz="4" w:space="0" w:color="auto"/>
              <w:right w:val="single" w:sz="4" w:space="0" w:color="auto"/>
            </w:tcBorders>
            <w:shd w:val="clear" w:color="000000" w:fill="91D1A3"/>
            <w:noWrap/>
            <w:vAlign w:val="bottom"/>
            <w:hideMark/>
          </w:tcPr>
          <w:p w:rsidR="00E07890" w:rsidRPr="0039748C" w:rsidRDefault="00E07890" w:rsidP="00E07890">
            <w:pPr>
              <w:spacing w:before="0"/>
              <w:rPr>
                <w:sz w:val="18"/>
                <w:szCs w:val="18"/>
              </w:rPr>
            </w:pPr>
            <w:r w:rsidRPr="0039748C">
              <w:rPr>
                <w:sz w:val="18"/>
                <w:szCs w:val="18"/>
              </w:rPr>
              <w:t>24,9 %</w:t>
            </w:r>
          </w:p>
        </w:tc>
        <w:tc>
          <w:tcPr>
            <w:tcW w:w="456" w:type="pct"/>
            <w:tcBorders>
              <w:top w:val="single" w:sz="4" w:space="0" w:color="auto"/>
              <w:left w:val="single" w:sz="4" w:space="0" w:color="auto"/>
              <w:bottom w:val="single" w:sz="4" w:space="0" w:color="auto"/>
              <w:right w:val="single" w:sz="4" w:space="0" w:color="auto"/>
            </w:tcBorders>
            <w:shd w:val="clear" w:color="000000" w:fill="7FC993"/>
            <w:noWrap/>
            <w:vAlign w:val="bottom"/>
            <w:hideMark/>
          </w:tcPr>
          <w:p w:rsidR="00E07890" w:rsidRPr="0039748C" w:rsidRDefault="00E07890" w:rsidP="00E07890">
            <w:pPr>
              <w:spacing w:before="0"/>
              <w:rPr>
                <w:sz w:val="18"/>
                <w:szCs w:val="18"/>
              </w:rPr>
            </w:pPr>
            <w:r w:rsidRPr="0039748C">
              <w:rPr>
                <w:sz w:val="18"/>
                <w:szCs w:val="18"/>
              </w:rPr>
              <w:t>28,0 %</w:t>
            </w:r>
          </w:p>
        </w:tc>
      </w:tr>
      <w:tr w:rsidR="00E07890" w:rsidRPr="0039748C" w:rsidTr="002E64D7">
        <w:trPr>
          <w:trHeight w:val="20"/>
        </w:trPr>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Liberecký</w:t>
            </w:r>
          </w:p>
        </w:tc>
        <w:tc>
          <w:tcPr>
            <w:tcW w:w="432"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rsidR="00E07890" w:rsidRPr="0039748C" w:rsidRDefault="00E07890" w:rsidP="00E07890">
            <w:pPr>
              <w:spacing w:before="0"/>
              <w:rPr>
                <w:sz w:val="18"/>
                <w:szCs w:val="18"/>
              </w:rPr>
            </w:pPr>
            <w:r w:rsidRPr="0039748C">
              <w:rPr>
                <w:sz w:val="18"/>
                <w:szCs w:val="18"/>
              </w:rPr>
              <w:t>27,1 %</w:t>
            </w:r>
          </w:p>
        </w:tc>
        <w:tc>
          <w:tcPr>
            <w:tcW w:w="432" w:type="pct"/>
            <w:tcBorders>
              <w:top w:val="single" w:sz="4" w:space="0" w:color="auto"/>
              <w:left w:val="single" w:sz="4" w:space="0" w:color="auto"/>
              <w:bottom w:val="single" w:sz="4" w:space="0" w:color="auto"/>
              <w:right w:val="single" w:sz="4" w:space="0" w:color="auto"/>
            </w:tcBorders>
            <w:shd w:val="clear" w:color="000000" w:fill="FA9395"/>
            <w:noWrap/>
            <w:vAlign w:val="bottom"/>
            <w:hideMark/>
          </w:tcPr>
          <w:p w:rsidR="00E07890" w:rsidRPr="0039748C" w:rsidRDefault="00E07890" w:rsidP="00E07890">
            <w:pPr>
              <w:spacing w:before="0"/>
              <w:rPr>
                <w:sz w:val="18"/>
                <w:szCs w:val="18"/>
              </w:rPr>
            </w:pPr>
            <w:r w:rsidRPr="0039748C">
              <w:rPr>
                <w:sz w:val="18"/>
                <w:szCs w:val="18"/>
              </w:rPr>
              <w:t>32,1 %</w:t>
            </w:r>
          </w:p>
        </w:tc>
        <w:tc>
          <w:tcPr>
            <w:tcW w:w="432" w:type="pct"/>
            <w:tcBorders>
              <w:top w:val="single" w:sz="4" w:space="0" w:color="auto"/>
              <w:left w:val="single" w:sz="4" w:space="0" w:color="auto"/>
              <w:bottom w:val="single" w:sz="4" w:space="0" w:color="auto"/>
              <w:right w:val="single" w:sz="4" w:space="0" w:color="auto"/>
            </w:tcBorders>
            <w:shd w:val="clear" w:color="000000" w:fill="FBFBFE"/>
            <w:noWrap/>
            <w:vAlign w:val="bottom"/>
            <w:hideMark/>
          </w:tcPr>
          <w:p w:rsidR="00E07890" w:rsidRPr="0039748C" w:rsidRDefault="00E07890" w:rsidP="00E07890">
            <w:pPr>
              <w:spacing w:before="0"/>
              <w:rPr>
                <w:sz w:val="18"/>
                <w:szCs w:val="18"/>
              </w:rPr>
            </w:pPr>
            <w:r w:rsidRPr="0039748C">
              <w:rPr>
                <w:sz w:val="18"/>
                <w:szCs w:val="18"/>
              </w:rPr>
              <w:t>26,6 %</w:t>
            </w:r>
          </w:p>
        </w:tc>
        <w:tc>
          <w:tcPr>
            <w:tcW w:w="432" w:type="pct"/>
            <w:tcBorders>
              <w:top w:val="single" w:sz="4" w:space="0" w:color="auto"/>
              <w:left w:val="single" w:sz="4" w:space="0" w:color="auto"/>
              <w:bottom w:val="single" w:sz="4" w:space="0" w:color="auto"/>
              <w:right w:val="single" w:sz="4" w:space="0" w:color="auto"/>
            </w:tcBorders>
            <w:shd w:val="clear" w:color="000000" w:fill="749CCF"/>
            <w:noWrap/>
            <w:vAlign w:val="bottom"/>
            <w:hideMark/>
          </w:tcPr>
          <w:p w:rsidR="00E07890" w:rsidRPr="0039748C" w:rsidRDefault="00E07890" w:rsidP="00E07890">
            <w:pPr>
              <w:spacing w:before="0"/>
              <w:rPr>
                <w:sz w:val="18"/>
                <w:szCs w:val="18"/>
              </w:rPr>
            </w:pPr>
            <w:r w:rsidRPr="0039748C">
              <w:rPr>
                <w:sz w:val="18"/>
                <w:szCs w:val="18"/>
              </w:rPr>
              <w:t>14,2 %</w:t>
            </w:r>
          </w:p>
        </w:tc>
        <w:tc>
          <w:tcPr>
            <w:tcW w:w="456" w:type="pct"/>
            <w:tcBorders>
              <w:top w:val="single" w:sz="4" w:space="0" w:color="auto"/>
              <w:left w:val="single" w:sz="4" w:space="0" w:color="auto"/>
              <w:bottom w:val="single" w:sz="4" w:space="0" w:color="auto"/>
              <w:right w:val="single" w:sz="4" w:space="0" w:color="auto"/>
            </w:tcBorders>
            <w:shd w:val="clear" w:color="000000" w:fill="ECF6F1"/>
            <w:noWrap/>
            <w:vAlign w:val="bottom"/>
            <w:hideMark/>
          </w:tcPr>
          <w:p w:rsidR="00E07890" w:rsidRPr="0039748C" w:rsidRDefault="00E07890" w:rsidP="00E07890">
            <w:pPr>
              <w:spacing w:before="0"/>
              <w:rPr>
                <w:sz w:val="18"/>
                <w:szCs w:val="18"/>
              </w:rPr>
            </w:pPr>
            <w:r w:rsidRPr="0039748C">
              <w:rPr>
                <w:sz w:val="18"/>
                <w:szCs w:val="18"/>
              </w:rPr>
              <w:t>9,6 %</w:t>
            </w:r>
          </w:p>
        </w:tc>
        <w:tc>
          <w:tcPr>
            <w:tcW w:w="456" w:type="pct"/>
            <w:tcBorders>
              <w:top w:val="single" w:sz="4" w:space="0" w:color="auto"/>
              <w:left w:val="single" w:sz="4" w:space="0" w:color="auto"/>
              <w:bottom w:val="single" w:sz="4" w:space="0" w:color="auto"/>
              <w:right w:val="single" w:sz="4" w:space="0" w:color="auto"/>
            </w:tcBorders>
            <w:shd w:val="clear" w:color="000000" w:fill="97D3A8"/>
            <w:noWrap/>
            <w:vAlign w:val="bottom"/>
            <w:hideMark/>
          </w:tcPr>
          <w:p w:rsidR="00E07890" w:rsidRPr="0039748C" w:rsidRDefault="00E07890" w:rsidP="00E07890">
            <w:pPr>
              <w:spacing w:before="0"/>
              <w:rPr>
                <w:sz w:val="18"/>
                <w:szCs w:val="18"/>
              </w:rPr>
            </w:pPr>
            <w:r w:rsidRPr="0039748C">
              <w:rPr>
                <w:sz w:val="18"/>
                <w:szCs w:val="18"/>
              </w:rPr>
              <w:t>23,9 %</w:t>
            </w:r>
          </w:p>
        </w:tc>
        <w:tc>
          <w:tcPr>
            <w:tcW w:w="456" w:type="pct"/>
            <w:tcBorders>
              <w:top w:val="single" w:sz="4" w:space="0" w:color="auto"/>
              <w:left w:val="single" w:sz="4" w:space="0" w:color="auto"/>
              <w:bottom w:val="single" w:sz="4" w:space="0" w:color="auto"/>
              <w:right w:val="single" w:sz="4" w:space="0" w:color="auto"/>
            </w:tcBorders>
            <w:shd w:val="clear" w:color="000000" w:fill="BDE3C9"/>
            <w:noWrap/>
            <w:vAlign w:val="bottom"/>
            <w:hideMark/>
          </w:tcPr>
          <w:p w:rsidR="00E07890" w:rsidRPr="0039748C" w:rsidRDefault="00E07890" w:rsidP="00E07890">
            <w:pPr>
              <w:spacing w:before="0"/>
              <w:rPr>
                <w:sz w:val="18"/>
                <w:szCs w:val="18"/>
              </w:rPr>
            </w:pPr>
            <w:r w:rsidRPr="0039748C">
              <w:rPr>
                <w:sz w:val="18"/>
                <w:szCs w:val="18"/>
              </w:rPr>
              <w:t>17,4 %</w:t>
            </w:r>
          </w:p>
        </w:tc>
        <w:tc>
          <w:tcPr>
            <w:tcW w:w="456" w:type="pct"/>
            <w:tcBorders>
              <w:top w:val="single" w:sz="4" w:space="0" w:color="auto"/>
              <w:left w:val="single" w:sz="4" w:space="0" w:color="auto"/>
              <w:bottom w:val="single" w:sz="4" w:space="0" w:color="auto"/>
              <w:right w:val="single" w:sz="4" w:space="0" w:color="auto"/>
            </w:tcBorders>
            <w:shd w:val="clear" w:color="000000" w:fill="95D3A7"/>
            <w:noWrap/>
            <w:vAlign w:val="bottom"/>
            <w:hideMark/>
          </w:tcPr>
          <w:p w:rsidR="00E07890" w:rsidRPr="0039748C" w:rsidRDefault="00E07890" w:rsidP="00E07890">
            <w:pPr>
              <w:spacing w:before="0"/>
              <w:rPr>
                <w:sz w:val="18"/>
                <w:szCs w:val="18"/>
              </w:rPr>
            </w:pPr>
            <w:r w:rsidRPr="0039748C">
              <w:rPr>
                <w:sz w:val="18"/>
                <w:szCs w:val="18"/>
              </w:rPr>
              <w:t>24,1 %</w:t>
            </w:r>
          </w:p>
        </w:tc>
        <w:tc>
          <w:tcPr>
            <w:tcW w:w="456" w:type="pct"/>
            <w:tcBorders>
              <w:top w:val="single" w:sz="4" w:space="0" w:color="auto"/>
              <w:left w:val="single" w:sz="4" w:space="0" w:color="auto"/>
              <w:bottom w:val="single" w:sz="4" w:space="0" w:color="auto"/>
              <w:right w:val="single" w:sz="4" w:space="0" w:color="auto"/>
            </w:tcBorders>
            <w:shd w:val="clear" w:color="000000" w:fill="91D1A3"/>
            <w:noWrap/>
            <w:vAlign w:val="bottom"/>
            <w:hideMark/>
          </w:tcPr>
          <w:p w:rsidR="00E07890" w:rsidRPr="0039748C" w:rsidRDefault="00E07890" w:rsidP="00E07890">
            <w:pPr>
              <w:spacing w:before="0"/>
              <w:rPr>
                <w:sz w:val="18"/>
                <w:szCs w:val="18"/>
              </w:rPr>
            </w:pPr>
            <w:r w:rsidRPr="0039748C">
              <w:rPr>
                <w:sz w:val="18"/>
                <w:szCs w:val="18"/>
              </w:rPr>
              <w:t>24,9 %</w:t>
            </w:r>
          </w:p>
        </w:tc>
      </w:tr>
      <w:tr w:rsidR="00E07890" w:rsidRPr="0039748C" w:rsidTr="002E64D7">
        <w:trPr>
          <w:trHeight w:val="20"/>
        </w:trPr>
        <w:tc>
          <w:tcPr>
            <w:tcW w:w="991" w:type="pct"/>
            <w:tcBorders>
              <w:top w:val="nil"/>
              <w:left w:val="single" w:sz="4" w:space="0" w:color="auto"/>
              <w:bottom w:val="single" w:sz="8"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Moravskoslezský</w:t>
            </w:r>
          </w:p>
        </w:tc>
        <w:tc>
          <w:tcPr>
            <w:tcW w:w="432" w:type="pct"/>
            <w:tcBorders>
              <w:top w:val="single" w:sz="4" w:space="0" w:color="auto"/>
              <w:left w:val="single" w:sz="4" w:space="0" w:color="auto"/>
              <w:bottom w:val="single" w:sz="8" w:space="0" w:color="auto"/>
              <w:right w:val="single" w:sz="4" w:space="0" w:color="auto"/>
            </w:tcBorders>
            <w:shd w:val="clear" w:color="000000" w:fill="FCE4E7"/>
            <w:noWrap/>
            <w:vAlign w:val="bottom"/>
            <w:hideMark/>
          </w:tcPr>
          <w:p w:rsidR="00E07890" w:rsidRPr="0039748C" w:rsidRDefault="00E07890" w:rsidP="00E07890">
            <w:pPr>
              <w:spacing w:before="0"/>
              <w:rPr>
                <w:sz w:val="18"/>
                <w:szCs w:val="18"/>
              </w:rPr>
            </w:pPr>
            <w:r w:rsidRPr="0039748C">
              <w:rPr>
                <w:sz w:val="18"/>
                <w:szCs w:val="18"/>
              </w:rPr>
              <w:t>27,9 %</w:t>
            </w:r>
          </w:p>
        </w:tc>
        <w:tc>
          <w:tcPr>
            <w:tcW w:w="432" w:type="pct"/>
            <w:tcBorders>
              <w:top w:val="single" w:sz="4" w:space="0" w:color="auto"/>
              <w:left w:val="single" w:sz="4" w:space="0" w:color="auto"/>
              <w:bottom w:val="single" w:sz="8" w:space="0" w:color="auto"/>
              <w:right w:val="single" w:sz="4" w:space="0" w:color="auto"/>
            </w:tcBorders>
            <w:shd w:val="clear" w:color="000000" w:fill="FBB4B6"/>
            <w:noWrap/>
            <w:vAlign w:val="bottom"/>
            <w:hideMark/>
          </w:tcPr>
          <w:p w:rsidR="00E07890" w:rsidRPr="0039748C" w:rsidRDefault="00E07890" w:rsidP="00E07890">
            <w:pPr>
              <w:spacing w:before="0"/>
              <w:rPr>
                <w:sz w:val="18"/>
                <w:szCs w:val="18"/>
              </w:rPr>
            </w:pPr>
            <w:r w:rsidRPr="0039748C">
              <w:rPr>
                <w:sz w:val="18"/>
                <w:szCs w:val="18"/>
              </w:rPr>
              <w:t>30,4 %</w:t>
            </w:r>
          </w:p>
        </w:tc>
        <w:tc>
          <w:tcPr>
            <w:tcW w:w="432" w:type="pct"/>
            <w:tcBorders>
              <w:top w:val="single" w:sz="4" w:space="0" w:color="auto"/>
              <w:left w:val="single" w:sz="4" w:space="0" w:color="auto"/>
              <w:bottom w:val="single" w:sz="8" w:space="0" w:color="auto"/>
              <w:right w:val="single" w:sz="4" w:space="0" w:color="auto"/>
            </w:tcBorders>
            <w:shd w:val="clear" w:color="000000" w:fill="ECF1F9"/>
            <w:noWrap/>
            <w:vAlign w:val="bottom"/>
            <w:hideMark/>
          </w:tcPr>
          <w:p w:rsidR="00E07890" w:rsidRPr="0039748C" w:rsidRDefault="00E07890" w:rsidP="00E07890">
            <w:pPr>
              <w:spacing w:before="0"/>
              <w:rPr>
                <w:sz w:val="18"/>
                <w:szCs w:val="18"/>
              </w:rPr>
            </w:pPr>
            <w:r w:rsidRPr="0039748C">
              <w:rPr>
                <w:sz w:val="18"/>
                <w:szCs w:val="18"/>
              </w:rPr>
              <w:t>25,3 %</w:t>
            </w:r>
          </w:p>
        </w:tc>
        <w:tc>
          <w:tcPr>
            <w:tcW w:w="432" w:type="pct"/>
            <w:tcBorders>
              <w:top w:val="single" w:sz="4" w:space="0" w:color="auto"/>
              <w:left w:val="single" w:sz="4" w:space="0" w:color="auto"/>
              <w:bottom w:val="single" w:sz="8" w:space="0" w:color="auto"/>
              <w:right w:val="single" w:sz="4" w:space="0" w:color="auto"/>
            </w:tcBorders>
            <w:shd w:val="clear" w:color="000000" w:fill="8BADD7"/>
            <w:noWrap/>
            <w:vAlign w:val="bottom"/>
            <w:hideMark/>
          </w:tcPr>
          <w:p w:rsidR="00E07890" w:rsidRPr="0039748C" w:rsidRDefault="00E07890" w:rsidP="00E07890">
            <w:pPr>
              <w:spacing w:before="0"/>
              <w:rPr>
                <w:sz w:val="18"/>
                <w:szCs w:val="18"/>
              </w:rPr>
            </w:pPr>
            <w:r w:rsidRPr="0039748C">
              <w:rPr>
                <w:sz w:val="18"/>
                <w:szCs w:val="18"/>
              </w:rPr>
              <w:t>16,4 %</w:t>
            </w:r>
          </w:p>
        </w:tc>
        <w:tc>
          <w:tcPr>
            <w:tcW w:w="456" w:type="pct"/>
            <w:tcBorders>
              <w:top w:val="single" w:sz="4" w:space="0" w:color="auto"/>
              <w:left w:val="single" w:sz="4" w:space="0" w:color="auto"/>
              <w:bottom w:val="single" w:sz="8" w:space="0" w:color="auto"/>
              <w:right w:val="single" w:sz="4" w:space="0" w:color="auto"/>
            </w:tcBorders>
            <w:shd w:val="clear" w:color="000000" w:fill="FCFCFF"/>
            <w:noWrap/>
            <w:vAlign w:val="bottom"/>
            <w:hideMark/>
          </w:tcPr>
          <w:p w:rsidR="00E07890" w:rsidRPr="0039748C" w:rsidRDefault="00E07890" w:rsidP="00E07890">
            <w:pPr>
              <w:spacing w:before="0"/>
              <w:rPr>
                <w:sz w:val="18"/>
                <w:szCs w:val="18"/>
              </w:rPr>
            </w:pPr>
            <w:r w:rsidRPr="0039748C">
              <w:rPr>
                <w:sz w:val="18"/>
                <w:szCs w:val="18"/>
              </w:rPr>
              <w:t>6,8 %</w:t>
            </w:r>
          </w:p>
        </w:tc>
        <w:tc>
          <w:tcPr>
            <w:tcW w:w="456" w:type="pct"/>
            <w:tcBorders>
              <w:top w:val="single" w:sz="4" w:space="0" w:color="auto"/>
              <w:left w:val="single" w:sz="4" w:space="0" w:color="auto"/>
              <w:bottom w:val="single" w:sz="8" w:space="0" w:color="auto"/>
              <w:right w:val="single" w:sz="4" w:space="0" w:color="auto"/>
            </w:tcBorders>
            <w:shd w:val="clear" w:color="000000" w:fill="97D3A8"/>
            <w:noWrap/>
            <w:vAlign w:val="bottom"/>
            <w:hideMark/>
          </w:tcPr>
          <w:p w:rsidR="00E07890" w:rsidRPr="0039748C" w:rsidRDefault="00E07890" w:rsidP="00E07890">
            <w:pPr>
              <w:spacing w:before="0"/>
              <w:rPr>
                <w:sz w:val="18"/>
                <w:szCs w:val="18"/>
              </w:rPr>
            </w:pPr>
            <w:r w:rsidRPr="0039748C">
              <w:rPr>
                <w:sz w:val="18"/>
                <w:szCs w:val="18"/>
              </w:rPr>
              <w:t>23,9 %</w:t>
            </w:r>
          </w:p>
        </w:tc>
        <w:tc>
          <w:tcPr>
            <w:tcW w:w="456" w:type="pct"/>
            <w:tcBorders>
              <w:top w:val="single" w:sz="4" w:space="0" w:color="auto"/>
              <w:left w:val="single" w:sz="4" w:space="0" w:color="auto"/>
              <w:bottom w:val="single" w:sz="8" w:space="0" w:color="auto"/>
              <w:right w:val="single" w:sz="4" w:space="0" w:color="auto"/>
            </w:tcBorders>
            <w:shd w:val="clear" w:color="000000" w:fill="C3E5CE"/>
            <w:noWrap/>
            <w:vAlign w:val="bottom"/>
            <w:hideMark/>
          </w:tcPr>
          <w:p w:rsidR="00E07890" w:rsidRPr="0039748C" w:rsidRDefault="00E07890" w:rsidP="00E07890">
            <w:pPr>
              <w:spacing w:before="0"/>
              <w:rPr>
                <w:sz w:val="18"/>
                <w:szCs w:val="18"/>
              </w:rPr>
            </w:pPr>
            <w:r w:rsidRPr="0039748C">
              <w:rPr>
                <w:sz w:val="18"/>
                <w:szCs w:val="18"/>
              </w:rPr>
              <w:t>16,5 %</w:t>
            </w:r>
          </w:p>
        </w:tc>
        <w:tc>
          <w:tcPr>
            <w:tcW w:w="456" w:type="pct"/>
            <w:tcBorders>
              <w:top w:val="single" w:sz="4" w:space="0" w:color="auto"/>
              <w:left w:val="single" w:sz="4" w:space="0" w:color="auto"/>
              <w:bottom w:val="single" w:sz="8" w:space="0" w:color="auto"/>
              <w:right w:val="single" w:sz="4" w:space="0" w:color="auto"/>
            </w:tcBorders>
            <w:shd w:val="clear" w:color="000000" w:fill="82CB96"/>
            <w:noWrap/>
            <w:vAlign w:val="bottom"/>
            <w:hideMark/>
          </w:tcPr>
          <w:p w:rsidR="00E07890" w:rsidRPr="0039748C" w:rsidRDefault="00E07890" w:rsidP="00E07890">
            <w:pPr>
              <w:spacing w:before="0"/>
              <w:rPr>
                <w:sz w:val="18"/>
                <w:szCs w:val="18"/>
              </w:rPr>
            </w:pPr>
            <w:r w:rsidRPr="0039748C">
              <w:rPr>
                <w:sz w:val="18"/>
                <w:szCs w:val="18"/>
              </w:rPr>
              <w:t>27,4 %</w:t>
            </w:r>
          </w:p>
        </w:tc>
        <w:tc>
          <w:tcPr>
            <w:tcW w:w="456" w:type="pct"/>
            <w:tcBorders>
              <w:top w:val="single" w:sz="4" w:space="0" w:color="auto"/>
              <w:left w:val="single" w:sz="4" w:space="0" w:color="auto"/>
              <w:bottom w:val="single" w:sz="8" w:space="0" w:color="auto"/>
              <w:right w:val="single" w:sz="4" w:space="0" w:color="auto"/>
            </w:tcBorders>
            <w:shd w:val="clear" w:color="000000" w:fill="8ED0A0"/>
            <w:noWrap/>
            <w:vAlign w:val="bottom"/>
            <w:hideMark/>
          </w:tcPr>
          <w:p w:rsidR="00E07890" w:rsidRPr="0039748C" w:rsidRDefault="00E07890" w:rsidP="00E07890">
            <w:pPr>
              <w:spacing w:before="0"/>
              <w:rPr>
                <w:sz w:val="18"/>
                <w:szCs w:val="18"/>
              </w:rPr>
            </w:pPr>
            <w:r w:rsidRPr="0039748C">
              <w:rPr>
                <w:sz w:val="18"/>
                <w:szCs w:val="18"/>
              </w:rPr>
              <w:t>25,4 %</w:t>
            </w:r>
          </w:p>
        </w:tc>
      </w:tr>
      <w:tr w:rsidR="00E07890" w:rsidRPr="0039748C" w:rsidTr="002E64D7">
        <w:trPr>
          <w:trHeight w:val="20"/>
        </w:trPr>
        <w:tc>
          <w:tcPr>
            <w:tcW w:w="991"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07890" w:rsidRPr="0039748C" w:rsidRDefault="00E07890" w:rsidP="00E07890">
            <w:pPr>
              <w:spacing w:before="0"/>
              <w:rPr>
                <w:b/>
                <w:sz w:val="18"/>
                <w:szCs w:val="18"/>
              </w:rPr>
            </w:pPr>
            <w:r w:rsidRPr="0039748C">
              <w:rPr>
                <w:b/>
                <w:sz w:val="18"/>
                <w:szCs w:val="18"/>
              </w:rPr>
              <w:t>Olomoucký</w:t>
            </w:r>
          </w:p>
        </w:tc>
        <w:tc>
          <w:tcPr>
            <w:tcW w:w="432" w:type="pct"/>
            <w:tcBorders>
              <w:top w:val="single" w:sz="8" w:space="0" w:color="auto"/>
              <w:left w:val="single" w:sz="4" w:space="0" w:color="auto"/>
              <w:bottom w:val="single" w:sz="8" w:space="0" w:color="auto"/>
              <w:right w:val="single" w:sz="4" w:space="0" w:color="auto"/>
            </w:tcBorders>
            <w:shd w:val="clear" w:color="000000" w:fill="FBBABD"/>
            <w:noWrap/>
            <w:vAlign w:val="bottom"/>
            <w:hideMark/>
          </w:tcPr>
          <w:p w:rsidR="00E07890" w:rsidRPr="0039748C" w:rsidRDefault="00E07890" w:rsidP="00E07890">
            <w:pPr>
              <w:spacing w:before="0"/>
              <w:rPr>
                <w:b/>
                <w:sz w:val="18"/>
                <w:szCs w:val="18"/>
              </w:rPr>
            </w:pPr>
            <w:r w:rsidRPr="0039748C">
              <w:rPr>
                <w:b/>
                <w:sz w:val="18"/>
                <w:szCs w:val="18"/>
              </w:rPr>
              <w:t>30,1 %</w:t>
            </w:r>
          </w:p>
        </w:tc>
        <w:tc>
          <w:tcPr>
            <w:tcW w:w="432" w:type="pct"/>
            <w:tcBorders>
              <w:top w:val="single" w:sz="8" w:space="0" w:color="auto"/>
              <w:left w:val="single" w:sz="4" w:space="0" w:color="auto"/>
              <w:bottom w:val="single" w:sz="8" w:space="0" w:color="auto"/>
              <w:right w:val="single" w:sz="4" w:space="0" w:color="auto"/>
            </w:tcBorders>
            <w:shd w:val="clear" w:color="000000" w:fill="FBB5B8"/>
            <w:noWrap/>
            <w:vAlign w:val="bottom"/>
            <w:hideMark/>
          </w:tcPr>
          <w:p w:rsidR="00E07890" w:rsidRPr="0039748C" w:rsidRDefault="00E07890" w:rsidP="00E07890">
            <w:pPr>
              <w:spacing w:before="0"/>
              <w:rPr>
                <w:b/>
                <w:sz w:val="18"/>
                <w:szCs w:val="18"/>
              </w:rPr>
            </w:pPr>
            <w:r w:rsidRPr="0039748C">
              <w:rPr>
                <w:b/>
                <w:sz w:val="18"/>
                <w:szCs w:val="18"/>
              </w:rPr>
              <w:t>30,3 %</w:t>
            </w:r>
          </w:p>
        </w:tc>
        <w:tc>
          <w:tcPr>
            <w:tcW w:w="432" w:type="pct"/>
            <w:tcBorders>
              <w:top w:val="single" w:sz="8" w:space="0" w:color="auto"/>
              <w:left w:val="single" w:sz="4" w:space="0" w:color="auto"/>
              <w:bottom w:val="single" w:sz="8" w:space="0" w:color="auto"/>
              <w:right w:val="single" w:sz="4" w:space="0" w:color="auto"/>
            </w:tcBorders>
            <w:shd w:val="clear" w:color="000000" w:fill="E0E8F5"/>
            <w:noWrap/>
            <w:vAlign w:val="bottom"/>
            <w:hideMark/>
          </w:tcPr>
          <w:p w:rsidR="00E07890" w:rsidRPr="0039748C" w:rsidRDefault="00E07890" w:rsidP="00E07890">
            <w:pPr>
              <w:spacing w:before="0"/>
              <w:rPr>
                <w:b/>
                <w:sz w:val="18"/>
                <w:szCs w:val="18"/>
              </w:rPr>
            </w:pPr>
            <w:r w:rsidRPr="0039748C">
              <w:rPr>
                <w:b/>
                <w:sz w:val="18"/>
                <w:szCs w:val="18"/>
              </w:rPr>
              <w:t>24,1 %</w:t>
            </w:r>
          </w:p>
        </w:tc>
        <w:tc>
          <w:tcPr>
            <w:tcW w:w="432" w:type="pct"/>
            <w:tcBorders>
              <w:top w:val="single" w:sz="8" w:space="0" w:color="auto"/>
              <w:left w:val="single" w:sz="4" w:space="0" w:color="auto"/>
              <w:bottom w:val="single" w:sz="8" w:space="0" w:color="auto"/>
              <w:right w:val="single" w:sz="4" w:space="0" w:color="auto"/>
            </w:tcBorders>
            <w:shd w:val="clear" w:color="000000" w:fill="81A5D3"/>
            <w:noWrap/>
            <w:vAlign w:val="bottom"/>
            <w:hideMark/>
          </w:tcPr>
          <w:p w:rsidR="00E07890" w:rsidRPr="0039748C" w:rsidRDefault="00E07890" w:rsidP="00E07890">
            <w:pPr>
              <w:spacing w:before="0"/>
              <w:rPr>
                <w:b/>
                <w:sz w:val="18"/>
                <w:szCs w:val="18"/>
              </w:rPr>
            </w:pPr>
            <w:r w:rsidRPr="0039748C">
              <w:rPr>
                <w:b/>
                <w:sz w:val="18"/>
                <w:szCs w:val="18"/>
              </w:rPr>
              <w:t>15,4 %</w:t>
            </w:r>
          </w:p>
        </w:tc>
        <w:tc>
          <w:tcPr>
            <w:tcW w:w="456" w:type="pct"/>
            <w:tcBorders>
              <w:top w:val="single" w:sz="8" w:space="0" w:color="auto"/>
              <w:left w:val="single" w:sz="4" w:space="0" w:color="auto"/>
              <w:bottom w:val="single" w:sz="8" w:space="0" w:color="auto"/>
              <w:right w:val="single" w:sz="4" w:space="0" w:color="auto"/>
            </w:tcBorders>
            <w:shd w:val="clear" w:color="000000" w:fill="F7FAFB"/>
            <w:noWrap/>
            <w:vAlign w:val="bottom"/>
            <w:hideMark/>
          </w:tcPr>
          <w:p w:rsidR="00E07890" w:rsidRPr="0039748C" w:rsidRDefault="00E07890" w:rsidP="00E07890">
            <w:pPr>
              <w:spacing w:before="0"/>
              <w:rPr>
                <w:b/>
                <w:sz w:val="18"/>
                <w:szCs w:val="18"/>
              </w:rPr>
            </w:pPr>
            <w:r w:rsidRPr="0039748C">
              <w:rPr>
                <w:b/>
                <w:sz w:val="18"/>
                <w:szCs w:val="18"/>
              </w:rPr>
              <w:t>7,7 %</w:t>
            </w:r>
          </w:p>
        </w:tc>
        <w:tc>
          <w:tcPr>
            <w:tcW w:w="456" w:type="pct"/>
            <w:tcBorders>
              <w:top w:val="single" w:sz="8" w:space="0" w:color="auto"/>
              <w:left w:val="single" w:sz="4" w:space="0" w:color="auto"/>
              <w:bottom w:val="single" w:sz="8" w:space="0" w:color="auto"/>
              <w:right w:val="single" w:sz="4" w:space="0" w:color="auto"/>
            </w:tcBorders>
            <w:shd w:val="clear" w:color="000000" w:fill="9ED6AE"/>
            <w:noWrap/>
            <w:vAlign w:val="bottom"/>
            <w:hideMark/>
          </w:tcPr>
          <w:p w:rsidR="00E07890" w:rsidRPr="0039748C" w:rsidRDefault="00E07890" w:rsidP="00E07890">
            <w:pPr>
              <w:spacing w:before="0"/>
              <w:rPr>
                <w:b/>
                <w:sz w:val="18"/>
                <w:szCs w:val="18"/>
              </w:rPr>
            </w:pPr>
            <w:r w:rsidRPr="0039748C">
              <w:rPr>
                <w:b/>
                <w:sz w:val="18"/>
                <w:szCs w:val="18"/>
              </w:rPr>
              <w:t>22,7 %</w:t>
            </w:r>
          </w:p>
        </w:tc>
        <w:tc>
          <w:tcPr>
            <w:tcW w:w="456" w:type="pct"/>
            <w:tcBorders>
              <w:top w:val="single" w:sz="8" w:space="0" w:color="auto"/>
              <w:left w:val="single" w:sz="4" w:space="0" w:color="auto"/>
              <w:bottom w:val="single" w:sz="8" w:space="0" w:color="auto"/>
              <w:right w:val="single" w:sz="4" w:space="0" w:color="auto"/>
            </w:tcBorders>
            <w:shd w:val="clear" w:color="000000" w:fill="C7E7D2"/>
            <w:noWrap/>
            <w:vAlign w:val="bottom"/>
            <w:hideMark/>
          </w:tcPr>
          <w:p w:rsidR="00E07890" w:rsidRPr="0039748C" w:rsidRDefault="00E07890" w:rsidP="00E07890">
            <w:pPr>
              <w:spacing w:before="0"/>
              <w:rPr>
                <w:b/>
                <w:sz w:val="18"/>
                <w:szCs w:val="18"/>
              </w:rPr>
            </w:pPr>
            <w:r w:rsidRPr="0039748C">
              <w:rPr>
                <w:b/>
                <w:sz w:val="18"/>
                <w:szCs w:val="18"/>
              </w:rPr>
              <w:t>15,7 %</w:t>
            </w:r>
          </w:p>
        </w:tc>
        <w:tc>
          <w:tcPr>
            <w:tcW w:w="456" w:type="pct"/>
            <w:tcBorders>
              <w:top w:val="single" w:sz="8" w:space="0" w:color="auto"/>
              <w:left w:val="single" w:sz="4" w:space="0" w:color="auto"/>
              <w:bottom w:val="single" w:sz="8" w:space="0" w:color="auto"/>
              <w:right w:val="single" w:sz="4" w:space="0" w:color="auto"/>
            </w:tcBorders>
            <w:shd w:val="clear" w:color="000000" w:fill="8ACE9D"/>
            <w:noWrap/>
            <w:vAlign w:val="bottom"/>
            <w:hideMark/>
          </w:tcPr>
          <w:p w:rsidR="00E07890" w:rsidRPr="0039748C" w:rsidRDefault="00E07890" w:rsidP="00E07890">
            <w:pPr>
              <w:spacing w:before="0"/>
              <w:rPr>
                <w:b/>
                <w:sz w:val="18"/>
                <w:szCs w:val="18"/>
              </w:rPr>
            </w:pPr>
            <w:r w:rsidRPr="0039748C">
              <w:rPr>
                <w:b/>
                <w:sz w:val="18"/>
                <w:szCs w:val="18"/>
              </w:rPr>
              <w:t>26,1 %</w:t>
            </w:r>
          </w:p>
        </w:tc>
        <w:tc>
          <w:tcPr>
            <w:tcW w:w="456" w:type="pct"/>
            <w:tcBorders>
              <w:top w:val="single" w:sz="8" w:space="0" w:color="auto"/>
              <w:left w:val="single" w:sz="4" w:space="0" w:color="auto"/>
              <w:bottom w:val="single" w:sz="8" w:space="0" w:color="auto"/>
              <w:right w:val="single" w:sz="8" w:space="0" w:color="auto"/>
            </w:tcBorders>
            <w:shd w:val="clear" w:color="000000" w:fill="80CA94"/>
            <w:noWrap/>
            <w:vAlign w:val="bottom"/>
            <w:hideMark/>
          </w:tcPr>
          <w:p w:rsidR="00E07890" w:rsidRPr="0039748C" w:rsidRDefault="00E07890" w:rsidP="00E07890">
            <w:pPr>
              <w:spacing w:before="0"/>
              <w:rPr>
                <w:b/>
                <w:sz w:val="18"/>
                <w:szCs w:val="18"/>
              </w:rPr>
            </w:pPr>
            <w:r w:rsidRPr="0039748C">
              <w:rPr>
                <w:b/>
                <w:sz w:val="18"/>
                <w:szCs w:val="18"/>
              </w:rPr>
              <w:t>27,8 %</w:t>
            </w:r>
          </w:p>
        </w:tc>
      </w:tr>
      <w:tr w:rsidR="00E07890" w:rsidRPr="0039748C" w:rsidTr="002E64D7">
        <w:trPr>
          <w:trHeight w:val="20"/>
        </w:trPr>
        <w:tc>
          <w:tcPr>
            <w:tcW w:w="991"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Pardubický</w:t>
            </w:r>
          </w:p>
        </w:tc>
        <w:tc>
          <w:tcPr>
            <w:tcW w:w="432" w:type="pct"/>
            <w:tcBorders>
              <w:top w:val="single" w:sz="8" w:space="0" w:color="auto"/>
              <w:left w:val="single" w:sz="4" w:space="0" w:color="auto"/>
              <w:bottom w:val="single" w:sz="4" w:space="0" w:color="auto"/>
              <w:right w:val="single" w:sz="4" w:space="0" w:color="auto"/>
            </w:tcBorders>
            <w:shd w:val="clear" w:color="000000" w:fill="FCF1F4"/>
            <w:noWrap/>
            <w:vAlign w:val="bottom"/>
            <w:hideMark/>
          </w:tcPr>
          <w:p w:rsidR="00E07890" w:rsidRPr="0039748C" w:rsidRDefault="00E07890" w:rsidP="00E07890">
            <w:pPr>
              <w:spacing w:before="0"/>
              <w:rPr>
                <w:sz w:val="18"/>
                <w:szCs w:val="18"/>
              </w:rPr>
            </w:pPr>
            <w:r w:rsidRPr="0039748C">
              <w:rPr>
                <w:sz w:val="18"/>
                <w:szCs w:val="18"/>
              </w:rPr>
              <w:t>27,3 %</w:t>
            </w:r>
          </w:p>
        </w:tc>
        <w:tc>
          <w:tcPr>
            <w:tcW w:w="432" w:type="pct"/>
            <w:tcBorders>
              <w:top w:val="single" w:sz="8" w:space="0" w:color="auto"/>
              <w:left w:val="single" w:sz="4" w:space="0" w:color="auto"/>
              <w:bottom w:val="single" w:sz="4" w:space="0" w:color="auto"/>
              <w:right w:val="single" w:sz="4" w:space="0" w:color="auto"/>
            </w:tcBorders>
            <w:shd w:val="clear" w:color="000000" w:fill="F98C8E"/>
            <w:noWrap/>
            <w:vAlign w:val="bottom"/>
            <w:hideMark/>
          </w:tcPr>
          <w:p w:rsidR="00E07890" w:rsidRPr="0039748C" w:rsidRDefault="00E07890" w:rsidP="00E07890">
            <w:pPr>
              <w:spacing w:before="0"/>
              <w:rPr>
                <w:sz w:val="18"/>
                <w:szCs w:val="18"/>
              </w:rPr>
            </w:pPr>
            <w:r w:rsidRPr="0039748C">
              <w:rPr>
                <w:sz w:val="18"/>
                <w:szCs w:val="18"/>
              </w:rPr>
              <w:t>32,5 %</w:t>
            </w:r>
          </w:p>
        </w:tc>
        <w:tc>
          <w:tcPr>
            <w:tcW w:w="432" w:type="pct"/>
            <w:tcBorders>
              <w:top w:val="single" w:sz="8" w:space="0" w:color="auto"/>
              <w:left w:val="single" w:sz="4" w:space="0" w:color="auto"/>
              <w:bottom w:val="single" w:sz="4" w:space="0" w:color="auto"/>
              <w:right w:val="single" w:sz="4" w:space="0" w:color="auto"/>
            </w:tcBorders>
            <w:shd w:val="clear" w:color="000000" w:fill="F2F5FB"/>
            <w:noWrap/>
            <w:vAlign w:val="bottom"/>
            <w:hideMark/>
          </w:tcPr>
          <w:p w:rsidR="00E07890" w:rsidRPr="0039748C" w:rsidRDefault="00E07890" w:rsidP="00E07890">
            <w:pPr>
              <w:spacing w:before="0"/>
              <w:rPr>
                <w:sz w:val="18"/>
                <w:szCs w:val="18"/>
              </w:rPr>
            </w:pPr>
            <w:r w:rsidRPr="0039748C">
              <w:rPr>
                <w:sz w:val="18"/>
                <w:szCs w:val="18"/>
              </w:rPr>
              <w:t>25,8 %</w:t>
            </w:r>
          </w:p>
        </w:tc>
        <w:tc>
          <w:tcPr>
            <w:tcW w:w="432" w:type="pct"/>
            <w:tcBorders>
              <w:top w:val="single" w:sz="8" w:space="0" w:color="auto"/>
              <w:left w:val="single" w:sz="4" w:space="0" w:color="auto"/>
              <w:bottom w:val="single" w:sz="4" w:space="0" w:color="auto"/>
              <w:right w:val="single" w:sz="4" w:space="0" w:color="auto"/>
            </w:tcBorders>
            <w:shd w:val="clear" w:color="000000" w:fill="779ED0"/>
            <w:noWrap/>
            <w:vAlign w:val="bottom"/>
            <w:hideMark/>
          </w:tcPr>
          <w:p w:rsidR="00E07890" w:rsidRPr="0039748C" w:rsidRDefault="00E07890" w:rsidP="00E07890">
            <w:pPr>
              <w:spacing w:before="0"/>
              <w:rPr>
                <w:sz w:val="18"/>
                <w:szCs w:val="18"/>
              </w:rPr>
            </w:pPr>
            <w:r w:rsidRPr="0039748C">
              <w:rPr>
                <w:sz w:val="18"/>
                <w:szCs w:val="18"/>
              </w:rPr>
              <w:t>14,5 %</w:t>
            </w:r>
          </w:p>
        </w:tc>
        <w:tc>
          <w:tcPr>
            <w:tcW w:w="456" w:type="pct"/>
            <w:tcBorders>
              <w:top w:val="single" w:sz="8" w:space="0" w:color="auto"/>
              <w:left w:val="single" w:sz="4" w:space="0" w:color="auto"/>
              <w:bottom w:val="single" w:sz="4" w:space="0" w:color="auto"/>
              <w:right w:val="single" w:sz="4" w:space="0" w:color="auto"/>
            </w:tcBorders>
            <w:shd w:val="clear" w:color="000000" w:fill="F0F7F5"/>
            <w:noWrap/>
            <w:vAlign w:val="bottom"/>
            <w:hideMark/>
          </w:tcPr>
          <w:p w:rsidR="00E07890" w:rsidRPr="0039748C" w:rsidRDefault="00E07890" w:rsidP="00E07890">
            <w:pPr>
              <w:spacing w:before="0"/>
              <w:rPr>
                <w:sz w:val="18"/>
                <w:szCs w:val="18"/>
              </w:rPr>
            </w:pPr>
            <w:r w:rsidRPr="0039748C">
              <w:rPr>
                <w:sz w:val="18"/>
                <w:szCs w:val="18"/>
              </w:rPr>
              <w:t>8,9 %</w:t>
            </w:r>
          </w:p>
        </w:tc>
        <w:tc>
          <w:tcPr>
            <w:tcW w:w="456" w:type="pct"/>
            <w:tcBorders>
              <w:top w:val="single" w:sz="8" w:space="0" w:color="auto"/>
              <w:left w:val="single" w:sz="4" w:space="0" w:color="auto"/>
              <w:bottom w:val="single" w:sz="4" w:space="0" w:color="auto"/>
              <w:right w:val="single" w:sz="4" w:space="0" w:color="auto"/>
            </w:tcBorders>
            <w:shd w:val="clear" w:color="000000" w:fill="A1D8B1"/>
            <w:noWrap/>
            <w:vAlign w:val="bottom"/>
            <w:hideMark/>
          </w:tcPr>
          <w:p w:rsidR="00E07890" w:rsidRPr="0039748C" w:rsidRDefault="00E07890" w:rsidP="00E07890">
            <w:pPr>
              <w:spacing w:before="0"/>
              <w:rPr>
                <w:sz w:val="18"/>
                <w:szCs w:val="18"/>
              </w:rPr>
            </w:pPr>
            <w:r w:rsidRPr="0039748C">
              <w:rPr>
                <w:sz w:val="18"/>
                <w:szCs w:val="18"/>
              </w:rPr>
              <w:t>22,1 %</w:t>
            </w:r>
          </w:p>
        </w:tc>
        <w:tc>
          <w:tcPr>
            <w:tcW w:w="456" w:type="pct"/>
            <w:tcBorders>
              <w:top w:val="single" w:sz="8" w:space="0" w:color="auto"/>
              <w:left w:val="single" w:sz="4" w:space="0" w:color="auto"/>
              <w:bottom w:val="single" w:sz="4" w:space="0" w:color="auto"/>
              <w:right w:val="single" w:sz="4" w:space="0" w:color="auto"/>
            </w:tcBorders>
            <w:shd w:val="clear" w:color="000000" w:fill="C4E6CF"/>
            <w:noWrap/>
            <w:vAlign w:val="bottom"/>
            <w:hideMark/>
          </w:tcPr>
          <w:p w:rsidR="00E07890" w:rsidRPr="0039748C" w:rsidRDefault="00E07890" w:rsidP="00E07890">
            <w:pPr>
              <w:spacing w:before="0"/>
              <w:rPr>
                <w:sz w:val="18"/>
                <w:szCs w:val="18"/>
              </w:rPr>
            </w:pPr>
            <w:r w:rsidRPr="0039748C">
              <w:rPr>
                <w:sz w:val="18"/>
                <w:szCs w:val="18"/>
              </w:rPr>
              <w:t>16,3 %</w:t>
            </w:r>
          </w:p>
        </w:tc>
        <w:tc>
          <w:tcPr>
            <w:tcW w:w="456" w:type="pct"/>
            <w:tcBorders>
              <w:top w:val="single" w:sz="8" w:space="0" w:color="auto"/>
              <w:left w:val="single" w:sz="4" w:space="0" w:color="auto"/>
              <w:bottom w:val="single" w:sz="4" w:space="0" w:color="auto"/>
              <w:right w:val="single" w:sz="4" w:space="0" w:color="auto"/>
            </w:tcBorders>
            <w:shd w:val="clear" w:color="000000" w:fill="8ACE9D"/>
            <w:noWrap/>
            <w:vAlign w:val="bottom"/>
            <w:hideMark/>
          </w:tcPr>
          <w:p w:rsidR="00E07890" w:rsidRPr="0039748C" w:rsidRDefault="00E07890" w:rsidP="00E07890">
            <w:pPr>
              <w:spacing w:before="0"/>
              <w:rPr>
                <w:sz w:val="18"/>
                <w:szCs w:val="18"/>
              </w:rPr>
            </w:pPr>
            <w:r w:rsidRPr="0039748C">
              <w:rPr>
                <w:sz w:val="18"/>
                <w:szCs w:val="18"/>
              </w:rPr>
              <w:t>26,1 %</w:t>
            </w:r>
          </w:p>
        </w:tc>
        <w:tc>
          <w:tcPr>
            <w:tcW w:w="456" w:type="pct"/>
            <w:tcBorders>
              <w:top w:val="single" w:sz="8" w:space="0" w:color="auto"/>
              <w:left w:val="single" w:sz="4" w:space="0" w:color="auto"/>
              <w:bottom w:val="single" w:sz="4" w:space="0" w:color="auto"/>
              <w:right w:val="single" w:sz="4" w:space="0" w:color="auto"/>
            </w:tcBorders>
            <w:shd w:val="clear" w:color="000000" w:fill="87CD9A"/>
            <w:noWrap/>
            <w:vAlign w:val="bottom"/>
            <w:hideMark/>
          </w:tcPr>
          <w:p w:rsidR="00E07890" w:rsidRPr="0039748C" w:rsidRDefault="00E07890" w:rsidP="00E07890">
            <w:pPr>
              <w:spacing w:before="0"/>
              <w:rPr>
                <w:sz w:val="18"/>
                <w:szCs w:val="18"/>
              </w:rPr>
            </w:pPr>
            <w:r w:rsidRPr="0039748C">
              <w:rPr>
                <w:sz w:val="18"/>
                <w:szCs w:val="18"/>
              </w:rPr>
              <w:t>26,6 %</w:t>
            </w:r>
          </w:p>
        </w:tc>
      </w:tr>
      <w:tr w:rsidR="00E07890" w:rsidRPr="0039748C" w:rsidTr="002E64D7">
        <w:trPr>
          <w:trHeight w:val="20"/>
        </w:trPr>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Plzeňský</w:t>
            </w:r>
          </w:p>
        </w:tc>
        <w:tc>
          <w:tcPr>
            <w:tcW w:w="432" w:type="pct"/>
            <w:tcBorders>
              <w:top w:val="single" w:sz="4" w:space="0" w:color="auto"/>
              <w:left w:val="single" w:sz="4" w:space="0" w:color="auto"/>
              <w:bottom w:val="single" w:sz="4" w:space="0" w:color="auto"/>
              <w:right w:val="single" w:sz="4" w:space="0" w:color="auto"/>
            </w:tcBorders>
            <w:shd w:val="clear" w:color="000000" w:fill="E4EBF6"/>
            <w:noWrap/>
            <w:vAlign w:val="bottom"/>
            <w:hideMark/>
          </w:tcPr>
          <w:p w:rsidR="00E07890" w:rsidRPr="0039748C" w:rsidRDefault="00E07890" w:rsidP="00E07890">
            <w:pPr>
              <w:spacing w:before="0"/>
              <w:rPr>
                <w:sz w:val="18"/>
                <w:szCs w:val="18"/>
              </w:rPr>
            </w:pPr>
            <w:r w:rsidRPr="0039748C">
              <w:rPr>
                <w:sz w:val="18"/>
                <w:szCs w:val="18"/>
              </w:rPr>
              <w:t>24,5 %</w:t>
            </w:r>
          </w:p>
        </w:tc>
        <w:tc>
          <w:tcPr>
            <w:tcW w:w="432" w:type="pct"/>
            <w:tcBorders>
              <w:top w:val="single" w:sz="4" w:space="0" w:color="auto"/>
              <w:left w:val="single" w:sz="4" w:space="0" w:color="auto"/>
              <w:bottom w:val="single" w:sz="4" w:space="0" w:color="auto"/>
              <w:right w:val="single" w:sz="4" w:space="0" w:color="auto"/>
            </w:tcBorders>
            <w:shd w:val="clear" w:color="000000" w:fill="F97779"/>
            <w:noWrap/>
            <w:vAlign w:val="bottom"/>
            <w:hideMark/>
          </w:tcPr>
          <w:p w:rsidR="00E07890" w:rsidRPr="0039748C" w:rsidRDefault="00E07890" w:rsidP="00E07890">
            <w:pPr>
              <w:spacing w:before="0"/>
              <w:rPr>
                <w:sz w:val="18"/>
                <w:szCs w:val="18"/>
              </w:rPr>
            </w:pPr>
            <w:r w:rsidRPr="0039748C">
              <w:rPr>
                <w:sz w:val="18"/>
                <w:szCs w:val="18"/>
              </w:rPr>
              <w:t>33,5 %</w:t>
            </w:r>
          </w:p>
        </w:tc>
        <w:tc>
          <w:tcPr>
            <w:tcW w:w="432"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rsidR="00E07890" w:rsidRPr="0039748C" w:rsidRDefault="00E07890" w:rsidP="00E07890">
            <w:pPr>
              <w:spacing w:before="0"/>
              <w:rPr>
                <w:sz w:val="18"/>
                <w:szCs w:val="18"/>
              </w:rPr>
            </w:pPr>
            <w:r w:rsidRPr="0039748C">
              <w:rPr>
                <w:sz w:val="18"/>
                <w:szCs w:val="18"/>
              </w:rPr>
              <w:t>27,1 %</w:t>
            </w:r>
          </w:p>
        </w:tc>
        <w:tc>
          <w:tcPr>
            <w:tcW w:w="432" w:type="pct"/>
            <w:tcBorders>
              <w:top w:val="single" w:sz="4" w:space="0" w:color="auto"/>
              <w:left w:val="single" w:sz="4" w:space="0" w:color="auto"/>
              <w:bottom w:val="single" w:sz="4" w:space="0" w:color="auto"/>
              <w:right w:val="single" w:sz="4" w:space="0" w:color="auto"/>
            </w:tcBorders>
            <w:shd w:val="clear" w:color="000000" w:fill="7CA2D2"/>
            <w:noWrap/>
            <w:vAlign w:val="bottom"/>
            <w:hideMark/>
          </w:tcPr>
          <w:p w:rsidR="00E07890" w:rsidRPr="0039748C" w:rsidRDefault="00E07890" w:rsidP="00E07890">
            <w:pPr>
              <w:spacing w:before="0"/>
              <w:rPr>
                <w:sz w:val="18"/>
                <w:szCs w:val="18"/>
              </w:rPr>
            </w:pPr>
            <w:r w:rsidRPr="0039748C">
              <w:rPr>
                <w:sz w:val="18"/>
                <w:szCs w:val="18"/>
              </w:rPr>
              <w:t>14,9 %</w:t>
            </w:r>
          </w:p>
        </w:tc>
        <w:tc>
          <w:tcPr>
            <w:tcW w:w="456" w:type="pct"/>
            <w:tcBorders>
              <w:top w:val="single" w:sz="4" w:space="0" w:color="auto"/>
              <w:left w:val="single" w:sz="4" w:space="0" w:color="auto"/>
              <w:bottom w:val="single" w:sz="4" w:space="0" w:color="auto"/>
              <w:right w:val="single" w:sz="4" w:space="0" w:color="auto"/>
            </w:tcBorders>
            <w:shd w:val="clear" w:color="000000" w:fill="ECF6F1"/>
            <w:noWrap/>
            <w:vAlign w:val="bottom"/>
            <w:hideMark/>
          </w:tcPr>
          <w:p w:rsidR="00E07890" w:rsidRPr="0039748C" w:rsidRDefault="00E07890" w:rsidP="00E07890">
            <w:pPr>
              <w:spacing w:before="0"/>
              <w:rPr>
                <w:sz w:val="18"/>
                <w:szCs w:val="18"/>
              </w:rPr>
            </w:pPr>
            <w:r w:rsidRPr="0039748C">
              <w:rPr>
                <w:sz w:val="18"/>
                <w:szCs w:val="18"/>
              </w:rPr>
              <w:t>9,6 %</w:t>
            </w:r>
          </w:p>
        </w:tc>
        <w:tc>
          <w:tcPr>
            <w:tcW w:w="456" w:type="pct"/>
            <w:tcBorders>
              <w:top w:val="single" w:sz="4" w:space="0" w:color="auto"/>
              <w:left w:val="single" w:sz="4" w:space="0" w:color="auto"/>
              <w:bottom w:val="single" w:sz="4" w:space="0" w:color="auto"/>
              <w:right w:val="single" w:sz="4" w:space="0" w:color="auto"/>
            </w:tcBorders>
            <w:shd w:val="clear" w:color="000000" w:fill="9ED6AE"/>
            <w:noWrap/>
            <w:vAlign w:val="bottom"/>
            <w:hideMark/>
          </w:tcPr>
          <w:p w:rsidR="00E07890" w:rsidRPr="0039748C" w:rsidRDefault="00E07890" w:rsidP="00E07890">
            <w:pPr>
              <w:spacing w:before="0"/>
              <w:rPr>
                <w:sz w:val="18"/>
                <w:szCs w:val="18"/>
              </w:rPr>
            </w:pPr>
            <w:r w:rsidRPr="0039748C">
              <w:rPr>
                <w:sz w:val="18"/>
                <w:szCs w:val="18"/>
              </w:rPr>
              <w:t>22,7 %</w:t>
            </w:r>
          </w:p>
        </w:tc>
        <w:tc>
          <w:tcPr>
            <w:tcW w:w="456" w:type="pct"/>
            <w:tcBorders>
              <w:top w:val="single" w:sz="4" w:space="0" w:color="auto"/>
              <w:left w:val="single" w:sz="4" w:space="0" w:color="auto"/>
              <w:bottom w:val="single" w:sz="4" w:space="0" w:color="auto"/>
              <w:right w:val="single" w:sz="4" w:space="0" w:color="auto"/>
            </w:tcBorders>
            <w:shd w:val="clear" w:color="000000" w:fill="C0E4CC"/>
            <w:noWrap/>
            <w:vAlign w:val="bottom"/>
            <w:hideMark/>
          </w:tcPr>
          <w:p w:rsidR="00E07890" w:rsidRPr="0039748C" w:rsidRDefault="00E07890" w:rsidP="00E07890">
            <w:pPr>
              <w:spacing w:before="0"/>
              <w:rPr>
                <w:sz w:val="18"/>
                <w:szCs w:val="18"/>
              </w:rPr>
            </w:pPr>
            <w:r w:rsidRPr="0039748C">
              <w:rPr>
                <w:sz w:val="18"/>
                <w:szCs w:val="18"/>
              </w:rPr>
              <w:t>16,9 %</w:t>
            </w:r>
          </w:p>
        </w:tc>
        <w:tc>
          <w:tcPr>
            <w:tcW w:w="456" w:type="pct"/>
            <w:tcBorders>
              <w:top w:val="single" w:sz="4" w:space="0" w:color="auto"/>
              <w:left w:val="single" w:sz="4" w:space="0" w:color="auto"/>
              <w:bottom w:val="single" w:sz="4" w:space="0" w:color="auto"/>
              <w:right w:val="single" w:sz="4" w:space="0" w:color="auto"/>
            </w:tcBorders>
            <w:shd w:val="clear" w:color="000000" w:fill="8CCF9E"/>
            <w:noWrap/>
            <w:vAlign w:val="bottom"/>
            <w:hideMark/>
          </w:tcPr>
          <w:p w:rsidR="00E07890" w:rsidRPr="0039748C" w:rsidRDefault="00E07890" w:rsidP="00E07890">
            <w:pPr>
              <w:spacing w:before="0"/>
              <w:rPr>
                <w:sz w:val="18"/>
                <w:szCs w:val="18"/>
              </w:rPr>
            </w:pPr>
            <w:r w:rsidRPr="0039748C">
              <w:rPr>
                <w:sz w:val="18"/>
                <w:szCs w:val="18"/>
              </w:rPr>
              <w:t>25,8 %</w:t>
            </w:r>
          </w:p>
        </w:tc>
        <w:tc>
          <w:tcPr>
            <w:tcW w:w="456" w:type="pct"/>
            <w:tcBorders>
              <w:top w:val="single" w:sz="4" w:space="0" w:color="auto"/>
              <w:left w:val="single" w:sz="4" w:space="0" w:color="auto"/>
              <w:bottom w:val="single" w:sz="4" w:space="0" w:color="auto"/>
              <w:right w:val="single" w:sz="4" w:space="0" w:color="auto"/>
            </w:tcBorders>
            <w:shd w:val="clear" w:color="000000" w:fill="90D1A2"/>
            <w:noWrap/>
            <w:vAlign w:val="bottom"/>
            <w:hideMark/>
          </w:tcPr>
          <w:p w:rsidR="00E07890" w:rsidRPr="0039748C" w:rsidRDefault="00E07890" w:rsidP="00E07890">
            <w:pPr>
              <w:spacing w:before="0"/>
              <w:rPr>
                <w:sz w:val="18"/>
                <w:szCs w:val="18"/>
              </w:rPr>
            </w:pPr>
            <w:r w:rsidRPr="0039748C">
              <w:rPr>
                <w:sz w:val="18"/>
                <w:szCs w:val="18"/>
              </w:rPr>
              <w:t>25,0 %</w:t>
            </w:r>
          </w:p>
        </w:tc>
      </w:tr>
      <w:tr w:rsidR="00E07890" w:rsidRPr="0039748C" w:rsidTr="002E64D7">
        <w:trPr>
          <w:trHeight w:val="20"/>
        </w:trPr>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Hl. m. Praha</w:t>
            </w:r>
          </w:p>
        </w:tc>
        <w:tc>
          <w:tcPr>
            <w:tcW w:w="432" w:type="pct"/>
            <w:tcBorders>
              <w:top w:val="single" w:sz="4" w:space="0" w:color="auto"/>
              <w:left w:val="single" w:sz="4" w:space="0" w:color="auto"/>
              <w:bottom w:val="single" w:sz="4" w:space="0" w:color="auto"/>
              <w:right w:val="single" w:sz="4" w:space="0" w:color="auto"/>
            </w:tcBorders>
            <w:shd w:val="clear" w:color="000000" w:fill="FBC7CA"/>
            <w:noWrap/>
            <w:vAlign w:val="bottom"/>
            <w:hideMark/>
          </w:tcPr>
          <w:p w:rsidR="00E07890" w:rsidRPr="0039748C" w:rsidRDefault="00E07890" w:rsidP="00E07890">
            <w:pPr>
              <w:spacing w:before="0"/>
              <w:rPr>
                <w:sz w:val="18"/>
                <w:szCs w:val="18"/>
              </w:rPr>
            </w:pPr>
            <w:r w:rsidRPr="0039748C">
              <w:rPr>
                <w:sz w:val="18"/>
                <w:szCs w:val="18"/>
              </w:rPr>
              <w:t>29,4 %</w:t>
            </w:r>
          </w:p>
        </w:tc>
        <w:tc>
          <w:tcPr>
            <w:tcW w:w="432" w:type="pct"/>
            <w:tcBorders>
              <w:top w:val="single" w:sz="4" w:space="0" w:color="auto"/>
              <w:left w:val="single" w:sz="4" w:space="0" w:color="auto"/>
              <w:bottom w:val="single" w:sz="4" w:space="0" w:color="auto"/>
              <w:right w:val="single" w:sz="4" w:space="0" w:color="auto"/>
            </w:tcBorders>
            <w:shd w:val="clear" w:color="000000" w:fill="F9888A"/>
            <w:noWrap/>
            <w:vAlign w:val="bottom"/>
            <w:hideMark/>
          </w:tcPr>
          <w:p w:rsidR="00E07890" w:rsidRPr="0039748C" w:rsidRDefault="00E07890" w:rsidP="00E07890">
            <w:pPr>
              <w:spacing w:before="0"/>
              <w:rPr>
                <w:sz w:val="18"/>
                <w:szCs w:val="18"/>
              </w:rPr>
            </w:pPr>
            <w:r w:rsidRPr="0039748C">
              <w:rPr>
                <w:sz w:val="18"/>
                <w:szCs w:val="18"/>
              </w:rPr>
              <w:t>32,7 %</w:t>
            </w:r>
          </w:p>
        </w:tc>
        <w:tc>
          <w:tcPr>
            <w:tcW w:w="432" w:type="pct"/>
            <w:tcBorders>
              <w:top w:val="single" w:sz="4" w:space="0" w:color="auto"/>
              <w:left w:val="single" w:sz="4" w:space="0" w:color="auto"/>
              <w:bottom w:val="single" w:sz="4" w:space="0" w:color="auto"/>
              <w:right w:val="single" w:sz="4" w:space="0" w:color="auto"/>
            </w:tcBorders>
            <w:shd w:val="clear" w:color="000000" w:fill="E4EBF6"/>
            <w:noWrap/>
            <w:vAlign w:val="bottom"/>
            <w:hideMark/>
          </w:tcPr>
          <w:p w:rsidR="00E07890" w:rsidRPr="0039748C" w:rsidRDefault="00E07890" w:rsidP="00E07890">
            <w:pPr>
              <w:spacing w:before="0"/>
              <w:rPr>
                <w:sz w:val="18"/>
                <w:szCs w:val="18"/>
              </w:rPr>
            </w:pPr>
            <w:r w:rsidRPr="0039748C">
              <w:rPr>
                <w:sz w:val="18"/>
                <w:szCs w:val="18"/>
              </w:rPr>
              <w:t>24,5 %</w:t>
            </w:r>
          </w:p>
        </w:tc>
        <w:tc>
          <w:tcPr>
            <w:tcW w:w="432" w:type="pct"/>
            <w:tcBorders>
              <w:top w:val="single" w:sz="4" w:space="0" w:color="auto"/>
              <w:left w:val="single" w:sz="4" w:space="0" w:color="auto"/>
              <w:bottom w:val="single" w:sz="4" w:space="0" w:color="auto"/>
              <w:right w:val="single" w:sz="4" w:space="0" w:color="auto"/>
            </w:tcBorders>
            <w:shd w:val="clear" w:color="000000" w:fill="6B96CC"/>
            <w:noWrap/>
            <w:vAlign w:val="bottom"/>
            <w:hideMark/>
          </w:tcPr>
          <w:p w:rsidR="00E07890" w:rsidRPr="0039748C" w:rsidRDefault="00E07890" w:rsidP="00E07890">
            <w:pPr>
              <w:spacing w:before="0"/>
              <w:rPr>
                <w:sz w:val="18"/>
                <w:szCs w:val="18"/>
              </w:rPr>
            </w:pPr>
            <w:r w:rsidRPr="0039748C">
              <w:rPr>
                <w:sz w:val="18"/>
                <w:szCs w:val="18"/>
              </w:rPr>
              <w:t>13,4 %</w:t>
            </w:r>
          </w:p>
        </w:tc>
        <w:tc>
          <w:tcPr>
            <w:tcW w:w="456" w:type="pct"/>
            <w:tcBorders>
              <w:top w:val="single" w:sz="4" w:space="0" w:color="auto"/>
              <w:left w:val="single" w:sz="4" w:space="0" w:color="auto"/>
              <w:bottom w:val="single" w:sz="4" w:space="0" w:color="auto"/>
              <w:right w:val="single" w:sz="4" w:space="0" w:color="auto"/>
            </w:tcBorders>
            <w:shd w:val="clear" w:color="000000" w:fill="EFF7F4"/>
            <w:noWrap/>
            <w:vAlign w:val="bottom"/>
            <w:hideMark/>
          </w:tcPr>
          <w:p w:rsidR="00E07890" w:rsidRPr="0039748C" w:rsidRDefault="00E07890" w:rsidP="00E07890">
            <w:pPr>
              <w:spacing w:before="0"/>
              <w:rPr>
                <w:sz w:val="18"/>
                <w:szCs w:val="18"/>
              </w:rPr>
            </w:pPr>
            <w:r w:rsidRPr="0039748C">
              <w:rPr>
                <w:sz w:val="18"/>
                <w:szCs w:val="18"/>
              </w:rPr>
              <w:t>9,0 %</w:t>
            </w:r>
          </w:p>
        </w:tc>
        <w:tc>
          <w:tcPr>
            <w:tcW w:w="456" w:type="pct"/>
            <w:tcBorders>
              <w:top w:val="single" w:sz="4" w:space="0" w:color="auto"/>
              <w:left w:val="single" w:sz="4" w:space="0" w:color="auto"/>
              <w:bottom w:val="single" w:sz="4" w:space="0" w:color="auto"/>
              <w:right w:val="single" w:sz="4" w:space="0" w:color="auto"/>
            </w:tcBorders>
            <w:shd w:val="clear" w:color="000000" w:fill="ACDCBA"/>
            <w:noWrap/>
            <w:vAlign w:val="bottom"/>
            <w:hideMark/>
          </w:tcPr>
          <w:p w:rsidR="00E07890" w:rsidRPr="0039748C" w:rsidRDefault="00E07890" w:rsidP="00E07890">
            <w:pPr>
              <w:spacing w:before="0"/>
              <w:rPr>
                <w:sz w:val="18"/>
                <w:szCs w:val="18"/>
              </w:rPr>
            </w:pPr>
            <w:r w:rsidRPr="0039748C">
              <w:rPr>
                <w:sz w:val="18"/>
                <w:szCs w:val="18"/>
              </w:rPr>
              <w:t>20,3 %</w:t>
            </w:r>
          </w:p>
        </w:tc>
        <w:tc>
          <w:tcPr>
            <w:tcW w:w="456" w:type="pct"/>
            <w:tcBorders>
              <w:top w:val="single" w:sz="4" w:space="0" w:color="auto"/>
              <w:left w:val="single" w:sz="4" w:space="0" w:color="auto"/>
              <w:bottom w:val="single" w:sz="4" w:space="0" w:color="auto"/>
              <w:right w:val="single" w:sz="4" w:space="0" w:color="auto"/>
            </w:tcBorders>
            <w:shd w:val="clear" w:color="000000" w:fill="CEEAD8"/>
            <w:noWrap/>
            <w:vAlign w:val="bottom"/>
            <w:hideMark/>
          </w:tcPr>
          <w:p w:rsidR="00E07890" w:rsidRPr="0039748C" w:rsidRDefault="00E07890" w:rsidP="00E07890">
            <w:pPr>
              <w:spacing w:before="0"/>
              <w:rPr>
                <w:sz w:val="18"/>
                <w:szCs w:val="18"/>
              </w:rPr>
            </w:pPr>
            <w:r w:rsidRPr="0039748C">
              <w:rPr>
                <w:sz w:val="18"/>
                <w:szCs w:val="18"/>
              </w:rPr>
              <w:t>14,6 %</w:t>
            </w:r>
          </w:p>
        </w:tc>
        <w:tc>
          <w:tcPr>
            <w:tcW w:w="456" w:type="pct"/>
            <w:tcBorders>
              <w:top w:val="single" w:sz="4" w:space="0" w:color="auto"/>
              <w:left w:val="single" w:sz="4" w:space="0" w:color="auto"/>
              <w:bottom w:val="single" w:sz="4" w:space="0" w:color="auto"/>
              <w:right w:val="single" w:sz="4" w:space="0" w:color="auto"/>
            </w:tcBorders>
            <w:shd w:val="clear" w:color="000000" w:fill="99D4AA"/>
            <w:noWrap/>
            <w:vAlign w:val="bottom"/>
            <w:hideMark/>
          </w:tcPr>
          <w:p w:rsidR="00E07890" w:rsidRPr="0039748C" w:rsidRDefault="00E07890" w:rsidP="00E07890">
            <w:pPr>
              <w:spacing w:before="0"/>
              <w:rPr>
                <w:sz w:val="18"/>
                <w:szCs w:val="18"/>
              </w:rPr>
            </w:pPr>
            <w:r w:rsidRPr="0039748C">
              <w:rPr>
                <w:sz w:val="18"/>
                <w:szCs w:val="18"/>
              </w:rPr>
              <w:t>23,5 %</w:t>
            </w:r>
          </w:p>
        </w:tc>
        <w:tc>
          <w:tcPr>
            <w:tcW w:w="456"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E07890" w:rsidRPr="0039748C" w:rsidRDefault="00E07890" w:rsidP="00E07890">
            <w:pPr>
              <w:spacing w:before="0"/>
              <w:rPr>
                <w:sz w:val="18"/>
                <w:szCs w:val="18"/>
              </w:rPr>
            </w:pPr>
            <w:r w:rsidRPr="0039748C">
              <w:rPr>
                <w:sz w:val="18"/>
                <w:szCs w:val="18"/>
              </w:rPr>
              <w:t>32,5 %</w:t>
            </w:r>
          </w:p>
        </w:tc>
      </w:tr>
      <w:tr w:rsidR="00E07890" w:rsidRPr="0039748C" w:rsidTr="002E64D7">
        <w:trPr>
          <w:trHeight w:val="20"/>
        </w:trPr>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Středočeský</w:t>
            </w:r>
          </w:p>
        </w:tc>
        <w:tc>
          <w:tcPr>
            <w:tcW w:w="432" w:type="pct"/>
            <w:tcBorders>
              <w:top w:val="single" w:sz="4" w:space="0" w:color="auto"/>
              <w:left w:val="single" w:sz="4" w:space="0" w:color="auto"/>
              <w:bottom w:val="single" w:sz="4" w:space="0" w:color="auto"/>
              <w:right w:val="single" w:sz="4" w:space="0" w:color="auto"/>
            </w:tcBorders>
            <w:shd w:val="clear" w:color="000000" w:fill="FCEBEE"/>
            <w:noWrap/>
            <w:vAlign w:val="bottom"/>
            <w:hideMark/>
          </w:tcPr>
          <w:p w:rsidR="00E07890" w:rsidRPr="0039748C" w:rsidRDefault="00E07890" w:rsidP="00E07890">
            <w:pPr>
              <w:spacing w:before="0"/>
              <w:rPr>
                <w:sz w:val="18"/>
                <w:szCs w:val="18"/>
              </w:rPr>
            </w:pPr>
            <w:r w:rsidRPr="0039748C">
              <w:rPr>
                <w:sz w:val="18"/>
                <w:szCs w:val="18"/>
              </w:rPr>
              <w:t>27,6 %</w:t>
            </w:r>
          </w:p>
        </w:tc>
        <w:tc>
          <w:tcPr>
            <w:tcW w:w="432" w:type="pct"/>
            <w:tcBorders>
              <w:top w:val="single" w:sz="4" w:space="0" w:color="auto"/>
              <w:left w:val="single" w:sz="4" w:space="0" w:color="auto"/>
              <w:bottom w:val="single" w:sz="4" w:space="0" w:color="auto"/>
              <w:right w:val="single" w:sz="4" w:space="0" w:color="auto"/>
            </w:tcBorders>
            <w:shd w:val="clear" w:color="000000" w:fill="F9898B"/>
            <w:noWrap/>
            <w:vAlign w:val="bottom"/>
            <w:hideMark/>
          </w:tcPr>
          <w:p w:rsidR="00E07890" w:rsidRPr="0039748C" w:rsidRDefault="00E07890" w:rsidP="00E07890">
            <w:pPr>
              <w:spacing w:before="0"/>
              <w:rPr>
                <w:sz w:val="18"/>
                <w:szCs w:val="18"/>
              </w:rPr>
            </w:pPr>
            <w:r w:rsidRPr="0039748C">
              <w:rPr>
                <w:sz w:val="18"/>
                <w:szCs w:val="18"/>
              </w:rPr>
              <w:t>32,6 %</w:t>
            </w:r>
          </w:p>
        </w:tc>
        <w:tc>
          <w:tcPr>
            <w:tcW w:w="432" w:type="pct"/>
            <w:tcBorders>
              <w:top w:val="single" w:sz="4" w:space="0" w:color="auto"/>
              <w:left w:val="single" w:sz="4" w:space="0" w:color="auto"/>
              <w:bottom w:val="single" w:sz="4" w:space="0" w:color="auto"/>
              <w:right w:val="single" w:sz="4" w:space="0" w:color="auto"/>
            </w:tcBorders>
            <w:shd w:val="clear" w:color="000000" w:fill="EAEFF8"/>
            <w:noWrap/>
            <w:vAlign w:val="bottom"/>
            <w:hideMark/>
          </w:tcPr>
          <w:p w:rsidR="00E07890" w:rsidRPr="0039748C" w:rsidRDefault="00E07890" w:rsidP="00E07890">
            <w:pPr>
              <w:spacing w:before="0"/>
              <w:rPr>
                <w:sz w:val="18"/>
                <w:szCs w:val="18"/>
              </w:rPr>
            </w:pPr>
            <w:r w:rsidRPr="0039748C">
              <w:rPr>
                <w:sz w:val="18"/>
                <w:szCs w:val="18"/>
              </w:rPr>
              <w:t>25,1 %</w:t>
            </w:r>
          </w:p>
        </w:tc>
        <w:tc>
          <w:tcPr>
            <w:tcW w:w="432" w:type="pct"/>
            <w:tcBorders>
              <w:top w:val="single" w:sz="4" w:space="0" w:color="auto"/>
              <w:left w:val="single" w:sz="4" w:space="0" w:color="auto"/>
              <w:bottom w:val="single" w:sz="4" w:space="0" w:color="auto"/>
              <w:right w:val="single" w:sz="4" w:space="0" w:color="auto"/>
            </w:tcBorders>
            <w:shd w:val="clear" w:color="000000" w:fill="79A0D1"/>
            <w:noWrap/>
            <w:vAlign w:val="bottom"/>
            <w:hideMark/>
          </w:tcPr>
          <w:p w:rsidR="00E07890" w:rsidRPr="0039748C" w:rsidRDefault="00E07890" w:rsidP="00E07890">
            <w:pPr>
              <w:spacing w:before="0"/>
              <w:rPr>
                <w:sz w:val="18"/>
                <w:szCs w:val="18"/>
              </w:rPr>
            </w:pPr>
            <w:r w:rsidRPr="0039748C">
              <w:rPr>
                <w:sz w:val="18"/>
                <w:szCs w:val="18"/>
              </w:rPr>
              <w:t>14,7 %</w:t>
            </w:r>
          </w:p>
        </w:tc>
        <w:tc>
          <w:tcPr>
            <w:tcW w:w="456" w:type="pct"/>
            <w:tcBorders>
              <w:top w:val="single" w:sz="4" w:space="0" w:color="auto"/>
              <w:left w:val="single" w:sz="4" w:space="0" w:color="auto"/>
              <w:bottom w:val="single" w:sz="4" w:space="0" w:color="auto"/>
              <w:right w:val="single" w:sz="4" w:space="0" w:color="auto"/>
            </w:tcBorders>
            <w:shd w:val="clear" w:color="000000" w:fill="E8F4ED"/>
            <w:noWrap/>
            <w:vAlign w:val="bottom"/>
            <w:hideMark/>
          </w:tcPr>
          <w:p w:rsidR="00E07890" w:rsidRPr="0039748C" w:rsidRDefault="00E07890" w:rsidP="00E07890">
            <w:pPr>
              <w:spacing w:before="0"/>
              <w:rPr>
                <w:sz w:val="18"/>
                <w:szCs w:val="18"/>
              </w:rPr>
            </w:pPr>
            <w:r w:rsidRPr="0039748C">
              <w:rPr>
                <w:sz w:val="18"/>
                <w:szCs w:val="18"/>
              </w:rPr>
              <w:t>10,4 %</w:t>
            </w:r>
          </w:p>
        </w:tc>
        <w:tc>
          <w:tcPr>
            <w:tcW w:w="456" w:type="pct"/>
            <w:tcBorders>
              <w:top w:val="single" w:sz="4" w:space="0" w:color="auto"/>
              <w:left w:val="single" w:sz="4" w:space="0" w:color="auto"/>
              <w:bottom w:val="single" w:sz="4" w:space="0" w:color="auto"/>
              <w:right w:val="single" w:sz="4" w:space="0" w:color="auto"/>
            </w:tcBorders>
            <w:shd w:val="clear" w:color="000000" w:fill="9ED6AE"/>
            <w:noWrap/>
            <w:vAlign w:val="bottom"/>
            <w:hideMark/>
          </w:tcPr>
          <w:p w:rsidR="00E07890" w:rsidRPr="0039748C" w:rsidRDefault="00E07890" w:rsidP="00E07890">
            <w:pPr>
              <w:spacing w:before="0"/>
              <w:rPr>
                <w:sz w:val="18"/>
                <w:szCs w:val="18"/>
              </w:rPr>
            </w:pPr>
            <w:r w:rsidRPr="0039748C">
              <w:rPr>
                <w:sz w:val="18"/>
                <w:szCs w:val="18"/>
              </w:rPr>
              <w:t>22,8 %</w:t>
            </w:r>
          </w:p>
        </w:tc>
        <w:tc>
          <w:tcPr>
            <w:tcW w:w="456" w:type="pct"/>
            <w:tcBorders>
              <w:top w:val="single" w:sz="4" w:space="0" w:color="auto"/>
              <w:left w:val="single" w:sz="4" w:space="0" w:color="auto"/>
              <w:bottom w:val="single" w:sz="4" w:space="0" w:color="auto"/>
              <w:right w:val="single" w:sz="4" w:space="0" w:color="auto"/>
            </w:tcBorders>
            <w:shd w:val="clear" w:color="000000" w:fill="C7E7D1"/>
            <w:noWrap/>
            <w:vAlign w:val="bottom"/>
            <w:hideMark/>
          </w:tcPr>
          <w:p w:rsidR="00E07890" w:rsidRPr="0039748C" w:rsidRDefault="00E07890" w:rsidP="00E07890">
            <w:pPr>
              <w:spacing w:before="0"/>
              <w:rPr>
                <w:sz w:val="18"/>
                <w:szCs w:val="18"/>
              </w:rPr>
            </w:pPr>
            <w:r w:rsidRPr="0039748C">
              <w:rPr>
                <w:sz w:val="18"/>
                <w:szCs w:val="18"/>
              </w:rPr>
              <w:t>15,9 %</w:t>
            </w:r>
          </w:p>
        </w:tc>
        <w:tc>
          <w:tcPr>
            <w:tcW w:w="456" w:type="pct"/>
            <w:tcBorders>
              <w:top w:val="single" w:sz="4" w:space="0" w:color="auto"/>
              <w:left w:val="single" w:sz="4" w:space="0" w:color="auto"/>
              <w:bottom w:val="single" w:sz="4" w:space="0" w:color="auto"/>
              <w:right w:val="single" w:sz="4" w:space="0" w:color="auto"/>
            </w:tcBorders>
            <w:shd w:val="clear" w:color="000000" w:fill="90D0A1"/>
            <w:noWrap/>
            <w:vAlign w:val="bottom"/>
            <w:hideMark/>
          </w:tcPr>
          <w:p w:rsidR="00E07890" w:rsidRPr="0039748C" w:rsidRDefault="00E07890" w:rsidP="00E07890">
            <w:pPr>
              <w:spacing w:before="0"/>
              <w:rPr>
                <w:sz w:val="18"/>
                <w:szCs w:val="18"/>
              </w:rPr>
            </w:pPr>
            <w:r w:rsidRPr="0039748C">
              <w:rPr>
                <w:sz w:val="18"/>
                <w:szCs w:val="18"/>
              </w:rPr>
              <w:t>25,1 %</w:t>
            </w:r>
          </w:p>
        </w:tc>
        <w:tc>
          <w:tcPr>
            <w:tcW w:w="456" w:type="pct"/>
            <w:tcBorders>
              <w:top w:val="single" w:sz="4" w:space="0" w:color="auto"/>
              <w:left w:val="single" w:sz="4" w:space="0" w:color="auto"/>
              <w:bottom w:val="single" w:sz="4" w:space="0" w:color="auto"/>
              <w:right w:val="single" w:sz="4" w:space="0" w:color="auto"/>
            </w:tcBorders>
            <w:shd w:val="clear" w:color="000000" w:fill="8BCE9D"/>
            <w:noWrap/>
            <w:vAlign w:val="bottom"/>
            <w:hideMark/>
          </w:tcPr>
          <w:p w:rsidR="00E07890" w:rsidRPr="0039748C" w:rsidRDefault="00E07890" w:rsidP="00E07890">
            <w:pPr>
              <w:spacing w:before="0"/>
              <w:rPr>
                <w:sz w:val="18"/>
                <w:szCs w:val="18"/>
              </w:rPr>
            </w:pPr>
            <w:r w:rsidRPr="0039748C">
              <w:rPr>
                <w:sz w:val="18"/>
                <w:szCs w:val="18"/>
              </w:rPr>
              <w:t>25,9 %</w:t>
            </w:r>
          </w:p>
        </w:tc>
      </w:tr>
      <w:tr w:rsidR="00E07890" w:rsidRPr="0039748C" w:rsidTr="002E64D7">
        <w:trPr>
          <w:trHeight w:val="20"/>
        </w:trPr>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Ústecký</w:t>
            </w:r>
          </w:p>
        </w:tc>
        <w:tc>
          <w:tcPr>
            <w:tcW w:w="432" w:type="pct"/>
            <w:tcBorders>
              <w:top w:val="single" w:sz="4" w:space="0" w:color="auto"/>
              <w:left w:val="single" w:sz="4" w:space="0" w:color="auto"/>
              <w:bottom w:val="single" w:sz="4" w:space="0" w:color="auto"/>
              <w:right w:val="single" w:sz="4" w:space="0" w:color="auto"/>
            </w:tcBorders>
            <w:shd w:val="clear" w:color="000000" w:fill="FAB1B4"/>
            <w:noWrap/>
            <w:vAlign w:val="bottom"/>
            <w:hideMark/>
          </w:tcPr>
          <w:p w:rsidR="00E07890" w:rsidRPr="0039748C" w:rsidRDefault="00E07890" w:rsidP="00E07890">
            <w:pPr>
              <w:spacing w:before="0"/>
              <w:rPr>
                <w:sz w:val="18"/>
                <w:szCs w:val="18"/>
              </w:rPr>
            </w:pPr>
            <w:r w:rsidRPr="0039748C">
              <w:rPr>
                <w:sz w:val="18"/>
                <w:szCs w:val="18"/>
              </w:rPr>
              <w:t>30,6 %</w:t>
            </w:r>
          </w:p>
        </w:tc>
        <w:tc>
          <w:tcPr>
            <w:tcW w:w="432"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E07890" w:rsidRPr="0039748C" w:rsidRDefault="00E07890" w:rsidP="00E07890">
            <w:pPr>
              <w:spacing w:before="0"/>
              <w:rPr>
                <w:sz w:val="18"/>
                <w:szCs w:val="18"/>
              </w:rPr>
            </w:pPr>
            <w:r w:rsidRPr="0039748C">
              <w:rPr>
                <w:sz w:val="18"/>
                <w:szCs w:val="18"/>
              </w:rPr>
              <w:t>34,3 %</w:t>
            </w:r>
          </w:p>
        </w:tc>
        <w:tc>
          <w:tcPr>
            <w:tcW w:w="432" w:type="pct"/>
            <w:tcBorders>
              <w:top w:val="single" w:sz="4" w:space="0" w:color="auto"/>
              <w:left w:val="single" w:sz="4" w:space="0" w:color="auto"/>
              <w:bottom w:val="single" w:sz="4" w:space="0" w:color="auto"/>
              <w:right w:val="single" w:sz="4" w:space="0" w:color="auto"/>
            </w:tcBorders>
            <w:shd w:val="clear" w:color="000000" w:fill="D8E2F2"/>
            <w:noWrap/>
            <w:vAlign w:val="bottom"/>
            <w:hideMark/>
          </w:tcPr>
          <w:p w:rsidR="00E07890" w:rsidRPr="0039748C" w:rsidRDefault="00E07890" w:rsidP="00E07890">
            <w:pPr>
              <w:spacing w:before="0"/>
              <w:rPr>
                <w:sz w:val="18"/>
                <w:szCs w:val="18"/>
              </w:rPr>
            </w:pPr>
            <w:r w:rsidRPr="0039748C">
              <w:rPr>
                <w:sz w:val="18"/>
                <w:szCs w:val="18"/>
              </w:rPr>
              <w:t>23,4 %</w:t>
            </w:r>
          </w:p>
        </w:tc>
        <w:tc>
          <w:tcPr>
            <w:tcW w:w="432"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E07890" w:rsidRPr="0039748C" w:rsidRDefault="00E07890" w:rsidP="00E07890">
            <w:pPr>
              <w:spacing w:before="0"/>
              <w:rPr>
                <w:sz w:val="18"/>
                <w:szCs w:val="18"/>
              </w:rPr>
            </w:pPr>
            <w:r w:rsidRPr="0039748C">
              <w:rPr>
                <w:sz w:val="18"/>
                <w:szCs w:val="18"/>
              </w:rPr>
              <w:t>11,8 %</w:t>
            </w:r>
          </w:p>
        </w:tc>
        <w:tc>
          <w:tcPr>
            <w:tcW w:w="456" w:type="pct"/>
            <w:tcBorders>
              <w:top w:val="single" w:sz="4" w:space="0" w:color="auto"/>
              <w:left w:val="single" w:sz="4" w:space="0" w:color="auto"/>
              <w:bottom w:val="single" w:sz="4" w:space="0" w:color="auto"/>
              <w:right w:val="single" w:sz="4" w:space="0" w:color="auto"/>
            </w:tcBorders>
            <w:shd w:val="clear" w:color="000000" w:fill="E6F3EC"/>
            <w:noWrap/>
            <w:vAlign w:val="bottom"/>
            <w:hideMark/>
          </w:tcPr>
          <w:p w:rsidR="00E07890" w:rsidRPr="0039748C" w:rsidRDefault="00E07890" w:rsidP="00E07890">
            <w:pPr>
              <w:spacing w:before="0"/>
              <w:rPr>
                <w:sz w:val="18"/>
                <w:szCs w:val="18"/>
              </w:rPr>
            </w:pPr>
            <w:r w:rsidRPr="0039748C">
              <w:rPr>
                <w:sz w:val="18"/>
                <w:szCs w:val="18"/>
              </w:rPr>
              <w:t>10,6 %</w:t>
            </w:r>
          </w:p>
        </w:tc>
        <w:tc>
          <w:tcPr>
            <w:tcW w:w="456" w:type="pct"/>
            <w:tcBorders>
              <w:top w:val="single" w:sz="4" w:space="0" w:color="auto"/>
              <w:left w:val="single" w:sz="4" w:space="0" w:color="auto"/>
              <w:bottom w:val="single" w:sz="4" w:space="0" w:color="auto"/>
              <w:right w:val="single" w:sz="4" w:space="0" w:color="auto"/>
            </w:tcBorders>
            <w:shd w:val="clear" w:color="000000" w:fill="7CC991"/>
            <w:noWrap/>
            <w:vAlign w:val="bottom"/>
            <w:hideMark/>
          </w:tcPr>
          <w:p w:rsidR="00E07890" w:rsidRPr="0039748C" w:rsidRDefault="00E07890" w:rsidP="00E07890">
            <w:pPr>
              <w:spacing w:before="0"/>
              <w:rPr>
                <w:sz w:val="18"/>
                <w:szCs w:val="18"/>
              </w:rPr>
            </w:pPr>
            <w:r w:rsidRPr="0039748C">
              <w:rPr>
                <w:sz w:val="18"/>
                <w:szCs w:val="18"/>
              </w:rPr>
              <w:t>28,3 %</w:t>
            </w:r>
          </w:p>
        </w:tc>
        <w:tc>
          <w:tcPr>
            <w:tcW w:w="456" w:type="pct"/>
            <w:tcBorders>
              <w:top w:val="single" w:sz="4" w:space="0" w:color="auto"/>
              <w:left w:val="single" w:sz="4" w:space="0" w:color="auto"/>
              <w:bottom w:val="single" w:sz="4" w:space="0" w:color="auto"/>
              <w:right w:val="single" w:sz="4" w:space="0" w:color="auto"/>
            </w:tcBorders>
            <w:shd w:val="clear" w:color="000000" w:fill="B4DFC1"/>
            <w:noWrap/>
            <w:vAlign w:val="bottom"/>
            <w:hideMark/>
          </w:tcPr>
          <w:p w:rsidR="00E07890" w:rsidRPr="0039748C" w:rsidRDefault="00E07890" w:rsidP="00E07890">
            <w:pPr>
              <w:spacing w:before="0"/>
              <w:rPr>
                <w:sz w:val="18"/>
                <w:szCs w:val="18"/>
              </w:rPr>
            </w:pPr>
            <w:r w:rsidRPr="0039748C">
              <w:rPr>
                <w:sz w:val="18"/>
                <w:szCs w:val="18"/>
              </w:rPr>
              <w:t>18,9 %</w:t>
            </w:r>
          </w:p>
        </w:tc>
        <w:tc>
          <w:tcPr>
            <w:tcW w:w="456" w:type="pct"/>
            <w:tcBorders>
              <w:top w:val="single" w:sz="4" w:space="0" w:color="auto"/>
              <w:left w:val="single" w:sz="4" w:space="0" w:color="auto"/>
              <w:bottom w:val="single" w:sz="4" w:space="0" w:color="auto"/>
              <w:right w:val="single" w:sz="4" w:space="0" w:color="auto"/>
            </w:tcBorders>
            <w:shd w:val="clear" w:color="000000" w:fill="99D4AA"/>
            <w:noWrap/>
            <w:vAlign w:val="bottom"/>
            <w:hideMark/>
          </w:tcPr>
          <w:p w:rsidR="00E07890" w:rsidRPr="0039748C" w:rsidRDefault="00E07890" w:rsidP="00E07890">
            <w:pPr>
              <w:spacing w:before="0"/>
              <w:rPr>
                <w:sz w:val="18"/>
                <w:szCs w:val="18"/>
              </w:rPr>
            </w:pPr>
            <w:r w:rsidRPr="0039748C">
              <w:rPr>
                <w:sz w:val="18"/>
                <w:szCs w:val="18"/>
              </w:rPr>
              <w:t>23,5 %</w:t>
            </w:r>
          </w:p>
        </w:tc>
        <w:tc>
          <w:tcPr>
            <w:tcW w:w="456" w:type="pct"/>
            <w:tcBorders>
              <w:top w:val="single" w:sz="4" w:space="0" w:color="auto"/>
              <w:left w:val="single" w:sz="4" w:space="0" w:color="auto"/>
              <w:bottom w:val="single" w:sz="4" w:space="0" w:color="auto"/>
              <w:right w:val="single" w:sz="4" w:space="0" w:color="auto"/>
            </w:tcBorders>
            <w:shd w:val="clear" w:color="000000" w:fill="B6E0C2"/>
            <w:noWrap/>
            <w:vAlign w:val="bottom"/>
            <w:hideMark/>
          </w:tcPr>
          <w:p w:rsidR="00E07890" w:rsidRPr="0039748C" w:rsidRDefault="00E07890" w:rsidP="00E07890">
            <w:pPr>
              <w:spacing w:before="0"/>
              <w:rPr>
                <w:sz w:val="18"/>
                <w:szCs w:val="18"/>
              </w:rPr>
            </w:pPr>
            <w:r w:rsidRPr="0039748C">
              <w:rPr>
                <w:sz w:val="18"/>
                <w:szCs w:val="18"/>
              </w:rPr>
              <w:t>18,7 %</w:t>
            </w:r>
          </w:p>
        </w:tc>
      </w:tr>
      <w:tr w:rsidR="00E07890" w:rsidRPr="0039748C" w:rsidTr="002E64D7">
        <w:trPr>
          <w:trHeight w:val="20"/>
        </w:trPr>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Vysočina</w:t>
            </w:r>
          </w:p>
        </w:tc>
        <w:tc>
          <w:tcPr>
            <w:tcW w:w="432" w:type="pct"/>
            <w:tcBorders>
              <w:top w:val="single" w:sz="4" w:space="0" w:color="auto"/>
              <w:left w:val="single" w:sz="4" w:space="0" w:color="auto"/>
              <w:bottom w:val="single" w:sz="4" w:space="0" w:color="auto"/>
              <w:right w:val="single" w:sz="4" w:space="0" w:color="auto"/>
            </w:tcBorders>
            <w:shd w:val="clear" w:color="000000" w:fill="EDF1F9"/>
            <w:noWrap/>
            <w:vAlign w:val="bottom"/>
            <w:hideMark/>
          </w:tcPr>
          <w:p w:rsidR="00E07890" w:rsidRPr="0039748C" w:rsidRDefault="00E07890" w:rsidP="00E07890">
            <w:pPr>
              <w:spacing w:before="0"/>
              <w:rPr>
                <w:sz w:val="18"/>
                <w:szCs w:val="18"/>
              </w:rPr>
            </w:pPr>
            <w:r w:rsidRPr="0039748C">
              <w:rPr>
                <w:sz w:val="18"/>
                <w:szCs w:val="18"/>
              </w:rPr>
              <w:t>25,3 %</w:t>
            </w:r>
          </w:p>
        </w:tc>
        <w:tc>
          <w:tcPr>
            <w:tcW w:w="432" w:type="pct"/>
            <w:tcBorders>
              <w:top w:val="single" w:sz="4" w:space="0" w:color="auto"/>
              <w:left w:val="single" w:sz="4" w:space="0" w:color="auto"/>
              <w:bottom w:val="single" w:sz="4" w:space="0" w:color="auto"/>
              <w:right w:val="single" w:sz="4" w:space="0" w:color="auto"/>
            </w:tcBorders>
            <w:shd w:val="clear" w:color="000000" w:fill="FAADAF"/>
            <w:noWrap/>
            <w:vAlign w:val="bottom"/>
            <w:hideMark/>
          </w:tcPr>
          <w:p w:rsidR="00E07890" w:rsidRPr="0039748C" w:rsidRDefault="00E07890" w:rsidP="00E07890">
            <w:pPr>
              <w:spacing w:before="0"/>
              <w:rPr>
                <w:sz w:val="18"/>
                <w:szCs w:val="18"/>
              </w:rPr>
            </w:pPr>
            <w:r w:rsidRPr="0039748C">
              <w:rPr>
                <w:sz w:val="18"/>
                <w:szCs w:val="18"/>
              </w:rPr>
              <w:t>30,8 %</w:t>
            </w:r>
          </w:p>
        </w:tc>
        <w:tc>
          <w:tcPr>
            <w:tcW w:w="432"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rsidR="00E07890" w:rsidRPr="0039748C" w:rsidRDefault="00E07890" w:rsidP="00E07890">
            <w:pPr>
              <w:spacing w:before="0"/>
              <w:rPr>
                <w:sz w:val="18"/>
                <w:szCs w:val="18"/>
              </w:rPr>
            </w:pPr>
            <w:r w:rsidRPr="0039748C">
              <w:rPr>
                <w:sz w:val="18"/>
                <w:szCs w:val="18"/>
              </w:rPr>
              <w:t>27,2 %</w:t>
            </w:r>
          </w:p>
        </w:tc>
        <w:tc>
          <w:tcPr>
            <w:tcW w:w="432" w:type="pct"/>
            <w:tcBorders>
              <w:top w:val="single" w:sz="4" w:space="0" w:color="auto"/>
              <w:left w:val="single" w:sz="4" w:space="0" w:color="auto"/>
              <w:bottom w:val="single" w:sz="4" w:space="0" w:color="auto"/>
              <w:right w:val="single" w:sz="4" w:space="0" w:color="auto"/>
            </w:tcBorders>
            <w:shd w:val="clear" w:color="000000" w:fill="8FAFD8"/>
            <w:noWrap/>
            <w:vAlign w:val="bottom"/>
            <w:hideMark/>
          </w:tcPr>
          <w:p w:rsidR="00E07890" w:rsidRPr="0039748C" w:rsidRDefault="00E07890" w:rsidP="00E07890">
            <w:pPr>
              <w:spacing w:before="0"/>
              <w:rPr>
                <w:sz w:val="18"/>
                <w:szCs w:val="18"/>
              </w:rPr>
            </w:pPr>
            <w:r w:rsidRPr="0039748C">
              <w:rPr>
                <w:sz w:val="18"/>
                <w:szCs w:val="18"/>
              </w:rPr>
              <w:t>16,7 %</w:t>
            </w:r>
          </w:p>
        </w:tc>
        <w:tc>
          <w:tcPr>
            <w:tcW w:w="456" w:type="pct"/>
            <w:tcBorders>
              <w:top w:val="single" w:sz="4" w:space="0" w:color="auto"/>
              <w:left w:val="single" w:sz="4" w:space="0" w:color="auto"/>
              <w:bottom w:val="single" w:sz="4" w:space="0" w:color="auto"/>
              <w:right w:val="single" w:sz="4" w:space="0" w:color="auto"/>
            </w:tcBorders>
            <w:shd w:val="clear" w:color="000000" w:fill="FBFCFE"/>
            <w:noWrap/>
            <w:vAlign w:val="bottom"/>
            <w:hideMark/>
          </w:tcPr>
          <w:p w:rsidR="00E07890" w:rsidRPr="0039748C" w:rsidRDefault="00E07890" w:rsidP="00E07890">
            <w:pPr>
              <w:spacing w:before="0"/>
              <w:rPr>
                <w:sz w:val="18"/>
                <w:szCs w:val="18"/>
              </w:rPr>
            </w:pPr>
            <w:r w:rsidRPr="0039748C">
              <w:rPr>
                <w:sz w:val="18"/>
                <w:szCs w:val="18"/>
              </w:rPr>
              <w:t>7,1 %</w:t>
            </w:r>
          </w:p>
        </w:tc>
        <w:tc>
          <w:tcPr>
            <w:tcW w:w="456" w:type="pct"/>
            <w:tcBorders>
              <w:top w:val="single" w:sz="4" w:space="0" w:color="auto"/>
              <w:left w:val="single" w:sz="4" w:space="0" w:color="auto"/>
              <w:bottom w:val="single" w:sz="4" w:space="0" w:color="auto"/>
              <w:right w:val="single" w:sz="4" w:space="0" w:color="auto"/>
            </w:tcBorders>
            <w:shd w:val="clear" w:color="000000" w:fill="A6D9B5"/>
            <w:noWrap/>
            <w:vAlign w:val="bottom"/>
            <w:hideMark/>
          </w:tcPr>
          <w:p w:rsidR="00E07890" w:rsidRPr="0039748C" w:rsidRDefault="00E07890" w:rsidP="00E07890">
            <w:pPr>
              <w:spacing w:before="0"/>
              <w:rPr>
                <w:sz w:val="18"/>
                <w:szCs w:val="18"/>
              </w:rPr>
            </w:pPr>
            <w:r w:rsidRPr="0039748C">
              <w:rPr>
                <w:sz w:val="18"/>
                <w:szCs w:val="18"/>
              </w:rPr>
              <w:t>21,4 %</w:t>
            </w:r>
          </w:p>
        </w:tc>
        <w:tc>
          <w:tcPr>
            <w:tcW w:w="456" w:type="pct"/>
            <w:tcBorders>
              <w:top w:val="single" w:sz="4" w:space="0" w:color="auto"/>
              <w:left w:val="single" w:sz="4" w:space="0" w:color="auto"/>
              <w:bottom w:val="single" w:sz="4" w:space="0" w:color="auto"/>
              <w:right w:val="single" w:sz="4" w:space="0" w:color="auto"/>
            </w:tcBorders>
            <w:shd w:val="clear" w:color="000000" w:fill="CFEAD8"/>
            <w:noWrap/>
            <w:vAlign w:val="bottom"/>
            <w:hideMark/>
          </w:tcPr>
          <w:p w:rsidR="00E07890" w:rsidRPr="0039748C" w:rsidRDefault="00E07890" w:rsidP="00E07890">
            <w:pPr>
              <w:spacing w:before="0"/>
              <w:rPr>
                <w:sz w:val="18"/>
                <w:szCs w:val="18"/>
              </w:rPr>
            </w:pPr>
            <w:r w:rsidRPr="0039748C">
              <w:rPr>
                <w:sz w:val="18"/>
                <w:szCs w:val="18"/>
              </w:rPr>
              <w:t>14,5 %</w:t>
            </w:r>
          </w:p>
        </w:tc>
        <w:tc>
          <w:tcPr>
            <w:tcW w:w="456" w:type="pct"/>
            <w:tcBorders>
              <w:top w:val="single" w:sz="4" w:space="0" w:color="auto"/>
              <w:left w:val="single" w:sz="4" w:space="0" w:color="auto"/>
              <w:bottom w:val="single" w:sz="4" w:space="0" w:color="auto"/>
              <w:right w:val="single" w:sz="4" w:space="0" w:color="auto"/>
            </w:tcBorders>
            <w:shd w:val="clear" w:color="000000" w:fill="80CA94"/>
            <w:noWrap/>
            <w:vAlign w:val="bottom"/>
            <w:hideMark/>
          </w:tcPr>
          <w:p w:rsidR="00E07890" w:rsidRPr="0039748C" w:rsidRDefault="00E07890" w:rsidP="00E07890">
            <w:pPr>
              <w:spacing w:before="0"/>
              <w:rPr>
                <w:sz w:val="18"/>
                <w:szCs w:val="18"/>
              </w:rPr>
            </w:pPr>
            <w:r w:rsidRPr="0039748C">
              <w:rPr>
                <w:sz w:val="18"/>
                <w:szCs w:val="18"/>
              </w:rPr>
              <w:t>27,8 %</w:t>
            </w:r>
          </w:p>
        </w:tc>
        <w:tc>
          <w:tcPr>
            <w:tcW w:w="456" w:type="pct"/>
            <w:tcBorders>
              <w:top w:val="single" w:sz="4" w:space="0" w:color="auto"/>
              <w:left w:val="single" w:sz="4" w:space="0" w:color="auto"/>
              <w:bottom w:val="single" w:sz="4" w:space="0" w:color="auto"/>
              <w:right w:val="single" w:sz="4" w:space="0" w:color="auto"/>
            </w:tcBorders>
            <w:shd w:val="clear" w:color="000000" w:fill="77C68C"/>
            <w:noWrap/>
            <w:vAlign w:val="bottom"/>
            <w:hideMark/>
          </w:tcPr>
          <w:p w:rsidR="00E07890" w:rsidRPr="0039748C" w:rsidRDefault="00E07890" w:rsidP="00E07890">
            <w:pPr>
              <w:spacing w:before="0"/>
              <w:rPr>
                <w:sz w:val="18"/>
                <w:szCs w:val="18"/>
              </w:rPr>
            </w:pPr>
            <w:r w:rsidRPr="0039748C">
              <w:rPr>
                <w:sz w:val="18"/>
                <w:szCs w:val="18"/>
              </w:rPr>
              <w:t>29,2 %</w:t>
            </w:r>
          </w:p>
        </w:tc>
      </w:tr>
      <w:tr w:rsidR="00E07890" w:rsidRPr="0039748C" w:rsidTr="002E64D7">
        <w:trPr>
          <w:trHeight w:val="20"/>
        </w:trPr>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sz w:val="18"/>
                <w:szCs w:val="18"/>
              </w:rPr>
            </w:pPr>
            <w:r w:rsidRPr="0039748C">
              <w:rPr>
                <w:sz w:val="18"/>
                <w:szCs w:val="18"/>
              </w:rPr>
              <w:t>Zlínský</w:t>
            </w:r>
          </w:p>
        </w:tc>
        <w:tc>
          <w:tcPr>
            <w:tcW w:w="432" w:type="pct"/>
            <w:tcBorders>
              <w:top w:val="single" w:sz="4" w:space="0" w:color="auto"/>
              <w:left w:val="single" w:sz="4" w:space="0" w:color="auto"/>
              <w:bottom w:val="single" w:sz="4" w:space="0" w:color="auto"/>
              <w:right w:val="single" w:sz="4" w:space="0" w:color="auto"/>
            </w:tcBorders>
            <w:shd w:val="clear" w:color="000000" w:fill="F6F8FD"/>
            <w:noWrap/>
            <w:vAlign w:val="bottom"/>
            <w:hideMark/>
          </w:tcPr>
          <w:p w:rsidR="00E07890" w:rsidRPr="0039748C" w:rsidRDefault="00E07890" w:rsidP="00E07890">
            <w:pPr>
              <w:spacing w:before="0"/>
              <w:rPr>
                <w:sz w:val="18"/>
                <w:szCs w:val="18"/>
              </w:rPr>
            </w:pPr>
            <w:r w:rsidRPr="0039748C">
              <w:rPr>
                <w:sz w:val="18"/>
                <w:szCs w:val="18"/>
              </w:rPr>
              <w:t>26,2 %</w:t>
            </w:r>
          </w:p>
        </w:tc>
        <w:tc>
          <w:tcPr>
            <w:tcW w:w="432" w:type="pct"/>
            <w:tcBorders>
              <w:top w:val="single" w:sz="4" w:space="0" w:color="auto"/>
              <w:left w:val="single" w:sz="4" w:space="0" w:color="auto"/>
              <w:bottom w:val="single" w:sz="4" w:space="0" w:color="auto"/>
              <w:right w:val="single" w:sz="4" w:space="0" w:color="auto"/>
            </w:tcBorders>
            <w:shd w:val="clear" w:color="000000" w:fill="FBBFC2"/>
            <w:noWrap/>
            <w:vAlign w:val="bottom"/>
            <w:hideMark/>
          </w:tcPr>
          <w:p w:rsidR="00E07890" w:rsidRPr="0039748C" w:rsidRDefault="00E07890" w:rsidP="00E07890">
            <w:pPr>
              <w:spacing w:before="0"/>
              <w:rPr>
                <w:sz w:val="18"/>
                <w:szCs w:val="18"/>
              </w:rPr>
            </w:pPr>
            <w:r w:rsidRPr="0039748C">
              <w:rPr>
                <w:sz w:val="18"/>
                <w:szCs w:val="18"/>
              </w:rPr>
              <w:t>29,8 %</w:t>
            </w:r>
          </w:p>
        </w:tc>
        <w:tc>
          <w:tcPr>
            <w:tcW w:w="432"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rsidR="00E07890" w:rsidRPr="0039748C" w:rsidRDefault="00E07890" w:rsidP="00E07890">
            <w:pPr>
              <w:spacing w:before="0"/>
              <w:rPr>
                <w:sz w:val="18"/>
                <w:szCs w:val="18"/>
              </w:rPr>
            </w:pPr>
            <w:r w:rsidRPr="0039748C">
              <w:rPr>
                <w:sz w:val="18"/>
                <w:szCs w:val="18"/>
              </w:rPr>
              <w:t>26,7 %</w:t>
            </w:r>
          </w:p>
        </w:tc>
        <w:tc>
          <w:tcPr>
            <w:tcW w:w="432" w:type="pct"/>
            <w:tcBorders>
              <w:top w:val="single" w:sz="4" w:space="0" w:color="auto"/>
              <w:left w:val="single" w:sz="4" w:space="0" w:color="auto"/>
              <w:bottom w:val="single" w:sz="4" w:space="0" w:color="auto"/>
              <w:right w:val="single" w:sz="4" w:space="0" w:color="auto"/>
            </w:tcBorders>
            <w:shd w:val="clear" w:color="000000" w:fill="95B3DA"/>
            <w:noWrap/>
            <w:vAlign w:val="bottom"/>
            <w:hideMark/>
          </w:tcPr>
          <w:p w:rsidR="00E07890" w:rsidRPr="0039748C" w:rsidRDefault="00E07890" w:rsidP="00E07890">
            <w:pPr>
              <w:spacing w:before="0"/>
              <w:rPr>
                <w:sz w:val="18"/>
                <w:szCs w:val="18"/>
              </w:rPr>
            </w:pPr>
            <w:r w:rsidRPr="0039748C">
              <w:rPr>
                <w:sz w:val="18"/>
                <w:szCs w:val="18"/>
              </w:rPr>
              <w:t>17,2 %</w:t>
            </w:r>
          </w:p>
        </w:tc>
        <w:tc>
          <w:tcPr>
            <w:tcW w:w="456" w:type="pct"/>
            <w:tcBorders>
              <w:top w:val="single" w:sz="4" w:space="0" w:color="auto"/>
              <w:left w:val="single" w:sz="4" w:space="0" w:color="auto"/>
              <w:bottom w:val="single" w:sz="4" w:space="0" w:color="auto"/>
              <w:right w:val="single" w:sz="4" w:space="0" w:color="auto"/>
            </w:tcBorders>
            <w:shd w:val="clear" w:color="000000" w:fill="FBFCFE"/>
            <w:noWrap/>
            <w:vAlign w:val="bottom"/>
            <w:hideMark/>
          </w:tcPr>
          <w:p w:rsidR="00E07890" w:rsidRPr="0039748C" w:rsidRDefault="00E07890" w:rsidP="00E07890">
            <w:pPr>
              <w:spacing w:before="0"/>
              <w:rPr>
                <w:sz w:val="18"/>
                <w:szCs w:val="18"/>
              </w:rPr>
            </w:pPr>
            <w:r w:rsidRPr="0039748C">
              <w:rPr>
                <w:sz w:val="18"/>
                <w:szCs w:val="18"/>
              </w:rPr>
              <w:t>7,0 %</w:t>
            </w:r>
          </w:p>
        </w:tc>
        <w:tc>
          <w:tcPr>
            <w:tcW w:w="456" w:type="pct"/>
            <w:tcBorders>
              <w:top w:val="single" w:sz="4" w:space="0" w:color="auto"/>
              <w:left w:val="single" w:sz="4" w:space="0" w:color="auto"/>
              <w:bottom w:val="single" w:sz="4" w:space="0" w:color="auto"/>
              <w:right w:val="single" w:sz="4" w:space="0" w:color="auto"/>
            </w:tcBorders>
            <w:shd w:val="clear" w:color="000000" w:fill="ACDCBA"/>
            <w:noWrap/>
            <w:vAlign w:val="bottom"/>
            <w:hideMark/>
          </w:tcPr>
          <w:p w:rsidR="00E07890" w:rsidRPr="0039748C" w:rsidRDefault="00E07890" w:rsidP="00E07890">
            <w:pPr>
              <w:spacing w:before="0"/>
              <w:rPr>
                <w:sz w:val="18"/>
                <w:szCs w:val="18"/>
              </w:rPr>
            </w:pPr>
            <w:r w:rsidRPr="0039748C">
              <w:rPr>
                <w:sz w:val="18"/>
                <w:szCs w:val="18"/>
              </w:rPr>
              <w:t>20,4 %</w:t>
            </w:r>
          </w:p>
        </w:tc>
        <w:tc>
          <w:tcPr>
            <w:tcW w:w="456" w:type="pct"/>
            <w:tcBorders>
              <w:top w:val="single" w:sz="4" w:space="0" w:color="auto"/>
              <w:left w:val="single" w:sz="4" w:space="0" w:color="auto"/>
              <w:bottom w:val="single" w:sz="4" w:space="0" w:color="auto"/>
              <w:right w:val="single" w:sz="4" w:space="0" w:color="auto"/>
            </w:tcBorders>
            <w:shd w:val="clear" w:color="000000" w:fill="CFEAD8"/>
            <w:noWrap/>
            <w:vAlign w:val="bottom"/>
            <w:hideMark/>
          </w:tcPr>
          <w:p w:rsidR="00E07890" w:rsidRPr="0039748C" w:rsidRDefault="00E07890" w:rsidP="00E07890">
            <w:pPr>
              <w:spacing w:before="0"/>
              <w:rPr>
                <w:sz w:val="18"/>
                <w:szCs w:val="18"/>
              </w:rPr>
            </w:pPr>
            <w:r w:rsidRPr="0039748C">
              <w:rPr>
                <w:sz w:val="18"/>
                <w:szCs w:val="18"/>
              </w:rPr>
              <w:t>14,5 %</w:t>
            </w:r>
          </w:p>
        </w:tc>
        <w:tc>
          <w:tcPr>
            <w:tcW w:w="456" w:type="pct"/>
            <w:tcBorders>
              <w:top w:val="single" w:sz="4" w:space="0" w:color="auto"/>
              <w:left w:val="single" w:sz="4" w:space="0" w:color="auto"/>
              <w:bottom w:val="single" w:sz="4" w:space="0" w:color="auto"/>
              <w:right w:val="single" w:sz="4" w:space="0" w:color="auto"/>
            </w:tcBorders>
            <w:shd w:val="clear" w:color="000000" w:fill="7CC991"/>
            <w:noWrap/>
            <w:vAlign w:val="bottom"/>
            <w:hideMark/>
          </w:tcPr>
          <w:p w:rsidR="00E07890" w:rsidRPr="0039748C" w:rsidRDefault="00E07890" w:rsidP="00E07890">
            <w:pPr>
              <w:spacing w:before="0"/>
              <w:rPr>
                <w:sz w:val="18"/>
                <w:szCs w:val="18"/>
              </w:rPr>
            </w:pPr>
            <w:r w:rsidRPr="0039748C">
              <w:rPr>
                <w:sz w:val="18"/>
                <w:szCs w:val="18"/>
              </w:rPr>
              <w:t>28,4 %</w:t>
            </w:r>
          </w:p>
        </w:tc>
        <w:tc>
          <w:tcPr>
            <w:tcW w:w="456" w:type="pct"/>
            <w:tcBorders>
              <w:top w:val="single" w:sz="4" w:space="0" w:color="auto"/>
              <w:left w:val="single" w:sz="4" w:space="0" w:color="auto"/>
              <w:bottom w:val="single" w:sz="4" w:space="0" w:color="auto"/>
              <w:right w:val="single" w:sz="4" w:space="0" w:color="auto"/>
            </w:tcBorders>
            <w:shd w:val="clear" w:color="000000" w:fill="74C58A"/>
            <w:noWrap/>
            <w:vAlign w:val="bottom"/>
            <w:hideMark/>
          </w:tcPr>
          <w:p w:rsidR="00E07890" w:rsidRPr="0039748C" w:rsidRDefault="00E07890" w:rsidP="00E07890">
            <w:pPr>
              <w:spacing w:before="0"/>
              <w:rPr>
                <w:sz w:val="18"/>
                <w:szCs w:val="18"/>
              </w:rPr>
            </w:pPr>
            <w:r w:rsidRPr="0039748C">
              <w:rPr>
                <w:sz w:val="18"/>
                <w:szCs w:val="18"/>
              </w:rPr>
              <w:t>29,7 %</w:t>
            </w:r>
          </w:p>
        </w:tc>
      </w:tr>
      <w:tr w:rsidR="00E07890" w:rsidRPr="0039748C" w:rsidTr="002E64D7">
        <w:trPr>
          <w:trHeight w:val="20"/>
        </w:trPr>
        <w:tc>
          <w:tcPr>
            <w:tcW w:w="9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7890" w:rsidRPr="0039748C" w:rsidRDefault="00E07890" w:rsidP="00E07890">
            <w:pPr>
              <w:spacing w:before="0"/>
              <w:rPr>
                <w:b/>
                <w:bCs/>
                <w:sz w:val="18"/>
                <w:szCs w:val="18"/>
              </w:rPr>
            </w:pPr>
            <w:r w:rsidRPr="0039748C">
              <w:rPr>
                <w:b/>
                <w:bCs/>
                <w:sz w:val="18"/>
                <w:szCs w:val="18"/>
              </w:rPr>
              <w:t>Česká republika</w:t>
            </w:r>
          </w:p>
        </w:tc>
        <w:tc>
          <w:tcPr>
            <w:tcW w:w="432" w:type="pct"/>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E07890" w:rsidRPr="0039748C" w:rsidRDefault="00E07890" w:rsidP="00E07890">
            <w:pPr>
              <w:spacing w:before="0"/>
              <w:rPr>
                <w:b/>
                <w:sz w:val="18"/>
                <w:szCs w:val="18"/>
              </w:rPr>
            </w:pPr>
            <w:r w:rsidRPr="0039748C">
              <w:rPr>
                <w:b/>
                <w:sz w:val="18"/>
                <w:szCs w:val="18"/>
              </w:rPr>
              <w:t>27,8 %</w:t>
            </w:r>
          </w:p>
        </w:tc>
        <w:tc>
          <w:tcPr>
            <w:tcW w:w="432" w:type="pct"/>
            <w:tcBorders>
              <w:top w:val="single" w:sz="4" w:space="0" w:color="auto"/>
              <w:left w:val="single" w:sz="4" w:space="0" w:color="auto"/>
              <w:bottom w:val="single" w:sz="4" w:space="0" w:color="auto"/>
              <w:right w:val="single" w:sz="4" w:space="0" w:color="auto"/>
            </w:tcBorders>
            <w:shd w:val="clear" w:color="000000" w:fill="FA989B"/>
            <w:noWrap/>
            <w:vAlign w:val="bottom"/>
            <w:hideMark/>
          </w:tcPr>
          <w:p w:rsidR="00E07890" w:rsidRPr="0039748C" w:rsidRDefault="00E07890" w:rsidP="00E07890">
            <w:pPr>
              <w:spacing w:before="0"/>
              <w:rPr>
                <w:b/>
                <w:sz w:val="18"/>
                <w:szCs w:val="18"/>
              </w:rPr>
            </w:pPr>
            <w:r w:rsidRPr="0039748C">
              <w:rPr>
                <w:b/>
                <w:sz w:val="18"/>
                <w:szCs w:val="18"/>
              </w:rPr>
              <w:t>31,8 %</w:t>
            </w:r>
          </w:p>
        </w:tc>
        <w:tc>
          <w:tcPr>
            <w:tcW w:w="432" w:type="pct"/>
            <w:tcBorders>
              <w:top w:val="single" w:sz="4" w:space="0" w:color="auto"/>
              <w:left w:val="single" w:sz="4" w:space="0" w:color="auto"/>
              <w:bottom w:val="single" w:sz="4" w:space="0" w:color="auto"/>
              <w:right w:val="single" w:sz="4" w:space="0" w:color="auto"/>
            </w:tcBorders>
            <w:shd w:val="clear" w:color="000000" w:fill="EEF2FA"/>
            <w:noWrap/>
            <w:vAlign w:val="bottom"/>
            <w:hideMark/>
          </w:tcPr>
          <w:p w:rsidR="00E07890" w:rsidRPr="0039748C" w:rsidRDefault="00E07890" w:rsidP="00E07890">
            <w:pPr>
              <w:spacing w:before="0"/>
              <w:rPr>
                <w:b/>
                <w:sz w:val="18"/>
                <w:szCs w:val="18"/>
              </w:rPr>
            </w:pPr>
            <w:r w:rsidRPr="0039748C">
              <w:rPr>
                <w:b/>
                <w:sz w:val="18"/>
                <w:szCs w:val="18"/>
              </w:rPr>
              <w:t>25,5 %</w:t>
            </w:r>
          </w:p>
        </w:tc>
        <w:tc>
          <w:tcPr>
            <w:tcW w:w="432" w:type="pct"/>
            <w:tcBorders>
              <w:top w:val="single" w:sz="4" w:space="0" w:color="auto"/>
              <w:left w:val="single" w:sz="4" w:space="0" w:color="auto"/>
              <w:bottom w:val="single" w:sz="4" w:space="0" w:color="auto"/>
              <w:right w:val="single" w:sz="4" w:space="0" w:color="auto"/>
            </w:tcBorders>
            <w:shd w:val="clear" w:color="000000" w:fill="7CA2D2"/>
            <w:noWrap/>
            <w:vAlign w:val="bottom"/>
            <w:hideMark/>
          </w:tcPr>
          <w:p w:rsidR="00E07890" w:rsidRPr="0039748C" w:rsidRDefault="00E07890" w:rsidP="00E07890">
            <w:pPr>
              <w:spacing w:before="0"/>
              <w:rPr>
                <w:b/>
                <w:sz w:val="18"/>
                <w:szCs w:val="18"/>
              </w:rPr>
            </w:pPr>
            <w:r w:rsidRPr="0039748C">
              <w:rPr>
                <w:b/>
                <w:sz w:val="18"/>
                <w:szCs w:val="18"/>
              </w:rPr>
              <w:t>14,9 %</w:t>
            </w:r>
          </w:p>
        </w:tc>
        <w:tc>
          <w:tcPr>
            <w:tcW w:w="456" w:type="pct"/>
            <w:tcBorders>
              <w:top w:val="single" w:sz="4" w:space="0" w:color="auto"/>
              <w:left w:val="single" w:sz="4" w:space="0" w:color="auto"/>
              <w:bottom w:val="single" w:sz="4" w:space="0" w:color="auto"/>
              <w:right w:val="single" w:sz="4" w:space="0" w:color="auto"/>
            </w:tcBorders>
            <w:shd w:val="clear" w:color="000000" w:fill="F1F8F6"/>
            <w:noWrap/>
            <w:vAlign w:val="bottom"/>
            <w:hideMark/>
          </w:tcPr>
          <w:p w:rsidR="00E07890" w:rsidRPr="0039748C" w:rsidRDefault="00E07890" w:rsidP="00E07890">
            <w:pPr>
              <w:spacing w:before="0"/>
              <w:rPr>
                <w:b/>
                <w:sz w:val="18"/>
                <w:szCs w:val="18"/>
              </w:rPr>
            </w:pPr>
            <w:r w:rsidRPr="0039748C">
              <w:rPr>
                <w:b/>
                <w:sz w:val="18"/>
                <w:szCs w:val="18"/>
              </w:rPr>
              <w:t>8,7 %</w:t>
            </w:r>
          </w:p>
        </w:tc>
        <w:tc>
          <w:tcPr>
            <w:tcW w:w="456" w:type="pct"/>
            <w:tcBorders>
              <w:top w:val="single" w:sz="4" w:space="0" w:color="auto"/>
              <w:left w:val="single" w:sz="4" w:space="0" w:color="auto"/>
              <w:bottom w:val="single" w:sz="4" w:space="0" w:color="auto"/>
              <w:right w:val="single" w:sz="4" w:space="0" w:color="auto"/>
            </w:tcBorders>
            <w:shd w:val="clear" w:color="000000" w:fill="9FD6AE"/>
            <w:noWrap/>
            <w:vAlign w:val="bottom"/>
            <w:hideMark/>
          </w:tcPr>
          <w:p w:rsidR="00E07890" w:rsidRPr="0039748C" w:rsidRDefault="00E07890" w:rsidP="00E07890">
            <w:pPr>
              <w:spacing w:before="0"/>
              <w:rPr>
                <w:b/>
                <w:sz w:val="18"/>
                <w:szCs w:val="18"/>
              </w:rPr>
            </w:pPr>
            <w:r w:rsidRPr="0039748C">
              <w:rPr>
                <w:b/>
                <w:sz w:val="18"/>
                <w:szCs w:val="18"/>
              </w:rPr>
              <w:t>22,6 %</w:t>
            </w:r>
          </w:p>
        </w:tc>
        <w:tc>
          <w:tcPr>
            <w:tcW w:w="456" w:type="pct"/>
            <w:tcBorders>
              <w:top w:val="single" w:sz="4" w:space="0" w:color="auto"/>
              <w:left w:val="single" w:sz="4" w:space="0" w:color="auto"/>
              <w:bottom w:val="single" w:sz="4" w:space="0" w:color="auto"/>
              <w:right w:val="single" w:sz="4" w:space="0" w:color="auto"/>
            </w:tcBorders>
            <w:shd w:val="clear" w:color="000000" w:fill="C6E6D0"/>
            <w:noWrap/>
            <w:vAlign w:val="bottom"/>
            <w:hideMark/>
          </w:tcPr>
          <w:p w:rsidR="00E07890" w:rsidRPr="0039748C" w:rsidRDefault="00E07890" w:rsidP="00E07890">
            <w:pPr>
              <w:spacing w:before="0"/>
              <w:rPr>
                <w:b/>
                <w:sz w:val="18"/>
                <w:szCs w:val="18"/>
              </w:rPr>
            </w:pPr>
            <w:r w:rsidRPr="0039748C">
              <w:rPr>
                <w:b/>
                <w:sz w:val="18"/>
                <w:szCs w:val="18"/>
              </w:rPr>
              <w:t>16,1 %</w:t>
            </w:r>
          </w:p>
        </w:tc>
        <w:tc>
          <w:tcPr>
            <w:tcW w:w="456" w:type="pct"/>
            <w:tcBorders>
              <w:top w:val="single" w:sz="4" w:space="0" w:color="auto"/>
              <w:left w:val="single" w:sz="4" w:space="0" w:color="auto"/>
              <w:bottom w:val="single" w:sz="4" w:space="0" w:color="auto"/>
              <w:right w:val="single" w:sz="4" w:space="0" w:color="auto"/>
            </w:tcBorders>
            <w:shd w:val="clear" w:color="000000" w:fill="8CCF9E"/>
            <w:noWrap/>
            <w:vAlign w:val="bottom"/>
            <w:hideMark/>
          </w:tcPr>
          <w:p w:rsidR="00E07890" w:rsidRPr="0039748C" w:rsidRDefault="00E07890" w:rsidP="00E07890">
            <w:pPr>
              <w:spacing w:before="0"/>
              <w:rPr>
                <w:b/>
                <w:sz w:val="18"/>
                <w:szCs w:val="18"/>
              </w:rPr>
            </w:pPr>
            <w:r w:rsidRPr="0039748C">
              <w:rPr>
                <w:b/>
                <w:sz w:val="18"/>
                <w:szCs w:val="18"/>
              </w:rPr>
              <w:t>25,8 %</w:t>
            </w:r>
          </w:p>
        </w:tc>
        <w:tc>
          <w:tcPr>
            <w:tcW w:w="456" w:type="pct"/>
            <w:tcBorders>
              <w:top w:val="single" w:sz="4" w:space="0" w:color="auto"/>
              <w:left w:val="single" w:sz="4" w:space="0" w:color="auto"/>
              <w:bottom w:val="single" w:sz="4" w:space="0" w:color="auto"/>
              <w:right w:val="single" w:sz="4" w:space="0" w:color="auto"/>
            </w:tcBorders>
            <w:shd w:val="clear" w:color="000000" w:fill="85CC99"/>
            <w:noWrap/>
            <w:vAlign w:val="bottom"/>
            <w:hideMark/>
          </w:tcPr>
          <w:p w:rsidR="00E07890" w:rsidRPr="0039748C" w:rsidRDefault="00E07890" w:rsidP="00E07890">
            <w:pPr>
              <w:spacing w:before="0"/>
              <w:rPr>
                <w:b/>
                <w:sz w:val="18"/>
                <w:szCs w:val="18"/>
              </w:rPr>
            </w:pPr>
            <w:r w:rsidRPr="0039748C">
              <w:rPr>
                <w:b/>
                <w:sz w:val="18"/>
                <w:szCs w:val="18"/>
              </w:rPr>
              <w:t>26,8 %</w:t>
            </w:r>
          </w:p>
        </w:tc>
      </w:tr>
    </w:tbl>
    <w:p w:rsidR="00AF4350" w:rsidRPr="0039748C" w:rsidRDefault="00AF4350" w:rsidP="00E07890">
      <w:pPr>
        <w:pStyle w:val="Zdrojobjektu"/>
      </w:pPr>
      <w:r w:rsidRPr="0039748C">
        <w:t>Zdroj: MPSV (2022)</w:t>
      </w:r>
    </w:p>
    <w:p w:rsidR="00AF4350" w:rsidRPr="0039748C" w:rsidRDefault="00AF4350" w:rsidP="00A34764">
      <w:r w:rsidRPr="0039748C">
        <w:t>Mezi lety 2018 a 2020 došlo v OK k mírnému poklesu (-205) vyplacených příspěvků na péči na hodnotu 22 959. Největší pokles (-606) byl zaznamenán u příspěvků osobám v I. stupni závislosti, u osob ve II. stupni závislosti byl zaznamenán pokles mírnější (-66), u vyšších stupňů závislosti došlo naopak k růstu počtu osob u III. stupně závislosti o 298 a u IV. stupně závislosti o 178 osob. Nejvíce osob pobírá příspěvek v rámci II. stupně závislosti (6 967) a I. stupně závislosti (6 906), následují osoby se III. stupněm závislosti (5 541), nejméně osob pak pobírá příspěvek IV. stupně závislosti (3 545). Počty osob a jejich změnu v jednotlivých SO ORP uvádí následující tabulka.</w:t>
      </w:r>
    </w:p>
    <w:p w:rsidR="00AF4350" w:rsidRPr="0039748C" w:rsidRDefault="00AF4350" w:rsidP="00E07890">
      <w:pPr>
        <w:pStyle w:val="popistabulkySPRSS2024"/>
      </w:pPr>
      <w:bookmarkStart w:id="88" w:name="_Toc117607077"/>
      <w:r w:rsidRPr="0039748C">
        <w:lastRenderedPageBreak/>
        <w:t xml:space="preserve">Tabulka </w:t>
      </w:r>
      <w:r w:rsidR="00412C70">
        <w:fldChar w:fldCharType="begin"/>
      </w:r>
      <w:r w:rsidR="00412C70">
        <w:instrText xml:space="preserve"> SEQ Tabulka \* ARABIC </w:instrText>
      </w:r>
      <w:r w:rsidR="00412C70">
        <w:fldChar w:fldCharType="separate"/>
      </w:r>
      <w:r w:rsidR="003A12AF">
        <w:rPr>
          <w:noProof/>
        </w:rPr>
        <w:t>17</w:t>
      </w:r>
      <w:r w:rsidR="00412C70">
        <w:rPr>
          <w:noProof/>
        </w:rPr>
        <w:fldChar w:fldCharType="end"/>
      </w:r>
      <w:r w:rsidRPr="00870886">
        <w:t xml:space="preserve">: </w:t>
      </w:r>
      <w:r w:rsidRPr="0039748C">
        <w:t>Příspěvek na péči podle stupně závislosti a ORP OK v roce 2020</w:t>
      </w:r>
      <w:bookmarkEnd w:id="88"/>
    </w:p>
    <w:tbl>
      <w:tblPr>
        <w:tblW w:w="5000" w:type="pct"/>
        <w:tblLayout w:type="fixed"/>
        <w:tblCellMar>
          <w:left w:w="70" w:type="dxa"/>
          <w:right w:w="70" w:type="dxa"/>
        </w:tblCellMar>
        <w:tblLook w:val="04A0" w:firstRow="1" w:lastRow="0" w:firstColumn="1" w:lastColumn="0" w:noHBand="0" w:noVBand="1"/>
      </w:tblPr>
      <w:tblGrid>
        <w:gridCol w:w="1130"/>
        <w:gridCol w:w="853"/>
        <w:gridCol w:w="848"/>
        <w:gridCol w:w="1089"/>
        <w:gridCol w:w="647"/>
        <w:gridCol w:w="645"/>
        <w:gridCol w:w="645"/>
        <w:gridCol w:w="649"/>
        <w:gridCol w:w="747"/>
        <w:gridCol w:w="555"/>
        <w:gridCol w:w="631"/>
        <w:gridCol w:w="623"/>
      </w:tblGrid>
      <w:tr w:rsidR="00E07890" w:rsidRPr="00E07890" w:rsidTr="00E07890">
        <w:trPr>
          <w:trHeight w:val="20"/>
        </w:trPr>
        <w:tc>
          <w:tcPr>
            <w:tcW w:w="62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SO ORP</w:t>
            </w:r>
          </w:p>
        </w:tc>
        <w:tc>
          <w:tcPr>
            <w:tcW w:w="47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Celkem za 2018</w:t>
            </w:r>
          </w:p>
        </w:tc>
        <w:tc>
          <w:tcPr>
            <w:tcW w:w="46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Celkem za 2020</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Absolutní změna</w:t>
            </w:r>
          </w:p>
        </w:tc>
        <w:tc>
          <w:tcPr>
            <w:tcW w:w="1427" w:type="pct"/>
            <w:gridSpan w:val="4"/>
            <w:tcBorders>
              <w:top w:val="single" w:sz="4" w:space="0" w:color="auto"/>
              <w:left w:val="nil"/>
              <w:bottom w:val="single" w:sz="4" w:space="0" w:color="auto"/>
              <w:right w:val="single" w:sz="4" w:space="0" w:color="000000"/>
            </w:tcBorders>
            <w:shd w:val="clear" w:color="000000"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V tom podle stupně závislosti</w:t>
            </w:r>
          </w:p>
        </w:tc>
        <w:tc>
          <w:tcPr>
            <w:tcW w:w="1410" w:type="pct"/>
            <w:gridSpan w:val="4"/>
            <w:tcBorders>
              <w:top w:val="single" w:sz="4" w:space="0" w:color="auto"/>
              <w:left w:val="nil"/>
              <w:bottom w:val="single" w:sz="4" w:space="0" w:color="auto"/>
              <w:right w:val="single" w:sz="4" w:space="0" w:color="000000"/>
            </w:tcBorders>
            <w:shd w:val="clear" w:color="000000"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Absolutní změna z roku 2018</w:t>
            </w:r>
          </w:p>
        </w:tc>
      </w:tr>
      <w:tr w:rsidR="00E07890" w:rsidRPr="00E07890" w:rsidTr="00E07890">
        <w:trPr>
          <w:trHeight w:val="20"/>
        </w:trPr>
        <w:tc>
          <w:tcPr>
            <w:tcW w:w="623" w:type="pct"/>
            <w:vMerge/>
            <w:tcBorders>
              <w:top w:val="single" w:sz="4" w:space="0" w:color="auto"/>
              <w:left w:val="single" w:sz="4" w:space="0" w:color="auto"/>
              <w:bottom w:val="single" w:sz="4" w:space="0" w:color="auto"/>
              <w:right w:val="single" w:sz="4" w:space="0" w:color="auto"/>
            </w:tcBorders>
            <w:vAlign w:val="center"/>
            <w:hideMark/>
          </w:tcPr>
          <w:p w:rsidR="00E07890" w:rsidRPr="00E07890" w:rsidRDefault="00E07890" w:rsidP="00E07890">
            <w:pPr>
              <w:spacing w:before="0"/>
              <w:jc w:val="center"/>
              <w:rPr>
                <w:rFonts w:cs="Segoe UI"/>
                <w:b/>
                <w:bCs/>
                <w:sz w:val="18"/>
                <w:szCs w:val="18"/>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E07890" w:rsidRPr="00E07890" w:rsidRDefault="00E07890" w:rsidP="00E07890">
            <w:pPr>
              <w:spacing w:before="0"/>
              <w:jc w:val="center"/>
              <w:rPr>
                <w:rFonts w:cs="Segoe UI"/>
                <w:b/>
                <w:bCs/>
                <w:sz w:val="18"/>
                <w:szCs w:val="18"/>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E07890" w:rsidRPr="00E07890" w:rsidRDefault="00E07890" w:rsidP="00E07890">
            <w:pPr>
              <w:spacing w:before="0"/>
              <w:jc w:val="center"/>
              <w:rPr>
                <w:rFonts w:cs="Segoe UI"/>
                <w:b/>
                <w:bCs/>
                <w:sz w:val="18"/>
                <w:szCs w:val="18"/>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E07890" w:rsidRPr="00E07890" w:rsidRDefault="00E07890" w:rsidP="00E07890">
            <w:pPr>
              <w:spacing w:before="0"/>
              <w:jc w:val="center"/>
              <w:rPr>
                <w:rFonts w:cs="Segoe UI"/>
                <w:b/>
                <w:bCs/>
                <w:sz w:val="18"/>
                <w:szCs w:val="18"/>
              </w:rPr>
            </w:pPr>
          </w:p>
        </w:tc>
        <w:tc>
          <w:tcPr>
            <w:tcW w:w="357" w:type="pct"/>
            <w:tcBorders>
              <w:top w:val="nil"/>
              <w:left w:val="nil"/>
              <w:bottom w:val="single" w:sz="4" w:space="0" w:color="auto"/>
              <w:right w:val="single" w:sz="4" w:space="0" w:color="auto"/>
            </w:tcBorders>
            <w:shd w:val="clear" w:color="DCE6F1"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I.</w:t>
            </w:r>
          </w:p>
        </w:tc>
        <w:tc>
          <w:tcPr>
            <w:tcW w:w="356" w:type="pct"/>
            <w:tcBorders>
              <w:top w:val="nil"/>
              <w:left w:val="nil"/>
              <w:bottom w:val="single" w:sz="4" w:space="0" w:color="auto"/>
              <w:right w:val="single" w:sz="4" w:space="0" w:color="auto"/>
            </w:tcBorders>
            <w:shd w:val="clear" w:color="DCE6F1"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II.</w:t>
            </w:r>
          </w:p>
        </w:tc>
        <w:tc>
          <w:tcPr>
            <w:tcW w:w="356" w:type="pct"/>
            <w:tcBorders>
              <w:top w:val="nil"/>
              <w:left w:val="nil"/>
              <w:bottom w:val="single" w:sz="4" w:space="0" w:color="auto"/>
              <w:right w:val="single" w:sz="4" w:space="0" w:color="auto"/>
            </w:tcBorders>
            <w:shd w:val="clear" w:color="DCE6F1"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III.</w:t>
            </w:r>
          </w:p>
        </w:tc>
        <w:tc>
          <w:tcPr>
            <w:tcW w:w="358" w:type="pct"/>
            <w:tcBorders>
              <w:top w:val="nil"/>
              <w:left w:val="nil"/>
              <w:bottom w:val="single" w:sz="4" w:space="0" w:color="auto"/>
              <w:right w:val="single" w:sz="4" w:space="0" w:color="auto"/>
            </w:tcBorders>
            <w:shd w:val="clear" w:color="DCE6F1"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IV.</w:t>
            </w:r>
          </w:p>
        </w:tc>
        <w:tc>
          <w:tcPr>
            <w:tcW w:w="412" w:type="pct"/>
            <w:tcBorders>
              <w:top w:val="nil"/>
              <w:left w:val="nil"/>
              <w:bottom w:val="single" w:sz="4" w:space="0" w:color="auto"/>
              <w:right w:val="single" w:sz="4" w:space="0" w:color="auto"/>
            </w:tcBorders>
            <w:shd w:val="clear" w:color="DCE6F1"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I.</w:t>
            </w:r>
          </w:p>
        </w:tc>
        <w:tc>
          <w:tcPr>
            <w:tcW w:w="306" w:type="pct"/>
            <w:tcBorders>
              <w:top w:val="nil"/>
              <w:left w:val="nil"/>
              <w:bottom w:val="single" w:sz="4" w:space="0" w:color="auto"/>
              <w:right w:val="single" w:sz="4" w:space="0" w:color="auto"/>
            </w:tcBorders>
            <w:shd w:val="clear" w:color="DCE6F1"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II.</w:t>
            </w:r>
          </w:p>
        </w:tc>
        <w:tc>
          <w:tcPr>
            <w:tcW w:w="348" w:type="pct"/>
            <w:tcBorders>
              <w:top w:val="nil"/>
              <w:left w:val="nil"/>
              <w:bottom w:val="single" w:sz="4" w:space="0" w:color="auto"/>
              <w:right w:val="single" w:sz="4" w:space="0" w:color="auto"/>
            </w:tcBorders>
            <w:shd w:val="clear" w:color="DCE6F1"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III.</w:t>
            </w:r>
          </w:p>
        </w:tc>
        <w:tc>
          <w:tcPr>
            <w:tcW w:w="344" w:type="pct"/>
            <w:tcBorders>
              <w:top w:val="nil"/>
              <w:left w:val="nil"/>
              <w:bottom w:val="single" w:sz="4" w:space="0" w:color="auto"/>
              <w:right w:val="single" w:sz="4" w:space="0" w:color="auto"/>
            </w:tcBorders>
            <w:shd w:val="clear" w:color="DCE6F1"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IV.</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Olomouc</w:t>
            </w:r>
          </w:p>
        </w:tc>
        <w:tc>
          <w:tcPr>
            <w:tcW w:w="470" w:type="pct"/>
            <w:tcBorders>
              <w:top w:val="single" w:sz="4" w:space="0" w:color="auto"/>
              <w:left w:val="single" w:sz="4" w:space="0" w:color="auto"/>
              <w:bottom w:val="single" w:sz="4" w:space="0" w:color="auto"/>
              <w:right w:val="single" w:sz="4" w:space="0" w:color="auto"/>
            </w:tcBorders>
            <w:shd w:val="clear" w:color="000000" w:fill="F96C6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4 689</w:t>
            </w:r>
          </w:p>
        </w:tc>
        <w:tc>
          <w:tcPr>
            <w:tcW w:w="468"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4 774</w:t>
            </w:r>
          </w:p>
        </w:tc>
        <w:tc>
          <w:tcPr>
            <w:tcW w:w="60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85</w:t>
            </w:r>
          </w:p>
        </w:tc>
        <w:tc>
          <w:tcPr>
            <w:tcW w:w="357"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1 623</w:t>
            </w:r>
          </w:p>
        </w:tc>
        <w:tc>
          <w:tcPr>
            <w:tcW w:w="356" w:type="pct"/>
            <w:tcBorders>
              <w:top w:val="single" w:sz="4" w:space="0" w:color="auto"/>
              <w:left w:val="single" w:sz="4" w:space="0" w:color="auto"/>
              <w:bottom w:val="single" w:sz="4" w:space="0" w:color="auto"/>
              <w:right w:val="single" w:sz="4" w:space="0" w:color="auto"/>
            </w:tcBorders>
            <w:shd w:val="clear" w:color="000000" w:fill="F9757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1 505</w:t>
            </w:r>
          </w:p>
        </w:tc>
        <w:tc>
          <w:tcPr>
            <w:tcW w:w="356" w:type="pct"/>
            <w:tcBorders>
              <w:top w:val="single" w:sz="4" w:space="0" w:color="auto"/>
              <w:left w:val="single" w:sz="4" w:space="0" w:color="auto"/>
              <w:bottom w:val="single" w:sz="4" w:space="0" w:color="auto"/>
              <w:right w:val="single" w:sz="4" w:space="0" w:color="auto"/>
            </w:tcBorders>
            <w:shd w:val="clear" w:color="000000" w:fill="FAA4A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996</w:t>
            </w:r>
          </w:p>
        </w:tc>
        <w:tc>
          <w:tcPr>
            <w:tcW w:w="358" w:type="pct"/>
            <w:tcBorders>
              <w:top w:val="single" w:sz="4" w:space="0" w:color="auto"/>
              <w:left w:val="single" w:sz="4" w:space="0" w:color="auto"/>
              <w:bottom w:val="single" w:sz="4" w:space="0" w:color="auto"/>
              <w:right w:val="single" w:sz="4" w:space="0" w:color="auto"/>
            </w:tcBorders>
            <w:shd w:val="clear" w:color="000000" w:fill="FBC5C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650</w:t>
            </w:r>
          </w:p>
        </w:tc>
        <w:tc>
          <w:tcPr>
            <w:tcW w:w="412"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-186</w:t>
            </w:r>
          </w:p>
        </w:tc>
        <w:tc>
          <w:tcPr>
            <w:tcW w:w="306" w:type="pct"/>
            <w:tcBorders>
              <w:top w:val="single" w:sz="4" w:space="0" w:color="auto"/>
              <w:left w:val="single" w:sz="4" w:space="0" w:color="auto"/>
              <w:bottom w:val="single" w:sz="4" w:space="0" w:color="auto"/>
              <w:right w:val="single" w:sz="4" w:space="0" w:color="auto"/>
            </w:tcBorders>
            <w:shd w:val="clear" w:color="000000" w:fill="FAFBF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91</w:t>
            </w:r>
          </w:p>
        </w:tc>
        <w:tc>
          <w:tcPr>
            <w:tcW w:w="348" w:type="pct"/>
            <w:tcBorders>
              <w:top w:val="single" w:sz="4" w:space="0" w:color="auto"/>
              <w:left w:val="single" w:sz="4" w:space="0" w:color="auto"/>
              <w:bottom w:val="single" w:sz="4" w:space="0" w:color="auto"/>
              <w:right w:val="single" w:sz="4" w:space="0" w:color="auto"/>
            </w:tcBorders>
            <w:shd w:val="clear" w:color="000000" w:fill="F9FAF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88</w:t>
            </w:r>
          </w:p>
        </w:tc>
        <w:tc>
          <w:tcPr>
            <w:tcW w:w="344" w:type="pct"/>
            <w:tcBorders>
              <w:top w:val="single" w:sz="4" w:space="0" w:color="auto"/>
              <w:left w:val="single" w:sz="4" w:space="0" w:color="auto"/>
              <w:bottom w:val="single" w:sz="4" w:space="0" w:color="auto"/>
              <w:right w:val="single" w:sz="4" w:space="0" w:color="auto"/>
            </w:tcBorders>
            <w:shd w:val="clear" w:color="000000" w:fill="FBFBF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92</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Přerov</w:t>
            </w:r>
          </w:p>
        </w:tc>
        <w:tc>
          <w:tcPr>
            <w:tcW w:w="470" w:type="pct"/>
            <w:tcBorders>
              <w:top w:val="single" w:sz="4" w:space="0" w:color="auto"/>
              <w:left w:val="single" w:sz="4" w:space="0" w:color="auto"/>
              <w:bottom w:val="single" w:sz="4" w:space="0" w:color="auto"/>
              <w:right w:val="single" w:sz="4" w:space="0" w:color="auto"/>
            </w:tcBorders>
            <w:shd w:val="clear" w:color="000000" w:fill="F9888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3 868</w:t>
            </w:r>
          </w:p>
        </w:tc>
        <w:tc>
          <w:tcPr>
            <w:tcW w:w="468" w:type="pct"/>
            <w:tcBorders>
              <w:top w:val="single" w:sz="4" w:space="0" w:color="auto"/>
              <w:left w:val="single" w:sz="4" w:space="0" w:color="auto"/>
              <w:bottom w:val="single" w:sz="4" w:space="0" w:color="auto"/>
              <w:right w:val="single" w:sz="4" w:space="0" w:color="auto"/>
            </w:tcBorders>
            <w:shd w:val="clear" w:color="000000" w:fill="FA8E9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3 685</w:t>
            </w:r>
          </w:p>
        </w:tc>
        <w:tc>
          <w:tcPr>
            <w:tcW w:w="601"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-183</w:t>
            </w:r>
          </w:p>
        </w:tc>
        <w:tc>
          <w:tcPr>
            <w:tcW w:w="357" w:type="pct"/>
            <w:tcBorders>
              <w:top w:val="single" w:sz="4" w:space="0" w:color="auto"/>
              <w:left w:val="single" w:sz="4" w:space="0" w:color="auto"/>
              <w:bottom w:val="single" w:sz="4" w:space="0" w:color="auto"/>
              <w:right w:val="single" w:sz="4" w:space="0" w:color="auto"/>
            </w:tcBorders>
            <w:shd w:val="clear" w:color="000000" w:fill="FAA7A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970</w:t>
            </w:r>
          </w:p>
        </w:tc>
        <w:tc>
          <w:tcPr>
            <w:tcW w:w="356" w:type="pct"/>
            <w:tcBorders>
              <w:top w:val="single" w:sz="4" w:space="0" w:color="auto"/>
              <w:left w:val="single" w:sz="4" w:space="0" w:color="auto"/>
              <w:bottom w:val="single" w:sz="4" w:space="0" w:color="auto"/>
              <w:right w:val="single" w:sz="4" w:space="0" w:color="auto"/>
            </w:tcBorders>
            <w:shd w:val="clear" w:color="000000" w:fill="FA9A9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1 108</w:t>
            </w:r>
          </w:p>
        </w:tc>
        <w:tc>
          <w:tcPr>
            <w:tcW w:w="356" w:type="pct"/>
            <w:tcBorders>
              <w:top w:val="single" w:sz="4" w:space="0" w:color="auto"/>
              <w:left w:val="single" w:sz="4" w:space="0" w:color="auto"/>
              <w:bottom w:val="single" w:sz="4" w:space="0" w:color="auto"/>
              <w:right w:val="single" w:sz="4" w:space="0" w:color="auto"/>
            </w:tcBorders>
            <w:shd w:val="clear" w:color="000000" w:fill="FAA4A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997</w:t>
            </w:r>
          </w:p>
        </w:tc>
        <w:tc>
          <w:tcPr>
            <w:tcW w:w="358" w:type="pct"/>
            <w:tcBorders>
              <w:top w:val="single" w:sz="4" w:space="0" w:color="auto"/>
              <w:left w:val="single" w:sz="4" w:space="0" w:color="auto"/>
              <w:bottom w:val="single" w:sz="4" w:space="0" w:color="auto"/>
              <w:right w:val="single" w:sz="4" w:space="0" w:color="auto"/>
            </w:tcBorders>
            <w:shd w:val="clear" w:color="000000" w:fill="FBC9C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610</w:t>
            </w:r>
          </w:p>
        </w:tc>
        <w:tc>
          <w:tcPr>
            <w:tcW w:w="412" w:type="pct"/>
            <w:tcBorders>
              <w:top w:val="single" w:sz="4" w:space="0" w:color="auto"/>
              <w:left w:val="single" w:sz="4" w:space="0" w:color="auto"/>
              <w:bottom w:val="single" w:sz="4" w:space="0" w:color="auto"/>
              <w:right w:val="single" w:sz="4" w:space="0" w:color="auto"/>
            </w:tcBorders>
            <w:shd w:val="clear" w:color="000000" w:fill="CBE8D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w:t>
            </w:r>
          </w:p>
        </w:tc>
        <w:tc>
          <w:tcPr>
            <w:tcW w:w="306" w:type="pct"/>
            <w:tcBorders>
              <w:top w:val="single" w:sz="4" w:space="0" w:color="auto"/>
              <w:left w:val="single" w:sz="4" w:space="0" w:color="auto"/>
              <w:bottom w:val="single" w:sz="4" w:space="0" w:color="auto"/>
              <w:right w:val="single" w:sz="4" w:space="0" w:color="auto"/>
            </w:tcBorders>
            <w:shd w:val="clear" w:color="000000" w:fill="B6DFC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-34</w:t>
            </w:r>
          </w:p>
        </w:tc>
        <w:tc>
          <w:tcPr>
            <w:tcW w:w="348" w:type="pct"/>
            <w:tcBorders>
              <w:top w:val="single" w:sz="4" w:space="0" w:color="auto"/>
              <w:left w:val="single" w:sz="4" w:space="0" w:color="auto"/>
              <w:bottom w:val="single" w:sz="4" w:space="0" w:color="auto"/>
              <w:right w:val="single" w:sz="4" w:space="0" w:color="auto"/>
            </w:tcBorders>
            <w:shd w:val="clear" w:color="000000" w:fill="A2D7B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-70</w:t>
            </w:r>
          </w:p>
        </w:tc>
        <w:tc>
          <w:tcPr>
            <w:tcW w:w="344" w:type="pct"/>
            <w:tcBorders>
              <w:top w:val="single" w:sz="4" w:space="0" w:color="auto"/>
              <w:left w:val="single" w:sz="4" w:space="0" w:color="auto"/>
              <w:bottom w:val="single" w:sz="4" w:space="0" w:color="auto"/>
              <w:right w:val="single" w:sz="4" w:space="0" w:color="auto"/>
            </w:tcBorders>
            <w:shd w:val="clear" w:color="000000" w:fill="9AD4A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-84</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Prostějov</w:t>
            </w:r>
          </w:p>
        </w:tc>
        <w:tc>
          <w:tcPr>
            <w:tcW w:w="470" w:type="pct"/>
            <w:tcBorders>
              <w:top w:val="single" w:sz="4" w:space="0" w:color="auto"/>
              <w:left w:val="single" w:sz="4" w:space="0" w:color="auto"/>
              <w:bottom w:val="single" w:sz="4" w:space="0" w:color="auto"/>
              <w:right w:val="single" w:sz="4" w:space="0" w:color="auto"/>
            </w:tcBorders>
            <w:shd w:val="clear" w:color="000000" w:fill="FA979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3 445</w:t>
            </w:r>
          </w:p>
        </w:tc>
        <w:tc>
          <w:tcPr>
            <w:tcW w:w="468" w:type="pct"/>
            <w:tcBorders>
              <w:top w:val="single" w:sz="4" w:space="0" w:color="auto"/>
              <w:left w:val="single" w:sz="4" w:space="0" w:color="auto"/>
              <w:bottom w:val="single" w:sz="4" w:space="0" w:color="auto"/>
              <w:right w:val="single" w:sz="4" w:space="0" w:color="auto"/>
            </w:tcBorders>
            <w:shd w:val="clear" w:color="000000" w:fill="FA9B9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3 312</w:t>
            </w:r>
          </w:p>
        </w:tc>
        <w:tc>
          <w:tcPr>
            <w:tcW w:w="601" w:type="pct"/>
            <w:tcBorders>
              <w:top w:val="single" w:sz="4" w:space="0" w:color="auto"/>
              <w:left w:val="single" w:sz="4" w:space="0" w:color="auto"/>
              <w:bottom w:val="single" w:sz="4" w:space="0" w:color="auto"/>
              <w:right w:val="single" w:sz="4" w:space="0" w:color="auto"/>
            </w:tcBorders>
            <w:shd w:val="clear" w:color="000000" w:fill="7FC99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-133</w:t>
            </w:r>
          </w:p>
        </w:tc>
        <w:tc>
          <w:tcPr>
            <w:tcW w:w="357" w:type="pct"/>
            <w:tcBorders>
              <w:top w:val="single" w:sz="4" w:space="0" w:color="auto"/>
              <w:left w:val="single" w:sz="4" w:space="0" w:color="auto"/>
              <w:bottom w:val="single" w:sz="4" w:space="0" w:color="auto"/>
              <w:right w:val="single" w:sz="4" w:space="0" w:color="auto"/>
            </w:tcBorders>
            <w:shd w:val="clear" w:color="000000" w:fill="FA909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1 211</w:t>
            </w:r>
          </w:p>
        </w:tc>
        <w:tc>
          <w:tcPr>
            <w:tcW w:w="356" w:type="pct"/>
            <w:tcBorders>
              <w:top w:val="single" w:sz="4" w:space="0" w:color="auto"/>
              <w:left w:val="single" w:sz="4" w:space="0" w:color="auto"/>
              <w:bottom w:val="single" w:sz="4" w:space="0" w:color="auto"/>
              <w:right w:val="single" w:sz="4" w:space="0" w:color="auto"/>
            </w:tcBorders>
            <w:shd w:val="clear" w:color="000000" w:fill="FAA1A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1 030</w:t>
            </w:r>
          </w:p>
        </w:tc>
        <w:tc>
          <w:tcPr>
            <w:tcW w:w="356" w:type="pct"/>
            <w:tcBorders>
              <w:top w:val="single" w:sz="4" w:space="0" w:color="auto"/>
              <w:left w:val="single" w:sz="4" w:space="0" w:color="auto"/>
              <w:bottom w:val="single" w:sz="4" w:space="0" w:color="auto"/>
              <w:right w:val="single" w:sz="4" w:space="0" w:color="auto"/>
            </w:tcBorders>
            <w:shd w:val="clear" w:color="000000" w:fill="FBC5C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647</w:t>
            </w:r>
          </w:p>
        </w:tc>
        <w:tc>
          <w:tcPr>
            <w:tcW w:w="358" w:type="pct"/>
            <w:tcBorders>
              <w:top w:val="single" w:sz="4" w:space="0" w:color="auto"/>
              <w:left w:val="single" w:sz="4" w:space="0" w:color="auto"/>
              <w:bottom w:val="single" w:sz="4" w:space="0" w:color="auto"/>
              <w:right w:val="single" w:sz="4" w:space="0" w:color="auto"/>
            </w:tcBorders>
            <w:shd w:val="clear" w:color="000000" w:fill="FCDAD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424</w:t>
            </w:r>
          </w:p>
        </w:tc>
        <w:tc>
          <w:tcPr>
            <w:tcW w:w="412" w:type="pct"/>
            <w:tcBorders>
              <w:top w:val="single" w:sz="4" w:space="0" w:color="auto"/>
              <w:left w:val="single" w:sz="4" w:space="0" w:color="auto"/>
              <w:bottom w:val="single" w:sz="4" w:space="0" w:color="auto"/>
              <w:right w:val="single" w:sz="4" w:space="0" w:color="auto"/>
            </w:tcBorders>
            <w:shd w:val="clear" w:color="000000" w:fill="67BF7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-178</w:t>
            </w:r>
          </w:p>
        </w:tc>
        <w:tc>
          <w:tcPr>
            <w:tcW w:w="306" w:type="pct"/>
            <w:tcBorders>
              <w:top w:val="single" w:sz="4" w:space="0" w:color="auto"/>
              <w:left w:val="single" w:sz="4" w:space="0" w:color="auto"/>
              <w:bottom w:val="single" w:sz="4" w:space="0" w:color="auto"/>
              <w:right w:val="single" w:sz="4" w:space="0" w:color="auto"/>
            </w:tcBorders>
            <w:shd w:val="clear" w:color="000000" w:fill="94D2A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-96</w:t>
            </w:r>
          </w:p>
        </w:tc>
        <w:tc>
          <w:tcPr>
            <w:tcW w:w="348" w:type="pct"/>
            <w:tcBorders>
              <w:top w:val="single" w:sz="4" w:space="0" w:color="auto"/>
              <w:left w:val="single" w:sz="4" w:space="0" w:color="auto"/>
              <w:bottom w:val="single" w:sz="4" w:space="0" w:color="auto"/>
              <w:right w:val="single" w:sz="4" w:space="0" w:color="auto"/>
            </w:tcBorders>
            <w:shd w:val="clear" w:color="000000" w:fill="E3F2E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48</w:t>
            </w:r>
          </w:p>
        </w:tc>
        <w:tc>
          <w:tcPr>
            <w:tcW w:w="344"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93</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Šumperk</w:t>
            </w:r>
          </w:p>
        </w:tc>
        <w:tc>
          <w:tcPr>
            <w:tcW w:w="470" w:type="pct"/>
            <w:tcBorders>
              <w:top w:val="single" w:sz="4" w:space="0" w:color="auto"/>
              <w:left w:val="single" w:sz="4" w:space="0" w:color="auto"/>
              <w:bottom w:val="single" w:sz="4" w:space="0" w:color="auto"/>
              <w:right w:val="single" w:sz="4" w:space="0" w:color="auto"/>
            </w:tcBorders>
            <w:shd w:val="clear" w:color="000000" w:fill="FA9FA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3 205</w:t>
            </w:r>
          </w:p>
        </w:tc>
        <w:tc>
          <w:tcPr>
            <w:tcW w:w="468" w:type="pct"/>
            <w:tcBorders>
              <w:top w:val="single" w:sz="4" w:space="0" w:color="auto"/>
              <w:left w:val="single" w:sz="4" w:space="0" w:color="auto"/>
              <w:bottom w:val="single" w:sz="4" w:space="0" w:color="auto"/>
              <w:right w:val="single" w:sz="4" w:space="0" w:color="auto"/>
            </w:tcBorders>
            <w:shd w:val="clear" w:color="000000" w:fill="FA9FA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3 198</w:t>
            </w:r>
          </w:p>
        </w:tc>
        <w:tc>
          <w:tcPr>
            <w:tcW w:w="601" w:type="pct"/>
            <w:tcBorders>
              <w:top w:val="single" w:sz="4" w:space="0" w:color="auto"/>
              <w:left w:val="single" w:sz="4" w:space="0" w:color="auto"/>
              <w:bottom w:val="single" w:sz="4" w:space="0" w:color="auto"/>
              <w:right w:val="single" w:sz="4" w:space="0" w:color="auto"/>
            </w:tcBorders>
            <w:shd w:val="clear" w:color="000000" w:fill="C7E6D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-7</w:t>
            </w:r>
          </w:p>
        </w:tc>
        <w:tc>
          <w:tcPr>
            <w:tcW w:w="357" w:type="pct"/>
            <w:tcBorders>
              <w:top w:val="single" w:sz="4" w:space="0" w:color="auto"/>
              <w:left w:val="single" w:sz="4" w:space="0" w:color="auto"/>
              <w:bottom w:val="single" w:sz="4" w:space="0" w:color="auto"/>
              <w:right w:val="single" w:sz="4" w:space="0" w:color="auto"/>
            </w:tcBorders>
            <w:shd w:val="clear" w:color="000000" w:fill="FBB6B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808</w:t>
            </w:r>
          </w:p>
        </w:tc>
        <w:tc>
          <w:tcPr>
            <w:tcW w:w="356" w:type="pct"/>
            <w:tcBorders>
              <w:top w:val="single" w:sz="4" w:space="0" w:color="auto"/>
              <w:left w:val="single" w:sz="4" w:space="0" w:color="auto"/>
              <w:bottom w:val="single" w:sz="4" w:space="0" w:color="auto"/>
              <w:right w:val="single" w:sz="4" w:space="0" w:color="auto"/>
            </w:tcBorders>
            <w:shd w:val="clear" w:color="000000" w:fill="FAA6A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975</w:t>
            </w:r>
          </w:p>
        </w:tc>
        <w:tc>
          <w:tcPr>
            <w:tcW w:w="356" w:type="pct"/>
            <w:tcBorders>
              <w:top w:val="single" w:sz="4" w:space="0" w:color="auto"/>
              <w:left w:val="single" w:sz="4" w:space="0" w:color="auto"/>
              <w:bottom w:val="single" w:sz="4" w:space="0" w:color="auto"/>
              <w:right w:val="single" w:sz="4" w:space="0" w:color="auto"/>
            </w:tcBorders>
            <w:shd w:val="clear" w:color="000000" w:fill="FAAFB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887</w:t>
            </w:r>
          </w:p>
        </w:tc>
        <w:tc>
          <w:tcPr>
            <w:tcW w:w="358" w:type="pct"/>
            <w:tcBorders>
              <w:top w:val="single" w:sz="4" w:space="0" w:color="auto"/>
              <w:left w:val="single" w:sz="4" w:space="0" w:color="auto"/>
              <w:bottom w:val="single" w:sz="4" w:space="0" w:color="auto"/>
              <w:right w:val="single" w:sz="4" w:space="0" w:color="auto"/>
            </w:tcBorders>
            <w:shd w:val="clear" w:color="000000" w:fill="FBD0D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528</w:t>
            </w:r>
          </w:p>
        </w:tc>
        <w:tc>
          <w:tcPr>
            <w:tcW w:w="412" w:type="pct"/>
            <w:tcBorders>
              <w:top w:val="single" w:sz="4" w:space="0" w:color="auto"/>
              <w:left w:val="single" w:sz="4" w:space="0" w:color="auto"/>
              <w:bottom w:val="single" w:sz="4" w:space="0" w:color="auto"/>
              <w:right w:val="single" w:sz="4" w:space="0" w:color="auto"/>
            </w:tcBorders>
            <w:shd w:val="clear" w:color="000000" w:fill="8DCF9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-108</w:t>
            </w:r>
          </w:p>
        </w:tc>
        <w:tc>
          <w:tcPr>
            <w:tcW w:w="306" w:type="pct"/>
            <w:tcBorders>
              <w:top w:val="single" w:sz="4" w:space="0" w:color="auto"/>
              <w:left w:val="single" w:sz="4" w:space="0" w:color="auto"/>
              <w:bottom w:val="single" w:sz="4" w:space="0" w:color="auto"/>
              <w:right w:val="single" w:sz="4" w:space="0" w:color="auto"/>
            </w:tcBorders>
            <w:shd w:val="clear" w:color="000000" w:fill="BEE2C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-20</w:t>
            </w:r>
          </w:p>
        </w:tc>
        <w:tc>
          <w:tcPr>
            <w:tcW w:w="348" w:type="pct"/>
            <w:tcBorders>
              <w:top w:val="single" w:sz="4" w:space="0" w:color="auto"/>
              <w:left w:val="single" w:sz="4" w:space="0" w:color="auto"/>
              <w:bottom w:val="single" w:sz="4" w:space="0" w:color="auto"/>
              <w:right w:val="single" w:sz="4" w:space="0" w:color="auto"/>
            </w:tcBorders>
            <w:shd w:val="clear" w:color="000000" w:fill="F5F9F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81</w:t>
            </w:r>
          </w:p>
        </w:tc>
        <w:tc>
          <w:tcPr>
            <w:tcW w:w="344" w:type="pct"/>
            <w:tcBorders>
              <w:top w:val="single" w:sz="4" w:space="0" w:color="auto"/>
              <w:left w:val="single" w:sz="4" w:space="0" w:color="auto"/>
              <w:bottom w:val="single" w:sz="4" w:space="0" w:color="auto"/>
              <w:right w:val="single" w:sz="4" w:space="0" w:color="auto"/>
            </w:tcBorders>
            <w:shd w:val="clear" w:color="000000" w:fill="DEF0E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40</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Hranice</w:t>
            </w:r>
          </w:p>
        </w:tc>
        <w:tc>
          <w:tcPr>
            <w:tcW w:w="470" w:type="pct"/>
            <w:tcBorders>
              <w:top w:val="single" w:sz="4" w:space="0" w:color="auto"/>
              <w:left w:val="single" w:sz="4" w:space="0" w:color="auto"/>
              <w:bottom w:val="single" w:sz="4" w:space="0" w:color="auto"/>
              <w:right w:val="single" w:sz="4" w:space="0" w:color="auto"/>
            </w:tcBorders>
            <w:shd w:val="clear" w:color="000000" w:fill="FCD9D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1 502</w:t>
            </w:r>
          </w:p>
        </w:tc>
        <w:tc>
          <w:tcPr>
            <w:tcW w:w="468" w:type="pct"/>
            <w:tcBorders>
              <w:top w:val="single" w:sz="4" w:space="0" w:color="auto"/>
              <w:left w:val="single" w:sz="4" w:space="0" w:color="auto"/>
              <w:bottom w:val="single" w:sz="4" w:space="0" w:color="auto"/>
              <w:right w:val="single" w:sz="4" w:space="0" w:color="auto"/>
            </w:tcBorders>
            <w:shd w:val="clear" w:color="000000" w:fill="FBD6D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1 565</w:t>
            </w:r>
          </w:p>
        </w:tc>
        <w:tc>
          <w:tcPr>
            <w:tcW w:w="601" w:type="pct"/>
            <w:tcBorders>
              <w:top w:val="single" w:sz="4" w:space="0" w:color="auto"/>
              <w:left w:val="single" w:sz="4" w:space="0" w:color="auto"/>
              <w:bottom w:val="single" w:sz="4" w:space="0" w:color="auto"/>
              <w:right w:val="single" w:sz="4" w:space="0" w:color="auto"/>
            </w:tcBorders>
            <w:shd w:val="clear" w:color="000000" w:fill="EFF6F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63</w:t>
            </w:r>
          </w:p>
        </w:tc>
        <w:tc>
          <w:tcPr>
            <w:tcW w:w="357" w:type="pct"/>
            <w:tcBorders>
              <w:top w:val="single" w:sz="4" w:space="0" w:color="auto"/>
              <w:left w:val="single" w:sz="4" w:space="0" w:color="auto"/>
              <w:bottom w:val="single" w:sz="4" w:space="0" w:color="auto"/>
              <w:right w:val="single" w:sz="4" w:space="0" w:color="auto"/>
            </w:tcBorders>
            <w:shd w:val="clear" w:color="000000" w:fill="FCE0E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362</w:t>
            </w:r>
          </w:p>
        </w:tc>
        <w:tc>
          <w:tcPr>
            <w:tcW w:w="356" w:type="pct"/>
            <w:tcBorders>
              <w:top w:val="single" w:sz="4" w:space="0" w:color="auto"/>
              <w:left w:val="single" w:sz="4" w:space="0" w:color="auto"/>
              <w:bottom w:val="single" w:sz="4" w:space="0" w:color="auto"/>
              <w:right w:val="single" w:sz="4" w:space="0" w:color="auto"/>
            </w:tcBorders>
            <w:shd w:val="clear" w:color="000000" w:fill="FBD7D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452</w:t>
            </w:r>
          </w:p>
        </w:tc>
        <w:tc>
          <w:tcPr>
            <w:tcW w:w="356" w:type="pct"/>
            <w:tcBorders>
              <w:top w:val="single" w:sz="4" w:space="0" w:color="auto"/>
              <w:left w:val="single" w:sz="4" w:space="0" w:color="auto"/>
              <w:bottom w:val="single" w:sz="4" w:space="0" w:color="auto"/>
              <w:right w:val="single" w:sz="4" w:space="0" w:color="auto"/>
            </w:tcBorders>
            <w:shd w:val="clear" w:color="000000" w:fill="FBD6D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470</w:t>
            </w:r>
          </w:p>
        </w:tc>
        <w:tc>
          <w:tcPr>
            <w:tcW w:w="358" w:type="pct"/>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281</w:t>
            </w:r>
          </w:p>
        </w:tc>
        <w:tc>
          <w:tcPr>
            <w:tcW w:w="412" w:type="pct"/>
            <w:tcBorders>
              <w:top w:val="single" w:sz="4" w:space="0" w:color="auto"/>
              <w:left w:val="single" w:sz="4" w:space="0" w:color="auto"/>
              <w:bottom w:val="single" w:sz="4" w:space="0" w:color="auto"/>
              <w:right w:val="single" w:sz="4" w:space="0" w:color="auto"/>
            </w:tcBorders>
            <w:shd w:val="clear" w:color="000000" w:fill="DBEEE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34</w:t>
            </w:r>
          </w:p>
        </w:tc>
        <w:tc>
          <w:tcPr>
            <w:tcW w:w="306" w:type="pct"/>
            <w:tcBorders>
              <w:top w:val="single" w:sz="4" w:space="0" w:color="auto"/>
              <w:left w:val="single" w:sz="4" w:space="0" w:color="auto"/>
              <w:bottom w:val="single" w:sz="4" w:space="0" w:color="auto"/>
              <w:right w:val="single" w:sz="4" w:space="0" w:color="auto"/>
            </w:tcBorders>
            <w:shd w:val="clear" w:color="000000" w:fill="CDE9D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w:t>
            </w:r>
          </w:p>
        </w:tc>
        <w:tc>
          <w:tcPr>
            <w:tcW w:w="348" w:type="pct"/>
            <w:tcBorders>
              <w:top w:val="single" w:sz="4" w:space="0" w:color="auto"/>
              <w:left w:val="single" w:sz="4" w:space="0" w:color="auto"/>
              <w:bottom w:val="single" w:sz="4" w:space="0" w:color="auto"/>
              <w:right w:val="single" w:sz="4" w:space="0" w:color="auto"/>
            </w:tcBorders>
            <w:shd w:val="clear" w:color="000000" w:fill="DEF0E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40</w:t>
            </w:r>
          </w:p>
        </w:tc>
        <w:tc>
          <w:tcPr>
            <w:tcW w:w="344" w:type="pct"/>
            <w:tcBorders>
              <w:top w:val="single" w:sz="4" w:space="0" w:color="auto"/>
              <w:left w:val="single" w:sz="4" w:space="0" w:color="auto"/>
              <w:bottom w:val="single" w:sz="4" w:space="0" w:color="auto"/>
              <w:right w:val="single" w:sz="4" w:space="0" w:color="auto"/>
            </w:tcBorders>
            <w:shd w:val="clear" w:color="000000" w:fill="BEE3C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-19</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Zábřeh</w:t>
            </w:r>
          </w:p>
        </w:tc>
        <w:tc>
          <w:tcPr>
            <w:tcW w:w="470" w:type="pct"/>
            <w:tcBorders>
              <w:top w:val="single" w:sz="4" w:space="0" w:color="auto"/>
              <w:left w:val="single" w:sz="4" w:space="0" w:color="auto"/>
              <w:bottom w:val="single" w:sz="4" w:space="0" w:color="auto"/>
              <w:right w:val="single" w:sz="4" w:space="0" w:color="auto"/>
            </w:tcBorders>
            <w:shd w:val="clear" w:color="000000" w:fill="FCE2E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1 238</w:t>
            </w:r>
          </w:p>
        </w:tc>
        <w:tc>
          <w:tcPr>
            <w:tcW w:w="468" w:type="pct"/>
            <w:tcBorders>
              <w:top w:val="single" w:sz="4" w:space="0" w:color="auto"/>
              <w:left w:val="single" w:sz="4" w:space="0" w:color="auto"/>
              <w:bottom w:val="single" w:sz="4" w:space="0" w:color="auto"/>
              <w:right w:val="single" w:sz="4" w:space="0" w:color="auto"/>
            </w:tcBorders>
            <w:shd w:val="clear" w:color="000000" w:fill="FCE1E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1 254</w:t>
            </w:r>
          </w:p>
        </w:tc>
        <w:tc>
          <w:tcPr>
            <w:tcW w:w="601" w:type="pct"/>
            <w:tcBorders>
              <w:top w:val="single" w:sz="4" w:space="0" w:color="auto"/>
              <w:left w:val="single" w:sz="4" w:space="0" w:color="auto"/>
              <w:bottom w:val="single" w:sz="4" w:space="0" w:color="auto"/>
              <w:right w:val="single" w:sz="4" w:space="0" w:color="auto"/>
            </w:tcBorders>
            <w:shd w:val="clear" w:color="000000" w:fill="D4ECD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w:t>
            </w:r>
          </w:p>
        </w:tc>
        <w:tc>
          <w:tcPr>
            <w:tcW w:w="357" w:type="pct"/>
            <w:tcBorders>
              <w:top w:val="single" w:sz="4" w:space="0" w:color="auto"/>
              <w:left w:val="single" w:sz="4" w:space="0" w:color="auto"/>
              <w:bottom w:val="single" w:sz="4" w:space="0" w:color="auto"/>
              <w:right w:val="single" w:sz="4" w:space="0" w:color="auto"/>
            </w:tcBorders>
            <w:shd w:val="clear" w:color="000000" w:fill="FCE6E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298</w:t>
            </w:r>
          </w:p>
        </w:tc>
        <w:tc>
          <w:tcPr>
            <w:tcW w:w="356" w:type="pct"/>
            <w:tcBorders>
              <w:top w:val="single" w:sz="4" w:space="0" w:color="auto"/>
              <w:left w:val="single" w:sz="4" w:space="0" w:color="auto"/>
              <w:bottom w:val="single" w:sz="4" w:space="0" w:color="auto"/>
              <w:right w:val="single" w:sz="4" w:space="0" w:color="auto"/>
            </w:tcBorders>
            <w:shd w:val="clear" w:color="000000" w:fill="FCDCD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400</w:t>
            </w:r>
          </w:p>
        </w:tc>
        <w:tc>
          <w:tcPr>
            <w:tcW w:w="356" w:type="pct"/>
            <w:tcBorders>
              <w:top w:val="single" w:sz="4" w:space="0" w:color="auto"/>
              <w:left w:val="single" w:sz="4" w:space="0" w:color="auto"/>
              <w:bottom w:val="single" w:sz="4" w:space="0" w:color="auto"/>
              <w:right w:val="single" w:sz="4" w:space="0" w:color="auto"/>
            </w:tcBorders>
            <w:shd w:val="clear" w:color="000000" w:fill="FCE0E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362</w:t>
            </w:r>
          </w:p>
        </w:tc>
        <w:tc>
          <w:tcPr>
            <w:tcW w:w="358"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194</w:t>
            </w:r>
          </w:p>
        </w:tc>
        <w:tc>
          <w:tcPr>
            <w:tcW w:w="412" w:type="pct"/>
            <w:tcBorders>
              <w:top w:val="single" w:sz="4" w:space="0" w:color="auto"/>
              <w:left w:val="single" w:sz="4" w:space="0" w:color="auto"/>
              <w:bottom w:val="single" w:sz="4" w:space="0" w:color="auto"/>
              <w:right w:val="single" w:sz="4" w:space="0" w:color="auto"/>
            </w:tcBorders>
            <w:shd w:val="clear" w:color="000000" w:fill="B8E0C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-31</w:t>
            </w:r>
          </w:p>
        </w:tc>
        <w:tc>
          <w:tcPr>
            <w:tcW w:w="306" w:type="pct"/>
            <w:tcBorders>
              <w:top w:val="single" w:sz="4" w:space="0" w:color="auto"/>
              <w:left w:val="single" w:sz="4" w:space="0" w:color="auto"/>
              <w:bottom w:val="single" w:sz="4" w:space="0" w:color="auto"/>
              <w:right w:val="single" w:sz="4" w:space="0" w:color="auto"/>
            </w:tcBorders>
            <w:shd w:val="clear" w:color="000000" w:fill="BFE3C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-17</w:t>
            </w:r>
          </w:p>
        </w:tc>
        <w:tc>
          <w:tcPr>
            <w:tcW w:w="348" w:type="pct"/>
            <w:tcBorders>
              <w:top w:val="single" w:sz="4" w:space="0" w:color="auto"/>
              <w:left w:val="single" w:sz="4" w:space="0" w:color="auto"/>
              <w:bottom w:val="single" w:sz="4" w:space="0" w:color="auto"/>
              <w:right w:val="single" w:sz="4" w:space="0" w:color="auto"/>
            </w:tcBorders>
            <w:shd w:val="clear" w:color="000000" w:fill="E2F1E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47</w:t>
            </w:r>
          </w:p>
        </w:tc>
        <w:tc>
          <w:tcPr>
            <w:tcW w:w="344" w:type="pct"/>
            <w:tcBorders>
              <w:top w:val="single" w:sz="4" w:space="0" w:color="auto"/>
              <w:left w:val="single" w:sz="4" w:space="0" w:color="auto"/>
              <w:bottom w:val="single" w:sz="4" w:space="0" w:color="auto"/>
              <w:right w:val="single" w:sz="4" w:space="0" w:color="auto"/>
            </w:tcBorders>
            <w:shd w:val="clear" w:color="000000" w:fill="D2EBD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17</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Jeseník</w:t>
            </w:r>
          </w:p>
        </w:tc>
        <w:tc>
          <w:tcPr>
            <w:tcW w:w="470" w:type="pct"/>
            <w:tcBorders>
              <w:top w:val="single" w:sz="4" w:space="0" w:color="auto"/>
              <w:left w:val="single" w:sz="4" w:space="0" w:color="auto"/>
              <w:bottom w:val="single" w:sz="4" w:space="0" w:color="auto"/>
              <w:right w:val="single" w:sz="4" w:space="0" w:color="auto"/>
            </w:tcBorders>
            <w:shd w:val="clear" w:color="000000" w:fill="FCE1E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1 252</w:t>
            </w:r>
          </w:p>
        </w:tc>
        <w:tc>
          <w:tcPr>
            <w:tcW w:w="468" w:type="pct"/>
            <w:tcBorders>
              <w:top w:val="single" w:sz="4" w:space="0" w:color="auto"/>
              <w:left w:val="single" w:sz="4" w:space="0" w:color="auto"/>
              <w:bottom w:val="single" w:sz="4" w:space="0" w:color="auto"/>
              <w:right w:val="single" w:sz="4" w:space="0" w:color="auto"/>
            </w:tcBorders>
            <w:shd w:val="clear" w:color="000000" w:fill="FCE2E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1 216</w:t>
            </w:r>
          </w:p>
        </w:tc>
        <w:tc>
          <w:tcPr>
            <w:tcW w:w="601" w:type="pct"/>
            <w:tcBorders>
              <w:top w:val="single" w:sz="4" w:space="0" w:color="auto"/>
              <w:left w:val="single" w:sz="4" w:space="0" w:color="auto"/>
              <w:bottom w:val="single" w:sz="4" w:space="0" w:color="auto"/>
              <w:right w:val="single" w:sz="4" w:space="0" w:color="auto"/>
            </w:tcBorders>
            <w:shd w:val="clear" w:color="000000" w:fill="B6E0C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-36</w:t>
            </w:r>
          </w:p>
        </w:tc>
        <w:tc>
          <w:tcPr>
            <w:tcW w:w="357" w:type="pct"/>
            <w:tcBorders>
              <w:top w:val="single" w:sz="4" w:space="0" w:color="auto"/>
              <w:left w:val="single" w:sz="4" w:space="0" w:color="auto"/>
              <w:bottom w:val="single" w:sz="4" w:space="0" w:color="auto"/>
              <w:right w:val="single" w:sz="4" w:space="0" w:color="auto"/>
            </w:tcBorders>
            <w:shd w:val="clear" w:color="000000" w:fill="FCDEE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380</w:t>
            </w:r>
          </w:p>
        </w:tc>
        <w:tc>
          <w:tcPr>
            <w:tcW w:w="356" w:type="pct"/>
            <w:tcBorders>
              <w:top w:val="single" w:sz="4" w:space="0" w:color="auto"/>
              <w:left w:val="single" w:sz="4" w:space="0" w:color="auto"/>
              <w:bottom w:val="single" w:sz="4" w:space="0" w:color="auto"/>
              <w:right w:val="single" w:sz="4" w:space="0" w:color="auto"/>
            </w:tcBorders>
            <w:shd w:val="clear" w:color="000000" w:fill="FCE5E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307</w:t>
            </w:r>
          </w:p>
        </w:tc>
        <w:tc>
          <w:tcPr>
            <w:tcW w:w="356" w:type="pct"/>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281</w:t>
            </w:r>
          </w:p>
        </w:tc>
        <w:tc>
          <w:tcPr>
            <w:tcW w:w="358" w:type="pct"/>
            <w:tcBorders>
              <w:top w:val="single" w:sz="4" w:space="0" w:color="auto"/>
              <w:left w:val="single" w:sz="4" w:space="0" w:color="auto"/>
              <w:bottom w:val="single" w:sz="4" w:space="0" w:color="auto"/>
              <w:right w:val="single" w:sz="4" w:space="0" w:color="auto"/>
            </w:tcBorders>
            <w:shd w:val="clear" w:color="000000" w:fill="FCEBE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248</w:t>
            </w:r>
          </w:p>
        </w:tc>
        <w:tc>
          <w:tcPr>
            <w:tcW w:w="412" w:type="pct"/>
            <w:tcBorders>
              <w:top w:val="single" w:sz="4" w:space="0" w:color="auto"/>
              <w:left w:val="single" w:sz="4" w:space="0" w:color="auto"/>
              <w:bottom w:val="single" w:sz="4" w:space="0" w:color="auto"/>
              <w:right w:val="single" w:sz="4" w:space="0" w:color="auto"/>
            </w:tcBorders>
            <w:shd w:val="clear" w:color="000000" w:fill="B9E0C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-29</w:t>
            </w:r>
          </w:p>
        </w:tc>
        <w:tc>
          <w:tcPr>
            <w:tcW w:w="306" w:type="pct"/>
            <w:tcBorders>
              <w:top w:val="single" w:sz="4" w:space="0" w:color="auto"/>
              <w:left w:val="single" w:sz="4" w:space="0" w:color="auto"/>
              <w:bottom w:val="single" w:sz="4" w:space="0" w:color="auto"/>
              <w:right w:val="single" w:sz="4" w:space="0" w:color="auto"/>
            </w:tcBorders>
            <w:shd w:val="clear" w:color="000000" w:fill="BBE1C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-25</w:t>
            </w:r>
          </w:p>
        </w:tc>
        <w:tc>
          <w:tcPr>
            <w:tcW w:w="348" w:type="pct"/>
            <w:tcBorders>
              <w:top w:val="single" w:sz="4" w:space="0" w:color="auto"/>
              <w:left w:val="single" w:sz="4" w:space="0" w:color="auto"/>
              <w:bottom w:val="single" w:sz="4" w:space="0" w:color="auto"/>
              <w:right w:val="single" w:sz="4" w:space="0" w:color="auto"/>
            </w:tcBorders>
            <w:shd w:val="clear" w:color="000000" w:fill="D3EBD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19</w:t>
            </w:r>
          </w:p>
        </w:tc>
        <w:tc>
          <w:tcPr>
            <w:tcW w:w="344" w:type="pct"/>
            <w:tcBorders>
              <w:top w:val="single" w:sz="4" w:space="0" w:color="auto"/>
              <w:left w:val="single" w:sz="4" w:space="0" w:color="auto"/>
              <w:bottom w:val="single" w:sz="4" w:space="0" w:color="auto"/>
              <w:right w:val="single" w:sz="4" w:space="0" w:color="auto"/>
            </w:tcBorders>
            <w:shd w:val="clear" w:color="000000" w:fill="C8E7D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Litovel</w:t>
            </w:r>
          </w:p>
        </w:tc>
        <w:tc>
          <w:tcPr>
            <w:tcW w:w="470"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837</w:t>
            </w:r>
          </w:p>
        </w:tc>
        <w:tc>
          <w:tcPr>
            <w:tcW w:w="468"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817</w:t>
            </w:r>
          </w:p>
        </w:tc>
        <w:tc>
          <w:tcPr>
            <w:tcW w:w="601" w:type="pct"/>
            <w:tcBorders>
              <w:top w:val="single" w:sz="4" w:space="0" w:color="auto"/>
              <w:left w:val="single" w:sz="4" w:space="0" w:color="auto"/>
              <w:bottom w:val="single" w:sz="4" w:space="0" w:color="auto"/>
              <w:right w:val="single" w:sz="4" w:space="0" w:color="auto"/>
            </w:tcBorders>
            <w:shd w:val="clear" w:color="000000" w:fill="C0E3C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-20</w:t>
            </w:r>
          </w:p>
        </w:tc>
        <w:tc>
          <w:tcPr>
            <w:tcW w:w="357" w:type="pct"/>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257</w:t>
            </w:r>
          </w:p>
        </w:tc>
        <w:tc>
          <w:tcPr>
            <w:tcW w:w="356" w:type="pct"/>
            <w:tcBorders>
              <w:top w:val="single" w:sz="4" w:space="0" w:color="auto"/>
              <w:left w:val="single" w:sz="4" w:space="0" w:color="auto"/>
              <w:bottom w:val="single" w:sz="4" w:space="0" w:color="auto"/>
              <w:right w:val="single" w:sz="4" w:space="0" w:color="auto"/>
            </w:tcBorders>
            <w:shd w:val="clear" w:color="000000" w:fill="FCEBE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245</w:t>
            </w:r>
          </w:p>
        </w:tc>
        <w:tc>
          <w:tcPr>
            <w:tcW w:w="356"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196</w:t>
            </w:r>
          </w:p>
        </w:tc>
        <w:tc>
          <w:tcPr>
            <w:tcW w:w="358"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119</w:t>
            </w:r>
          </w:p>
        </w:tc>
        <w:tc>
          <w:tcPr>
            <w:tcW w:w="412" w:type="pct"/>
            <w:tcBorders>
              <w:top w:val="single" w:sz="4" w:space="0" w:color="auto"/>
              <w:left w:val="single" w:sz="4" w:space="0" w:color="auto"/>
              <w:bottom w:val="single" w:sz="4" w:space="0" w:color="auto"/>
              <w:right w:val="single" w:sz="4" w:space="0" w:color="auto"/>
            </w:tcBorders>
            <w:shd w:val="clear" w:color="000000" w:fill="A5D9B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-64</w:t>
            </w:r>
          </w:p>
        </w:tc>
        <w:tc>
          <w:tcPr>
            <w:tcW w:w="306" w:type="pct"/>
            <w:tcBorders>
              <w:top w:val="single" w:sz="4" w:space="0" w:color="auto"/>
              <w:left w:val="single" w:sz="4" w:space="0" w:color="auto"/>
              <w:bottom w:val="single" w:sz="4" w:space="0" w:color="auto"/>
              <w:right w:val="single" w:sz="4" w:space="0" w:color="auto"/>
            </w:tcBorders>
            <w:shd w:val="clear" w:color="000000" w:fill="C5E6D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w:t>
            </w:r>
          </w:p>
        </w:tc>
        <w:tc>
          <w:tcPr>
            <w:tcW w:w="348" w:type="pct"/>
            <w:tcBorders>
              <w:top w:val="single" w:sz="4" w:space="0" w:color="auto"/>
              <w:left w:val="single" w:sz="4" w:space="0" w:color="auto"/>
              <w:bottom w:val="single" w:sz="4" w:space="0" w:color="auto"/>
              <w:right w:val="single" w:sz="4" w:space="0" w:color="auto"/>
            </w:tcBorders>
            <w:shd w:val="clear" w:color="000000" w:fill="DDEFE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38</w:t>
            </w:r>
          </w:p>
        </w:tc>
        <w:tc>
          <w:tcPr>
            <w:tcW w:w="344" w:type="pct"/>
            <w:tcBorders>
              <w:top w:val="single" w:sz="4" w:space="0" w:color="auto"/>
              <w:left w:val="single" w:sz="4" w:space="0" w:color="auto"/>
              <w:bottom w:val="single" w:sz="4" w:space="0" w:color="auto"/>
              <w:right w:val="single" w:sz="4" w:space="0" w:color="auto"/>
            </w:tcBorders>
            <w:shd w:val="clear" w:color="000000" w:fill="CFEAD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12</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Šternberk</w:t>
            </w:r>
          </w:p>
        </w:tc>
        <w:tc>
          <w:tcPr>
            <w:tcW w:w="470" w:type="pct"/>
            <w:tcBorders>
              <w:top w:val="single" w:sz="4" w:space="0" w:color="auto"/>
              <w:left w:val="single" w:sz="4" w:space="0" w:color="auto"/>
              <w:bottom w:val="single" w:sz="4" w:space="0" w:color="auto"/>
              <w:right w:val="single" w:sz="4" w:space="0" w:color="auto"/>
            </w:tcBorders>
            <w:shd w:val="clear" w:color="000000" w:fill="FCF1F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778</w:t>
            </w:r>
          </w:p>
        </w:tc>
        <w:tc>
          <w:tcPr>
            <w:tcW w:w="468"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766</w:t>
            </w:r>
          </w:p>
        </w:tc>
        <w:tc>
          <w:tcPr>
            <w:tcW w:w="601" w:type="pct"/>
            <w:tcBorders>
              <w:top w:val="single" w:sz="4" w:space="0" w:color="auto"/>
              <w:left w:val="single" w:sz="4" w:space="0" w:color="auto"/>
              <w:bottom w:val="single" w:sz="4" w:space="0" w:color="auto"/>
              <w:right w:val="single" w:sz="4" w:space="0" w:color="auto"/>
            </w:tcBorders>
            <w:shd w:val="clear" w:color="000000" w:fill="C4E5C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-12</w:t>
            </w:r>
          </w:p>
        </w:tc>
        <w:tc>
          <w:tcPr>
            <w:tcW w:w="357" w:type="pct"/>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256</w:t>
            </w:r>
          </w:p>
        </w:tc>
        <w:tc>
          <w:tcPr>
            <w:tcW w:w="356"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201</w:t>
            </w:r>
          </w:p>
        </w:tc>
        <w:tc>
          <w:tcPr>
            <w:tcW w:w="356"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157</w:t>
            </w:r>
          </w:p>
        </w:tc>
        <w:tc>
          <w:tcPr>
            <w:tcW w:w="358"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152</w:t>
            </w:r>
          </w:p>
        </w:tc>
        <w:tc>
          <w:tcPr>
            <w:tcW w:w="412" w:type="pct"/>
            <w:tcBorders>
              <w:top w:val="single" w:sz="4" w:space="0" w:color="auto"/>
              <w:left w:val="single" w:sz="4" w:space="0" w:color="auto"/>
              <w:bottom w:val="single" w:sz="4" w:space="0" w:color="auto"/>
              <w:right w:val="single" w:sz="4" w:space="0" w:color="auto"/>
            </w:tcBorders>
            <w:shd w:val="clear" w:color="000000" w:fill="C0E3C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w:t>
            </w:r>
          </w:p>
        </w:tc>
        <w:tc>
          <w:tcPr>
            <w:tcW w:w="306" w:type="pct"/>
            <w:tcBorders>
              <w:top w:val="single" w:sz="4" w:space="0" w:color="auto"/>
              <w:left w:val="single" w:sz="4" w:space="0" w:color="auto"/>
              <w:bottom w:val="single" w:sz="4" w:space="0" w:color="auto"/>
              <w:right w:val="single" w:sz="4" w:space="0" w:color="auto"/>
            </w:tcBorders>
            <w:shd w:val="clear" w:color="000000" w:fill="C4E5C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w:t>
            </w:r>
          </w:p>
        </w:tc>
        <w:tc>
          <w:tcPr>
            <w:tcW w:w="348" w:type="pct"/>
            <w:tcBorders>
              <w:top w:val="single" w:sz="4" w:space="0" w:color="auto"/>
              <w:left w:val="single" w:sz="4" w:space="0" w:color="auto"/>
              <w:bottom w:val="single" w:sz="4" w:space="0" w:color="auto"/>
              <w:right w:val="single" w:sz="4" w:space="0" w:color="auto"/>
            </w:tcBorders>
            <w:shd w:val="clear" w:color="000000" w:fill="C5E6D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w:t>
            </w:r>
          </w:p>
        </w:tc>
        <w:tc>
          <w:tcPr>
            <w:tcW w:w="344" w:type="pct"/>
            <w:tcBorders>
              <w:top w:val="single" w:sz="4" w:space="0" w:color="auto"/>
              <w:left w:val="single" w:sz="4" w:space="0" w:color="auto"/>
              <w:bottom w:val="single" w:sz="4" w:space="0" w:color="auto"/>
              <w:right w:val="single" w:sz="4" w:space="0" w:color="auto"/>
            </w:tcBorders>
            <w:shd w:val="clear" w:color="000000" w:fill="D2EBD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18</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Uničov</w:t>
            </w:r>
          </w:p>
        </w:tc>
        <w:tc>
          <w:tcPr>
            <w:tcW w:w="470" w:type="pct"/>
            <w:tcBorders>
              <w:top w:val="single" w:sz="4" w:space="0" w:color="auto"/>
              <w:left w:val="single" w:sz="4" w:space="0" w:color="auto"/>
              <w:bottom w:val="single" w:sz="4" w:space="0" w:color="auto"/>
              <w:right w:val="single" w:sz="4" w:space="0" w:color="auto"/>
            </w:tcBorders>
            <w:shd w:val="clear" w:color="000000" w:fill="FCF5F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679</w:t>
            </w:r>
          </w:p>
        </w:tc>
        <w:tc>
          <w:tcPr>
            <w:tcW w:w="468"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700</w:t>
            </w:r>
          </w:p>
        </w:tc>
        <w:tc>
          <w:tcPr>
            <w:tcW w:w="601" w:type="pct"/>
            <w:tcBorders>
              <w:top w:val="single" w:sz="4" w:space="0" w:color="auto"/>
              <w:left w:val="single" w:sz="4" w:space="0" w:color="auto"/>
              <w:bottom w:val="single" w:sz="4" w:space="0" w:color="auto"/>
              <w:right w:val="single" w:sz="4" w:space="0" w:color="auto"/>
            </w:tcBorders>
            <w:shd w:val="clear" w:color="000000" w:fill="D7EDD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21</w:t>
            </w:r>
          </w:p>
        </w:tc>
        <w:tc>
          <w:tcPr>
            <w:tcW w:w="357" w:type="pct"/>
            <w:tcBorders>
              <w:top w:val="single" w:sz="4" w:space="0" w:color="auto"/>
              <w:left w:val="single" w:sz="4" w:space="0" w:color="auto"/>
              <w:bottom w:val="single" w:sz="4" w:space="0" w:color="auto"/>
              <w:right w:val="single" w:sz="4" w:space="0" w:color="auto"/>
            </w:tcBorders>
            <w:shd w:val="clear" w:color="000000" w:fill="FCEDE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227</w:t>
            </w:r>
          </w:p>
        </w:tc>
        <w:tc>
          <w:tcPr>
            <w:tcW w:w="356" w:type="pct"/>
            <w:tcBorders>
              <w:top w:val="single" w:sz="4" w:space="0" w:color="auto"/>
              <w:left w:val="single" w:sz="4" w:space="0" w:color="auto"/>
              <w:bottom w:val="single" w:sz="4" w:space="0" w:color="auto"/>
              <w:right w:val="single" w:sz="4" w:space="0" w:color="auto"/>
            </w:tcBorders>
            <w:shd w:val="clear" w:color="000000" w:fill="FCEEF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210</w:t>
            </w:r>
          </w:p>
        </w:tc>
        <w:tc>
          <w:tcPr>
            <w:tcW w:w="356"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160</w:t>
            </w:r>
          </w:p>
        </w:tc>
        <w:tc>
          <w:tcPr>
            <w:tcW w:w="358" w:type="pct"/>
            <w:tcBorders>
              <w:top w:val="single" w:sz="4" w:space="0" w:color="auto"/>
              <w:left w:val="single" w:sz="4" w:space="0" w:color="auto"/>
              <w:bottom w:val="single" w:sz="4" w:space="0" w:color="auto"/>
              <w:right w:val="single" w:sz="4" w:space="0" w:color="auto"/>
            </w:tcBorders>
            <w:shd w:val="clear" w:color="000000" w:fill="FCF8F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103</w:t>
            </w:r>
          </w:p>
        </w:tc>
        <w:tc>
          <w:tcPr>
            <w:tcW w:w="412" w:type="pct"/>
            <w:tcBorders>
              <w:top w:val="single" w:sz="4" w:space="0" w:color="auto"/>
              <w:left w:val="single" w:sz="4" w:space="0" w:color="auto"/>
              <w:bottom w:val="single" w:sz="4" w:space="0" w:color="auto"/>
              <w:right w:val="single" w:sz="4" w:space="0" w:color="auto"/>
            </w:tcBorders>
            <w:shd w:val="clear" w:color="000000" w:fill="B8E0C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-31</w:t>
            </w:r>
          </w:p>
        </w:tc>
        <w:tc>
          <w:tcPr>
            <w:tcW w:w="306" w:type="pct"/>
            <w:tcBorders>
              <w:top w:val="single" w:sz="4" w:space="0" w:color="auto"/>
              <w:left w:val="single" w:sz="4" w:space="0" w:color="auto"/>
              <w:bottom w:val="single" w:sz="4" w:space="0" w:color="auto"/>
              <w:right w:val="single" w:sz="4" w:space="0" w:color="auto"/>
            </w:tcBorders>
            <w:shd w:val="clear" w:color="000000" w:fill="D2EBD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17</w:t>
            </w:r>
          </w:p>
        </w:tc>
        <w:tc>
          <w:tcPr>
            <w:tcW w:w="348" w:type="pct"/>
            <w:tcBorders>
              <w:top w:val="single" w:sz="4" w:space="0" w:color="auto"/>
              <w:left w:val="single" w:sz="4" w:space="0" w:color="auto"/>
              <w:bottom w:val="single" w:sz="4" w:space="0" w:color="auto"/>
              <w:right w:val="single" w:sz="4" w:space="0" w:color="auto"/>
            </w:tcBorders>
            <w:shd w:val="clear" w:color="000000" w:fill="D4ECD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21</w:t>
            </w:r>
          </w:p>
        </w:tc>
        <w:tc>
          <w:tcPr>
            <w:tcW w:w="344" w:type="pct"/>
            <w:tcBorders>
              <w:top w:val="single" w:sz="4" w:space="0" w:color="auto"/>
              <w:left w:val="single" w:sz="4" w:space="0" w:color="auto"/>
              <w:bottom w:val="single" w:sz="4" w:space="0" w:color="auto"/>
              <w:right w:val="single" w:sz="4" w:space="0" w:color="auto"/>
            </w:tcBorders>
            <w:shd w:val="clear" w:color="000000" w:fill="D0EAD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14</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Mohelnice</w:t>
            </w:r>
          </w:p>
        </w:tc>
        <w:tc>
          <w:tcPr>
            <w:tcW w:w="470"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677</w:t>
            </w:r>
          </w:p>
        </w:tc>
        <w:tc>
          <w:tcPr>
            <w:tcW w:w="468"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681</w:t>
            </w:r>
          </w:p>
        </w:tc>
        <w:tc>
          <w:tcPr>
            <w:tcW w:w="601" w:type="pct"/>
            <w:tcBorders>
              <w:top w:val="single" w:sz="4" w:space="0" w:color="auto"/>
              <w:left w:val="single" w:sz="4" w:space="0" w:color="auto"/>
              <w:bottom w:val="single" w:sz="4" w:space="0" w:color="auto"/>
              <w:right w:val="single" w:sz="4" w:space="0" w:color="auto"/>
            </w:tcBorders>
            <w:shd w:val="clear" w:color="000000" w:fill="CDE9D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w:t>
            </w:r>
          </w:p>
        </w:tc>
        <w:tc>
          <w:tcPr>
            <w:tcW w:w="357" w:type="pct"/>
            <w:tcBorders>
              <w:top w:val="single" w:sz="4" w:space="0" w:color="auto"/>
              <w:left w:val="single" w:sz="4" w:space="0" w:color="auto"/>
              <w:bottom w:val="single" w:sz="4" w:space="0" w:color="auto"/>
              <w:right w:val="single" w:sz="4" w:space="0" w:color="auto"/>
            </w:tcBorders>
            <w:shd w:val="clear" w:color="000000" w:fill="FCEEF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216</w:t>
            </w:r>
          </w:p>
        </w:tc>
        <w:tc>
          <w:tcPr>
            <w:tcW w:w="356"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204</w:t>
            </w:r>
          </w:p>
        </w:tc>
        <w:tc>
          <w:tcPr>
            <w:tcW w:w="356"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156</w:t>
            </w:r>
          </w:p>
        </w:tc>
        <w:tc>
          <w:tcPr>
            <w:tcW w:w="358" w:type="pct"/>
            <w:tcBorders>
              <w:top w:val="single" w:sz="4" w:space="0" w:color="auto"/>
              <w:left w:val="single" w:sz="4" w:space="0" w:color="auto"/>
              <w:bottom w:val="single" w:sz="4" w:space="0" w:color="auto"/>
              <w:right w:val="single" w:sz="4" w:space="0" w:color="auto"/>
            </w:tcBorders>
            <w:shd w:val="clear" w:color="000000" w:fill="FCF8F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105</w:t>
            </w:r>
          </w:p>
        </w:tc>
        <w:tc>
          <w:tcPr>
            <w:tcW w:w="412" w:type="pct"/>
            <w:tcBorders>
              <w:top w:val="single" w:sz="4" w:space="0" w:color="auto"/>
              <w:left w:val="single" w:sz="4" w:space="0" w:color="auto"/>
              <w:bottom w:val="single" w:sz="4" w:space="0" w:color="auto"/>
              <w:right w:val="single" w:sz="4" w:space="0" w:color="auto"/>
            </w:tcBorders>
            <w:shd w:val="clear" w:color="000000" w:fill="D3EBD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19</w:t>
            </w:r>
          </w:p>
        </w:tc>
        <w:tc>
          <w:tcPr>
            <w:tcW w:w="306" w:type="pct"/>
            <w:tcBorders>
              <w:top w:val="single" w:sz="4" w:space="0" w:color="auto"/>
              <w:left w:val="single" w:sz="4" w:space="0" w:color="auto"/>
              <w:bottom w:val="single" w:sz="4" w:space="0" w:color="auto"/>
              <w:right w:val="single" w:sz="4" w:space="0" w:color="auto"/>
            </w:tcBorders>
            <w:shd w:val="clear" w:color="000000" w:fill="C6E6D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w:t>
            </w:r>
          </w:p>
        </w:tc>
        <w:tc>
          <w:tcPr>
            <w:tcW w:w="348" w:type="pct"/>
            <w:tcBorders>
              <w:top w:val="single" w:sz="4" w:space="0" w:color="auto"/>
              <w:left w:val="single" w:sz="4" w:space="0" w:color="auto"/>
              <w:bottom w:val="single" w:sz="4" w:space="0" w:color="auto"/>
              <w:right w:val="single" w:sz="4" w:space="0" w:color="auto"/>
            </w:tcBorders>
            <w:shd w:val="clear" w:color="000000" w:fill="C2E4C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-11</w:t>
            </w:r>
          </w:p>
        </w:tc>
        <w:tc>
          <w:tcPr>
            <w:tcW w:w="344" w:type="pct"/>
            <w:tcBorders>
              <w:top w:val="single" w:sz="4" w:space="0" w:color="auto"/>
              <w:left w:val="single" w:sz="4" w:space="0" w:color="auto"/>
              <w:bottom w:val="single" w:sz="4" w:space="0" w:color="auto"/>
              <w:right w:val="single" w:sz="4" w:space="0" w:color="auto"/>
            </w:tcBorders>
            <w:shd w:val="clear" w:color="000000" w:fill="C9E7D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Lipník nad Bečvou</w:t>
            </w:r>
          </w:p>
        </w:tc>
        <w:tc>
          <w:tcPr>
            <w:tcW w:w="470"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549</w:t>
            </w:r>
          </w:p>
        </w:tc>
        <w:tc>
          <w:tcPr>
            <w:tcW w:w="468"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540</w:t>
            </w:r>
          </w:p>
        </w:tc>
        <w:tc>
          <w:tcPr>
            <w:tcW w:w="601" w:type="pct"/>
            <w:tcBorders>
              <w:top w:val="single" w:sz="4" w:space="0" w:color="auto"/>
              <w:left w:val="single" w:sz="4" w:space="0" w:color="auto"/>
              <w:bottom w:val="single" w:sz="4" w:space="0" w:color="auto"/>
              <w:right w:val="single" w:sz="4" w:space="0" w:color="auto"/>
            </w:tcBorders>
            <w:shd w:val="clear" w:color="000000" w:fill="C6E6D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w:t>
            </w:r>
          </w:p>
        </w:tc>
        <w:tc>
          <w:tcPr>
            <w:tcW w:w="357"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161</w:t>
            </w:r>
          </w:p>
        </w:tc>
        <w:tc>
          <w:tcPr>
            <w:tcW w:w="356"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164</w:t>
            </w:r>
          </w:p>
        </w:tc>
        <w:tc>
          <w:tcPr>
            <w:tcW w:w="356"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141</w:t>
            </w:r>
          </w:p>
        </w:tc>
        <w:tc>
          <w:tcPr>
            <w:tcW w:w="35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74</w:t>
            </w:r>
          </w:p>
        </w:tc>
        <w:tc>
          <w:tcPr>
            <w:tcW w:w="412" w:type="pct"/>
            <w:tcBorders>
              <w:top w:val="single" w:sz="4" w:space="0" w:color="auto"/>
              <w:left w:val="single" w:sz="4" w:space="0" w:color="auto"/>
              <w:bottom w:val="single" w:sz="4" w:space="0" w:color="auto"/>
              <w:right w:val="single" w:sz="4" w:space="0" w:color="auto"/>
            </w:tcBorders>
            <w:shd w:val="clear" w:color="000000" w:fill="CAE7D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w:t>
            </w:r>
          </w:p>
        </w:tc>
        <w:tc>
          <w:tcPr>
            <w:tcW w:w="306" w:type="pct"/>
            <w:tcBorders>
              <w:top w:val="single" w:sz="4" w:space="0" w:color="auto"/>
              <w:left w:val="single" w:sz="4" w:space="0" w:color="auto"/>
              <w:bottom w:val="single" w:sz="4" w:space="0" w:color="auto"/>
              <w:right w:val="single" w:sz="4" w:space="0" w:color="auto"/>
            </w:tcBorders>
            <w:shd w:val="clear" w:color="000000" w:fill="CCE8D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w:t>
            </w:r>
          </w:p>
        </w:tc>
        <w:tc>
          <w:tcPr>
            <w:tcW w:w="348" w:type="pct"/>
            <w:tcBorders>
              <w:top w:val="single" w:sz="4" w:space="0" w:color="auto"/>
              <w:left w:val="single" w:sz="4" w:space="0" w:color="auto"/>
              <w:bottom w:val="single" w:sz="4" w:space="0" w:color="auto"/>
              <w:right w:val="single" w:sz="4" w:space="0" w:color="auto"/>
            </w:tcBorders>
            <w:shd w:val="clear" w:color="000000" w:fill="CBE8D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w:t>
            </w:r>
          </w:p>
        </w:tc>
        <w:tc>
          <w:tcPr>
            <w:tcW w:w="344" w:type="pct"/>
            <w:tcBorders>
              <w:top w:val="single" w:sz="4" w:space="0" w:color="auto"/>
              <w:left w:val="single" w:sz="4" w:space="0" w:color="auto"/>
              <w:bottom w:val="single" w:sz="4" w:space="0" w:color="auto"/>
              <w:right w:val="single" w:sz="4" w:space="0" w:color="auto"/>
            </w:tcBorders>
            <w:shd w:val="clear" w:color="000000" w:fill="BDE2C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-21</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sz w:val="18"/>
                <w:szCs w:val="18"/>
              </w:rPr>
            </w:pPr>
            <w:r w:rsidRPr="00E07890">
              <w:rPr>
                <w:rFonts w:cs="Segoe UI"/>
                <w:sz w:val="18"/>
                <w:szCs w:val="18"/>
              </w:rPr>
              <w:t>Konice</w:t>
            </w:r>
          </w:p>
        </w:tc>
        <w:tc>
          <w:tcPr>
            <w:tcW w:w="470"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445</w:t>
            </w:r>
          </w:p>
        </w:tc>
        <w:tc>
          <w:tcPr>
            <w:tcW w:w="46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451</w:t>
            </w:r>
          </w:p>
        </w:tc>
        <w:tc>
          <w:tcPr>
            <w:tcW w:w="601" w:type="pct"/>
            <w:tcBorders>
              <w:top w:val="single" w:sz="4" w:space="0" w:color="auto"/>
              <w:left w:val="single" w:sz="4" w:space="0" w:color="auto"/>
              <w:bottom w:val="single" w:sz="4" w:space="0" w:color="auto"/>
              <w:right w:val="single" w:sz="4" w:space="0" w:color="auto"/>
            </w:tcBorders>
            <w:shd w:val="clear" w:color="000000" w:fill="CEE9D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w:t>
            </w:r>
          </w:p>
        </w:tc>
        <w:tc>
          <w:tcPr>
            <w:tcW w:w="357"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137</w:t>
            </w:r>
          </w:p>
        </w:tc>
        <w:tc>
          <w:tcPr>
            <w:tcW w:w="356"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166</w:t>
            </w:r>
          </w:p>
        </w:tc>
        <w:tc>
          <w:tcPr>
            <w:tcW w:w="356"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91</w:t>
            </w:r>
          </w:p>
        </w:tc>
        <w:tc>
          <w:tcPr>
            <w:tcW w:w="35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57</w:t>
            </w:r>
          </w:p>
        </w:tc>
        <w:tc>
          <w:tcPr>
            <w:tcW w:w="412" w:type="pct"/>
            <w:tcBorders>
              <w:top w:val="single" w:sz="4" w:space="0" w:color="auto"/>
              <w:left w:val="single" w:sz="4" w:space="0" w:color="auto"/>
              <w:bottom w:val="single" w:sz="4" w:space="0" w:color="auto"/>
              <w:right w:val="single" w:sz="4" w:space="0" w:color="auto"/>
            </w:tcBorders>
            <w:shd w:val="clear" w:color="000000" w:fill="BCE2C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-23</w:t>
            </w:r>
          </w:p>
        </w:tc>
        <w:tc>
          <w:tcPr>
            <w:tcW w:w="306" w:type="pct"/>
            <w:tcBorders>
              <w:top w:val="single" w:sz="4" w:space="0" w:color="auto"/>
              <w:left w:val="single" w:sz="4" w:space="0" w:color="auto"/>
              <w:bottom w:val="single" w:sz="4" w:space="0" w:color="auto"/>
              <w:right w:val="single" w:sz="4" w:space="0" w:color="auto"/>
            </w:tcBorders>
            <w:shd w:val="clear" w:color="000000" w:fill="D0EAD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14</w:t>
            </w:r>
          </w:p>
        </w:tc>
        <w:tc>
          <w:tcPr>
            <w:tcW w:w="348" w:type="pct"/>
            <w:tcBorders>
              <w:top w:val="single" w:sz="4" w:space="0" w:color="auto"/>
              <w:left w:val="single" w:sz="4" w:space="0" w:color="auto"/>
              <w:bottom w:val="single" w:sz="4" w:space="0" w:color="auto"/>
              <w:right w:val="single" w:sz="4" w:space="0" w:color="auto"/>
            </w:tcBorders>
            <w:shd w:val="clear" w:color="000000" w:fill="C8E7D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w:t>
            </w:r>
          </w:p>
        </w:tc>
        <w:tc>
          <w:tcPr>
            <w:tcW w:w="344" w:type="pct"/>
            <w:tcBorders>
              <w:top w:val="single" w:sz="4" w:space="0" w:color="auto"/>
              <w:left w:val="single" w:sz="4" w:space="0" w:color="auto"/>
              <w:bottom w:val="single" w:sz="4" w:space="0" w:color="auto"/>
              <w:right w:val="single" w:sz="4" w:space="0" w:color="auto"/>
            </w:tcBorders>
            <w:shd w:val="clear" w:color="000000" w:fill="D1EAD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w:t>
            </w:r>
          </w:p>
        </w:tc>
      </w:tr>
      <w:tr w:rsidR="00E07890" w:rsidRPr="00E07890" w:rsidTr="00E07890">
        <w:trPr>
          <w:trHeight w:val="20"/>
        </w:trPr>
        <w:tc>
          <w:tcPr>
            <w:tcW w:w="623"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rFonts w:cs="Segoe UI"/>
                <w:b/>
                <w:bCs/>
                <w:sz w:val="18"/>
                <w:szCs w:val="18"/>
              </w:rPr>
            </w:pPr>
            <w:r w:rsidRPr="00E07890">
              <w:rPr>
                <w:rFonts w:cs="Segoe UI"/>
                <w:b/>
                <w:bCs/>
                <w:sz w:val="18"/>
                <w:szCs w:val="18"/>
              </w:rPr>
              <w:t>Celkem OK</w:t>
            </w:r>
          </w:p>
        </w:tc>
        <w:tc>
          <w:tcPr>
            <w:tcW w:w="470"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23 164</w:t>
            </w:r>
          </w:p>
        </w:tc>
        <w:tc>
          <w:tcPr>
            <w:tcW w:w="468"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22 959</w:t>
            </w:r>
          </w:p>
        </w:tc>
        <w:tc>
          <w:tcPr>
            <w:tcW w:w="601"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-205</w:t>
            </w:r>
          </w:p>
        </w:tc>
        <w:tc>
          <w:tcPr>
            <w:tcW w:w="357"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6 906</w:t>
            </w:r>
          </w:p>
        </w:tc>
        <w:tc>
          <w:tcPr>
            <w:tcW w:w="356"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6 967</w:t>
            </w:r>
          </w:p>
        </w:tc>
        <w:tc>
          <w:tcPr>
            <w:tcW w:w="356"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5 541</w:t>
            </w:r>
          </w:p>
        </w:tc>
        <w:tc>
          <w:tcPr>
            <w:tcW w:w="358"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3 545</w:t>
            </w:r>
          </w:p>
        </w:tc>
        <w:tc>
          <w:tcPr>
            <w:tcW w:w="412"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-606</w:t>
            </w:r>
          </w:p>
        </w:tc>
        <w:tc>
          <w:tcPr>
            <w:tcW w:w="306"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-75</w:t>
            </w:r>
          </w:p>
        </w:tc>
        <w:tc>
          <w:tcPr>
            <w:tcW w:w="348"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298</w:t>
            </w:r>
          </w:p>
        </w:tc>
        <w:tc>
          <w:tcPr>
            <w:tcW w:w="344"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178</w:t>
            </w:r>
          </w:p>
        </w:tc>
      </w:tr>
    </w:tbl>
    <w:p w:rsidR="00AF4350" w:rsidRDefault="00AF4350" w:rsidP="00E07890">
      <w:pPr>
        <w:pStyle w:val="Zdrojobjektu"/>
      </w:pPr>
      <w:r w:rsidRPr="0039748C">
        <w:t>Zdroj: MPSV (2022)</w:t>
      </w:r>
    </w:p>
    <w:p w:rsidR="00AF4350" w:rsidRPr="0039748C" w:rsidRDefault="00AF4350" w:rsidP="00A34764">
      <w:r w:rsidRPr="0039748C">
        <w:t xml:space="preserve">Příspěvek na péči v OK v roce 2020 nejčastěji pobíraly osoby ve věku 75–84 let (5 986 osob), následuje věková skupina 85–94 let (5 846), v nejširší věkové skupině 18–64 let pobírá příspěvek 5 220 osob, u mladších seniorů ve věku 65–74 let pak 3 612 osob. Občanů mladších 18 let pobírajících příspěvek na péči je pak 1 764. Počty osob v jednotlivých SO ORP uvádí následující tabulka. </w:t>
      </w:r>
    </w:p>
    <w:p w:rsidR="00AF4350" w:rsidRPr="0039748C" w:rsidRDefault="00AF4350" w:rsidP="00A34764">
      <w:r w:rsidRPr="0039748C">
        <w:t>Počet osob pobírající příspěvek na péči podle stupně závislosti a věku v jednotlivých SO ORP v roce 2020 je uveden v příloze.</w:t>
      </w:r>
    </w:p>
    <w:p w:rsidR="00AF4350" w:rsidRPr="0039748C" w:rsidRDefault="00AF4350" w:rsidP="00E07890">
      <w:pPr>
        <w:pStyle w:val="popistabulkySPRSS2024"/>
      </w:pPr>
      <w:bookmarkStart w:id="89" w:name="_Toc117607078"/>
      <w:r w:rsidRPr="0039748C">
        <w:t xml:space="preserve">Tabulka </w:t>
      </w:r>
      <w:r w:rsidR="00412C70">
        <w:fldChar w:fldCharType="begin"/>
      </w:r>
      <w:r w:rsidR="00412C70">
        <w:instrText xml:space="preserve"> SEQ Tabulka \* ARABIC </w:instrText>
      </w:r>
      <w:r w:rsidR="00412C70">
        <w:fldChar w:fldCharType="separate"/>
      </w:r>
      <w:r w:rsidR="003A12AF">
        <w:rPr>
          <w:noProof/>
        </w:rPr>
        <w:t>18</w:t>
      </w:r>
      <w:r w:rsidR="00412C70">
        <w:rPr>
          <w:noProof/>
        </w:rPr>
        <w:fldChar w:fldCharType="end"/>
      </w:r>
      <w:r w:rsidRPr="00870886">
        <w:t>:</w:t>
      </w:r>
      <w:r w:rsidRPr="0039748C">
        <w:t xml:space="preserve"> Příspěvek na péči podle věku a ORP OK v roce 2020</w:t>
      </w:r>
      <w:bookmarkEnd w:id="89"/>
    </w:p>
    <w:tbl>
      <w:tblPr>
        <w:tblW w:w="5000" w:type="pct"/>
        <w:tblCellMar>
          <w:left w:w="70" w:type="dxa"/>
          <w:right w:w="70" w:type="dxa"/>
        </w:tblCellMar>
        <w:tblLook w:val="04A0" w:firstRow="1" w:lastRow="0" w:firstColumn="1" w:lastColumn="0" w:noHBand="0" w:noVBand="1"/>
      </w:tblPr>
      <w:tblGrid>
        <w:gridCol w:w="2200"/>
        <w:gridCol w:w="952"/>
        <w:gridCol w:w="986"/>
        <w:gridCol w:w="1100"/>
        <w:gridCol w:w="1022"/>
        <w:gridCol w:w="1100"/>
        <w:gridCol w:w="1022"/>
        <w:gridCol w:w="680"/>
      </w:tblGrid>
      <w:tr w:rsidR="00E07890" w:rsidRPr="00E07890" w:rsidTr="002E64D7">
        <w:trPr>
          <w:trHeight w:val="264"/>
          <w:tblHeader/>
        </w:trPr>
        <w:tc>
          <w:tcPr>
            <w:tcW w:w="121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07890" w:rsidRPr="00E07890" w:rsidRDefault="00E07890" w:rsidP="00E07890">
            <w:pPr>
              <w:spacing w:before="0"/>
              <w:rPr>
                <w:b/>
                <w:bCs/>
                <w:sz w:val="18"/>
                <w:szCs w:val="18"/>
              </w:rPr>
            </w:pPr>
            <w:r w:rsidRPr="00E07890">
              <w:rPr>
                <w:b/>
                <w:bCs/>
                <w:sz w:val="18"/>
                <w:szCs w:val="18"/>
              </w:rPr>
              <w:t>SO ORP</w:t>
            </w:r>
          </w:p>
        </w:tc>
        <w:tc>
          <w:tcPr>
            <w:tcW w:w="52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07890" w:rsidRPr="00E07890" w:rsidRDefault="00E07890" w:rsidP="00E07890">
            <w:pPr>
              <w:spacing w:before="0"/>
              <w:rPr>
                <w:b/>
                <w:bCs/>
                <w:sz w:val="18"/>
                <w:szCs w:val="18"/>
              </w:rPr>
            </w:pPr>
            <w:r w:rsidRPr="00E07890">
              <w:rPr>
                <w:b/>
                <w:bCs/>
                <w:sz w:val="18"/>
                <w:szCs w:val="18"/>
              </w:rPr>
              <w:t>Celkem za 2020</w:t>
            </w:r>
          </w:p>
        </w:tc>
        <w:tc>
          <w:tcPr>
            <w:tcW w:w="3261" w:type="pct"/>
            <w:gridSpan w:val="6"/>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rsidR="00E07890" w:rsidRPr="00E07890" w:rsidRDefault="00E07890" w:rsidP="00E07890">
            <w:pPr>
              <w:spacing w:before="0"/>
              <w:rPr>
                <w:b/>
                <w:bCs/>
                <w:sz w:val="18"/>
                <w:szCs w:val="18"/>
              </w:rPr>
            </w:pPr>
            <w:r w:rsidRPr="00E07890">
              <w:rPr>
                <w:b/>
                <w:bCs/>
                <w:sz w:val="18"/>
                <w:szCs w:val="18"/>
              </w:rPr>
              <w:t>Příspěvek na péči v roce 2020 podle věku oprávněné osoby</w:t>
            </w:r>
          </w:p>
        </w:tc>
      </w:tr>
      <w:tr w:rsidR="00E07890" w:rsidRPr="00E07890" w:rsidTr="002E64D7">
        <w:trPr>
          <w:trHeight w:val="20"/>
          <w:tblHeader/>
        </w:trPr>
        <w:tc>
          <w:tcPr>
            <w:tcW w:w="121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07890" w:rsidRPr="00E07890" w:rsidRDefault="00E07890" w:rsidP="00E07890">
            <w:pPr>
              <w:spacing w:before="0"/>
              <w:rPr>
                <w:b/>
                <w:bCs/>
                <w:sz w:val="18"/>
                <w:szCs w:val="18"/>
              </w:rPr>
            </w:pPr>
          </w:p>
        </w:tc>
        <w:tc>
          <w:tcPr>
            <w:tcW w:w="52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07890" w:rsidRPr="00E07890" w:rsidRDefault="00E07890" w:rsidP="00E07890">
            <w:pPr>
              <w:spacing w:before="0"/>
              <w:rPr>
                <w:b/>
                <w:bCs/>
                <w:sz w:val="18"/>
                <w:szCs w:val="18"/>
              </w:rPr>
            </w:pPr>
          </w:p>
        </w:tc>
        <w:tc>
          <w:tcPr>
            <w:tcW w:w="544" w:type="pct"/>
            <w:tcBorders>
              <w:top w:val="nil"/>
              <w:left w:val="nil"/>
              <w:bottom w:val="single" w:sz="4" w:space="0" w:color="auto"/>
              <w:right w:val="single" w:sz="4" w:space="0" w:color="auto"/>
            </w:tcBorders>
            <w:shd w:val="clear" w:color="auto" w:fill="F2F2F2" w:themeFill="background1" w:themeFillShade="F2"/>
            <w:noWrap/>
            <w:vAlign w:val="center"/>
            <w:hideMark/>
          </w:tcPr>
          <w:p w:rsidR="00E07890" w:rsidRPr="00E07890" w:rsidRDefault="00E07890" w:rsidP="00E07890">
            <w:pPr>
              <w:spacing w:before="0"/>
              <w:rPr>
                <w:b/>
                <w:bCs/>
                <w:sz w:val="18"/>
                <w:szCs w:val="18"/>
              </w:rPr>
            </w:pPr>
            <w:r w:rsidRPr="00E07890">
              <w:rPr>
                <w:b/>
                <w:bCs/>
                <w:sz w:val="18"/>
                <w:szCs w:val="18"/>
              </w:rPr>
              <w:t>0–17</w:t>
            </w:r>
          </w:p>
        </w:tc>
        <w:tc>
          <w:tcPr>
            <w:tcW w:w="607" w:type="pct"/>
            <w:tcBorders>
              <w:top w:val="nil"/>
              <w:left w:val="nil"/>
              <w:bottom w:val="single" w:sz="4" w:space="0" w:color="auto"/>
              <w:right w:val="single" w:sz="4" w:space="0" w:color="auto"/>
            </w:tcBorders>
            <w:shd w:val="clear" w:color="auto" w:fill="F2F2F2" w:themeFill="background1" w:themeFillShade="F2"/>
            <w:noWrap/>
            <w:vAlign w:val="center"/>
            <w:hideMark/>
          </w:tcPr>
          <w:p w:rsidR="00E07890" w:rsidRPr="00E07890" w:rsidRDefault="00E07890" w:rsidP="00E07890">
            <w:pPr>
              <w:spacing w:before="0"/>
              <w:rPr>
                <w:b/>
                <w:bCs/>
                <w:sz w:val="18"/>
                <w:szCs w:val="18"/>
              </w:rPr>
            </w:pPr>
            <w:r w:rsidRPr="00E07890">
              <w:rPr>
                <w:b/>
                <w:bCs/>
                <w:sz w:val="18"/>
                <w:szCs w:val="18"/>
              </w:rPr>
              <w:t>18–64</w:t>
            </w:r>
          </w:p>
        </w:tc>
        <w:tc>
          <w:tcPr>
            <w:tcW w:w="564" w:type="pct"/>
            <w:tcBorders>
              <w:top w:val="nil"/>
              <w:left w:val="nil"/>
              <w:bottom w:val="single" w:sz="4" w:space="0" w:color="auto"/>
              <w:right w:val="single" w:sz="4" w:space="0" w:color="auto"/>
            </w:tcBorders>
            <w:shd w:val="clear" w:color="auto" w:fill="F2F2F2" w:themeFill="background1" w:themeFillShade="F2"/>
            <w:noWrap/>
            <w:vAlign w:val="center"/>
            <w:hideMark/>
          </w:tcPr>
          <w:p w:rsidR="00E07890" w:rsidRPr="00E07890" w:rsidRDefault="00E07890" w:rsidP="00E07890">
            <w:pPr>
              <w:spacing w:before="0"/>
              <w:rPr>
                <w:b/>
                <w:bCs/>
                <w:sz w:val="18"/>
                <w:szCs w:val="18"/>
              </w:rPr>
            </w:pPr>
            <w:r w:rsidRPr="00E07890">
              <w:rPr>
                <w:b/>
                <w:bCs/>
                <w:sz w:val="18"/>
                <w:szCs w:val="18"/>
              </w:rPr>
              <w:t>65-74</w:t>
            </w:r>
          </w:p>
        </w:tc>
        <w:tc>
          <w:tcPr>
            <w:tcW w:w="607" w:type="pct"/>
            <w:tcBorders>
              <w:top w:val="nil"/>
              <w:left w:val="nil"/>
              <w:bottom w:val="single" w:sz="4" w:space="0" w:color="auto"/>
              <w:right w:val="single" w:sz="4" w:space="0" w:color="auto"/>
            </w:tcBorders>
            <w:shd w:val="clear" w:color="auto" w:fill="F2F2F2" w:themeFill="background1" w:themeFillShade="F2"/>
            <w:noWrap/>
            <w:vAlign w:val="center"/>
            <w:hideMark/>
          </w:tcPr>
          <w:p w:rsidR="00E07890" w:rsidRPr="00E07890" w:rsidRDefault="00E07890" w:rsidP="00E07890">
            <w:pPr>
              <w:spacing w:before="0"/>
              <w:rPr>
                <w:b/>
                <w:bCs/>
                <w:sz w:val="18"/>
                <w:szCs w:val="18"/>
              </w:rPr>
            </w:pPr>
            <w:r w:rsidRPr="00E07890">
              <w:rPr>
                <w:b/>
                <w:bCs/>
                <w:sz w:val="18"/>
                <w:szCs w:val="18"/>
              </w:rPr>
              <w:t>75–84</w:t>
            </w:r>
          </w:p>
        </w:tc>
        <w:tc>
          <w:tcPr>
            <w:tcW w:w="564" w:type="pct"/>
            <w:tcBorders>
              <w:top w:val="nil"/>
              <w:left w:val="nil"/>
              <w:bottom w:val="single" w:sz="4" w:space="0" w:color="auto"/>
              <w:right w:val="single" w:sz="4" w:space="0" w:color="auto"/>
            </w:tcBorders>
            <w:shd w:val="clear" w:color="auto" w:fill="F2F2F2" w:themeFill="background1" w:themeFillShade="F2"/>
            <w:noWrap/>
            <w:vAlign w:val="center"/>
            <w:hideMark/>
          </w:tcPr>
          <w:p w:rsidR="00E07890" w:rsidRPr="00E07890" w:rsidRDefault="00E07890" w:rsidP="00E07890">
            <w:pPr>
              <w:spacing w:before="0"/>
              <w:rPr>
                <w:b/>
                <w:bCs/>
                <w:sz w:val="18"/>
                <w:szCs w:val="18"/>
              </w:rPr>
            </w:pPr>
            <w:r w:rsidRPr="00E07890">
              <w:rPr>
                <w:b/>
                <w:bCs/>
                <w:sz w:val="18"/>
                <w:szCs w:val="18"/>
              </w:rPr>
              <w:t>85-94</w:t>
            </w:r>
          </w:p>
        </w:tc>
        <w:tc>
          <w:tcPr>
            <w:tcW w:w="375" w:type="pct"/>
            <w:tcBorders>
              <w:top w:val="nil"/>
              <w:left w:val="nil"/>
              <w:bottom w:val="single" w:sz="4" w:space="0" w:color="auto"/>
              <w:right w:val="single" w:sz="4" w:space="0" w:color="auto"/>
            </w:tcBorders>
            <w:shd w:val="clear" w:color="auto" w:fill="F2F2F2" w:themeFill="background1" w:themeFillShade="F2"/>
            <w:noWrap/>
            <w:vAlign w:val="center"/>
            <w:hideMark/>
          </w:tcPr>
          <w:p w:rsidR="00E07890" w:rsidRPr="00E07890" w:rsidRDefault="00E07890" w:rsidP="00E07890">
            <w:pPr>
              <w:spacing w:before="0"/>
              <w:rPr>
                <w:b/>
                <w:bCs/>
                <w:sz w:val="18"/>
                <w:szCs w:val="18"/>
              </w:rPr>
            </w:pPr>
            <w:r w:rsidRPr="00E07890">
              <w:rPr>
                <w:b/>
                <w:bCs/>
                <w:sz w:val="18"/>
                <w:szCs w:val="18"/>
              </w:rPr>
              <w:t>95+</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Olomouc</w:t>
            </w:r>
          </w:p>
        </w:tc>
        <w:tc>
          <w:tcPr>
            <w:tcW w:w="525"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E07890" w:rsidRPr="00E07890" w:rsidRDefault="00E07890" w:rsidP="00E07890">
            <w:pPr>
              <w:spacing w:before="0"/>
              <w:jc w:val="right"/>
              <w:rPr>
                <w:sz w:val="18"/>
                <w:szCs w:val="18"/>
              </w:rPr>
            </w:pPr>
            <w:r w:rsidRPr="00E07890">
              <w:rPr>
                <w:sz w:val="18"/>
                <w:szCs w:val="18"/>
              </w:rPr>
              <w:t>4 774</w:t>
            </w:r>
          </w:p>
        </w:tc>
        <w:tc>
          <w:tcPr>
            <w:tcW w:w="544" w:type="pct"/>
            <w:tcBorders>
              <w:top w:val="single" w:sz="4" w:space="0" w:color="auto"/>
              <w:left w:val="single" w:sz="4" w:space="0" w:color="auto"/>
              <w:bottom w:val="single" w:sz="4" w:space="0" w:color="auto"/>
              <w:right w:val="single" w:sz="4" w:space="0" w:color="auto"/>
            </w:tcBorders>
            <w:shd w:val="clear" w:color="000000" w:fill="FBC8CA"/>
            <w:noWrap/>
            <w:vAlign w:val="bottom"/>
            <w:hideMark/>
          </w:tcPr>
          <w:p w:rsidR="00E07890" w:rsidRPr="00E07890" w:rsidRDefault="00E07890" w:rsidP="00E07890">
            <w:pPr>
              <w:spacing w:before="0"/>
              <w:jc w:val="right"/>
              <w:rPr>
                <w:sz w:val="18"/>
                <w:szCs w:val="18"/>
              </w:rPr>
            </w:pPr>
            <w:r w:rsidRPr="00E07890">
              <w:rPr>
                <w:sz w:val="18"/>
                <w:szCs w:val="18"/>
              </w:rPr>
              <w:t>509</w:t>
            </w:r>
          </w:p>
        </w:tc>
        <w:tc>
          <w:tcPr>
            <w:tcW w:w="607" w:type="pct"/>
            <w:tcBorders>
              <w:top w:val="single" w:sz="4" w:space="0" w:color="auto"/>
              <w:left w:val="single" w:sz="4" w:space="0" w:color="auto"/>
              <w:bottom w:val="single" w:sz="4" w:space="0" w:color="auto"/>
              <w:right w:val="single" w:sz="4" w:space="0" w:color="auto"/>
            </w:tcBorders>
            <w:shd w:val="clear" w:color="000000" w:fill="FA9A9D"/>
            <w:noWrap/>
            <w:vAlign w:val="bottom"/>
            <w:hideMark/>
          </w:tcPr>
          <w:p w:rsidR="00E07890" w:rsidRPr="00E07890" w:rsidRDefault="00E07890" w:rsidP="00E07890">
            <w:pPr>
              <w:spacing w:before="0"/>
              <w:jc w:val="right"/>
              <w:rPr>
                <w:sz w:val="18"/>
                <w:szCs w:val="18"/>
              </w:rPr>
            </w:pPr>
            <w:r w:rsidRPr="00E07890">
              <w:rPr>
                <w:sz w:val="18"/>
                <w:szCs w:val="18"/>
              </w:rPr>
              <w:t>940</w:t>
            </w:r>
          </w:p>
        </w:tc>
        <w:tc>
          <w:tcPr>
            <w:tcW w:w="564" w:type="pct"/>
            <w:tcBorders>
              <w:top w:val="single" w:sz="4" w:space="0" w:color="auto"/>
              <w:left w:val="single" w:sz="4" w:space="0" w:color="auto"/>
              <w:bottom w:val="single" w:sz="4" w:space="0" w:color="auto"/>
              <w:right w:val="single" w:sz="4" w:space="0" w:color="auto"/>
            </w:tcBorders>
            <w:shd w:val="clear" w:color="000000" w:fill="FBBDBF"/>
            <w:noWrap/>
            <w:vAlign w:val="bottom"/>
            <w:hideMark/>
          </w:tcPr>
          <w:p w:rsidR="00E07890" w:rsidRPr="00E07890" w:rsidRDefault="00E07890" w:rsidP="00E07890">
            <w:pPr>
              <w:spacing w:before="0"/>
              <w:jc w:val="right"/>
              <w:rPr>
                <w:sz w:val="18"/>
                <w:szCs w:val="18"/>
              </w:rPr>
            </w:pPr>
            <w:r w:rsidRPr="00E07890">
              <w:rPr>
                <w:sz w:val="18"/>
                <w:szCs w:val="18"/>
              </w:rPr>
              <w:t>616</w:t>
            </w:r>
          </w:p>
        </w:tc>
        <w:tc>
          <w:tcPr>
            <w:tcW w:w="607" w:type="pct"/>
            <w:tcBorders>
              <w:top w:val="single" w:sz="4" w:space="0" w:color="auto"/>
              <w:left w:val="single" w:sz="4" w:space="0" w:color="auto"/>
              <w:bottom w:val="single" w:sz="4" w:space="0" w:color="auto"/>
              <w:right w:val="single" w:sz="4" w:space="0" w:color="auto"/>
            </w:tcBorders>
            <w:shd w:val="clear" w:color="000000" w:fill="F98486"/>
            <w:noWrap/>
            <w:vAlign w:val="bottom"/>
            <w:hideMark/>
          </w:tcPr>
          <w:p w:rsidR="00E07890" w:rsidRPr="00E07890" w:rsidRDefault="00E07890" w:rsidP="00E07890">
            <w:pPr>
              <w:spacing w:before="0"/>
              <w:jc w:val="right"/>
              <w:rPr>
                <w:sz w:val="18"/>
                <w:szCs w:val="18"/>
              </w:rPr>
            </w:pPr>
            <w:r w:rsidRPr="00E07890">
              <w:rPr>
                <w:sz w:val="18"/>
                <w:szCs w:val="18"/>
              </w:rPr>
              <w:t>1 153</w:t>
            </w:r>
          </w:p>
        </w:tc>
        <w:tc>
          <w:tcPr>
            <w:tcW w:w="564"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E07890" w:rsidRPr="00E07890" w:rsidRDefault="00E07890" w:rsidP="00E07890">
            <w:pPr>
              <w:spacing w:before="0"/>
              <w:jc w:val="right"/>
              <w:rPr>
                <w:sz w:val="18"/>
                <w:szCs w:val="18"/>
              </w:rPr>
            </w:pPr>
            <w:r w:rsidRPr="00E07890">
              <w:rPr>
                <w:sz w:val="18"/>
                <w:szCs w:val="18"/>
              </w:rPr>
              <w:t>1 403</w:t>
            </w:r>
          </w:p>
        </w:tc>
        <w:tc>
          <w:tcPr>
            <w:tcW w:w="375" w:type="pct"/>
            <w:tcBorders>
              <w:top w:val="single" w:sz="4" w:space="0" w:color="auto"/>
              <w:left w:val="single" w:sz="4" w:space="0" w:color="auto"/>
              <w:bottom w:val="single" w:sz="4" w:space="0" w:color="auto"/>
              <w:right w:val="single" w:sz="4" w:space="0" w:color="auto"/>
            </w:tcBorders>
            <w:shd w:val="clear" w:color="000000" w:fill="FCEDF0"/>
            <w:noWrap/>
            <w:vAlign w:val="bottom"/>
            <w:hideMark/>
          </w:tcPr>
          <w:p w:rsidR="00E07890" w:rsidRPr="00E07890" w:rsidRDefault="00E07890" w:rsidP="00E07890">
            <w:pPr>
              <w:spacing w:before="0"/>
              <w:jc w:val="right"/>
              <w:rPr>
                <w:sz w:val="18"/>
                <w:szCs w:val="18"/>
              </w:rPr>
            </w:pPr>
            <w:r w:rsidRPr="00E07890">
              <w:rPr>
                <w:sz w:val="18"/>
                <w:szCs w:val="18"/>
              </w:rPr>
              <w:t>153</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Přerov</w:t>
            </w:r>
          </w:p>
        </w:tc>
        <w:tc>
          <w:tcPr>
            <w:tcW w:w="525" w:type="pct"/>
            <w:tcBorders>
              <w:top w:val="single" w:sz="4" w:space="0" w:color="auto"/>
              <w:left w:val="single" w:sz="4" w:space="0" w:color="auto"/>
              <w:bottom w:val="single" w:sz="4" w:space="0" w:color="auto"/>
              <w:right w:val="single" w:sz="4" w:space="0" w:color="auto"/>
            </w:tcBorders>
            <w:shd w:val="clear" w:color="000000" w:fill="FA8E91"/>
            <w:noWrap/>
            <w:vAlign w:val="bottom"/>
            <w:hideMark/>
          </w:tcPr>
          <w:p w:rsidR="00E07890" w:rsidRPr="00E07890" w:rsidRDefault="00E07890" w:rsidP="00E07890">
            <w:pPr>
              <w:spacing w:before="0"/>
              <w:jc w:val="right"/>
              <w:rPr>
                <w:sz w:val="18"/>
                <w:szCs w:val="18"/>
              </w:rPr>
            </w:pPr>
            <w:r w:rsidRPr="00E07890">
              <w:rPr>
                <w:sz w:val="18"/>
                <w:szCs w:val="18"/>
              </w:rPr>
              <w:t>3 685</w:t>
            </w:r>
          </w:p>
        </w:tc>
        <w:tc>
          <w:tcPr>
            <w:tcW w:w="544" w:type="pct"/>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E07890" w:rsidRPr="00E07890" w:rsidRDefault="00E07890" w:rsidP="00E07890">
            <w:pPr>
              <w:spacing w:before="0"/>
              <w:jc w:val="right"/>
              <w:rPr>
                <w:sz w:val="18"/>
                <w:szCs w:val="18"/>
              </w:rPr>
            </w:pPr>
            <w:r w:rsidRPr="00E07890">
              <w:rPr>
                <w:sz w:val="18"/>
                <w:szCs w:val="18"/>
              </w:rPr>
              <w:t>215</w:t>
            </w:r>
          </w:p>
        </w:tc>
        <w:tc>
          <w:tcPr>
            <w:tcW w:w="607" w:type="pct"/>
            <w:tcBorders>
              <w:top w:val="single" w:sz="4" w:space="0" w:color="auto"/>
              <w:left w:val="single" w:sz="4" w:space="0" w:color="auto"/>
              <w:bottom w:val="single" w:sz="4" w:space="0" w:color="auto"/>
              <w:right w:val="single" w:sz="4" w:space="0" w:color="auto"/>
            </w:tcBorders>
            <w:shd w:val="clear" w:color="000000" w:fill="FA9D9F"/>
            <w:noWrap/>
            <w:vAlign w:val="bottom"/>
            <w:hideMark/>
          </w:tcPr>
          <w:p w:rsidR="00E07890" w:rsidRPr="00E07890" w:rsidRDefault="00E07890" w:rsidP="00E07890">
            <w:pPr>
              <w:spacing w:before="0"/>
              <w:jc w:val="right"/>
              <w:rPr>
                <w:sz w:val="18"/>
                <w:szCs w:val="18"/>
              </w:rPr>
            </w:pPr>
            <w:r w:rsidRPr="00E07890">
              <w:rPr>
                <w:sz w:val="18"/>
                <w:szCs w:val="18"/>
              </w:rPr>
              <w:t>916</w:t>
            </w:r>
          </w:p>
        </w:tc>
        <w:tc>
          <w:tcPr>
            <w:tcW w:w="564" w:type="pct"/>
            <w:tcBorders>
              <w:top w:val="single" w:sz="4" w:space="0" w:color="auto"/>
              <w:left w:val="single" w:sz="4" w:space="0" w:color="auto"/>
              <w:bottom w:val="single" w:sz="4" w:space="0" w:color="auto"/>
              <w:right w:val="single" w:sz="4" w:space="0" w:color="auto"/>
            </w:tcBorders>
            <w:shd w:val="clear" w:color="000000" w:fill="FBBEC1"/>
            <w:noWrap/>
            <w:vAlign w:val="bottom"/>
            <w:hideMark/>
          </w:tcPr>
          <w:p w:rsidR="00E07890" w:rsidRPr="00E07890" w:rsidRDefault="00E07890" w:rsidP="00E07890">
            <w:pPr>
              <w:spacing w:before="0"/>
              <w:jc w:val="right"/>
              <w:rPr>
                <w:sz w:val="18"/>
                <w:szCs w:val="18"/>
              </w:rPr>
            </w:pPr>
            <w:r w:rsidRPr="00E07890">
              <w:rPr>
                <w:sz w:val="18"/>
                <w:szCs w:val="18"/>
              </w:rPr>
              <w:t>599</w:t>
            </w:r>
          </w:p>
        </w:tc>
        <w:tc>
          <w:tcPr>
            <w:tcW w:w="607" w:type="pct"/>
            <w:tcBorders>
              <w:top w:val="single" w:sz="4" w:space="0" w:color="auto"/>
              <w:left w:val="single" w:sz="4" w:space="0" w:color="auto"/>
              <w:bottom w:val="single" w:sz="4" w:space="0" w:color="auto"/>
              <w:right w:val="single" w:sz="4" w:space="0" w:color="auto"/>
            </w:tcBorders>
            <w:shd w:val="clear" w:color="000000" w:fill="FA9194"/>
            <w:noWrap/>
            <w:vAlign w:val="bottom"/>
            <w:hideMark/>
          </w:tcPr>
          <w:p w:rsidR="00E07890" w:rsidRPr="00E07890" w:rsidRDefault="00E07890" w:rsidP="00E07890">
            <w:pPr>
              <w:spacing w:before="0"/>
              <w:jc w:val="right"/>
              <w:rPr>
                <w:sz w:val="18"/>
                <w:szCs w:val="18"/>
              </w:rPr>
            </w:pPr>
            <w:r w:rsidRPr="00E07890">
              <w:rPr>
                <w:sz w:val="18"/>
                <w:szCs w:val="18"/>
              </w:rPr>
              <w:t>1 025</w:t>
            </w:r>
          </w:p>
        </w:tc>
        <w:tc>
          <w:tcPr>
            <w:tcW w:w="564" w:type="pct"/>
            <w:tcBorders>
              <w:top w:val="single" w:sz="4" w:space="0" w:color="auto"/>
              <w:left w:val="single" w:sz="4" w:space="0" w:color="auto"/>
              <w:bottom w:val="single" w:sz="4" w:space="0" w:color="auto"/>
              <w:right w:val="single" w:sz="4" w:space="0" w:color="auto"/>
            </w:tcBorders>
            <w:shd w:val="clear" w:color="000000" w:fill="FAA2A4"/>
            <w:noWrap/>
            <w:vAlign w:val="bottom"/>
            <w:hideMark/>
          </w:tcPr>
          <w:p w:rsidR="00E07890" w:rsidRPr="00E07890" w:rsidRDefault="00E07890" w:rsidP="00E07890">
            <w:pPr>
              <w:spacing w:before="0"/>
              <w:jc w:val="right"/>
              <w:rPr>
                <w:sz w:val="18"/>
                <w:szCs w:val="18"/>
              </w:rPr>
            </w:pPr>
            <w:r w:rsidRPr="00E07890">
              <w:rPr>
                <w:sz w:val="18"/>
                <w:szCs w:val="18"/>
              </w:rPr>
              <w:t>867</w:t>
            </w:r>
          </w:p>
        </w:tc>
        <w:tc>
          <w:tcPr>
            <w:tcW w:w="375"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rsidR="00E07890" w:rsidRPr="00E07890" w:rsidRDefault="00E07890" w:rsidP="00E07890">
            <w:pPr>
              <w:spacing w:before="0"/>
              <w:jc w:val="right"/>
              <w:rPr>
                <w:sz w:val="18"/>
                <w:szCs w:val="18"/>
              </w:rPr>
            </w:pPr>
            <w:r w:rsidRPr="00E07890">
              <w:rPr>
                <w:sz w:val="18"/>
                <w:szCs w:val="18"/>
              </w:rPr>
              <w:t>63</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Prostějov</w:t>
            </w:r>
          </w:p>
        </w:tc>
        <w:tc>
          <w:tcPr>
            <w:tcW w:w="525" w:type="pct"/>
            <w:tcBorders>
              <w:top w:val="single" w:sz="4" w:space="0" w:color="auto"/>
              <w:left w:val="single" w:sz="4" w:space="0" w:color="auto"/>
              <w:bottom w:val="single" w:sz="4" w:space="0" w:color="auto"/>
              <w:right w:val="single" w:sz="4" w:space="0" w:color="auto"/>
            </w:tcBorders>
            <w:shd w:val="clear" w:color="000000" w:fill="FA9B9D"/>
            <w:noWrap/>
            <w:vAlign w:val="bottom"/>
            <w:hideMark/>
          </w:tcPr>
          <w:p w:rsidR="00E07890" w:rsidRPr="00E07890" w:rsidRDefault="00E07890" w:rsidP="00E07890">
            <w:pPr>
              <w:spacing w:before="0"/>
              <w:jc w:val="right"/>
              <w:rPr>
                <w:sz w:val="18"/>
                <w:szCs w:val="18"/>
              </w:rPr>
            </w:pPr>
            <w:r w:rsidRPr="00E07890">
              <w:rPr>
                <w:sz w:val="18"/>
                <w:szCs w:val="18"/>
              </w:rPr>
              <w:t>3 312</w:t>
            </w:r>
          </w:p>
        </w:tc>
        <w:tc>
          <w:tcPr>
            <w:tcW w:w="544" w:type="pct"/>
            <w:tcBorders>
              <w:top w:val="single" w:sz="4" w:space="0" w:color="auto"/>
              <w:left w:val="single" w:sz="4" w:space="0" w:color="auto"/>
              <w:bottom w:val="single" w:sz="4" w:space="0" w:color="auto"/>
              <w:right w:val="single" w:sz="4" w:space="0" w:color="auto"/>
            </w:tcBorders>
            <w:shd w:val="clear" w:color="000000" w:fill="FCE8EB"/>
            <w:noWrap/>
            <w:vAlign w:val="bottom"/>
            <w:hideMark/>
          </w:tcPr>
          <w:p w:rsidR="00E07890" w:rsidRPr="00E07890" w:rsidRDefault="00E07890" w:rsidP="00E07890">
            <w:pPr>
              <w:spacing w:before="0"/>
              <w:jc w:val="right"/>
              <w:rPr>
                <w:sz w:val="18"/>
                <w:szCs w:val="18"/>
              </w:rPr>
            </w:pPr>
            <w:r w:rsidRPr="00E07890">
              <w:rPr>
                <w:sz w:val="18"/>
                <w:szCs w:val="18"/>
              </w:rPr>
              <w:t>202</w:t>
            </w:r>
          </w:p>
        </w:tc>
        <w:tc>
          <w:tcPr>
            <w:tcW w:w="607" w:type="pct"/>
            <w:tcBorders>
              <w:top w:val="single" w:sz="4" w:space="0" w:color="auto"/>
              <w:left w:val="single" w:sz="4" w:space="0" w:color="auto"/>
              <w:bottom w:val="single" w:sz="4" w:space="0" w:color="auto"/>
              <w:right w:val="single" w:sz="4" w:space="0" w:color="auto"/>
            </w:tcBorders>
            <w:shd w:val="clear" w:color="000000" w:fill="FAA8AB"/>
            <w:noWrap/>
            <w:vAlign w:val="bottom"/>
            <w:hideMark/>
          </w:tcPr>
          <w:p w:rsidR="00E07890" w:rsidRPr="00E07890" w:rsidRDefault="00E07890" w:rsidP="00E07890">
            <w:pPr>
              <w:spacing w:before="0"/>
              <w:jc w:val="right"/>
              <w:rPr>
                <w:sz w:val="18"/>
                <w:szCs w:val="18"/>
              </w:rPr>
            </w:pPr>
            <w:r w:rsidRPr="00E07890">
              <w:rPr>
                <w:sz w:val="18"/>
                <w:szCs w:val="18"/>
              </w:rPr>
              <w:t>808</w:t>
            </w:r>
          </w:p>
        </w:tc>
        <w:tc>
          <w:tcPr>
            <w:tcW w:w="564" w:type="pct"/>
            <w:tcBorders>
              <w:top w:val="single" w:sz="4" w:space="0" w:color="auto"/>
              <w:left w:val="single" w:sz="4" w:space="0" w:color="auto"/>
              <w:bottom w:val="single" w:sz="4" w:space="0" w:color="auto"/>
              <w:right w:val="single" w:sz="4" w:space="0" w:color="auto"/>
            </w:tcBorders>
            <w:shd w:val="clear" w:color="000000" w:fill="FBC3C6"/>
            <w:noWrap/>
            <w:vAlign w:val="bottom"/>
            <w:hideMark/>
          </w:tcPr>
          <w:p w:rsidR="00E07890" w:rsidRPr="00E07890" w:rsidRDefault="00E07890" w:rsidP="00E07890">
            <w:pPr>
              <w:spacing w:before="0"/>
              <w:jc w:val="right"/>
              <w:rPr>
                <w:sz w:val="18"/>
                <w:szCs w:val="18"/>
              </w:rPr>
            </w:pPr>
            <w:r w:rsidRPr="00E07890">
              <w:rPr>
                <w:sz w:val="18"/>
                <w:szCs w:val="18"/>
              </w:rPr>
              <w:t>551</w:t>
            </w:r>
          </w:p>
        </w:tc>
        <w:tc>
          <w:tcPr>
            <w:tcW w:w="607" w:type="pct"/>
            <w:tcBorders>
              <w:top w:val="single" w:sz="4" w:space="0" w:color="auto"/>
              <w:left w:val="single" w:sz="4" w:space="0" w:color="auto"/>
              <w:bottom w:val="single" w:sz="4" w:space="0" w:color="auto"/>
              <w:right w:val="single" w:sz="4" w:space="0" w:color="auto"/>
            </w:tcBorders>
            <w:shd w:val="clear" w:color="000000" w:fill="FAA6A9"/>
            <w:noWrap/>
            <w:vAlign w:val="bottom"/>
            <w:hideMark/>
          </w:tcPr>
          <w:p w:rsidR="00E07890" w:rsidRPr="00E07890" w:rsidRDefault="00E07890" w:rsidP="00E07890">
            <w:pPr>
              <w:spacing w:before="0"/>
              <w:jc w:val="right"/>
              <w:rPr>
                <w:sz w:val="18"/>
                <w:szCs w:val="18"/>
              </w:rPr>
            </w:pPr>
            <w:r w:rsidRPr="00E07890">
              <w:rPr>
                <w:sz w:val="18"/>
                <w:szCs w:val="18"/>
              </w:rPr>
              <w:t>826</w:t>
            </w:r>
          </w:p>
        </w:tc>
        <w:tc>
          <w:tcPr>
            <w:tcW w:w="564" w:type="pct"/>
            <w:tcBorders>
              <w:top w:val="single" w:sz="4" w:space="0" w:color="auto"/>
              <w:left w:val="single" w:sz="4" w:space="0" w:color="auto"/>
              <w:bottom w:val="single" w:sz="4" w:space="0" w:color="auto"/>
              <w:right w:val="single" w:sz="4" w:space="0" w:color="auto"/>
            </w:tcBorders>
            <w:shd w:val="clear" w:color="000000" w:fill="FAA5A7"/>
            <w:noWrap/>
            <w:vAlign w:val="bottom"/>
            <w:hideMark/>
          </w:tcPr>
          <w:p w:rsidR="00E07890" w:rsidRPr="00E07890" w:rsidRDefault="00E07890" w:rsidP="00E07890">
            <w:pPr>
              <w:spacing w:before="0"/>
              <w:jc w:val="right"/>
              <w:rPr>
                <w:sz w:val="18"/>
                <w:szCs w:val="18"/>
              </w:rPr>
            </w:pPr>
            <w:r w:rsidRPr="00E07890">
              <w:rPr>
                <w:sz w:val="18"/>
                <w:szCs w:val="18"/>
              </w:rPr>
              <w:t>840</w:t>
            </w:r>
          </w:p>
        </w:tc>
        <w:tc>
          <w:tcPr>
            <w:tcW w:w="375"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rsidR="00E07890" w:rsidRPr="00E07890" w:rsidRDefault="00E07890" w:rsidP="00E07890">
            <w:pPr>
              <w:spacing w:before="0"/>
              <w:jc w:val="right"/>
              <w:rPr>
                <w:sz w:val="18"/>
                <w:szCs w:val="18"/>
              </w:rPr>
            </w:pPr>
            <w:r w:rsidRPr="00E07890">
              <w:rPr>
                <w:sz w:val="18"/>
                <w:szCs w:val="18"/>
              </w:rPr>
              <w:t>85</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Šumperk</w:t>
            </w:r>
          </w:p>
        </w:tc>
        <w:tc>
          <w:tcPr>
            <w:tcW w:w="525" w:type="pct"/>
            <w:tcBorders>
              <w:top w:val="single" w:sz="4" w:space="0" w:color="auto"/>
              <w:left w:val="single" w:sz="4" w:space="0" w:color="auto"/>
              <w:bottom w:val="single" w:sz="4" w:space="0" w:color="auto"/>
              <w:right w:val="single" w:sz="4" w:space="0" w:color="auto"/>
            </w:tcBorders>
            <w:shd w:val="clear" w:color="000000" w:fill="FA9FA1"/>
            <w:noWrap/>
            <w:vAlign w:val="bottom"/>
            <w:hideMark/>
          </w:tcPr>
          <w:p w:rsidR="00E07890" w:rsidRPr="00E07890" w:rsidRDefault="00E07890" w:rsidP="00E07890">
            <w:pPr>
              <w:spacing w:before="0"/>
              <w:jc w:val="right"/>
              <w:rPr>
                <w:sz w:val="18"/>
                <w:szCs w:val="18"/>
              </w:rPr>
            </w:pPr>
            <w:r w:rsidRPr="00E07890">
              <w:rPr>
                <w:sz w:val="18"/>
                <w:szCs w:val="18"/>
              </w:rPr>
              <w:t>3 198</w:t>
            </w:r>
          </w:p>
        </w:tc>
        <w:tc>
          <w:tcPr>
            <w:tcW w:w="544" w:type="pct"/>
            <w:tcBorders>
              <w:top w:val="single" w:sz="4" w:space="0" w:color="auto"/>
              <w:left w:val="single" w:sz="4" w:space="0" w:color="auto"/>
              <w:bottom w:val="single" w:sz="4" w:space="0" w:color="auto"/>
              <w:right w:val="single" w:sz="4" w:space="0" w:color="auto"/>
            </w:tcBorders>
            <w:shd w:val="clear" w:color="000000" w:fill="FCE4E7"/>
            <w:noWrap/>
            <w:vAlign w:val="bottom"/>
            <w:hideMark/>
          </w:tcPr>
          <w:p w:rsidR="00E07890" w:rsidRPr="00E07890" w:rsidRDefault="00E07890" w:rsidP="00E07890">
            <w:pPr>
              <w:spacing w:before="0"/>
              <w:jc w:val="right"/>
              <w:rPr>
                <w:sz w:val="18"/>
                <w:szCs w:val="18"/>
              </w:rPr>
            </w:pPr>
            <w:r w:rsidRPr="00E07890">
              <w:rPr>
                <w:sz w:val="18"/>
                <w:szCs w:val="18"/>
              </w:rPr>
              <w:t>238</w:t>
            </w:r>
          </w:p>
        </w:tc>
        <w:tc>
          <w:tcPr>
            <w:tcW w:w="607" w:type="pct"/>
            <w:tcBorders>
              <w:top w:val="single" w:sz="4" w:space="0" w:color="auto"/>
              <w:left w:val="single" w:sz="4" w:space="0" w:color="auto"/>
              <w:bottom w:val="single" w:sz="4" w:space="0" w:color="auto"/>
              <w:right w:val="single" w:sz="4" w:space="0" w:color="auto"/>
            </w:tcBorders>
            <w:shd w:val="clear" w:color="000000" w:fill="FAB1B3"/>
            <w:noWrap/>
            <w:vAlign w:val="bottom"/>
            <w:hideMark/>
          </w:tcPr>
          <w:p w:rsidR="00E07890" w:rsidRPr="00E07890" w:rsidRDefault="00E07890" w:rsidP="00E07890">
            <w:pPr>
              <w:spacing w:before="0"/>
              <w:jc w:val="right"/>
              <w:rPr>
                <w:sz w:val="18"/>
                <w:szCs w:val="18"/>
              </w:rPr>
            </w:pPr>
            <w:r w:rsidRPr="00E07890">
              <w:rPr>
                <w:sz w:val="18"/>
                <w:szCs w:val="18"/>
              </w:rPr>
              <w:t>730</w:t>
            </w:r>
          </w:p>
        </w:tc>
        <w:tc>
          <w:tcPr>
            <w:tcW w:w="564" w:type="pct"/>
            <w:tcBorders>
              <w:top w:val="single" w:sz="4" w:space="0" w:color="auto"/>
              <w:left w:val="single" w:sz="4" w:space="0" w:color="auto"/>
              <w:bottom w:val="single" w:sz="4" w:space="0" w:color="auto"/>
              <w:right w:val="single" w:sz="4" w:space="0" w:color="auto"/>
            </w:tcBorders>
            <w:shd w:val="clear" w:color="000000" w:fill="FBC2C5"/>
            <w:noWrap/>
            <w:vAlign w:val="bottom"/>
            <w:hideMark/>
          </w:tcPr>
          <w:p w:rsidR="00E07890" w:rsidRPr="00E07890" w:rsidRDefault="00E07890" w:rsidP="00E07890">
            <w:pPr>
              <w:spacing w:before="0"/>
              <w:jc w:val="right"/>
              <w:rPr>
                <w:sz w:val="18"/>
                <w:szCs w:val="18"/>
              </w:rPr>
            </w:pPr>
            <w:r w:rsidRPr="00E07890">
              <w:rPr>
                <w:sz w:val="18"/>
                <w:szCs w:val="18"/>
              </w:rPr>
              <w:t>560</w:t>
            </w:r>
          </w:p>
        </w:tc>
        <w:tc>
          <w:tcPr>
            <w:tcW w:w="607" w:type="pct"/>
            <w:tcBorders>
              <w:top w:val="single" w:sz="4" w:space="0" w:color="auto"/>
              <w:left w:val="single" w:sz="4" w:space="0" w:color="auto"/>
              <w:bottom w:val="single" w:sz="4" w:space="0" w:color="auto"/>
              <w:right w:val="single" w:sz="4" w:space="0" w:color="auto"/>
            </w:tcBorders>
            <w:shd w:val="clear" w:color="000000" w:fill="FAA4A7"/>
            <w:noWrap/>
            <w:vAlign w:val="bottom"/>
            <w:hideMark/>
          </w:tcPr>
          <w:p w:rsidR="00E07890" w:rsidRPr="00E07890" w:rsidRDefault="00E07890" w:rsidP="00E07890">
            <w:pPr>
              <w:spacing w:before="0"/>
              <w:jc w:val="right"/>
              <w:rPr>
                <w:sz w:val="18"/>
                <w:szCs w:val="18"/>
              </w:rPr>
            </w:pPr>
            <w:r w:rsidRPr="00E07890">
              <w:rPr>
                <w:sz w:val="18"/>
                <w:szCs w:val="18"/>
              </w:rPr>
              <w:t>845</w:t>
            </w:r>
          </w:p>
        </w:tc>
        <w:tc>
          <w:tcPr>
            <w:tcW w:w="564" w:type="pct"/>
            <w:tcBorders>
              <w:top w:val="single" w:sz="4" w:space="0" w:color="auto"/>
              <w:left w:val="single" w:sz="4" w:space="0" w:color="auto"/>
              <w:bottom w:val="single" w:sz="4" w:space="0" w:color="auto"/>
              <w:right w:val="single" w:sz="4" w:space="0" w:color="auto"/>
            </w:tcBorders>
            <w:shd w:val="clear" w:color="000000" w:fill="FAADAF"/>
            <w:noWrap/>
            <w:vAlign w:val="bottom"/>
            <w:hideMark/>
          </w:tcPr>
          <w:p w:rsidR="00E07890" w:rsidRPr="00E07890" w:rsidRDefault="00E07890" w:rsidP="00E07890">
            <w:pPr>
              <w:spacing w:before="0"/>
              <w:jc w:val="right"/>
              <w:rPr>
                <w:sz w:val="18"/>
                <w:szCs w:val="18"/>
              </w:rPr>
            </w:pPr>
            <w:r w:rsidRPr="00E07890">
              <w:rPr>
                <w:sz w:val="18"/>
                <w:szCs w:val="18"/>
              </w:rPr>
              <w:t>763</w:t>
            </w:r>
          </w:p>
        </w:tc>
        <w:tc>
          <w:tcPr>
            <w:tcW w:w="375"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rsidR="00E07890" w:rsidRPr="00E07890" w:rsidRDefault="00E07890" w:rsidP="00E07890">
            <w:pPr>
              <w:spacing w:before="0"/>
              <w:jc w:val="right"/>
              <w:rPr>
                <w:sz w:val="18"/>
                <w:szCs w:val="18"/>
              </w:rPr>
            </w:pPr>
            <w:r w:rsidRPr="00E07890">
              <w:rPr>
                <w:sz w:val="18"/>
                <w:szCs w:val="18"/>
              </w:rPr>
              <w:t>62</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Hranice</w:t>
            </w:r>
          </w:p>
        </w:tc>
        <w:tc>
          <w:tcPr>
            <w:tcW w:w="525" w:type="pct"/>
            <w:tcBorders>
              <w:top w:val="single" w:sz="4" w:space="0" w:color="auto"/>
              <w:left w:val="single" w:sz="4" w:space="0" w:color="auto"/>
              <w:bottom w:val="single" w:sz="4" w:space="0" w:color="auto"/>
              <w:right w:val="single" w:sz="4" w:space="0" w:color="auto"/>
            </w:tcBorders>
            <w:shd w:val="clear" w:color="000000" w:fill="FBD6D9"/>
            <w:noWrap/>
            <w:vAlign w:val="bottom"/>
            <w:hideMark/>
          </w:tcPr>
          <w:p w:rsidR="00E07890" w:rsidRPr="00E07890" w:rsidRDefault="00E07890" w:rsidP="00E07890">
            <w:pPr>
              <w:spacing w:before="0"/>
              <w:jc w:val="right"/>
              <w:rPr>
                <w:sz w:val="18"/>
                <w:szCs w:val="18"/>
              </w:rPr>
            </w:pPr>
            <w:r w:rsidRPr="00E07890">
              <w:rPr>
                <w:sz w:val="18"/>
                <w:szCs w:val="18"/>
              </w:rPr>
              <w:t>1 565</w:t>
            </w:r>
          </w:p>
        </w:tc>
        <w:tc>
          <w:tcPr>
            <w:tcW w:w="544"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rsidR="00E07890" w:rsidRPr="00E07890" w:rsidRDefault="00E07890" w:rsidP="00E07890">
            <w:pPr>
              <w:spacing w:before="0"/>
              <w:jc w:val="right"/>
              <w:rPr>
                <w:sz w:val="18"/>
                <w:szCs w:val="18"/>
              </w:rPr>
            </w:pPr>
            <w:r w:rsidRPr="00E07890">
              <w:rPr>
                <w:sz w:val="18"/>
                <w:szCs w:val="18"/>
              </w:rPr>
              <w:t>104</w:t>
            </w:r>
          </w:p>
        </w:tc>
        <w:tc>
          <w:tcPr>
            <w:tcW w:w="607" w:type="pct"/>
            <w:tcBorders>
              <w:top w:val="single" w:sz="4" w:space="0" w:color="auto"/>
              <w:left w:val="single" w:sz="4" w:space="0" w:color="auto"/>
              <w:bottom w:val="single" w:sz="4" w:space="0" w:color="auto"/>
              <w:right w:val="single" w:sz="4" w:space="0" w:color="auto"/>
            </w:tcBorders>
            <w:shd w:val="clear" w:color="000000" w:fill="FBD8DA"/>
            <w:noWrap/>
            <w:vAlign w:val="bottom"/>
            <w:hideMark/>
          </w:tcPr>
          <w:p w:rsidR="00E07890" w:rsidRPr="00E07890" w:rsidRDefault="00E07890" w:rsidP="00E07890">
            <w:pPr>
              <w:spacing w:before="0"/>
              <w:jc w:val="right"/>
              <w:rPr>
                <w:sz w:val="18"/>
                <w:szCs w:val="18"/>
              </w:rPr>
            </w:pPr>
            <w:r w:rsidRPr="00E07890">
              <w:rPr>
                <w:sz w:val="18"/>
                <w:szCs w:val="18"/>
              </w:rPr>
              <w:t>359</w:t>
            </w:r>
          </w:p>
        </w:tc>
        <w:tc>
          <w:tcPr>
            <w:tcW w:w="564" w:type="pct"/>
            <w:tcBorders>
              <w:top w:val="single" w:sz="4" w:space="0" w:color="auto"/>
              <w:left w:val="single" w:sz="4" w:space="0" w:color="auto"/>
              <w:bottom w:val="single" w:sz="4" w:space="0" w:color="auto"/>
              <w:right w:val="single" w:sz="4" w:space="0" w:color="auto"/>
            </w:tcBorders>
            <w:shd w:val="clear" w:color="000000" w:fill="FCE3E5"/>
            <w:noWrap/>
            <w:vAlign w:val="bottom"/>
            <w:hideMark/>
          </w:tcPr>
          <w:p w:rsidR="00E07890" w:rsidRPr="00E07890" w:rsidRDefault="00E07890" w:rsidP="00E07890">
            <w:pPr>
              <w:spacing w:before="0"/>
              <w:jc w:val="right"/>
              <w:rPr>
                <w:sz w:val="18"/>
                <w:szCs w:val="18"/>
              </w:rPr>
            </w:pPr>
            <w:r w:rsidRPr="00E07890">
              <w:rPr>
                <w:sz w:val="18"/>
                <w:szCs w:val="18"/>
              </w:rPr>
              <w:t>255</w:t>
            </w:r>
          </w:p>
        </w:tc>
        <w:tc>
          <w:tcPr>
            <w:tcW w:w="607"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rsidR="00E07890" w:rsidRPr="00E07890" w:rsidRDefault="00E07890" w:rsidP="00E07890">
            <w:pPr>
              <w:spacing w:before="0"/>
              <w:jc w:val="right"/>
              <w:rPr>
                <w:sz w:val="18"/>
                <w:szCs w:val="18"/>
              </w:rPr>
            </w:pPr>
            <w:r w:rsidRPr="00E07890">
              <w:rPr>
                <w:sz w:val="18"/>
                <w:szCs w:val="18"/>
              </w:rPr>
              <w:t>435</w:t>
            </w:r>
          </w:p>
        </w:tc>
        <w:tc>
          <w:tcPr>
            <w:tcW w:w="564" w:type="pct"/>
            <w:tcBorders>
              <w:top w:val="single" w:sz="4" w:space="0" w:color="auto"/>
              <w:left w:val="single" w:sz="4" w:space="0" w:color="auto"/>
              <w:bottom w:val="single" w:sz="4" w:space="0" w:color="auto"/>
              <w:right w:val="single" w:sz="4" w:space="0" w:color="auto"/>
            </w:tcBorders>
            <w:shd w:val="clear" w:color="000000" w:fill="FBD5D8"/>
            <w:noWrap/>
            <w:vAlign w:val="bottom"/>
            <w:hideMark/>
          </w:tcPr>
          <w:p w:rsidR="00E07890" w:rsidRPr="00E07890" w:rsidRDefault="00E07890" w:rsidP="00E07890">
            <w:pPr>
              <w:spacing w:before="0"/>
              <w:jc w:val="right"/>
              <w:rPr>
                <w:sz w:val="18"/>
                <w:szCs w:val="18"/>
              </w:rPr>
            </w:pPr>
            <w:r w:rsidRPr="00E07890">
              <w:rPr>
                <w:sz w:val="18"/>
                <w:szCs w:val="18"/>
              </w:rPr>
              <w:t>381</w:t>
            </w:r>
          </w:p>
        </w:tc>
        <w:tc>
          <w:tcPr>
            <w:tcW w:w="375"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rsidR="00E07890" w:rsidRPr="00E07890" w:rsidRDefault="00E07890" w:rsidP="00E07890">
            <w:pPr>
              <w:spacing w:before="0"/>
              <w:jc w:val="right"/>
              <w:rPr>
                <w:sz w:val="18"/>
                <w:szCs w:val="18"/>
              </w:rPr>
            </w:pPr>
            <w:r w:rsidRPr="00E07890">
              <w:rPr>
                <w:sz w:val="18"/>
                <w:szCs w:val="18"/>
              </w:rPr>
              <w:t>31</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Zábřeh</w:t>
            </w:r>
          </w:p>
        </w:tc>
        <w:tc>
          <w:tcPr>
            <w:tcW w:w="525" w:type="pct"/>
            <w:tcBorders>
              <w:top w:val="single" w:sz="4" w:space="0" w:color="auto"/>
              <w:left w:val="single" w:sz="4" w:space="0" w:color="auto"/>
              <w:bottom w:val="single" w:sz="4" w:space="0" w:color="auto"/>
              <w:right w:val="single" w:sz="4" w:space="0" w:color="auto"/>
            </w:tcBorders>
            <w:shd w:val="clear" w:color="000000" w:fill="FCE1E4"/>
            <w:noWrap/>
            <w:vAlign w:val="bottom"/>
            <w:hideMark/>
          </w:tcPr>
          <w:p w:rsidR="00E07890" w:rsidRPr="00E07890" w:rsidRDefault="00E07890" w:rsidP="00E07890">
            <w:pPr>
              <w:spacing w:before="0"/>
              <w:jc w:val="right"/>
              <w:rPr>
                <w:sz w:val="18"/>
                <w:szCs w:val="18"/>
              </w:rPr>
            </w:pPr>
            <w:r w:rsidRPr="00E07890">
              <w:rPr>
                <w:sz w:val="18"/>
                <w:szCs w:val="18"/>
              </w:rPr>
              <w:t>1 254</w:t>
            </w:r>
          </w:p>
        </w:tc>
        <w:tc>
          <w:tcPr>
            <w:tcW w:w="544"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rsidR="00E07890" w:rsidRPr="00E07890" w:rsidRDefault="00E07890" w:rsidP="00E07890">
            <w:pPr>
              <w:spacing w:before="0"/>
              <w:jc w:val="right"/>
              <w:rPr>
                <w:sz w:val="18"/>
                <w:szCs w:val="18"/>
              </w:rPr>
            </w:pPr>
            <w:r w:rsidRPr="00E07890">
              <w:rPr>
                <w:sz w:val="18"/>
                <w:szCs w:val="18"/>
              </w:rPr>
              <w:t>100</w:t>
            </w:r>
          </w:p>
        </w:tc>
        <w:tc>
          <w:tcPr>
            <w:tcW w:w="607" w:type="pct"/>
            <w:tcBorders>
              <w:top w:val="single" w:sz="4" w:space="0" w:color="auto"/>
              <w:left w:val="single" w:sz="4" w:space="0" w:color="auto"/>
              <w:bottom w:val="single" w:sz="4" w:space="0" w:color="auto"/>
              <w:right w:val="single" w:sz="4" w:space="0" w:color="auto"/>
            </w:tcBorders>
            <w:shd w:val="clear" w:color="000000" w:fill="FCE5E7"/>
            <w:noWrap/>
            <w:vAlign w:val="bottom"/>
            <w:hideMark/>
          </w:tcPr>
          <w:p w:rsidR="00E07890" w:rsidRPr="00E07890" w:rsidRDefault="00E07890" w:rsidP="00E07890">
            <w:pPr>
              <w:spacing w:before="0"/>
              <w:jc w:val="right"/>
              <w:rPr>
                <w:sz w:val="18"/>
                <w:szCs w:val="18"/>
              </w:rPr>
            </w:pPr>
            <w:r w:rsidRPr="00E07890">
              <w:rPr>
                <w:sz w:val="18"/>
                <w:szCs w:val="18"/>
              </w:rPr>
              <w:t>237</w:t>
            </w:r>
          </w:p>
        </w:tc>
        <w:tc>
          <w:tcPr>
            <w:tcW w:w="564" w:type="pct"/>
            <w:tcBorders>
              <w:top w:val="single" w:sz="4" w:space="0" w:color="auto"/>
              <w:left w:val="single" w:sz="4" w:space="0" w:color="auto"/>
              <w:bottom w:val="single" w:sz="4" w:space="0" w:color="auto"/>
              <w:right w:val="single" w:sz="4" w:space="0" w:color="auto"/>
            </w:tcBorders>
            <w:shd w:val="clear" w:color="000000" w:fill="FCE8EB"/>
            <w:noWrap/>
            <w:vAlign w:val="bottom"/>
            <w:hideMark/>
          </w:tcPr>
          <w:p w:rsidR="00E07890" w:rsidRPr="00E07890" w:rsidRDefault="00E07890" w:rsidP="00E07890">
            <w:pPr>
              <w:spacing w:before="0"/>
              <w:jc w:val="right"/>
              <w:rPr>
                <w:sz w:val="18"/>
                <w:szCs w:val="18"/>
              </w:rPr>
            </w:pPr>
            <w:r w:rsidRPr="00E07890">
              <w:rPr>
                <w:sz w:val="18"/>
                <w:szCs w:val="18"/>
              </w:rPr>
              <w:t>200</w:t>
            </w:r>
          </w:p>
        </w:tc>
        <w:tc>
          <w:tcPr>
            <w:tcW w:w="607" w:type="pct"/>
            <w:tcBorders>
              <w:top w:val="single" w:sz="4" w:space="0" w:color="auto"/>
              <w:left w:val="single" w:sz="4" w:space="0" w:color="auto"/>
              <w:bottom w:val="single" w:sz="4" w:space="0" w:color="auto"/>
              <w:right w:val="single" w:sz="4" w:space="0" w:color="auto"/>
            </w:tcBorders>
            <w:shd w:val="clear" w:color="000000" w:fill="FBD5D8"/>
            <w:noWrap/>
            <w:vAlign w:val="bottom"/>
            <w:hideMark/>
          </w:tcPr>
          <w:p w:rsidR="00E07890" w:rsidRPr="00E07890" w:rsidRDefault="00E07890" w:rsidP="00E07890">
            <w:pPr>
              <w:spacing w:before="0"/>
              <w:jc w:val="right"/>
              <w:rPr>
                <w:sz w:val="18"/>
                <w:szCs w:val="18"/>
              </w:rPr>
            </w:pPr>
            <w:r w:rsidRPr="00E07890">
              <w:rPr>
                <w:sz w:val="18"/>
                <w:szCs w:val="18"/>
              </w:rPr>
              <w:t>382</w:t>
            </w:r>
          </w:p>
        </w:tc>
        <w:tc>
          <w:tcPr>
            <w:tcW w:w="564" w:type="pct"/>
            <w:tcBorders>
              <w:top w:val="single" w:sz="4" w:space="0" w:color="auto"/>
              <w:left w:val="single" w:sz="4" w:space="0" w:color="auto"/>
              <w:bottom w:val="single" w:sz="4" w:space="0" w:color="auto"/>
              <w:right w:val="single" w:sz="4" w:space="0" w:color="auto"/>
            </w:tcBorders>
            <w:shd w:val="clear" w:color="000000" w:fill="FCDDE0"/>
            <w:noWrap/>
            <w:vAlign w:val="bottom"/>
            <w:hideMark/>
          </w:tcPr>
          <w:p w:rsidR="00E07890" w:rsidRPr="00E07890" w:rsidRDefault="00E07890" w:rsidP="00E07890">
            <w:pPr>
              <w:spacing w:before="0"/>
              <w:jc w:val="right"/>
              <w:rPr>
                <w:sz w:val="18"/>
                <w:szCs w:val="18"/>
              </w:rPr>
            </w:pPr>
            <w:r w:rsidRPr="00E07890">
              <w:rPr>
                <w:sz w:val="18"/>
                <w:szCs w:val="18"/>
              </w:rPr>
              <w:t>306</w:t>
            </w:r>
          </w:p>
        </w:tc>
        <w:tc>
          <w:tcPr>
            <w:tcW w:w="375"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rsidR="00E07890" w:rsidRPr="00E07890" w:rsidRDefault="00E07890" w:rsidP="00E07890">
            <w:pPr>
              <w:spacing w:before="0"/>
              <w:jc w:val="right"/>
              <w:rPr>
                <w:sz w:val="18"/>
                <w:szCs w:val="18"/>
              </w:rPr>
            </w:pPr>
            <w:r w:rsidRPr="00E07890">
              <w:rPr>
                <w:sz w:val="18"/>
                <w:szCs w:val="18"/>
              </w:rPr>
              <w:t>29</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Jeseník</w:t>
            </w:r>
          </w:p>
        </w:tc>
        <w:tc>
          <w:tcPr>
            <w:tcW w:w="525" w:type="pct"/>
            <w:tcBorders>
              <w:top w:val="single" w:sz="4" w:space="0" w:color="auto"/>
              <w:left w:val="single" w:sz="4" w:space="0" w:color="auto"/>
              <w:bottom w:val="single" w:sz="4" w:space="0" w:color="auto"/>
              <w:right w:val="single" w:sz="4" w:space="0" w:color="auto"/>
            </w:tcBorders>
            <w:shd w:val="clear" w:color="000000" w:fill="FCE2E5"/>
            <w:noWrap/>
            <w:vAlign w:val="bottom"/>
            <w:hideMark/>
          </w:tcPr>
          <w:p w:rsidR="00E07890" w:rsidRPr="00E07890" w:rsidRDefault="00E07890" w:rsidP="00E07890">
            <w:pPr>
              <w:spacing w:before="0"/>
              <w:jc w:val="right"/>
              <w:rPr>
                <w:sz w:val="18"/>
                <w:szCs w:val="18"/>
              </w:rPr>
            </w:pPr>
            <w:r w:rsidRPr="00E07890">
              <w:rPr>
                <w:sz w:val="18"/>
                <w:szCs w:val="18"/>
              </w:rPr>
              <w:t>1 216</w:t>
            </w:r>
          </w:p>
        </w:tc>
        <w:tc>
          <w:tcPr>
            <w:tcW w:w="544"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rsidR="00E07890" w:rsidRPr="00E07890" w:rsidRDefault="00E07890" w:rsidP="00E07890">
            <w:pPr>
              <w:spacing w:before="0"/>
              <w:jc w:val="right"/>
              <w:rPr>
                <w:sz w:val="18"/>
                <w:szCs w:val="18"/>
              </w:rPr>
            </w:pPr>
            <w:r w:rsidRPr="00E07890">
              <w:rPr>
                <w:sz w:val="18"/>
                <w:szCs w:val="18"/>
              </w:rPr>
              <w:t>86</w:t>
            </w:r>
          </w:p>
        </w:tc>
        <w:tc>
          <w:tcPr>
            <w:tcW w:w="607" w:type="pct"/>
            <w:tcBorders>
              <w:top w:val="single" w:sz="4" w:space="0" w:color="auto"/>
              <w:left w:val="single" w:sz="4" w:space="0" w:color="auto"/>
              <w:bottom w:val="single" w:sz="4" w:space="0" w:color="auto"/>
              <w:right w:val="single" w:sz="4" w:space="0" w:color="auto"/>
            </w:tcBorders>
            <w:shd w:val="clear" w:color="000000" w:fill="FCDDE0"/>
            <w:noWrap/>
            <w:vAlign w:val="bottom"/>
            <w:hideMark/>
          </w:tcPr>
          <w:p w:rsidR="00E07890" w:rsidRPr="00E07890" w:rsidRDefault="00E07890" w:rsidP="00E07890">
            <w:pPr>
              <w:spacing w:before="0"/>
              <w:jc w:val="right"/>
              <w:rPr>
                <w:sz w:val="18"/>
                <w:szCs w:val="18"/>
              </w:rPr>
            </w:pPr>
            <w:r w:rsidRPr="00E07890">
              <w:rPr>
                <w:sz w:val="18"/>
                <w:szCs w:val="18"/>
              </w:rPr>
              <w:t>309</w:t>
            </w:r>
          </w:p>
        </w:tc>
        <w:tc>
          <w:tcPr>
            <w:tcW w:w="564" w:type="pct"/>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E07890" w:rsidRPr="00E07890" w:rsidRDefault="00E07890" w:rsidP="00E07890">
            <w:pPr>
              <w:spacing w:before="0"/>
              <w:jc w:val="right"/>
              <w:rPr>
                <w:sz w:val="18"/>
                <w:szCs w:val="18"/>
              </w:rPr>
            </w:pPr>
            <w:r w:rsidRPr="00E07890">
              <w:rPr>
                <w:sz w:val="18"/>
                <w:szCs w:val="18"/>
              </w:rPr>
              <w:t>214</w:t>
            </w:r>
          </w:p>
        </w:tc>
        <w:tc>
          <w:tcPr>
            <w:tcW w:w="607" w:type="pct"/>
            <w:tcBorders>
              <w:top w:val="single" w:sz="4" w:space="0" w:color="auto"/>
              <w:left w:val="single" w:sz="4" w:space="0" w:color="auto"/>
              <w:bottom w:val="single" w:sz="4" w:space="0" w:color="auto"/>
              <w:right w:val="single" w:sz="4" w:space="0" w:color="auto"/>
            </w:tcBorders>
            <w:shd w:val="clear" w:color="000000" w:fill="FCDEE1"/>
            <w:noWrap/>
            <w:vAlign w:val="bottom"/>
            <w:hideMark/>
          </w:tcPr>
          <w:p w:rsidR="00E07890" w:rsidRPr="00E07890" w:rsidRDefault="00E07890" w:rsidP="00E07890">
            <w:pPr>
              <w:spacing w:before="0"/>
              <w:jc w:val="right"/>
              <w:rPr>
                <w:sz w:val="18"/>
                <w:szCs w:val="18"/>
              </w:rPr>
            </w:pPr>
            <w:r w:rsidRPr="00E07890">
              <w:rPr>
                <w:sz w:val="18"/>
                <w:szCs w:val="18"/>
              </w:rPr>
              <w:t>297</w:t>
            </w:r>
          </w:p>
        </w:tc>
        <w:tc>
          <w:tcPr>
            <w:tcW w:w="564" w:type="pct"/>
            <w:tcBorders>
              <w:top w:val="single" w:sz="4" w:space="0" w:color="auto"/>
              <w:left w:val="single" w:sz="4" w:space="0" w:color="auto"/>
              <w:bottom w:val="single" w:sz="4" w:space="0" w:color="auto"/>
              <w:right w:val="single" w:sz="4" w:space="0" w:color="auto"/>
            </w:tcBorders>
            <w:shd w:val="clear" w:color="000000" w:fill="FCE0E2"/>
            <w:noWrap/>
            <w:vAlign w:val="bottom"/>
            <w:hideMark/>
          </w:tcPr>
          <w:p w:rsidR="00E07890" w:rsidRPr="00E07890" w:rsidRDefault="00E07890" w:rsidP="00E07890">
            <w:pPr>
              <w:spacing w:before="0"/>
              <w:jc w:val="right"/>
              <w:rPr>
                <w:sz w:val="18"/>
                <w:szCs w:val="18"/>
              </w:rPr>
            </w:pPr>
            <w:r w:rsidRPr="00E07890">
              <w:rPr>
                <w:sz w:val="18"/>
                <w:szCs w:val="18"/>
              </w:rPr>
              <w:t>284</w:t>
            </w:r>
          </w:p>
        </w:tc>
        <w:tc>
          <w:tcPr>
            <w:tcW w:w="375"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rsidR="00E07890" w:rsidRPr="00E07890" w:rsidRDefault="00E07890" w:rsidP="00E07890">
            <w:pPr>
              <w:spacing w:before="0"/>
              <w:jc w:val="right"/>
              <w:rPr>
                <w:sz w:val="18"/>
                <w:szCs w:val="18"/>
              </w:rPr>
            </w:pPr>
            <w:r w:rsidRPr="00E07890">
              <w:rPr>
                <w:sz w:val="18"/>
                <w:szCs w:val="18"/>
              </w:rPr>
              <w:t>26</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Litovel</w:t>
            </w:r>
          </w:p>
        </w:tc>
        <w:tc>
          <w:tcPr>
            <w:tcW w:w="525"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E07890" w:rsidRPr="00E07890" w:rsidRDefault="00E07890" w:rsidP="00E07890">
            <w:pPr>
              <w:spacing w:before="0"/>
              <w:jc w:val="right"/>
              <w:rPr>
                <w:sz w:val="18"/>
                <w:szCs w:val="18"/>
              </w:rPr>
            </w:pPr>
            <w:r w:rsidRPr="00E07890">
              <w:rPr>
                <w:sz w:val="18"/>
                <w:szCs w:val="18"/>
              </w:rPr>
              <w:t>817</w:t>
            </w:r>
          </w:p>
        </w:tc>
        <w:tc>
          <w:tcPr>
            <w:tcW w:w="544"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rsidR="00E07890" w:rsidRPr="00E07890" w:rsidRDefault="00E07890" w:rsidP="00E07890">
            <w:pPr>
              <w:spacing w:before="0"/>
              <w:jc w:val="right"/>
              <w:rPr>
                <w:sz w:val="18"/>
                <w:szCs w:val="18"/>
              </w:rPr>
            </w:pPr>
            <w:r w:rsidRPr="00E07890">
              <w:rPr>
                <w:sz w:val="18"/>
                <w:szCs w:val="18"/>
              </w:rPr>
              <w:t>69</w:t>
            </w:r>
          </w:p>
        </w:tc>
        <w:tc>
          <w:tcPr>
            <w:tcW w:w="607" w:type="pct"/>
            <w:tcBorders>
              <w:top w:val="single" w:sz="4" w:space="0" w:color="auto"/>
              <w:left w:val="single" w:sz="4" w:space="0" w:color="auto"/>
              <w:bottom w:val="single" w:sz="4" w:space="0" w:color="auto"/>
              <w:right w:val="single" w:sz="4" w:space="0" w:color="auto"/>
            </w:tcBorders>
            <w:shd w:val="clear" w:color="000000" w:fill="FCE9EB"/>
            <w:noWrap/>
            <w:vAlign w:val="bottom"/>
            <w:hideMark/>
          </w:tcPr>
          <w:p w:rsidR="00E07890" w:rsidRPr="00E07890" w:rsidRDefault="00E07890" w:rsidP="00E07890">
            <w:pPr>
              <w:spacing w:before="0"/>
              <w:jc w:val="right"/>
              <w:rPr>
                <w:sz w:val="18"/>
                <w:szCs w:val="18"/>
              </w:rPr>
            </w:pPr>
            <w:r w:rsidRPr="00E07890">
              <w:rPr>
                <w:sz w:val="18"/>
                <w:szCs w:val="18"/>
              </w:rPr>
              <w:t>199</w:t>
            </w:r>
          </w:p>
        </w:tc>
        <w:tc>
          <w:tcPr>
            <w:tcW w:w="564" w:type="pct"/>
            <w:tcBorders>
              <w:top w:val="single" w:sz="4" w:space="0" w:color="auto"/>
              <w:left w:val="single" w:sz="4" w:space="0" w:color="auto"/>
              <w:bottom w:val="single" w:sz="4" w:space="0" w:color="auto"/>
              <w:right w:val="single" w:sz="4" w:space="0" w:color="auto"/>
            </w:tcBorders>
            <w:shd w:val="clear" w:color="000000" w:fill="FCEEF0"/>
            <w:noWrap/>
            <w:vAlign w:val="bottom"/>
            <w:hideMark/>
          </w:tcPr>
          <w:p w:rsidR="00E07890" w:rsidRPr="00E07890" w:rsidRDefault="00E07890" w:rsidP="00E07890">
            <w:pPr>
              <w:spacing w:before="0"/>
              <w:jc w:val="right"/>
              <w:rPr>
                <w:sz w:val="18"/>
                <w:szCs w:val="18"/>
              </w:rPr>
            </w:pPr>
            <w:r w:rsidRPr="00E07890">
              <w:rPr>
                <w:sz w:val="18"/>
                <w:szCs w:val="18"/>
              </w:rPr>
              <w:t>152</w:t>
            </w:r>
          </w:p>
        </w:tc>
        <w:tc>
          <w:tcPr>
            <w:tcW w:w="607" w:type="pct"/>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E07890" w:rsidRPr="00E07890" w:rsidRDefault="00E07890" w:rsidP="00E07890">
            <w:pPr>
              <w:spacing w:before="0"/>
              <w:jc w:val="right"/>
              <w:rPr>
                <w:sz w:val="18"/>
                <w:szCs w:val="18"/>
              </w:rPr>
            </w:pPr>
            <w:r w:rsidRPr="00E07890">
              <w:rPr>
                <w:sz w:val="18"/>
                <w:szCs w:val="18"/>
              </w:rPr>
              <w:t>188</w:t>
            </w:r>
          </w:p>
        </w:tc>
        <w:tc>
          <w:tcPr>
            <w:tcW w:w="564" w:type="pct"/>
            <w:tcBorders>
              <w:top w:val="single" w:sz="4" w:space="0" w:color="auto"/>
              <w:left w:val="single" w:sz="4" w:space="0" w:color="auto"/>
              <w:bottom w:val="single" w:sz="4" w:space="0" w:color="auto"/>
              <w:right w:val="single" w:sz="4" w:space="0" w:color="auto"/>
            </w:tcBorders>
            <w:shd w:val="clear" w:color="000000" w:fill="FCE9EC"/>
            <w:noWrap/>
            <w:vAlign w:val="bottom"/>
            <w:hideMark/>
          </w:tcPr>
          <w:p w:rsidR="00E07890" w:rsidRPr="00E07890" w:rsidRDefault="00E07890" w:rsidP="00E07890">
            <w:pPr>
              <w:spacing w:before="0"/>
              <w:jc w:val="right"/>
              <w:rPr>
                <w:sz w:val="18"/>
                <w:szCs w:val="18"/>
              </w:rPr>
            </w:pPr>
            <w:r w:rsidRPr="00E07890">
              <w:rPr>
                <w:sz w:val="18"/>
                <w:szCs w:val="18"/>
              </w:rPr>
              <w:t>194</w:t>
            </w:r>
          </w:p>
        </w:tc>
        <w:tc>
          <w:tcPr>
            <w:tcW w:w="37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sz w:val="18"/>
                <w:szCs w:val="18"/>
              </w:rPr>
            </w:pPr>
            <w:r w:rsidRPr="00E07890">
              <w:rPr>
                <w:sz w:val="18"/>
                <w:szCs w:val="18"/>
              </w:rPr>
              <w:t>15</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Šternberk</w:t>
            </w:r>
          </w:p>
        </w:tc>
        <w:tc>
          <w:tcPr>
            <w:tcW w:w="525"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E07890" w:rsidRPr="00E07890" w:rsidRDefault="00E07890" w:rsidP="00E07890">
            <w:pPr>
              <w:spacing w:before="0"/>
              <w:jc w:val="right"/>
              <w:rPr>
                <w:sz w:val="18"/>
                <w:szCs w:val="18"/>
              </w:rPr>
            </w:pPr>
            <w:r w:rsidRPr="00E07890">
              <w:rPr>
                <w:sz w:val="18"/>
                <w:szCs w:val="18"/>
              </w:rPr>
              <w:t>766</w:t>
            </w:r>
          </w:p>
        </w:tc>
        <w:tc>
          <w:tcPr>
            <w:tcW w:w="544"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rsidR="00E07890" w:rsidRPr="00E07890" w:rsidRDefault="00E07890" w:rsidP="00E07890">
            <w:pPr>
              <w:spacing w:before="0"/>
              <w:jc w:val="right"/>
              <w:rPr>
                <w:sz w:val="18"/>
                <w:szCs w:val="18"/>
              </w:rPr>
            </w:pPr>
            <w:r w:rsidRPr="00E07890">
              <w:rPr>
                <w:sz w:val="18"/>
                <w:szCs w:val="18"/>
              </w:rPr>
              <w:t>67</w:t>
            </w:r>
          </w:p>
        </w:tc>
        <w:tc>
          <w:tcPr>
            <w:tcW w:w="607" w:type="pct"/>
            <w:tcBorders>
              <w:top w:val="single" w:sz="4" w:space="0" w:color="auto"/>
              <w:left w:val="single" w:sz="4" w:space="0" w:color="auto"/>
              <w:bottom w:val="single" w:sz="4" w:space="0" w:color="auto"/>
              <w:right w:val="single" w:sz="4" w:space="0" w:color="auto"/>
            </w:tcBorders>
            <w:shd w:val="clear" w:color="000000" w:fill="FCE4E7"/>
            <w:noWrap/>
            <w:vAlign w:val="bottom"/>
            <w:hideMark/>
          </w:tcPr>
          <w:p w:rsidR="00E07890" w:rsidRPr="00E07890" w:rsidRDefault="00E07890" w:rsidP="00E07890">
            <w:pPr>
              <w:spacing w:before="0"/>
              <w:jc w:val="right"/>
              <w:rPr>
                <w:sz w:val="18"/>
                <w:szCs w:val="18"/>
              </w:rPr>
            </w:pPr>
            <w:r w:rsidRPr="00E07890">
              <w:rPr>
                <w:sz w:val="18"/>
                <w:szCs w:val="18"/>
              </w:rPr>
              <w:t>245</w:t>
            </w:r>
          </w:p>
        </w:tc>
        <w:tc>
          <w:tcPr>
            <w:tcW w:w="564"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E07890" w:rsidRPr="00E07890" w:rsidRDefault="00E07890" w:rsidP="00E07890">
            <w:pPr>
              <w:spacing w:before="0"/>
              <w:jc w:val="right"/>
              <w:rPr>
                <w:sz w:val="18"/>
                <w:szCs w:val="18"/>
              </w:rPr>
            </w:pPr>
            <w:r w:rsidRPr="00E07890">
              <w:rPr>
                <w:sz w:val="18"/>
                <w:szCs w:val="18"/>
              </w:rPr>
              <w:t>106</w:t>
            </w:r>
          </w:p>
        </w:tc>
        <w:tc>
          <w:tcPr>
            <w:tcW w:w="607" w:type="pct"/>
            <w:tcBorders>
              <w:top w:val="single" w:sz="4" w:space="0" w:color="auto"/>
              <w:left w:val="single" w:sz="4" w:space="0" w:color="auto"/>
              <w:bottom w:val="single" w:sz="4" w:space="0" w:color="auto"/>
              <w:right w:val="single" w:sz="4" w:space="0" w:color="auto"/>
            </w:tcBorders>
            <w:shd w:val="clear" w:color="000000" w:fill="FCEBEE"/>
            <w:noWrap/>
            <w:vAlign w:val="bottom"/>
            <w:hideMark/>
          </w:tcPr>
          <w:p w:rsidR="00E07890" w:rsidRPr="00E07890" w:rsidRDefault="00E07890" w:rsidP="00E07890">
            <w:pPr>
              <w:spacing w:before="0"/>
              <w:jc w:val="right"/>
              <w:rPr>
                <w:sz w:val="18"/>
                <w:szCs w:val="18"/>
              </w:rPr>
            </w:pPr>
            <w:r w:rsidRPr="00E07890">
              <w:rPr>
                <w:sz w:val="18"/>
                <w:szCs w:val="18"/>
              </w:rPr>
              <w:t>173</w:t>
            </w:r>
          </w:p>
        </w:tc>
        <w:tc>
          <w:tcPr>
            <w:tcW w:w="564" w:type="pct"/>
            <w:tcBorders>
              <w:top w:val="single" w:sz="4" w:space="0" w:color="auto"/>
              <w:left w:val="single" w:sz="4" w:space="0" w:color="auto"/>
              <w:bottom w:val="single" w:sz="4" w:space="0" w:color="auto"/>
              <w:right w:val="single" w:sz="4" w:space="0" w:color="auto"/>
            </w:tcBorders>
            <w:shd w:val="clear" w:color="000000" w:fill="FCECEF"/>
            <w:noWrap/>
            <w:vAlign w:val="bottom"/>
            <w:hideMark/>
          </w:tcPr>
          <w:p w:rsidR="00E07890" w:rsidRPr="00E07890" w:rsidRDefault="00E07890" w:rsidP="00E07890">
            <w:pPr>
              <w:spacing w:before="0"/>
              <w:jc w:val="right"/>
              <w:rPr>
                <w:sz w:val="18"/>
                <w:szCs w:val="18"/>
              </w:rPr>
            </w:pPr>
            <w:r w:rsidRPr="00E07890">
              <w:rPr>
                <w:sz w:val="18"/>
                <w:szCs w:val="18"/>
              </w:rPr>
              <w:t>163</w:t>
            </w:r>
          </w:p>
        </w:tc>
        <w:tc>
          <w:tcPr>
            <w:tcW w:w="37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sz w:val="18"/>
                <w:szCs w:val="18"/>
              </w:rPr>
            </w:pPr>
            <w:r w:rsidRPr="00E07890">
              <w:rPr>
                <w:sz w:val="18"/>
                <w:szCs w:val="18"/>
              </w:rPr>
              <w:t>12</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Uničov</w:t>
            </w:r>
          </w:p>
        </w:tc>
        <w:tc>
          <w:tcPr>
            <w:tcW w:w="525"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rsidR="00E07890" w:rsidRPr="00E07890" w:rsidRDefault="00E07890" w:rsidP="00E07890">
            <w:pPr>
              <w:spacing w:before="0"/>
              <w:jc w:val="right"/>
              <w:rPr>
                <w:sz w:val="18"/>
                <w:szCs w:val="18"/>
              </w:rPr>
            </w:pPr>
            <w:r w:rsidRPr="00E07890">
              <w:rPr>
                <w:sz w:val="18"/>
                <w:szCs w:val="18"/>
              </w:rPr>
              <w:t>700</w:t>
            </w:r>
          </w:p>
        </w:tc>
        <w:tc>
          <w:tcPr>
            <w:tcW w:w="544"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rsidR="00E07890" w:rsidRPr="00E07890" w:rsidRDefault="00E07890" w:rsidP="00E07890">
            <w:pPr>
              <w:spacing w:before="0"/>
              <w:jc w:val="right"/>
              <w:rPr>
                <w:sz w:val="18"/>
                <w:szCs w:val="18"/>
              </w:rPr>
            </w:pPr>
            <w:r w:rsidRPr="00E07890">
              <w:rPr>
                <w:sz w:val="18"/>
                <w:szCs w:val="18"/>
              </w:rPr>
              <w:t>64</w:t>
            </w:r>
          </w:p>
        </w:tc>
        <w:tc>
          <w:tcPr>
            <w:tcW w:w="607" w:type="pct"/>
            <w:tcBorders>
              <w:top w:val="single" w:sz="4" w:space="0" w:color="auto"/>
              <w:left w:val="single" w:sz="4" w:space="0" w:color="auto"/>
              <w:bottom w:val="single" w:sz="4" w:space="0" w:color="auto"/>
              <w:right w:val="single" w:sz="4" w:space="0" w:color="auto"/>
            </w:tcBorders>
            <w:shd w:val="clear" w:color="000000" w:fill="FCEDF0"/>
            <w:noWrap/>
            <w:vAlign w:val="bottom"/>
            <w:hideMark/>
          </w:tcPr>
          <w:p w:rsidR="00E07890" w:rsidRPr="00E07890" w:rsidRDefault="00E07890" w:rsidP="00E07890">
            <w:pPr>
              <w:spacing w:before="0"/>
              <w:jc w:val="right"/>
              <w:rPr>
                <w:sz w:val="18"/>
                <w:szCs w:val="18"/>
              </w:rPr>
            </w:pPr>
            <w:r w:rsidRPr="00E07890">
              <w:rPr>
                <w:sz w:val="18"/>
                <w:szCs w:val="18"/>
              </w:rPr>
              <w:t>159</w:t>
            </w:r>
          </w:p>
        </w:tc>
        <w:tc>
          <w:tcPr>
            <w:tcW w:w="564"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rsidR="00E07890" w:rsidRPr="00E07890" w:rsidRDefault="00E07890" w:rsidP="00E07890">
            <w:pPr>
              <w:spacing w:before="0"/>
              <w:jc w:val="right"/>
              <w:rPr>
                <w:sz w:val="18"/>
                <w:szCs w:val="18"/>
              </w:rPr>
            </w:pPr>
            <w:r w:rsidRPr="00E07890">
              <w:rPr>
                <w:sz w:val="18"/>
                <w:szCs w:val="18"/>
              </w:rPr>
              <w:t>101</w:t>
            </w:r>
          </w:p>
        </w:tc>
        <w:tc>
          <w:tcPr>
            <w:tcW w:w="607" w:type="pct"/>
            <w:tcBorders>
              <w:top w:val="single" w:sz="4" w:space="0" w:color="auto"/>
              <w:left w:val="single" w:sz="4" w:space="0" w:color="auto"/>
              <w:bottom w:val="single" w:sz="4" w:space="0" w:color="auto"/>
              <w:right w:val="single" w:sz="4" w:space="0" w:color="auto"/>
            </w:tcBorders>
            <w:shd w:val="clear" w:color="000000" w:fill="FCECEE"/>
            <w:noWrap/>
            <w:vAlign w:val="bottom"/>
            <w:hideMark/>
          </w:tcPr>
          <w:p w:rsidR="00E07890" w:rsidRPr="00E07890" w:rsidRDefault="00E07890" w:rsidP="00E07890">
            <w:pPr>
              <w:spacing w:before="0"/>
              <w:jc w:val="right"/>
              <w:rPr>
                <w:sz w:val="18"/>
                <w:szCs w:val="18"/>
              </w:rPr>
            </w:pPr>
            <w:r w:rsidRPr="00E07890">
              <w:rPr>
                <w:sz w:val="18"/>
                <w:szCs w:val="18"/>
              </w:rPr>
              <w:t>171</w:t>
            </w:r>
          </w:p>
        </w:tc>
        <w:tc>
          <w:tcPr>
            <w:tcW w:w="564" w:type="pct"/>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E07890" w:rsidRPr="00E07890" w:rsidRDefault="00E07890" w:rsidP="00E07890">
            <w:pPr>
              <w:spacing w:before="0"/>
              <w:jc w:val="right"/>
              <w:rPr>
                <w:sz w:val="18"/>
                <w:szCs w:val="18"/>
              </w:rPr>
            </w:pPr>
            <w:r w:rsidRPr="00E07890">
              <w:rPr>
                <w:sz w:val="18"/>
                <w:szCs w:val="18"/>
              </w:rPr>
              <w:t>184</w:t>
            </w:r>
          </w:p>
        </w:tc>
        <w:tc>
          <w:tcPr>
            <w:tcW w:w="375"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rsidR="00E07890" w:rsidRPr="00E07890" w:rsidRDefault="00E07890" w:rsidP="00E07890">
            <w:pPr>
              <w:spacing w:before="0"/>
              <w:jc w:val="right"/>
              <w:rPr>
                <w:sz w:val="18"/>
                <w:szCs w:val="18"/>
              </w:rPr>
            </w:pPr>
            <w:r w:rsidRPr="00E07890">
              <w:rPr>
                <w:sz w:val="18"/>
                <w:szCs w:val="18"/>
              </w:rPr>
              <w:t>21</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Mohelnice</w:t>
            </w:r>
          </w:p>
        </w:tc>
        <w:tc>
          <w:tcPr>
            <w:tcW w:w="525" w:type="pct"/>
            <w:tcBorders>
              <w:top w:val="single" w:sz="4" w:space="0" w:color="auto"/>
              <w:left w:val="single" w:sz="4" w:space="0" w:color="auto"/>
              <w:bottom w:val="single" w:sz="4" w:space="0" w:color="auto"/>
              <w:right w:val="single" w:sz="4" w:space="0" w:color="auto"/>
            </w:tcBorders>
            <w:shd w:val="clear" w:color="000000" w:fill="FCF4F7"/>
            <w:noWrap/>
            <w:vAlign w:val="bottom"/>
            <w:hideMark/>
          </w:tcPr>
          <w:p w:rsidR="00E07890" w:rsidRPr="00E07890" w:rsidRDefault="00E07890" w:rsidP="00E07890">
            <w:pPr>
              <w:spacing w:before="0"/>
              <w:jc w:val="right"/>
              <w:rPr>
                <w:sz w:val="18"/>
                <w:szCs w:val="18"/>
              </w:rPr>
            </w:pPr>
            <w:r w:rsidRPr="00E07890">
              <w:rPr>
                <w:sz w:val="18"/>
                <w:szCs w:val="18"/>
              </w:rPr>
              <w:t>681</w:t>
            </w:r>
          </w:p>
        </w:tc>
        <w:tc>
          <w:tcPr>
            <w:tcW w:w="544"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E07890" w:rsidRPr="00E07890" w:rsidRDefault="00E07890" w:rsidP="00E07890">
            <w:pPr>
              <w:spacing w:before="0"/>
              <w:jc w:val="right"/>
              <w:rPr>
                <w:sz w:val="18"/>
                <w:szCs w:val="18"/>
              </w:rPr>
            </w:pPr>
            <w:r w:rsidRPr="00E07890">
              <w:rPr>
                <w:sz w:val="18"/>
                <w:szCs w:val="18"/>
              </w:rPr>
              <w:t>47</w:t>
            </w:r>
          </w:p>
        </w:tc>
        <w:tc>
          <w:tcPr>
            <w:tcW w:w="607"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rsidR="00E07890" w:rsidRPr="00E07890" w:rsidRDefault="00E07890" w:rsidP="00E07890">
            <w:pPr>
              <w:spacing w:before="0"/>
              <w:jc w:val="right"/>
              <w:rPr>
                <w:sz w:val="18"/>
                <w:szCs w:val="18"/>
              </w:rPr>
            </w:pPr>
            <w:r w:rsidRPr="00E07890">
              <w:rPr>
                <w:sz w:val="18"/>
                <w:szCs w:val="18"/>
              </w:rPr>
              <w:t>135</w:t>
            </w:r>
          </w:p>
        </w:tc>
        <w:tc>
          <w:tcPr>
            <w:tcW w:w="564" w:type="pct"/>
            <w:tcBorders>
              <w:top w:val="single" w:sz="4" w:space="0" w:color="auto"/>
              <w:left w:val="single" w:sz="4" w:space="0" w:color="auto"/>
              <w:bottom w:val="single" w:sz="4" w:space="0" w:color="auto"/>
              <w:right w:val="single" w:sz="4" w:space="0" w:color="auto"/>
            </w:tcBorders>
            <w:shd w:val="clear" w:color="000000" w:fill="FCF3F6"/>
            <w:noWrap/>
            <w:vAlign w:val="bottom"/>
            <w:hideMark/>
          </w:tcPr>
          <w:p w:rsidR="00E07890" w:rsidRPr="00E07890" w:rsidRDefault="00E07890" w:rsidP="00E07890">
            <w:pPr>
              <w:spacing w:before="0"/>
              <w:jc w:val="right"/>
              <w:rPr>
                <w:sz w:val="18"/>
                <w:szCs w:val="18"/>
              </w:rPr>
            </w:pPr>
            <w:r w:rsidRPr="00E07890">
              <w:rPr>
                <w:sz w:val="18"/>
                <w:szCs w:val="18"/>
              </w:rPr>
              <w:t>101</w:t>
            </w:r>
          </w:p>
        </w:tc>
        <w:tc>
          <w:tcPr>
            <w:tcW w:w="607" w:type="pct"/>
            <w:tcBorders>
              <w:top w:val="single" w:sz="4" w:space="0" w:color="auto"/>
              <w:left w:val="single" w:sz="4" w:space="0" w:color="auto"/>
              <w:bottom w:val="single" w:sz="4" w:space="0" w:color="auto"/>
              <w:right w:val="single" w:sz="4" w:space="0" w:color="auto"/>
            </w:tcBorders>
            <w:shd w:val="clear" w:color="000000" w:fill="FCE9EC"/>
            <w:noWrap/>
            <w:vAlign w:val="bottom"/>
            <w:hideMark/>
          </w:tcPr>
          <w:p w:rsidR="00E07890" w:rsidRPr="00E07890" w:rsidRDefault="00E07890" w:rsidP="00E07890">
            <w:pPr>
              <w:spacing w:before="0"/>
              <w:jc w:val="right"/>
              <w:rPr>
                <w:sz w:val="18"/>
                <w:szCs w:val="18"/>
              </w:rPr>
            </w:pPr>
            <w:r w:rsidRPr="00E07890">
              <w:rPr>
                <w:sz w:val="18"/>
                <w:szCs w:val="18"/>
              </w:rPr>
              <w:t>197</w:t>
            </w:r>
          </w:p>
        </w:tc>
        <w:tc>
          <w:tcPr>
            <w:tcW w:w="564" w:type="pct"/>
            <w:tcBorders>
              <w:top w:val="single" w:sz="4" w:space="0" w:color="auto"/>
              <w:left w:val="single" w:sz="4" w:space="0" w:color="auto"/>
              <w:bottom w:val="single" w:sz="4" w:space="0" w:color="auto"/>
              <w:right w:val="single" w:sz="4" w:space="0" w:color="auto"/>
            </w:tcBorders>
            <w:shd w:val="clear" w:color="000000" w:fill="FCEAEC"/>
            <w:noWrap/>
            <w:vAlign w:val="bottom"/>
            <w:hideMark/>
          </w:tcPr>
          <w:p w:rsidR="00E07890" w:rsidRPr="00E07890" w:rsidRDefault="00E07890" w:rsidP="00E07890">
            <w:pPr>
              <w:spacing w:before="0"/>
              <w:jc w:val="right"/>
              <w:rPr>
                <w:sz w:val="18"/>
                <w:szCs w:val="18"/>
              </w:rPr>
            </w:pPr>
            <w:r w:rsidRPr="00E07890">
              <w:rPr>
                <w:sz w:val="18"/>
                <w:szCs w:val="18"/>
              </w:rPr>
              <w:t>190</w:t>
            </w:r>
          </w:p>
        </w:tc>
        <w:tc>
          <w:tcPr>
            <w:tcW w:w="37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sz w:val="18"/>
                <w:szCs w:val="18"/>
              </w:rPr>
            </w:pPr>
            <w:r w:rsidRPr="00E07890">
              <w:rPr>
                <w:sz w:val="18"/>
                <w:szCs w:val="18"/>
              </w:rPr>
              <w:t>11</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Lipník nad Bečvou</w:t>
            </w:r>
          </w:p>
        </w:tc>
        <w:tc>
          <w:tcPr>
            <w:tcW w:w="525"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E07890" w:rsidRPr="00E07890" w:rsidRDefault="00E07890" w:rsidP="00E07890">
            <w:pPr>
              <w:spacing w:before="0"/>
              <w:jc w:val="right"/>
              <w:rPr>
                <w:sz w:val="18"/>
                <w:szCs w:val="18"/>
              </w:rPr>
            </w:pPr>
            <w:r w:rsidRPr="00E07890">
              <w:rPr>
                <w:sz w:val="18"/>
                <w:szCs w:val="18"/>
              </w:rPr>
              <w:t>540</w:t>
            </w:r>
          </w:p>
        </w:tc>
        <w:tc>
          <w:tcPr>
            <w:tcW w:w="544"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E07890" w:rsidRPr="00E07890" w:rsidRDefault="00E07890" w:rsidP="00E07890">
            <w:pPr>
              <w:spacing w:before="0"/>
              <w:jc w:val="right"/>
              <w:rPr>
                <w:sz w:val="18"/>
                <w:szCs w:val="18"/>
              </w:rPr>
            </w:pPr>
            <w:r w:rsidRPr="00E07890">
              <w:rPr>
                <w:sz w:val="18"/>
                <w:szCs w:val="18"/>
              </w:rPr>
              <w:t>46</w:t>
            </w:r>
          </w:p>
        </w:tc>
        <w:tc>
          <w:tcPr>
            <w:tcW w:w="607"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E07890" w:rsidRPr="00E07890" w:rsidRDefault="00E07890" w:rsidP="00E07890">
            <w:pPr>
              <w:spacing w:before="0"/>
              <w:jc w:val="right"/>
              <w:rPr>
                <w:sz w:val="18"/>
                <w:szCs w:val="18"/>
              </w:rPr>
            </w:pPr>
            <w:r w:rsidRPr="00E07890">
              <w:rPr>
                <w:sz w:val="18"/>
                <w:szCs w:val="18"/>
              </w:rPr>
              <w:t>110</w:t>
            </w:r>
          </w:p>
        </w:tc>
        <w:tc>
          <w:tcPr>
            <w:tcW w:w="564"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rsidR="00E07890" w:rsidRPr="00E07890" w:rsidRDefault="00E07890" w:rsidP="00E07890">
            <w:pPr>
              <w:spacing w:before="0"/>
              <w:jc w:val="right"/>
              <w:rPr>
                <w:sz w:val="18"/>
                <w:szCs w:val="18"/>
              </w:rPr>
            </w:pPr>
            <w:r w:rsidRPr="00E07890">
              <w:rPr>
                <w:sz w:val="18"/>
                <w:szCs w:val="18"/>
              </w:rPr>
              <w:t>81</w:t>
            </w:r>
          </w:p>
        </w:tc>
        <w:tc>
          <w:tcPr>
            <w:tcW w:w="607" w:type="pct"/>
            <w:tcBorders>
              <w:top w:val="single" w:sz="4" w:space="0" w:color="auto"/>
              <w:left w:val="single" w:sz="4" w:space="0" w:color="auto"/>
              <w:bottom w:val="single" w:sz="4" w:space="0" w:color="auto"/>
              <w:right w:val="single" w:sz="4" w:space="0" w:color="auto"/>
            </w:tcBorders>
            <w:shd w:val="clear" w:color="000000" w:fill="FCEEF1"/>
            <w:noWrap/>
            <w:vAlign w:val="bottom"/>
            <w:hideMark/>
          </w:tcPr>
          <w:p w:rsidR="00E07890" w:rsidRPr="00E07890" w:rsidRDefault="00E07890" w:rsidP="00E07890">
            <w:pPr>
              <w:spacing w:before="0"/>
              <w:jc w:val="right"/>
              <w:rPr>
                <w:sz w:val="18"/>
                <w:szCs w:val="18"/>
              </w:rPr>
            </w:pPr>
            <w:r w:rsidRPr="00E07890">
              <w:rPr>
                <w:sz w:val="18"/>
                <w:szCs w:val="18"/>
              </w:rPr>
              <w:t>150</w:t>
            </w:r>
          </w:p>
        </w:tc>
        <w:tc>
          <w:tcPr>
            <w:tcW w:w="564"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rsidR="00E07890" w:rsidRPr="00E07890" w:rsidRDefault="00E07890" w:rsidP="00E07890">
            <w:pPr>
              <w:spacing w:before="0"/>
              <w:jc w:val="right"/>
              <w:rPr>
                <w:sz w:val="18"/>
                <w:szCs w:val="18"/>
              </w:rPr>
            </w:pPr>
            <w:r w:rsidRPr="00E07890">
              <w:rPr>
                <w:sz w:val="18"/>
                <w:szCs w:val="18"/>
              </w:rPr>
              <w:t>139</w:t>
            </w:r>
          </w:p>
        </w:tc>
        <w:tc>
          <w:tcPr>
            <w:tcW w:w="37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sz w:val="18"/>
                <w:szCs w:val="18"/>
              </w:rPr>
            </w:pPr>
            <w:r w:rsidRPr="00E07890">
              <w:rPr>
                <w:sz w:val="18"/>
                <w:szCs w:val="18"/>
              </w:rPr>
              <w:t>14</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rPr>
                <w:sz w:val="18"/>
                <w:szCs w:val="18"/>
              </w:rPr>
            </w:pPr>
            <w:r w:rsidRPr="00E07890">
              <w:rPr>
                <w:sz w:val="18"/>
                <w:szCs w:val="18"/>
              </w:rPr>
              <w:t>Konice</w:t>
            </w:r>
          </w:p>
        </w:tc>
        <w:tc>
          <w:tcPr>
            <w:tcW w:w="52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sz w:val="18"/>
                <w:szCs w:val="18"/>
              </w:rPr>
            </w:pPr>
            <w:r w:rsidRPr="00E07890">
              <w:rPr>
                <w:sz w:val="18"/>
                <w:szCs w:val="18"/>
              </w:rPr>
              <w:t>451</w:t>
            </w:r>
          </w:p>
        </w:tc>
        <w:tc>
          <w:tcPr>
            <w:tcW w:w="544"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sz w:val="18"/>
                <w:szCs w:val="18"/>
              </w:rPr>
            </w:pPr>
            <w:r w:rsidRPr="00E07890">
              <w:rPr>
                <w:sz w:val="18"/>
                <w:szCs w:val="18"/>
              </w:rPr>
              <w:t>17</w:t>
            </w:r>
          </w:p>
        </w:tc>
        <w:tc>
          <w:tcPr>
            <w:tcW w:w="607" w:type="pct"/>
            <w:tcBorders>
              <w:top w:val="single" w:sz="4" w:space="0" w:color="auto"/>
              <w:left w:val="single" w:sz="4" w:space="0" w:color="auto"/>
              <w:bottom w:val="single" w:sz="4" w:space="0" w:color="auto"/>
              <w:right w:val="single" w:sz="4" w:space="0" w:color="auto"/>
            </w:tcBorders>
            <w:shd w:val="clear" w:color="000000" w:fill="FCF6F9"/>
            <w:noWrap/>
            <w:vAlign w:val="bottom"/>
            <w:hideMark/>
          </w:tcPr>
          <w:p w:rsidR="00E07890" w:rsidRPr="00E07890" w:rsidRDefault="00E07890" w:rsidP="00E07890">
            <w:pPr>
              <w:spacing w:before="0"/>
              <w:jc w:val="right"/>
              <w:rPr>
                <w:sz w:val="18"/>
                <w:szCs w:val="18"/>
              </w:rPr>
            </w:pPr>
            <w:r w:rsidRPr="00E07890">
              <w:rPr>
                <w:sz w:val="18"/>
                <w:szCs w:val="18"/>
              </w:rPr>
              <w:t>73</w:t>
            </w:r>
          </w:p>
        </w:tc>
        <w:tc>
          <w:tcPr>
            <w:tcW w:w="564" w:type="pct"/>
            <w:tcBorders>
              <w:top w:val="single" w:sz="4" w:space="0" w:color="auto"/>
              <w:left w:val="single" w:sz="4" w:space="0" w:color="auto"/>
              <w:bottom w:val="single" w:sz="4" w:space="0" w:color="auto"/>
              <w:right w:val="single" w:sz="4" w:space="0" w:color="auto"/>
            </w:tcBorders>
            <w:shd w:val="clear" w:color="000000" w:fill="FCF6F8"/>
            <w:noWrap/>
            <w:vAlign w:val="bottom"/>
            <w:hideMark/>
          </w:tcPr>
          <w:p w:rsidR="00E07890" w:rsidRPr="00E07890" w:rsidRDefault="00E07890" w:rsidP="00E07890">
            <w:pPr>
              <w:spacing w:before="0"/>
              <w:jc w:val="right"/>
              <w:rPr>
                <w:sz w:val="18"/>
                <w:szCs w:val="18"/>
              </w:rPr>
            </w:pPr>
            <w:r w:rsidRPr="00E07890">
              <w:rPr>
                <w:sz w:val="18"/>
                <w:szCs w:val="18"/>
              </w:rPr>
              <w:t>76</w:t>
            </w:r>
          </w:p>
        </w:tc>
        <w:tc>
          <w:tcPr>
            <w:tcW w:w="607" w:type="pct"/>
            <w:tcBorders>
              <w:top w:val="single" w:sz="4" w:space="0" w:color="auto"/>
              <w:left w:val="single" w:sz="4" w:space="0" w:color="auto"/>
              <w:bottom w:val="single" w:sz="4" w:space="0" w:color="auto"/>
              <w:right w:val="single" w:sz="4" w:space="0" w:color="auto"/>
            </w:tcBorders>
            <w:shd w:val="clear" w:color="000000" w:fill="FCEEF1"/>
            <w:noWrap/>
            <w:vAlign w:val="bottom"/>
            <w:hideMark/>
          </w:tcPr>
          <w:p w:rsidR="00E07890" w:rsidRPr="00E07890" w:rsidRDefault="00E07890" w:rsidP="00E07890">
            <w:pPr>
              <w:spacing w:before="0"/>
              <w:jc w:val="right"/>
              <w:rPr>
                <w:sz w:val="18"/>
                <w:szCs w:val="18"/>
              </w:rPr>
            </w:pPr>
            <w:r w:rsidRPr="00E07890">
              <w:rPr>
                <w:sz w:val="18"/>
                <w:szCs w:val="18"/>
              </w:rPr>
              <w:t>144</w:t>
            </w:r>
          </w:p>
        </w:tc>
        <w:tc>
          <w:tcPr>
            <w:tcW w:w="564"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E07890" w:rsidRPr="00E07890" w:rsidRDefault="00E07890" w:rsidP="00E07890">
            <w:pPr>
              <w:spacing w:before="0"/>
              <w:jc w:val="right"/>
              <w:rPr>
                <w:sz w:val="18"/>
                <w:szCs w:val="18"/>
              </w:rPr>
            </w:pPr>
            <w:r w:rsidRPr="00E07890">
              <w:rPr>
                <w:sz w:val="18"/>
                <w:szCs w:val="18"/>
              </w:rPr>
              <w:t>131</w:t>
            </w:r>
          </w:p>
        </w:tc>
        <w:tc>
          <w:tcPr>
            <w:tcW w:w="375"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sz w:val="18"/>
                <w:szCs w:val="18"/>
              </w:rPr>
            </w:pPr>
            <w:r w:rsidRPr="00E07890">
              <w:rPr>
                <w:sz w:val="18"/>
                <w:szCs w:val="18"/>
              </w:rPr>
              <w:t>10</w:t>
            </w:r>
          </w:p>
        </w:tc>
      </w:tr>
      <w:tr w:rsidR="00E07890" w:rsidRPr="00E07890" w:rsidTr="002E64D7">
        <w:trPr>
          <w:trHeight w:val="20"/>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0C1309" w:rsidP="00E07890">
            <w:pPr>
              <w:spacing w:before="0"/>
              <w:rPr>
                <w:b/>
                <w:bCs/>
                <w:sz w:val="18"/>
                <w:szCs w:val="18"/>
              </w:rPr>
            </w:pPr>
            <w:r>
              <w:rPr>
                <w:b/>
                <w:bCs/>
                <w:sz w:val="18"/>
                <w:szCs w:val="18"/>
              </w:rPr>
              <w:t>Celkem</w:t>
            </w:r>
            <w:r w:rsidR="00E07890" w:rsidRPr="00E07890">
              <w:rPr>
                <w:b/>
                <w:bCs/>
                <w:sz w:val="18"/>
                <w:szCs w:val="18"/>
              </w:rPr>
              <w:t xml:space="preserve"> OK</w:t>
            </w:r>
          </w:p>
        </w:tc>
        <w:tc>
          <w:tcPr>
            <w:tcW w:w="525"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b/>
                <w:bCs/>
                <w:sz w:val="18"/>
                <w:szCs w:val="18"/>
              </w:rPr>
            </w:pPr>
            <w:r w:rsidRPr="00E07890">
              <w:rPr>
                <w:b/>
                <w:bCs/>
                <w:sz w:val="18"/>
                <w:szCs w:val="18"/>
              </w:rPr>
              <w:t>22 959</w:t>
            </w:r>
          </w:p>
        </w:tc>
        <w:tc>
          <w:tcPr>
            <w:tcW w:w="544"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b/>
                <w:bCs/>
                <w:sz w:val="18"/>
                <w:szCs w:val="18"/>
              </w:rPr>
            </w:pPr>
            <w:r w:rsidRPr="00E07890">
              <w:rPr>
                <w:b/>
                <w:bCs/>
                <w:sz w:val="18"/>
                <w:szCs w:val="18"/>
              </w:rPr>
              <w:t>1 764</w:t>
            </w:r>
          </w:p>
        </w:tc>
        <w:tc>
          <w:tcPr>
            <w:tcW w:w="607"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b/>
                <w:bCs/>
                <w:sz w:val="18"/>
                <w:szCs w:val="18"/>
              </w:rPr>
            </w:pPr>
            <w:r w:rsidRPr="00E07890">
              <w:rPr>
                <w:b/>
                <w:bCs/>
                <w:sz w:val="18"/>
                <w:szCs w:val="18"/>
              </w:rPr>
              <w:t>5 220</w:t>
            </w:r>
          </w:p>
        </w:tc>
        <w:tc>
          <w:tcPr>
            <w:tcW w:w="564"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b/>
                <w:bCs/>
                <w:sz w:val="18"/>
                <w:szCs w:val="18"/>
              </w:rPr>
            </w:pPr>
            <w:r w:rsidRPr="00E07890">
              <w:rPr>
                <w:b/>
                <w:bCs/>
                <w:sz w:val="18"/>
                <w:szCs w:val="18"/>
              </w:rPr>
              <w:t>3 612</w:t>
            </w:r>
          </w:p>
        </w:tc>
        <w:tc>
          <w:tcPr>
            <w:tcW w:w="607"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b/>
                <w:bCs/>
                <w:sz w:val="18"/>
                <w:szCs w:val="18"/>
              </w:rPr>
            </w:pPr>
            <w:r w:rsidRPr="00E07890">
              <w:rPr>
                <w:b/>
                <w:bCs/>
                <w:sz w:val="18"/>
                <w:szCs w:val="18"/>
              </w:rPr>
              <w:t>5 986</w:t>
            </w:r>
          </w:p>
        </w:tc>
        <w:tc>
          <w:tcPr>
            <w:tcW w:w="564"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b/>
                <w:bCs/>
                <w:sz w:val="18"/>
                <w:szCs w:val="18"/>
              </w:rPr>
            </w:pPr>
            <w:r w:rsidRPr="00E07890">
              <w:rPr>
                <w:b/>
                <w:bCs/>
                <w:sz w:val="18"/>
                <w:szCs w:val="18"/>
              </w:rPr>
              <w:t>5 845</w:t>
            </w:r>
          </w:p>
        </w:tc>
        <w:tc>
          <w:tcPr>
            <w:tcW w:w="375" w:type="pct"/>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b/>
                <w:bCs/>
                <w:sz w:val="18"/>
                <w:szCs w:val="18"/>
              </w:rPr>
            </w:pPr>
            <w:r w:rsidRPr="00E07890">
              <w:rPr>
                <w:b/>
                <w:bCs/>
                <w:sz w:val="18"/>
                <w:szCs w:val="18"/>
              </w:rPr>
              <w:t>532</w:t>
            </w:r>
          </w:p>
        </w:tc>
      </w:tr>
    </w:tbl>
    <w:p w:rsidR="00AF4350" w:rsidRPr="0039748C" w:rsidRDefault="00AF4350" w:rsidP="00E07890">
      <w:pPr>
        <w:pStyle w:val="Zdrojobjektu"/>
      </w:pPr>
      <w:r w:rsidRPr="0039748C">
        <w:t>Zdroj: MPSV (2022)</w:t>
      </w:r>
    </w:p>
    <w:p w:rsidR="00AF4350" w:rsidRPr="0039748C" w:rsidRDefault="00AF4350" w:rsidP="00A34764">
      <w:r w:rsidRPr="0039748C">
        <w:t xml:space="preserve">Uživatelé vybraných sociálních služeb* jsou nejčastěji ve </w:t>
      </w:r>
      <w:r w:rsidR="00C27004">
        <w:t>IV.</w:t>
      </w:r>
      <w:r w:rsidRPr="0039748C">
        <w:t xml:space="preserve"> stupni závislosti, s klesajícím stupněm závislosti klesá i počet klientů těchto služeb. V roce 2021 došlo k výraznému růstu počtu uživatelů ve 3. a 4. stupni závislosti, přičemž v předchozích letech jejich počet stagnoval, popř. rostl mírnějším tempem. U uživatelů s nižším stupněm závislosti (2. a 1.), případně bez příspěvku na péči, docházelo mezi lety 2015–2020 k poklesu jejich počtu, v roce 2021 se tento pokles zastavil. Podrobnější informace jsou uvedeny v následujícím grafu.</w:t>
      </w:r>
    </w:p>
    <w:p w:rsidR="00AF4350" w:rsidRPr="0039748C" w:rsidRDefault="00AF4350" w:rsidP="00A34764"/>
    <w:p w:rsidR="00AF4350" w:rsidRPr="00870886" w:rsidRDefault="00AF4350" w:rsidP="00A34764"/>
    <w:p w:rsidR="00AF4350" w:rsidRPr="0039748C" w:rsidRDefault="00AF4350" w:rsidP="00E07890">
      <w:pPr>
        <w:pStyle w:val="popistabulkySPRSS2024"/>
      </w:pPr>
      <w:bookmarkStart w:id="90" w:name="_Toc117607039"/>
      <w:r w:rsidRPr="00870886">
        <w:t xml:space="preserve">Graf </w:t>
      </w:r>
      <w:r w:rsidR="00412C70">
        <w:fldChar w:fldCharType="begin"/>
      </w:r>
      <w:r w:rsidR="00412C70">
        <w:instrText xml:space="preserve"> SEQ Graf \* ARABIC </w:instrText>
      </w:r>
      <w:r w:rsidR="00412C70">
        <w:fldChar w:fldCharType="separate"/>
      </w:r>
      <w:r w:rsidR="003A12AF">
        <w:rPr>
          <w:noProof/>
        </w:rPr>
        <w:t>13</w:t>
      </w:r>
      <w:r w:rsidR="00412C70">
        <w:rPr>
          <w:noProof/>
        </w:rPr>
        <w:fldChar w:fldCharType="end"/>
      </w:r>
      <w:r w:rsidRPr="00870886">
        <w:t>: Počet uživatelů</w:t>
      </w:r>
      <w:r w:rsidRPr="0039748C">
        <w:t xml:space="preserve"> vybraných sociálních služeb* s příspěvkem na péči v letech 2015–2021</w:t>
      </w:r>
      <w:bookmarkEnd w:id="90"/>
    </w:p>
    <w:p w:rsidR="00AF4350" w:rsidRPr="0039748C" w:rsidRDefault="00C27004" w:rsidP="00A34764">
      <w:r>
        <w:rPr>
          <w:noProof/>
          <w:lang w:eastAsia="cs-CZ"/>
        </w:rPr>
        <w:drawing>
          <wp:inline distT="0" distB="0" distL="0" distR="0" wp14:anchorId="35564D76" wp14:editId="150AB971">
            <wp:extent cx="5767070" cy="2432685"/>
            <wp:effectExtent l="0" t="0" r="5080"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7070" cy="2432685"/>
                    </a:xfrm>
                    <a:prstGeom prst="rect">
                      <a:avLst/>
                    </a:prstGeom>
                    <a:noFill/>
                  </pic:spPr>
                </pic:pic>
              </a:graphicData>
            </a:graphic>
          </wp:inline>
        </w:drawing>
      </w:r>
    </w:p>
    <w:p w:rsidR="00AF4350" w:rsidRPr="0039748C" w:rsidRDefault="00AF4350" w:rsidP="00E07890">
      <w:pPr>
        <w:pStyle w:val="Zdrojobjektu"/>
      </w:pPr>
      <w:r w:rsidRPr="0039748C">
        <w:t>Zdroj: OK, zpracování ACCENDO (2022)</w:t>
      </w:r>
    </w:p>
    <w:p w:rsidR="00AF4350" w:rsidRPr="0039748C" w:rsidRDefault="00AF4350" w:rsidP="00E07890">
      <w:pPr>
        <w:pStyle w:val="Zdrojobjektu"/>
      </w:pPr>
      <w:r w:rsidRPr="0039748C">
        <w:t>* Počet uživatelů s příspěvkem na péči v letech 2015–2020 – jde o data ze sociálních služeb: (centra denních služeb § 45, denní stacionáře § 46, domovy pro osoby se zdravotním postižením § 48, domovy pro seniory § 49, domovy se zvláštním režimem § 50, chráněné bydlení § 51, odlehčovací služby § 44, sociální služby poskytované ve zdravotnických zařízeních lůžkové péče § 52, týdenní stacionáře § 47).</w:t>
      </w:r>
    </w:p>
    <w:p w:rsidR="00AF4350" w:rsidRPr="0039748C" w:rsidRDefault="00AF4350" w:rsidP="00A34764">
      <w:pPr>
        <w:pStyle w:val="Nadpis3"/>
        <w:rPr>
          <w:rFonts w:eastAsia="Times New Roman"/>
        </w:rPr>
      </w:pPr>
      <w:bookmarkStart w:id="91" w:name="_Toc117606967"/>
      <w:r w:rsidRPr="0039748C">
        <w:rPr>
          <w:rFonts w:eastAsia="Times New Roman"/>
        </w:rPr>
        <w:t>Senioři</w:t>
      </w:r>
      <w:bookmarkEnd w:id="91"/>
    </w:p>
    <w:p w:rsidR="00AF4350" w:rsidRPr="0039748C" w:rsidRDefault="00AF4350" w:rsidP="00A34764">
      <w:r w:rsidRPr="0039748C">
        <w:t xml:space="preserve">Počet seniorů (osob ve věku 65 let a více) v OK mezi lety 2012 a 2022 zaznamenal výrazný nárůst o 29 tis. osob, na hodnotu 134 tis. (21,5 % populace), kdy se do důchodového věku dostala početná věková kohorta lidí narozených v poválečném období II. světové války a v 50. letech minulého století. V následujícím desetiletí do roku 2032 se trend růstu seniorské složky zpomalí, přičemž naroste o 13 tis. osob na hodnotu 147 tis. (24,2 % populace), v tomto období dosáhnou důchodového věku početně slabší věkové kohorty narozené koncem 50. let a v 60. letech minulého století. Po roce 2032 je však očekáváno výrazné zrychlení trendu růstu seniorské složky, jelikož seniorského věku začnou dosahovat silné ročníky narozené v 70. let minulého století, tzv. </w:t>
      </w:r>
      <w:proofErr w:type="spellStart"/>
      <w:r w:rsidRPr="0039748C">
        <w:t>husákovy</w:t>
      </w:r>
      <w:proofErr w:type="spellEnd"/>
      <w:r w:rsidRPr="0039748C">
        <w:t xml:space="preserve"> děti.</w:t>
      </w:r>
    </w:p>
    <w:p w:rsidR="00AF4350" w:rsidRPr="0039748C" w:rsidRDefault="00AF4350" w:rsidP="00A34764">
      <w:r w:rsidRPr="0039748C">
        <w:t>Z hlediska jednotlivých SO ORP</w:t>
      </w:r>
      <w:r>
        <w:t xml:space="preserve"> je v</w:t>
      </w:r>
      <w:r w:rsidRPr="0039748C">
        <w:t xml:space="preserve"> OK podíl seniorské složky největší ve správních obvodech Konic, Jeseníku a Šumperku, kde více než 23 % populace dosáhlo seniorského věku. V roce 2032 se v uvedených obvodech a rovněž v obvodu Přerova zvýší podíl seniorské složky nad 25 %, což znamená, že každý čtvrtý občan bude v seniorském věku. Naopak nejmenší podíl seniorské složky pozorujeme ve správních obvodech Lipník </w:t>
      </w:r>
      <w:proofErr w:type="gramStart"/>
      <w:r w:rsidRPr="0039748C">
        <w:t>n. B. a Olomouc</w:t>
      </w:r>
      <w:proofErr w:type="gramEnd"/>
      <w:r w:rsidRPr="0039748C">
        <w:t xml:space="preserve">, kde se pohybuje mírně nad hranicí 20 %. V roce 2032 bude mít správní obvod ORP Olomouc stále nejmenší zastoupení seniorů, vzroste však na hodnotu 22,9 %, ve správním obvodu ORP Lipník n. B. </w:t>
      </w:r>
      <w:proofErr w:type="gramStart"/>
      <w:r w:rsidRPr="0039748C">
        <w:t>bude</w:t>
      </w:r>
      <w:proofErr w:type="gramEnd"/>
      <w:r w:rsidRPr="0039748C">
        <w:t xml:space="preserve"> trend stárnutí ve srovnání s ostatními správními obvody nejrychlejší, podíl obyvatel tak bude dosahovat zhruba průměrných hodnot v OK. Podrobné informace jsou znázorněny na mapě níže, konkrétní hodnoty pak v následující tabulce.</w:t>
      </w:r>
    </w:p>
    <w:p w:rsidR="00AF4350" w:rsidRDefault="00AF4350" w:rsidP="00A34764"/>
    <w:p w:rsidR="00AF4350" w:rsidRPr="0039748C" w:rsidRDefault="00AF4350" w:rsidP="00A34764"/>
    <w:p w:rsidR="00AF4350" w:rsidRPr="0039748C" w:rsidRDefault="00AF4350" w:rsidP="00A34764"/>
    <w:p w:rsidR="00AF4350" w:rsidRPr="0039748C" w:rsidRDefault="00AF4350" w:rsidP="00A34764"/>
    <w:p w:rsidR="00AF4350" w:rsidRPr="0039748C" w:rsidRDefault="00AF4350" w:rsidP="00A34764"/>
    <w:p w:rsidR="00AF4350" w:rsidRPr="0039748C" w:rsidRDefault="00AF4350" w:rsidP="00A34764"/>
    <w:p w:rsidR="00AF4350" w:rsidRPr="0039748C" w:rsidRDefault="00AF4350" w:rsidP="00E07890">
      <w:pPr>
        <w:pStyle w:val="popistabulkySPRSS2024"/>
      </w:pPr>
      <w:bookmarkStart w:id="92" w:name="_Toc117607057"/>
      <w:r w:rsidRPr="00A91596">
        <w:lastRenderedPageBreak/>
        <w:t xml:space="preserve">Mapa </w:t>
      </w:r>
      <w:r w:rsidR="00412C70">
        <w:fldChar w:fldCharType="begin"/>
      </w:r>
      <w:r w:rsidR="00412C70">
        <w:instrText xml:space="preserve"> SEQ Mapa \* ARABIC </w:instrText>
      </w:r>
      <w:r w:rsidR="00412C70">
        <w:fldChar w:fldCharType="separate"/>
      </w:r>
      <w:r w:rsidR="003A12AF">
        <w:rPr>
          <w:noProof/>
        </w:rPr>
        <w:t>5</w:t>
      </w:r>
      <w:r w:rsidR="00412C70">
        <w:rPr>
          <w:noProof/>
        </w:rPr>
        <w:fldChar w:fldCharType="end"/>
      </w:r>
      <w:r w:rsidRPr="00A91596">
        <w:t>: Počet</w:t>
      </w:r>
      <w:r w:rsidRPr="0039748C">
        <w:t xml:space="preserve"> a podíl osob ve věku 65 let a více v letech 2012, 2022 a 2032</w:t>
      </w:r>
      <w:bookmarkEnd w:id="92"/>
    </w:p>
    <w:p w:rsidR="00AF4350" w:rsidRPr="0039748C" w:rsidRDefault="00AF4350" w:rsidP="00E07890">
      <w:pPr>
        <w:spacing w:before="0"/>
      </w:pPr>
      <w:r w:rsidRPr="0039748C">
        <w:rPr>
          <w:noProof/>
          <w:lang w:eastAsia="cs-CZ"/>
        </w:rPr>
        <w:drawing>
          <wp:inline distT="0" distB="0" distL="0" distR="0" wp14:anchorId="1EB8000A" wp14:editId="5177784A">
            <wp:extent cx="6049419" cy="4907356"/>
            <wp:effectExtent l="0" t="0" r="8890" b="762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CES\04_Projekty\2018_KPSS_OLK\OLK_0-18.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49419" cy="4907356"/>
                    </a:xfrm>
                    <a:prstGeom prst="rect">
                      <a:avLst/>
                    </a:prstGeom>
                    <a:noFill/>
                    <a:ln>
                      <a:noFill/>
                    </a:ln>
                  </pic:spPr>
                </pic:pic>
              </a:graphicData>
            </a:graphic>
          </wp:inline>
        </w:drawing>
      </w:r>
    </w:p>
    <w:p w:rsidR="00AF4350" w:rsidRPr="0039748C" w:rsidRDefault="00AF4350" w:rsidP="00E07890">
      <w:pPr>
        <w:pStyle w:val="Zdrojobjektu"/>
      </w:pPr>
      <w:r w:rsidRPr="0039748C">
        <w:t>Zdroj: ČSÚ, vlastní prognózy obyvatel pro jednotlivá SO ORP, data k 1. 1. daného roku, zpracování ACCENDO (2022)</w:t>
      </w:r>
    </w:p>
    <w:p w:rsidR="00AF4350" w:rsidRPr="0039748C" w:rsidRDefault="00AF4350" w:rsidP="00E07890">
      <w:pPr>
        <w:pStyle w:val="popistabulkySPRSS2024"/>
      </w:pPr>
      <w:bookmarkStart w:id="93" w:name="_Toc117607079"/>
      <w:r w:rsidRPr="0039748C">
        <w:t xml:space="preserve">Tabulka </w:t>
      </w:r>
      <w:r w:rsidR="00412C70">
        <w:fldChar w:fldCharType="begin"/>
      </w:r>
      <w:r w:rsidR="00412C70">
        <w:instrText xml:space="preserve"> SEQ Tabulka \* ARABIC </w:instrText>
      </w:r>
      <w:r w:rsidR="00412C70">
        <w:fldChar w:fldCharType="separate"/>
      </w:r>
      <w:r w:rsidR="003A12AF">
        <w:rPr>
          <w:noProof/>
        </w:rPr>
        <w:t>19</w:t>
      </w:r>
      <w:r w:rsidR="00412C70">
        <w:rPr>
          <w:noProof/>
        </w:rPr>
        <w:fldChar w:fldCharType="end"/>
      </w:r>
      <w:r w:rsidRPr="00947231">
        <w:t xml:space="preserve">: </w:t>
      </w:r>
      <w:r w:rsidRPr="0039748C">
        <w:t>Vývoj seniorské složky obyvatel (65 let a více) ve SO ORP vč. prognózy do roku 2032</w:t>
      </w:r>
      <w:bookmarkEnd w:id="93"/>
    </w:p>
    <w:tbl>
      <w:tblPr>
        <w:tblW w:w="0" w:type="auto"/>
        <w:tblCellMar>
          <w:left w:w="70" w:type="dxa"/>
          <w:right w:w="70" w:type="dxa"/>
        </w:tblCellMar>
        <w:tblLook w:val="04A0" w:firstRow="1" w:lastRow="0" w:firstColumn="1" w:lastColumn="0" w:noHBand="0" w:noVBand="1"/>
      </w:tblPr>
      <w:tblGrid>
        <w:gridCol w:w="1067"/>
        <w:gridCol w:w="811"/>
        <w:gridCol w:w="811"/>
        <w:gridCol w:w="811"/>
        <w:gridCol w:w="861"/>
        <w:gridCol w:w="861"/>
        <w:gridCol w:w="706"/>
        <w:gridCol w:w="706"/>
        <w:gridCol w:w="706"/>
        <w:gridCol w:w="861"/>
        <w:gridCol w:w="861"/>
      </w:tblGrid>
      <w:tr w:rsidR="00E07890" w:rsidRPr="00E07890" w:rsidTr="00E0789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SO ORP</w:t>
            </w:r>
          </w:p>
        </w:tc>
        <w:tc>
          <w:tcPr>
            <w:tcW w:w="0" w:type="auto"/>
            <w:gridSpan w:val="5"/>
            <w:tcBorders>
              <w:top w:val="single" w:sz="4" w:space="0" w:color="auto"/>
              <w:left w:val="nil"/>
              <w:bottom w:val="single" w:sz="4" w:space="0" w:color="auto"/>
              <w:right w:val="single" w:sz="4" w:space="0" w:color="000000"/>
            </w:tcBorders>
            <w:shd w:val="clear" w:color="000000"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Počet obyvatel (65 let a více)</w:t>
            </w:r>
          </w:p>
        </w:tc>
        <w:tc>
          <w:tcPr>
            <w:tcW w:w="0" w:type="auto"/>
            <w:gridSpan w:val="5"/>
            <w:tcBorders>
              <w:top w:val="single" w:sz="4" w:space="0" w:color="auto"/>
              <w:left w:val="nil"/>
              <w:bottom w:val="single" w:sz="4" w:space="0" w:color="auto"/>
              <w:right w:val="single" w:sz="4" w:space="0" w:color="000000"/>
            </w:tcBorders>
            <w:shd w:val="clear" w:color="000000"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Podíl seniorské složky obyvatel</w:t>
            </w:r>
          </w:p>
        </w:tc>
      </w:tr>
      <w:tr w:rsidR="00E07890" w:rsidRPr="00E07890" w:rsidTr="00E0789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7890" w:rsidRPr="00E07890" w:rsidRDefault="00E07890" w:rsidP="00E07890">
            <w:pPr>
              <w:spacing w:before="0"/>
              <w:jc w:val="center"/>
              <w:rPr>
                <w:rFonts w:cs="Segoe UI"/>
                <w:b/>
                <w:bCs/>
                <w:sz w:val="18"/>
                <w:szCs w:val="18"/>
              </w:rPr>
            </w:pPr>
          </w:p>
        </w:tc>
        <w:tc>
          <w:tcPr>
            <w:tcW w:w="0" w:type="auto"/>
            <w:tcBorders>
              <w:top w:val="nil"/>
              <w:left w:val="nil"/>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2012</w:t>
            </w:r>
          </w:p>
        </w:tc>
        <w:tc>
          <w:tcPr>
            <w:tcW w:w="0" w:type="auto"/>
            <w:tcBorders>
              <w:top w:val="nil"/>
              <w:left w:val="nil"/>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2022</w:t>
            </w:r>
          </w:p>
        </w:tc>
        <w:tc>
          <w:tcPr>
            <w:tcW w:w="0" w:type="auto"/>
            <w:tcBorders>
              <w:top w:val="nil"/>
              <w:left w:val="nil"/>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2032</w:t>
            </w:r>
          </w:p>
        </w:tc>
        <w:tc>
          <w:tcPr>
            <w:tcW w:w="0" w:type="auto"/>
            <w:tcBorders>
              <w:top w:val="nil"/>
              <w:left w:val="nil"/>
              <w:bottom w:val="single" w:sz="4" w:space="0" w:color="auto"/>
              <w:right w:val="single" w:sz="4" w:space="0" w:color="auto"/>
            </w:tcBorders>
            <w:shd w:val="clear" w:color="000000" w:fill="F2F2F2"/>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Změna 2012–2022</w:t>
            </w:r>
          </w:p>
        </w:tc>
        <w:tc>
          <w:tcPr>
            <w:tcW w:w="0" w:type="auto"/>
            <w:tcBorders>
              <w:top w:val="nil"/>
              <w:left w:val="nil"/>
              <w:bottom w:val="single" w:sz="4" w:space="0" w:color="auto"/>
              <w:right w:val="single" w:sz="4" w:space="0" w:color="auto"/>
            </w:tcBorders>
            <w:shd w:val="clear" w:color="000000" w:fill="F2F2F2"/>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Změna 2022–2032</w:t>
            </w:r>
          </w:p>
        </w:tc>
        <w:tc>
          <w:tcPr>
            <w:tcW w:w="0" w:type="auto"/>
            <w:tcBorders>
              <w:top w:val="nil"/>
              <w:left w:val="nil"/>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2012</w:t>
            </w:r>
          </w:p>
        </w:tc>
        <w:tc>
          <w:tcPr>
            <w:tcW w:w="0" w:type="auto"/>
            <w:tcBorders>
              <w:top w:val="nil"/>
              <w:left w:val="nil"/>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2022</w:t>
            </w:r>
          </w:p>
        </w:tc>
        <w:tc>
          <w:tcPr>
            <w:tcW w:w="0" w:type="auto"/>
            <w:tcBorders>
              <w:top w:val="nil"/>
              <w:left w:val="nil"/>
              <w:bottom w:val="single" w:sz="4" w:space="0" w:color="auto"/>
              <w:right w:val="single" w:sz="4" w:space="0" w:color="auto"/>
            </w:tcBorders>
            <w:shd w:val="clear" w:color="000000" w:fill="F2F2F2"/>
            <w:noWrap/>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2032</w:t>
            </w:r>
          </w:p>
        </w:tc>
        <w:tc>
          <w:tcPr>
            <w:tcW w:w="0" w:type="auto"/>
            <w:tcBorders>
              <w:top w:val="nil"/>
              <w:left w:val="nil"/>
              <w:bottom w:val="single" w:sz="4" w:space="0" w:color="auto"/>
              <w:right w:val="single" w:sz="4" w:space="0" w:color="auto"/>
            </w:tcBorders>
            <w:shd w:val="clear" w:color="000000" w:fill="F2F2F2"/>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Změna 2012–2022</w:t>
            </w:r>
          </w:p>
        </w:tc>
        <w:tc>
          <w:tcPr>
            <w:tcW w:w="0" w:type="auto"/>
            <w:tcBorders>
              <w:top w:val="nil"/>
              <w:left w:val="nil"/>
              <w:bottom w:val="single" w:sz="4" w:space="0" w:color="auto"/>
              <w:right w:val="single" w:sz="4" w:space="0" w:color="auto"/>
            </w:tcBorders>
            <w:shd w:val="clear" w:color="000000" w:fill="F2F2F2"/>
            <w:vAlign w:val="center"/>
            <w:hideMark/>
          </w:tcPr>
          <w:p w:rsidR="00E07890" w:rsidRPr="00E07890" w:rsidRDefault="00E07890" w:rsidP="00E07890">
            <w:pPr>
              <w:spacing w:before="0"/>
              <w:jc w:val="center"/>
              <w:rPr>
                <w:rFonts w:cs="Segoe UI"/>
                <w:b/>
                <w:bCs/>
                <w:sz w:val="18"/>
                <w:szCs w:val="18"/>
              </w:rPr>
            </w:pPr>
            <w:r w:rsidRPr="00E07890">
              <w:rPr>
                <w:rFonts w:cs="Segoe UI"/>
                <w:b/>
                <w:bCs/>
                <w:sz w:val="18"/>
                <w:szCs w:val="18"/>
              </w:rPr>
              <w:t>Změna 2022–2032</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Hranice</w:t>
            </w:r>
          </w:p>
        </w:tc>
        <w:tc>
          <w:tcPr>
            <w:tcW w:w="0" w:type="auto"/>
            <w:tcBorders>
              <w:top w:val="single" w:sz="4" w:space="0" w:color="auto"/>
              <w:left w:val="single" w:sz="4" w:space="0" w:color="auto"/>
              <w:bottom w:val="single" w:sz="4" w:space="0" w:color="auto"/>
              <w:right w:val="single" w:sz="4" w:space="0" w:color="auto"/>
            </w:tcBorders>
            <w:shd w:val="clear" w:color="000000" w:fill="F7F8F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5 392</w:t>
            </w:r>
          </w:p>
        </w:tc>
        <w:tc>
          <w:tcPr>
            <w:tcW w:w="0" w:type="auto"/>
            <w:tcBorders>
              <w:top w:val="single" w:sz="4" w:space="0" w:color="auto"/>
              <w:left w:val="single" w:sz="4" w:space="0" w:color="auto"/>
              <w:bottom w:val="single" w:sz="4" w:space="0" w:color="auto"/>
              <w:right w:val="single" w:sz="4" w:space="0" w:color="auto"/>
            </w:tcBorders>
            <w:shd w:val="clear" w:color="000000" w:fill="FCF6F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6 988</w:t>
            </w:r>
          </w:p>
        </w:tc>
        <w:tc>
          <w:tcPr>
            <w:tcW w:w="0" w:type="auto"/>
            <w:tcBorders>
              <w:top w:val="single" w:sz="4" w:space="0" w:color="auto"/>
              <w:left w:val="single" w:sz="4" w:space="0" w:color="auto"/>
              <w:bottom w:val="single" w:sz="4" w:space="0" w:color="auto"/>
              <w:right w:val="single" w:sz="4" w:space="0" w:color="auto"/>
            </w:tcBorders>
            <w:shd w:val="clear" w:color="000000" w:fill="FCF1F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7 902</w:t>
            </w:r>
          </w:p>
        </w:tc>
        <w:tc>
          <w:tcPr>
            <w:tcW w:w="0" w:type="auto"/>
            <w:tcBorders>
              <w:top w:val="single" w:sz="4" w:space="0" w:color="auto"/>
              <w:left w:val="single" w:sz="4" w:space="0" w:color="auto"/>
              <w:bottom w:val="single" w:sz="4" w:space="0" w:color="auto"/>
              <w:right w:val="single" w:sz="4" w:space="0" w:color="auto"/>
            </w:tcBorders>
            <w:shd w:val="clear" w:color="000000" w:fill="DFF1E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1 596</w:t>
            </w:r>
          </w:p>
        </w:tc>
        <w:tc>
          <w:tcPr>
            <w:tcW w:w="0" w:type="auto"/>
            <w:tcBorders>
              <w:top w:val="single" w:sz="4" w:space="0" w:color="auto"/>
              <w:left w:val="single" w:sz="4" w:space="0" w:color="auto"/>
              <w:bottom w:val="single" w:sz="4" w:space="0" w:color="auto"/>
              <w:right w:val="single" w:sz="4" w:space="0" w:color="auto"/>
            </w:tcBorders>
            <w:shd w:val="clear" w:color="000000" w:fill="EEF6F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914</w:t>
            </w:r>
          </w:p>
        </w:tc>
        <w:tc>
          <w:tcPr>
            <w:tcW w:w="0" w:type="auto"/>
            <w:tcBorders>
              <w:top w:val="single" w:sz="4" w:space="0" w:color="auto"/>
              <w:left w:val="single" w:sz="4" w:space="0" w:color="auto"/>
              <w:bottom w:val="single" w:sz="4" w:space="0" w:color="auto"/>
              <w:right w:val="single" w:sz="4" w:space="0" w:color="auto"/>
            </w:tcBorders>
            <w:shd w:val="clear" w:color="000000" w:fill="6290C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15,6 %</w:t>
            </w:r>
          </w:p>
        </w:tc>
        <w:tc>
          <w:tcPr>
            <w:tcW w:w="0" w:type="auto"/>
            <w:tcBorders>
              <w:top w:val="single" w:sz="4" w:space="0" w:color="auto"/>
              <w:left w:val="single" w:sz="4" w:space="0" w:color="auto"/>
              <w:bottom w:val="single" w:sz="4" w:space="0" w:color="auto"/>
              <w:right w:val="single" w:sz="4" w:space="0" w:color="auto"/>
            </w:tcBorders>
            <w:shd w:val="clear" w:color="000000" w:fill="F3F6F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20,8 %</w:t>
            </w:r>
          </w:p>
        </w:tc>
        <w:tc>
          <w:tcPr>
            <w:tcW w:w="0" w:type="auto"/>
            <w:tcBorders>
              <w:top w:val="single" w:sz="4" w:space="0" w:color="auto"/>
              <w:left w:val="single" w:sz="4" w:space="0" w:color="auto"/>
              <w:bottom w:val="single" w:sz="4" w:space="0" w:color="auto"/>
              <w:right w:val="single" w:sz="4" w:space="0" w:color="auto"/>
            </w:tcBorders>
            <w:shd w:val="clear" w:color="000000" w:fill="FBB4B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23,9 %</w:t>
            </w:r>
          </w:p>
        </w:tc>
        <w:tc>
          <w:tcPr>
            <w:tcW w:w="0" w:type="auto"/>
            <w:tcBorders>
              <w:top w:val="single" w:sz="4" w:space="0" w:color="auto"/>
              <w:left w:val="single" w:sz="4" w:space="0" w:color="auto"/>
              <w:bottom w:val="single" w:sz="4" w:space="0" w:color="auto"/>
              <w:right w:val="single" w:sz="4" w:space="0" w:color="auto"/>
            </w:tcBorders>
            <w:shd w:val="clear" w:color="000000" w:fill="D0EAD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5,3 %</w:t>
            </w:r>
          </w:p>
        </w:tc>
        <w:tc>
          <w:tcPr>
            <w:tcW w:w="0" w:type="auto"/>
            <w:tcBorders>
              <w:top w:val="single" w:sz="4" w:space="0" w:color="auto"/>
              <w:left w:val="single" w:sz="4" w:space="0" w:color="auto"/>
              <w:bottom w:val="single" w:sz="4" w:space="0" w:color="auto"/>
              <w:right w:val="single" w:sz="4" w:space="0" w:color="auto"/>
            </w:tcBorders>
            <w:shd w:val="clear" w:color="000000" w:fill="B1DEB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3,1 %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Jeseník</w:t>
            </w:r>
          </w:p>
        </w:tc>
        <w:tc>
          <w:tcPr>
            <w:tcW w:w="0" w:type="auto"/>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6 170</w:t>
            </w:r>
          </w:p>
        </w:tc>
        <w:tc>
          <w:tcPr>
            <w:tcW w:w="0" w:type="auto"/>
            <w:tcBorders>
              <w:top w:val="single" w:sz="4" w:space="0" w:color="auto"/>
              <w:left w:val="single" w:sz="4" w:space="0" w:color="auto"/>
              <w:bottom w:val="single" w:sz="4" w:space="0" w:color="auto"/>
              <w:right w:val="single" w:sz="4" w:space="0" w:color="auto"/>
            </w:tcBorders>
            <w:shd w:val="clear" w:color="000000" w:fill="FCEEF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8 577</w:t>
            </w:r>
          </w:p>
        </w:tc>
        <w:tc>
          <w:tcPr>
            <w:tcW w:w="0" w:type="auto"/>
            <w:tcBorders>
              <w:top w:val="single" w:sz="4" w:space="0" w:color="auto"/>
              <w:left w:val="single" w:sz="4" w:space="0" w:color="auto"/>
              <w:bottom w:val="single" w:sz="4" w:space="0" w:color="auto"/>
              <w:right w:val="single" w:sz="4" w:space="0" w:color="auto"/>
            </w:tcBorders>
            <w:shd w:val="clear" w:color="000000" w:fill="FCEAE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9 563</w:t>
            </w:r>
          </w:p>
        </w:tc>
        <w:tc>
          <w:tcPr>
            <w:tcW w:w="0" w:type="auto"/>
            <w:tcBorders>
              <w:top w:val="single" w:sz="4" w:space="0" w:color="auto"/>
              <w:left w:val="single" w:sz="4" w:space="0" w:color="auto"/>
              <w:bottom w:val="single" w:sz="4" w:space="0" w:color="auto"/>
              <w:right w:val="single" w:sz="4" w:space="0" w:color="auto"/>
            </w:tcBorders>
            <w:shd w:val="clear" w:color="000000" w:fill="CEEAD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2 407</w:t>
            </w:r>
          </w:p>
        </w:tc>
        <w:tc>
          <w:tcPr>
            <w:tcW w:w="0" w:type="auto"/>
            <w:tcBorders>
              <w:top w:val="single" w:sz="4" w:space="0" w:color="auto"/>
              <w:left w:val="single" w:sz="4" w:space="0" w:color="auto"/>
              <w:bottom w:val="single" w:sz="4" w:space="0" w:color="auto"/>
              <w:right w:val="single" w:sz="4" w:space="0" w:color="auto"/>
            </w:tcBorders>
            <w:shd w:val="clear" w:color="000000" w:fill="ECF6F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986</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15,2 %</w:t>
            </w:r>
          </w:p>
        </w:tc>
        <w:tc>
          <w:tcPr>
            <w:tcW w:w="0" w:type="auto"/>
            <w:tcBorders>
              <w:top w:val="single" w:sz="4" w:space="0" w:color="auto"/>
              <w:left w:val="single" w:sz="4" w:space="0" w:color="auto"/>
              <w:bottom w:val="single" w:sz="4" w:space="0" w:color="auto"/>
              <w:right w:val="single" w:sz="4" w:space="0" w:color="auto"/>
            </w:tcBorders>
            <w:shd w:val="clear" w:color="000000" w:fill="FBC4C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23,3 %</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26,8 %</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8,1 %</w:t>
            </w:r>
          </w:p>
        </w:tc>
        <w:tc>
          <w:tcPr>
            <w:tcW w:w="0" w:type="auto"/>
            <w:tcBorders>
              <w:top w:val="single" w:sz="4" w:space="0" w:color="auto"/>
              <w:left w:val="single" w:sz="4" w:space="0" w:color="auto"/>
              <w:bottom w:val="single" w:sz="4" w:space="0" w:color="auto"/>
              <w:right w:val="single" w:sz="4" w:space="0" w:color="auto"/>
            </w:tcBorders>
            <w:shd w:val="clear" w:color="000000" w:fill="8DCF9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3,5 %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Konice</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1 877</w:t>
            </w:r>
          </w:p>
        </w:tc>
        <w:tc>
          <w:tcPr>
            <w:tcW w:w="0" w:type="auto"/>
            <w:tcBorders>
              <w:top w:val="single" w:sz="4" w:space="0" w:color="auto"/>
              <w:left w:val="single" w:sz="4" w:space="0" w:color="auto"/>
              <w:bottom w:val="single" w:sz="4" w:space="0" w:color="auto"/>
              <w:right w:val="single" w:sz="4" w:space="0" w:color="auto"/>
            </w:tcBorders>
            <w:shd w:val="clear" w:color="000000" w:fill="759DC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2 488</w:t>
            </w:r>
          </w:p>
        </w:tc>
        <w:tc>
          <w:tcPr>
            <w:tcW w:w="0" w:type="auto"/>
            <w:tcBorders>
              <w:top w:val="single" w:sz="4" w:space="0" w:color="auto"/>
              <w:left w:val="single" w:sz="4" w:space="0" w:color="auto"/>
              <w:bottom w:val="single" w:sz="4" w:space="0" w:color="auto"/>
              <w:right w:val="single" w:sz="4" w:space="0" w:color="auto"/>
            </w:tcBorders>
            <w:shd w:val="clear" w:color="000000" w:fill="7EA3D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2 692</w:t>
            </w:r>
          </w:p>
        </w:tc>
        <w:tc>
          <w:tcPr>
            <w:tcW w:w="0" w:type="auto"/>
            <w:tcBorders>
              <w:top w:val="single" w:sz="4" w:space="0" w:color="auto"/>
              <w:left w:val="single" w:sz="4" w:space="0" w:color="auto"/>
              <w:bottom w:val="single" w:sz="4" w:space="0" w:color="auto"/>
              <w:right w:val="single" w:sz="4" w:space="0" w:color="auto"/>
            </w:tcBorders>
            <w:shd w:val="clear" w:color="000000" w:fill="F4F9F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611</w:t>
            </w: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204</w:t>
            </w:r>
          </w:p>
        </w:tc>
        <w:tc>
          <w:tcPr>
            <w:tcW w:w="0" w:type="auto"/>
            <w:tcBorders>
              <w:top w:val="single" w:sz="4" w:space="0" w:color="auto"/>
              <w:left w:val="single" w:sz="4" w:space="0" w:color="auto"/>
              <w:bottom w:val="single" w:sz="4" w:space="0" w:color="auto"/>
              <w:right w:val="single" w:sz="4" w:space="0" w:color="auto"/>
            </w:tcBorders>
            <w:shd w:val="clear" w:color="000000" w:fill="88AAD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16,9 %</w:t>
            </w:r>
          </w:p>
        </w:tc>
        <w:tc>
          <w:tcPr>
            <w:tcW w:w="0" w:type="auto"/>
            <w:tcBorders>
              <w:top w:val="single" w:sz="4" w:space="0" w:color="auto"/>
              <w:left w:val="single" w:sz="4" w:space="0" w:color="auto"/>
              <w:bottom w:val="single" w:sz="4" w:space="0" w:color="auto"/>
              <w:right w:val="single" w:sz="4" w:space="0" w:color="auto"/>
            </w:tcBorders>
            <w:shd w:val="clear" w:color="000000" w:fill="FBBDC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23,6 %</w:t>
            </w:r>
          </w:p>
        </w:tc>
        <w:tc>
          <w:tcPr>
            <w:tcW w:w="0" w:type="auto"/>
            <w:tcBorders>
              <w:top w:val="single" w:sz="4" w:space="0" w:color="auto"/>
              <w:left w:val="single" w:sz="4" w:space="0" w:color="auto"/>
              <w:bottom w:val="single" w:sz="4" w:space="0" w:color="auto"/>
              <w:right w:val="single" w:sz="4" w:space="0" w:color="auto"/>
            </w:tcBorders>
            <w:shd w:val="clear" w:color="000000" w:fill="F9747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26,4 %</w:t>
            </w:r>
          </w:p>
        </w:tc>
        <w:tc>
          <w:tcPr>
            <w:tcW w:w="0" w:type="auto"/>
            <w:tcBorders>
              <w:top w:val="single" w:sz="4" w:space="0" w:color="auto"/>
              <w:left w:val="single" w:sz="4" w:space="0" w:color="auto"/>
              <w:bottom w:val="single" w:sz="4" w:space="0" w:color="auto"/>
              <w:right w:val="single" w:sz="4" w:space="0" w:color="auto"/>
            </w:tcBorders>
            <w:shd w:val="clear" w:color="000000" w:fill="9AD5A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6,7 %</w:t>
            </w:r>
          </w:p>
        </w:tc>
        <w:tc>
          <w:tcPr>
            <w:tcW w:w="0" w:type="auto"/>
            <w:tcBorders>
              <w:top w:val="single" w:sz="4" w:space="0" w:color="auto"/>
              <w:left w:val="single" w:sz="4" w:space="0" w:color="auto"/>
              <w:bottom w:val="single" w:sz="4" w:space="0" w:color="auto"/>
              <w:right w:val="single" w:sz="4" w:space="0" w:color="auto"/>
            </w:tcBorders>
            <w:shd w:val="clear" w:color="000000" w:fill="CBE8D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2,9 %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Lipník n. B.</w:t>
            </w:r>
          </w:p>
        </w:tc>
        <w:tc>
          <w:tcPr>
            <w:tcW w:w="0" w:type="auto"/>
            <w:tcBorders>
              <w:top w:val="single" w:sz="4" w:space="0" w:color="auto"/>
              <w:left w:val="single" w:sz="4" w:space="0" w:color="auto"/>
              <w:bottom w:val="single" w:sz="4" w:space="0" w:color="auto"/>
              <w:right w:val="single" w:sz="4" w:space="0" w:color="auto"/>
            </w:tcBorders>
            <w:shd w:val="clear" w:color="000000" w:fill="739CC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2 457</w:t>
            </w:r>
          </w:p>
        </w:tc>
        <w:tc>
          <w:tcPr>
            <w:tcW w:w="0" w:type="auto"/>
            <w:tcBorders>
              <w:top w:val="single" w:sz="4" w:space="0" w:color="auto"/>
              <w:left w:val="single" w:sz="4" w:space="0" w:color="auto"/>
              <w:bottom w:val="single" w:sz="4" w:space="0" w:color="auto"/>
              <w:right w:val="single" w:sz="4" w:space="0" w:color="auto"/>
            </w:tcBorders>
            <w:shd w:val="clear" w:color="000000" w:fill="8CADD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3 006</w:t>
            </w:r>
          </w:p>
        </w:tc>
        <w:tc>
          <w:tcPr>
            <w:tcW w:w="0" w:type="auto"/>
            <w:tcBorders>
              <w:top w:val="single" w:sz="4" w:space="0" w:color="auto"/>
              <w:left w:val="single" w:sz="4" w:space="0" w:color="auto"/>
              <w:bottom w:val="single" w:sz="4" w:space="0" w:color="auto"/>
              <w:right w:val="single" w:sz="4" w:space="0" w:color="auto"/>
            </w:tcBorders>
            <w:shd w:val="clear" w:color="000000" w:fill="A3BEE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3 530</w:t>
            </w:r>
          </w:p>
        </w:tc>
        <w:tc>
          <w:tcPr>
            <w:tcW w:w="0" w:type="auto"/>
            <w:tcBorders>
              <w:top w:val="single" w:sz="4" w:space="0" w:color="auto"/>
              <w:left w:val="single" w:sz="4" w:space="0" w:color="auto"/>
              <w:bottom w:val="single" w:sz="4" w:space="0" w:color="auto"/>
              <w:right w:val="single" w:sz="4" w:space="0" w:color="auto"/>
            </w:tcBorders>
            <w:shd w:val="clear" w:color="000000" w:fill="F5FAF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549</w:t>
            </w:r>
          </w:p>
        </w:tc>
        <w:tc>
          <w:tcPr>
            <w:tcW w:w="0" w:type="auto"/>
            <w:tcBorders>
              <w:top w:val="single" w:sz="4" w:space="0" w:color="auto"/>
              <w:left w:val="single" w:sz="4" w:space="0" w:color="auto"/>
              <w:bottom w:val="single" w:sz="4" w:space="0" w:color="auto"/>
              <w:right w:val="single" w:sz="4" w:space="0" w:color="auto"/>
            </w:tcBorders>
            <w:shd w:val="clear" w:color="000000" w:fill="F6FAF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524</w:t>
            </w:r>
          </w:p>
        </w:tc>
        <w:tc>
          <w:tcPr>
            <w:tcW w:w="0" w:type="auto"/>
            <w:tcBorders>
              <w:top w:val="single" w:sz="4" w:space="0" w:color="auto"/>
              <w:left w:val="single" w:sz="4" w:space="0" w:color="auto"/>
              <w:bottom w:val="single" w:sz="4" w:space="0" w:color="auto"/>
              <w:right w:val="single" w:sz="4" w:space="0" w:color="auto"/>
            </w:tcBorders>
            <w:shd w:val="clear" w:color="000000" w:fill="6E98C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16,0 %</w:t>
            </w:r>
          </w:p>
        </w:tc>
        <w:tc>
          <w:tcPr>
            <w:tcW w:w="0" w:type="auto"/>
            <w:tcBorders>
              <w:top w:val="single" w:sz="4" w:space="0" w:color="auto"/>
              <w:left w:val="single" w:sz="4" w:space="0" w:color="auto"/>
              <w:bottom w:val="single" w:sz="4" w:space="0" w:color="auto"/>
              <w:right w:val="single" w:sz="4" w:space="0" w:color="auto"/>
            </w:tcBorders>
            <w:shd w:val="clear" w:color="000000" w:fill="DFE8F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20,1 %</w:t>
            </w:r>
          </w:p>
        </w:tc>
        <w:tc>
          <w:tcPr>
            <w:tcW w:w="0" w:type="auto"/>
            <w:tcBorders>
              <w:top w:val="single" w:sz="4" w:space="0" w:color="auto"/>
              <w:left w:val="single" w:sz="4" w:space="0" w:color="auto"/>
              <w:bottom w:val="single" w:sz="4" w:space="0" w:color="auto"/>
              <w:right w:val="single" w:sz="4" w:space="0" w:color="auto"/>
            </w:tcBorders>
            <w:shd w:val="clear" w:color="000000" w:fill="FAB2B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24,0 %</w:t>
            </w:r>
          </w:p>
        </w:tc>
        <w:tc>
          <w:tcPr>
            <w:tcW w:w="0" w:type="auto"/>
            <w:tcBorders>
              <w:top w:val="single" w:sz="4" w:space="0" w:color="auto"/>
              <w:left w:val="single" w:sz="4" w:space="0" w:color="auto"/>
              <w:bottom w:val="single" w:sz="4" w:space="0" w:color="auto"/>
              <w:right w:val="single" w:sz="4" w:space="0" w:color="auto"/>
            </w:tcBorders>
            <w:shd w:val="clear" w:color="000000" w:fill="FBFCF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4,1 %</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3,9 %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Litovel</w:t>
            </w:r>
          </w:p>
        </w:tc>
        <w:tc>
          <w:tcPr>
            <w:tcW w:w="0" w:type="auto"/>
            <w:tcBorders>
              <w:top w:val="single" w:sz="4" w:space="0" w:color="auto"/>
              <w:left w:val="single" w:sz="4" w:space="0" w:color="auto"/>
              <w:bottom w:val="single" w:sz="4" w:space="0" w:color="auto"/>
              <w:right w:val="single" w:sz="4" w:space="0" w:color="auto"/>
            </w:tcBorders>
            <w:shd w:val="clear" w:color="000000" w:fill="B4C9E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3 906</w:t>
            </w:r>
          </w:p>
        </w:tc>
        <w:tc>
          <w:tcPr>
            <w:tcW w:w="0" w:type="auto"/>
            <w:tcBorders>
              <w:top w:val="single" w:sz="4" w:space="0" w:color="auto"/>
              <w:left w:val="single" w:sz="4" w:space="0" w:color="auto"/>
              <w:bottom w:val="single" w:sz="4" w:space="0" w:color="auto"/>
              <w:right w:val="single" w:sz="4" w:space="0" w:color="auto"/>
            </w:tcBorders>
            <w:shd w:val="clear" w:color="000000" w:fill="E4EBF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4 969</w:t>
            </w:r>
          </w:p>
        </w:tc>
        <w:tc>
          <w:tcPr>
            <w:tcW w:w="0" w:type="auto"/>
            <w:tcBorders>
              <w:top w:val="single" w:sz="4" w:space="0" w:color="auto"/>
              <w:left w:val="single" w:sz="4" w:space="0" w:color="auto"/>
              <w:bottom w:val="single" w:sz="4" w:space="0" w:color="auto"/>
              <w:right w:val="single" w:sz="4" w:space="0" w:color="auto"/>
            </w:tcBorders>
            <w:shd w:val="clear" w:color="000000" w:fill="FAFAF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5 458</w:t>
            </w:r>
          </w:p>
        </w:tc>
        <w:tc>
          <w:tcPr>
            <w:tcW w:w="0" w:type="auto"/>
            <w:tcBorders>
              <w:top w:val="single" w:sz="4" w:space="0" w:color="auto"/>
              <w:left w:val="single" w:sz="4" w:space="0" w:color="auto"/>
              <w:bottom w:val="single" w:sz="4" w:space="0" w:color="auto"/>
              <w:right w:val="single" w:sz="4" w:space="0" w:color="auto"/>
            </w:tcBorders>
            <w:shd w:val="clear" w:color="000000" w:fill="EAF5F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1 063</w:t>
            </w:r>
          </w:p>
        </w:tc>
        <w:tc>
          <w:tcPr>
            <w:tcW w:w="0" w:type="auto"/>
            <w:tcBorders>
              <w:top w:val="single" w:sz="4" w:space="0" w:color="auto"/>
              <w:left w:val="single" w:sz="4" w:space="0" w:color="auto"/>
              <w:bottom w:val="single" w:sz="4" w:space="0" w:color="auto"/>
              <w:right w:val="single" w:sz="4" w:space="0" w:color="auto"/>
            </w:tcBorders>
            <w:shd w:val="clear" w:color="000000" w:fill="F7FAF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489</w:t>
            </w:r>
          </w:p>
        </w:tc>
        <w:tc>
          <w:tcPr>
            <w:tcW w:w="0" w:type="auto"/>
            <w:tcBorders>
              <w:top w:val="single" w:sz="4" w:space="0" w:color="auto"/>
              <w:left w:val="single" w:sz="4" w:space="0" w:color="auto"/>
              <w:bottom w:val="single" w:sz="4" w:space="0" w:color="auto"/>
              <w:right w:val="single" w:sz="4" w:space="0" w:color="auto"/>
            </w:tcBorders>
            <w:shd w:val="clear" w:color="000000" w:fill="7CA2D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16,5 %</w:t>
            </w: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21,1 %</w:t>
            </w:r>
          </w:p>
        </w:tc>
        <w:tc>
          <w:tcPr>
            <w:tcW w:w="0" w:type="auto"/>
            <w:tcBorders>
              <w:top w:val="single" w:sz="4" w:space="0" w:color="auto"/>
              <w:left w:val="single" w:sz="4" w:space="0" w:color="auto"/>
              <w:bottom w:val="single" w:sz="4" w:space="0" w:color="auto"/>
              <w:right w:val="single" w:sz="4" w:space="0" w:color="auto"/>
            </w:tcBorders>
            <w:shd w:val="clear" w:color="000000" w:fill="FBB9B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23,8 %</w:t>
            </w:r>
          </w:p>
        </w:tc>
        <w:tc>
          <w:tcPr>
            <w:tcW w:w="0" w:type="auto"/>
            <w:tcBorders>
              <w:top w:val="single" w:sz="4" w:space="0" w:color="auto"/>
              <w:left w:val="single" w:sz="4" w:space="0" w:color="auto"/>
              <w:bottom w:val="single" w:sz="4" w:space="0" w:color="auto"/>
              <w:right w:val="single" w:sz="4" w:space="0" w:color="auto"/>
            </w:tcBorders>
            <w:shd w:val="clear" w:color="000000" w:fill="E7F4E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4,6 %</w:t>
            </w:r>
          </w:p>
        </w:tc>
        <w:tc>
          <w:tcPr>
            <w:tcW w:w="0" w:type="auto"/>
            <w:tcBorders>
              <w:top w:val="single" w:sz="4" w:space="0" w:color="auto"/>
              <w:left w:val="single" w:sz="4" w:space="0" w:color="auto"/>
              <w:bottom w:val="single" w:sz="4" w:space="0" w:color="auto"/>
              <w:right w:val="single" w:sz="4" w:space="0" w:color="auto"/>
            </w:tcBorders>
            <w:shd w:val="clear" w:color="000000" w:fill="DFF1E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2,6 %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Mohelnice</w:t>
            </w:r>
          </w:p>
        </w:tc>
        <w:tc>
          <w:tcPr>
            <w:tcW w:w="0" w:type="auto"/>
            <w:tcBorders>
              <w:top w:val="single" w:sz="4" w:space="0" w:color="auto"/>
              <w:left w:val="single" w:sz="4" w:space="0" w:color="auto"/>
              <w:bottom w:val="single" w:sz="4" w:space="0" w:color="auto"/>
              <w:right w:val="single" w:sz="4" w:space="0" w:color="auto"/>
            </w:tcBorders>
            <w:shd w:val="clear" w:color="000000" w:fill="89ABD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2 940</w:t>
            </w:r>
          </w:p>
        </w:tc>
        <w:tc>
          <w:tcPr>
            <w:tcW w:w="0" w:type="auto"/>
            <w:tcBorders>
              <w:top w:val="single" w:sz="4" w:space="0" w:color="auto"/>
              <w:left w:val="single" w:sz="4" w:space="0" w:color="auto"/>
              <w:bottom w:val="single" w:sz="4" w:space="0" w:color="auto"/>
              <w:right w:val="single" w:sz="4" w:space="0" w:color="auto"/>
            </w:tcBorders>
            <w:shd w:val="clear" w:color="000000" w:fill="AFC5E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3 780</w:t>
            </w:r>
          </w:p>
        </w:tc>
        <w:tc>
          <w:tcPr>
            <w:tcW w:w="0" w:type="auto"/>
            <w:tcBorders>
              <w:top w:val="single" w:sz="4" w:space="0" w:color="auto"/>
              <w:left w:val="single" w:sz="4" w:space="0" w:color="auto"/>
              <w:bottom w:val="single" w:sz="4" w:space="0" w:color="auto"/>
              <w:right w:val="single" w:sz="4" w:space="0" w:color="auto"/>
            </w:tcBorders>
            <w:shd w:val="clear" w:color="000000" w:fill="C2D3E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4 217</w:t>
            </w:r>
          </w:p>
        </w:tc>
        <w:tc>
          <w:tcPr>
            <w:tcW w:w="0" w:type="auto"/>
            <w:tcBorders>
              <w:top w:val="single" w:sz="4" w:space="0" w:color="auto"/>
              <w:left w:val="single" w:sz="4" w:space="0" w:color="auto"/>
              <w:bottom w:val="single" w:sz="4" w:space="0" w:color="auto"/>
              <w:right w:val="single" w:sz="4" w:space="0" w:color="auto"/>
            </w:tcBorders>
            <w:shd w:val="clear" w:color="000000" w:fill="EFF7F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840</w:t>
            </w:r>
          </w:p>
        </w:tc>
        <w:tc>
          <w:tcPr>
            <w:tcW w:w="0" w:type="auto"/>
            <w:tcBorders>
              <w:top w:val="single" w:sz="4" w:space="0" w:color="auto"/>
              <w:left w:val="single" w:sz="4" w:space="0" w:color="auto"/>
              <w:bottom w:val="single" w:sz="4" w:space="0" w:color="auto"/>
              <w:right w:val="single" w:sz="4" w:space="0" w:color="auto"/>
            </w:tcBorders>
            <w:shd w:val="clear" w:color="000000" w:fill="F8FBF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437</w:t>
            </w:r>
          </w:p>
        </w:tc>
        <w:tc>
          <w:tcPr>
            <w:tcW w:w="0" w:type="auto"/>
            <w:tcBorders>
              <w:top w:val="single" w:sz="4" w:space="0" w:color="auto"/>
              <w:left w:val="single" w:sz="4" w:space="0" w:color="auto"/>
              <w:bottom w:val="single" w:sz="4" w:space="0" w:color="auto"/>
              <w:right w:val="single" w:sz="4" w:space="0" w:color="auto"/>
            </w:tcBorders>
            <w:shd w:val="clear" w:color="000000" w:fill="6693C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15,7 %</w:t>
            </w:r>
          </w:p>
        </w:tc>
        <w:tc>
          <w:tcPr>
            <w:tcW w:w="0" w:type="auto"/>
            <w:tcBorders>
              <w:top w:val="single" w:sz="4" w:space="0" w:color="auto"/>
              <w:left w:val="single" w:sz="4" w:space="0" w:color="auto"/>
              <w:bottom w:val="single" w:sz="4" w:space="0" w:color="auto"/>
              <w:right w:val="single" w:sz="4" w:space="0" w:color="auto"/>
            </w:tcBorders>
            <w:shd w:val="clear" w:color="000000" w:fill="F2F4F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20,8 %</w:t>
            </w:r>
          </w:p>
        </w:tc>
        <w:tc>
          <w:tcPr>
            <w:tcW w:w="0" w:type="auto"/>
            <w:tcBorders>
              <w:top w:val="single" w:sz="4" w:space="0" w:color="auto"/>
              <w:left w:val="single" w:sz="4" w:space="0" w:color="auto"/>
              <w:bottom w:val="single" w:sz="4" w:space="0" w:color="auto"/>
              <w:right w:val="single" w:sz="4" w:space="0" w:color="auto"/>
            </w:tcBorders>
            <w:shd w:val="clear" w:color="000000" w:fill="FBBCB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23,6 %</w:t>
            </w:r>
          </w:p>
        </w:tc>
        <w:tc>
          <w:tcPr>
            <w:tcW w:w="0" w:type="auto"/>
            <w:tcBorders>
              <w:top w:val="single" w:sz="4" w:space="0" w:color="auto"/>
              <w:left w:val="single" w:sz="4" w:space="0" w:color="auto"/>
              <w:bottom w:val="single" w:sz="4" w:space="0" w:color="auto"/>
              <w:right w:val="single" w:sz="4" w:space="0" w:color="auto"/>
            </w:tcBorders>
            <w:shd w:val="clear" w:color="000000" w:fill="D8EEE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5,0 %</w:t>
            </w:r>
          </w:p>
        </w:tc>
        <w:tc>
          <w:tcPr>
            <w:tcW w:w="0" w:type="auto"/>
            <w:tcBorders>
              <w:top w:val="single" w:sz="4" w:space="0" w:color="auto"/>
              <w:left w:val="single" w:sz="4" w:space="0" w:color="auto"/>
              <w:bottom w:val="single" w:sz="4" w:space="0" w:color="auto"/>
              <w:right w:val="single" w:sz="4" w:space="0" w:color="auto"/>
            </w:tcBorders>
            <w:shd w:val="clear" w:color="000000" w:fill="C8E7D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2,9 %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Olomouc</w:t>
            </w:r>
          </w:p>
        </w:tc>
        <w:tc>
          <w:tcPr>
            <w:tcW w:w="0" w:type="auto"/>
            <w:tcBorders>
              <w:top w:val="single" w:sz="4" w:space="0" w:color="auto"/>
              <w:left w:val="single" w:sz="4" w:space="0" w:color="auto"/>
              <w:bottom w:val="single" w:sz="4" w:space="0" w:color="auto"/>
              <w:right w:val="single" w:sz="4" w:space="0" w:color="auto"/>
            </w:tcBorders>
            <w:shd w:val="clear" w:color="000000" w:fill="FA9C9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26 237</w:t>
            </w:r>
          </w:p>
        </w:tc>
        <w:tc>
          <w:tcPr>
            <w:tcW w:w="0" w:type="auto"/>
            <w:tcBorders>
              <w:top w:val="single" w:sz="4" w:space="0" w:color="auto"/>
              <w:left w:val="single" w:sz="4" w:space="0" w:color="auto"/>
              <w:bottom w:val="single" w:sz="4" w:space="0" w:color="auto"/>
              <w:right w:val="single" w:sz="4" w:space="0" w:color="auto"/>
            </w:tcBorders>
            <w:shd w:val="clear" w:color="000000" w:fill="F9797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33 717</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37 004</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7 480</w:t>
            </w:r>
          </w:p>
        </w:tc>
        <w:tc>
          <w:tcPr>
            <w:tcW w:w="0" w:type="auto"/>
            <w:tcBorders>
              <w:top w:val="single" w:sz="4" w:space="0" w:color="auto"/>
              <w:left w:val="single" w:sz="4" w:space="0" w:color="auto"/>
              <w:bottom w:val="single" w:sz="4" w:space="0" w:color="auto"/>
              <w:right w:val="single" w:sz="4" w:space="0" w:color="auto"/>
            </w:tcBorders>
            <w:shd w:val="clear" w:color="000000" w:fill="BCE2C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3 287</w:t>
            </w:r>
          </w:p>
        </w:tc>
        <w:tc>
          <w:tcPr>
            <w:tcW w:w="0" w:type="auto"/>
            <w:tcBorders>
              <w:top w:val="single" w:sz="4" w:space="0" w:color="auto"/>
              <w:left w:val="single" w:sz="4" w:space="0" w:color="auto"/>
              <w:bottom w:val="single" w:sz="4" w:space="0" w:color="auto"/>
              <w:right w:val="single" w:sz="4" w:space="0" w:color="auto"/>
            </w:tcBorders>
            <w:shd w:val="clear" w:color="000000" w:fill="759DC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16,2 %</w:t>
            </w:r>
          </w:p>
        </w:tc>
        <w:tc>
          <w:tcPr>
            <w:tcW w:w="0" w:type="auto"/>
            <w:tcBorders>
              <w:top w:val="single" w:sz="4" w:space="0" w:color="auto"/>
              <w:left w:val="single" w:sz="4" w:space="0" w:color="auto"/>
              <w:bottom w:val="single" w:sz="4" w:space="0" w:color="auto"/>
              <w:right w:val="single" w:sz="4" w:space="0" w:color="auto"/>
            </w:tcBorders>
            <w:shd w:val="clear" w:color="000000" w:fill="EBF0F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20,5 %</w:t>
            </w:r>
          </w:p>
        </w:tc>
        <w:tc>
          <w:tcPr>
            <w:tcW w:w="0" w:type="auto"/>
            <w:tcBorders>
              <w:top w:val="single" w:sz="4" w:space="0" w:color="auto"/>
              <w:left w:val="single" w:sz="4" w:space="0" w:color="auto"/>
              <w:bottom w:val="single" w:sz="4" w:space="0" w:color="auto"/>
              <w:right w:val="single" w:sz="4" w:space="0" w:color="auto"/>
            </w:tcBorders>
            <w:shd w:val="clear" w:color="000000" w:fill="FBD0D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22,9 %</w:t>
            </w:r>
          </w:p>
        </w:tc>
        <w:tc>
          <w:tcPr>
            <w:tcW w:w="0" w:type="auto"/>
            <w:tcBorders>
              <w:top w:val="single" w:sz="4" w:space="0" w:color="auto"/>
              <w:left w:val="single" w:sz="4" w:space="0" w:color="auto"/>
              <w:bottom w:val="single" w:sz="4" w:space="0" w:color="auto"/>
              <w:right w:val="single" w:sz="4" w:space="0" w:color="auto"/>
            </w:tcBorders>
            <w:shd w:val="clear" w:color="000000" w:fill="F4F9F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4,3 %</w:t>
            </w: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2,3 %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Prostějov</w:t>
            </w:r>
          </w:p>
        </w:tc>
        <w:tc>
          <w:tcPr>
            <w:tcW w:w="0" w:type="auto"/>
            <w:tcBorders>
              <w:top w:val="single" w:sz="4" w:space="0" w:color="auto"/>
              <w:left w:val="single" w:sz="4" w:space="0" w:color="auto"/>
              <w:bottom w:val="single" w:sz="4" w:space="0" w:color="auto"/>
              <w:right w:val="single" w:sz="4" w:space="0" w:color="auto"/>
            </w:tcBorders>
            <w:shd w:val="clear" w:color="000000" w:fill="FBC8C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16 768</w:t>
            </w:r>
          </w:p>
        </w:tc>
        <w:tc>
          <w:tcPr>
            <w:tcW w:w="0" w:type="auto"/>
            <w:tcBorders>
              <w:top w:val="single" w:sz="4" w:space="0" w:color="auto"/>
              <w:left w:val="single" w:sz="4" w:space="0" w:color="auto"/>
              <w:bottom w:val="single" w:sz="4" w:space="0" w:color="auto"/>
              <w:right w:val="single" w:sz="4" w:space="0" w:color="auto"/>
            </w:tcBorders>
            <w:shd w:val="clear" w:color="000000" w:fill="FBB7B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20 483</w:t>
            </w:r>
          </w:p>
        </w:tc>
        <w:tc>
          <w:tcPr>
            <w:tcW w:w="0" w:type="auto"/>
            <w:tcBorders>
              <w:top w:val="single" w:sz="4" w:space="0" w:color="auto"/>
              <w:left w:val="single" w:sz="4" w:space="0" w:color="auto"/>
              <w:bottom w:val="single" w:sz="4" w:space="0" w:color="auto"/>
              <w:right w:val="single" w:sz="4" w:space="0" w:color="auto"/>
            </w:tcBorders>
            <w:shd w:val="clear" w:color="000000" w:fill="FAAEB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22 384</w:t>
            </w:r>
          </w:p>
        </w:tc>
        <w:tc>
          <w:tcPr>
            <w:tcW w:w="0" w:type="auto"/>
            <w:tcBorders>
              <w:top w:val="single" w:sz="4" w:space="0" w:color="auto"/>
              <w:left w:val="single" w:sz="4" w:space="0" w:color="auto"/>
              <w:bottom w:val="single" w:sz="4" w:space="0" w:color="auto"/>
              <w:right w:val="single" w:sz="4" w:space="0" w:color="auto"/>
            </w:tcBorders>
            <w:shd w:val="clear" w:color="000000" w:fill="B3DFC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3 715</w:t>
            </w:r>
          </w:p>
        </w:tc>
        <w:tc>
          <w:tcPr>
            <w:tcW w:w="0" w:type="auto"/>
            <w:tcBorders>
              <w:top w:val="single" w:sz="4" w:space="0" w:color="auto"/>
              <w:left w:val="single" w:sz="4" w:space="0" w:color="auto"/>
              <w:bottom w:val="single" w:sz="4" w:space="0" w:color="auto"/>
              <w:right w:val="single" w:sz="4" w:space="0" w:color="auto"/>
            </w:tcBorders>
            <w:shd w:val="clear" w:color="000000" w:fill="D9EEE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1 901</w:t>
            </w:r>
          </w:p>
        </w:tc>
        <w:tc>
          <w:tcPr>
            <w:tcW w:w="0" w:type="auto"/>
            <w:tcBorders>
              <w:top w:val="single" w:sz="4" w:space="0" w:color="auto"/>
              <w:left w:val="single" w:sz="4" w:space="0" w:color="auto"/>
              <w:bottom w:val="single" w:sz="4" w:space="0" w:color="auto"/>
              <w:right w:val="single" w:sz="4" w:space="0" w:color="auto"/>
            </w:tcBorders>
            <w:shd w:val="clear" w:color="000000" w:fill="8BACD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17,0 %</w:t>
            </w:r>
          </w:p>
        </w:tc>
        <w:tc>
          <w:tcPr>
            <w:tcW w:w="0" w:type="auto"/>
            <w:tcBorders>
              <w:top w:val="single" w:sz="4" w:space="0" w:color="auto"/>
              <w:left w:val="single" w:sz="4" w:space="0" w:color="auto"/>
              <w:bottom w:val="single" w:sz="4" w:space="0" w:color="auto"/>
              <w:right w:val="single" w:sz="4" w:space="0" w:color="auto"/>
            </w:tcBorders>
            <w:shd w:val="clear" w:color="000000" w:fill="FBFBF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21,1 %</w:t>
            </w:r>
          </w:p>
        </w:tc>
        <w:tc>
          <w:tcPr>
            <w:tcW w:w="0" w:type="auto"/>
            <w:tcBorders>
              <w:top w:val="single" w:sz="4" w:space="0" w:color="auto"/>
              <w:left w:val="single" w:sz="4" w:space="0" w:color="auto"/>
              <w:bottom w:val="single" w:sz="4" w:space="0" w:color="auto"/>
              <w:right w:val="single" w:sz="4" w:space="0" w:color="auto"/>
            </w:tcBorders>
            <w:shd w:val="clear" w:color="000000" w:fill="FBBEC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23,6 %</w:t>
            </w: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4,1 %</w:t>
            </w:r>
          </w:p>
        </w:tc>
        <w:tc>
          <w:tcPr>
            <w:tcW w:w="0" w:type="auto"/>
            <w:tcBorders>
              <w:top w:val="single" w:sz="4" w:space="0" w:color="auto"/>
              <w:left w:val="single" w:sz="4" w:space="0" w:color="auto"/>
              <w:bottom w:val="single" w:sz="4" w:space="0" w:color="auto"/>
              <w:right w:val="single" w:sz="4" w:space="0" w:color="auto"/>
            </w:tcBorders>
            <w:shd w:val="clear" w:color="000000" w:fill="F0F8F5"/>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2,5 %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Přerov</w:t>
            </w:r>
          </w:p>
        </w:tc>
        <w:tc>
          <w:tcPr>
            <w:tcW w:w="0" w:type="auto"/>
            <w:tcBorders>
              <w:top w:val="single" w:sz="4" w:space="0" w:color="auto"/>
              <w:left w:val="single" w:sz="4" w:space="0" w:color="auto"/>
              <w:bottom w:val="single" w:sz="4" w:space="0" w:color="auto"/>
              <w:right w:val="single" w:sz="4" w:space="0" w:color="auto"/>
            </w:tcBorders>
            <w:shd w:val="clear" w:color="000000" w:fill="FBD1D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14 795</w:t>
            </w:r>
          </w:p>
        </w:tc>
        <w:tc>
          <w:tcPr>
            <w:tcW w:w="0" w:type="auto"/>
            <w:tcBorders>
              <w:top w:val="single" w:sz="4" w:space="0" w:color="auto"/>
              <w:left w:val="single" w:sz="4" w:space="0" w:color="auto"/>
              <w:bottom w:val="single" w:sz="4" w:space="0" w:color="auto"/>
              <w:right w:val="single" w:sz="4" w:space="0" w:color="auto"/>
            </w:tcBorders>
            <w:shd w:val="clear" w:color="000000" w:fill="FBC4C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17 709</w:t>
            </w:r>
          </w:p>
        </w:tc>
        <w:tc>
          <w:tcPr>
            <w:tcW w:w="0" w:type="auto"/>
            <w:tcBorders>
              <w:top w:val="single" w:sz="4" w:space="0" w:color="auto"/>
              <w:left w:val="single" w:sz="4" w:space="0" w:color="auto"/>
              <w:bottom w:val="single" w:sz="4" w:space="0" w:color="auto"/>
              <w:right w:val="single" w:sz="4" w:space="0" w:color="auto"/>
            </w:tcBorders>
            <w:shd w:val="clear" w:color="000000" w:fill="FBBCB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19 332</w:t>
            </w:r>
          </w:p>
        </w:tc>
        <w:tc>
          <w:tcPr>
            <w:tcW w:w="0" w:type="auto"/>
            <w:tcBorders>
              <w:top w:val="single" w:sz="4" w:space="0" w:color="auto"/>
              <w:left w:val="single" w:sz="4" w:space="0" w:color="auto"/>
              <w:bottom w:val="single" w:sz="4" w:space="0" w:color="auto"/>
              <w:right w:val="single" w:sz="4" w:space="0" w:color="auto"/>
            </w:tcBorders>
            <w:shd w:val="clear" w:color="000000" w:fill="C4E5C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2 914</w:t>
            </w:r>
          </w:p>
        </w:tc>
        <w:tc>
          <w:tcPr>
            <w:tcW w:w="0" w:type="auto"/>
            <w:tcBorders>
              <w:top w:val="single" w:sz="4" w:space="0" w:color="auto"/>
              <w:left w:val="single" w:sz="4" w:space="0" w:color="auto"/>
              <w:bottom w:val="single" w:sz="4" w:space="0" w:color="auto"/>
              <w:right w:val="single" w:sz="4" w:space="0" w:color="auto"/>
            </w:tcBorders>
            <w:shd w:val="clear" w:color="000000" w:fill="DFF0E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1 623</w:t>
            </w:r>
          </w:p>
        </w:tc>
        <w:tc>
          <w:tcPr>
            <w:tcW w:w="0" w:type="auto"/>
            <w:tcBorders>
              <w:top w:val="single" w:sz="4" w:space="0" w:color="auto"/>
              <w:left w:val="single" w:sz="4" w:space="0" w:color="auto"/>
              <w:bottom w:val="single" w:sz="4" w:space="0" w:color="auto"/>
              <w:right w:val="single" w:sz="4" w:space="0" w:color="auto"/>
            </w:tcBorders>
            <w:shd w:val="clear" w:color="000000" w:fill="A1BCD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17,8 %</w:t>
            </w:r>
          </w:p>
        </w:tc>
        <w:tc>
          <w:tcPr>
            <w:tcW w:w="0" w:type="auto"/>
            <w:tcBorders>
              <w:top w:val="single" w:sz="4" w:space="0" w:color="auto"/>
              <w:left w:val="single" w:sz="4" w:space="0" w:color="auto"/>
              <w:bottom w:val="single" w:sz="4" w:space="0" w:color="auto"/>
              <w:right w:val="single" w:sz="4" w:space="0" w:color="auto"/>
            </w:tcBorders>
            <w:shd w:val="clear" w:color="000000" w:fill="FBD4D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22,7 %</w:t>
            </w:r>
          </w:p>
        </w:tc>
        <w:tc>
          <w:tcPr>
            <w:tcW w:w="0" w:type="auto"/>
            <w:tcBorders>
              <w:top w:val="single" w:sz="4" w:space="0" w:color="auto"/>
              <w:left w:val="single" w:sz="4" w:space="0" w:color="auto"/>
              <w:bottom w:val="single" w:sz="4" w:space="0" w:color="auto"/>
              <w:right w:val="single" w:sz="4" w:space="0" w:color="auto"/>
            </w:tcBorders>
            <w:shd w:val="clear" w:color="000000" w:fill="F9898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25,6 %</w:t>
            </w:r>
          </w:p>
        </w:tc>
        <w:tc>
          <w:tcPr>
            <w:tcW w:w="0" w:type="auto"/>
            <w:tcBorders>
              <w:top w:val="single" w:sz="4" w:space="0" w:color="auto"/>
              <w:left w:val="single" w:sz="4" w:space="0" w:color="auto"/>
              <w:bottom w:val="single" w:sz="4" w:space="0" w:color="auto"/>
              <w:right w:val="single" w:sz="4" w:space="0" w:color="auto"/>
            </w:tcBorders>
            <w:shd w:val="clear" w:color="000000" w:fill="DFF1E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4,9 %</w:t>
            </w:r>
          </w:p>
        </w:tc>
        <w:tc>
          <w:tcPr>
            <w:tcW w:w="0" w:type="auto"/>
            <w:tcBorders>
              <w:top w:val="single" w:sz="4" w:space="0" w:color="auto"/>
              <w:left w:val="single" w:sz="4" w:space="0" w:color="auto"/>
              <w:bottom w:val="single" w:sz="4" w:space="0" w:color="auto"/>
              <w:right w:val="single" w:sz="4" w:space="0" w:color="auto"/>
            </w:tcBorders>
            <w:shd w:val="clear" w:color="000000" w:fill="C4E6C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2,9 %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Šternberk</w:t>
            </w:r>
          </w:p>
        </w:tc>
        <w:tc>
          <w:tcPr>
            <w:tcW w:w="0" w:type="auto"/>
            <w:tcBorders>
              <w:top w:val="single" w:sz="4" w:space="0" w:color="auto"/>
              <w:left w:val="single" w:sz="4" w:space="0" w:color="auto"/>
              <w:bottom w:val="single" w:sz="4" w:space="0" w:color="auto"/>
              <w:right w:val="single" w:sz="4" w:space="0" w:color="auto"/>
            </w:tcBorders>
            <w:shd w:val="clear" w:color="000000" w:fill="AAC2E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3 685</w:t>
            </w:r>
          </w:p>
        </w:tc>
        <w:tc>
          <w:tcPr>
            <w:tcW w:w="0" w:type="auto"/>
            <w:tcBorders>
              <w:top w:val="single" w:sz="4" w:space="0" w:color="auto"/>
              <w:left w:val="single" w:sz="4" w:space="0" w:color="auto"/>
              <w:bottom w:val="single" w:sz="4" w:space="0" w:color="auto"/>
              <w:right w:val="single" w:sz="4" w:space="0" w:color="auto"/>
            </w:tcBorders>
            <w:shd w:val="clear" w:color="000000" w:fill="E2EAF6"/>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4 933</w:t>
            </w: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5 496</w:t>
            </w:r>
          </w:p>
        </w:tc>
        <w:tc>
          <w:tcPr>
            <w:tcW w:w="0" w:type="auto"/>
            <w:tcBorders>
              <w:top w:val="single" w:sz="4" w:space="0" w:color="auto"/>
              <w:left w:val="single" w:sz="4" w:space="0" w:color="auto"/>
              <w:bottom w:val="single" w:sz="4" w:space="0" w:color="auto"/>
              <w:right w:val="single" w:sz="4" w:space="0" w:color="auto"/>
            </w:tcBorders>
            <w:shd w:val="clear" w:color="000000" w:fill="E7F4E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1 248</w:t>
            </w:r>
          </w:p>
        </w:tc>
        <w:tc>
          <w:tcPr>
            <w:tcW w:w="0" w:type="auto"/>
            <w:tcBorders>
              <w:top w:val="single" w:sz="4" w:space="0" w:color="auto"/>
              <w:left w:val="single" w:sz="4" w:space="0" w:color="auto"/>
              <w:bottom w:val="single" w:sz="4" w:space="0" w:color="auto"/>
              <w:right w:val="single" w:sz="4" w:space="0" w:color="auto"/>
            </w:tcBorders>
            <w:shd w:val="clear" w:color="000000" w:fill="F5F9F9"/>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563</w:t>
            </w:r>
          </w:p>
        </w:tc>
        <w:tc>
          <w:tcPr>
            <w:tcW w:w="0" w:type="auto"/>
            <w:tcBorders>
              <w:top w:val="single" w:sz="4" w:space="0" w:color="auto"/>
              <w:left w:val="single" w:sz="4" w:space="0" w:color="auto"/>
              <w:bottom w:val="single" w:sz="4" w:space="0" w:color="auto"/>
              <w:right w:val="single" w:sz="4" w:space="0" w:color="auto"/>
            </w:tcBorders>
            <w:shd w:val="clear" w:color="000000" w:fill="628FC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15,5 %</w:t>
            </w:r>
          </w:p>
        </w:tc>
        <w:tc>
          <w:tcPr>
            <w:tcW w:w="0" w:type="auto"/>
            <w:tcBorders>
              <w:top w:val="single" w:sz="4" w:space="0" w:color="auto"/>
              <w:left w:val="single" w:sz="4" w:space="0" w:color="auto"/>
              <w:bottom w:val="single" w:sz="4" w:space="0" w:color="auto"/>
              <w:right w:val="single" w:sz="4" w:space="0" w:color="auto"/>
            </w:tcBorders>
            <w:shd w:val="clear" w:color="000000" w:fill="F0F4F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20,7 %</w:t>
            </w:r>
          </w:p>
        </w:tc>
        <w:tc>
          <w:tcPr>
            <w:tcW w:w="0" w:type="auto"/>
            <w:tcBorders>
              <w:top w:val="single" w:sz="4" w:space="0" w:color="auto"/>
              <w:left w:val="single" w:sz="4" w:space="0" w:color="auto"/>
              <w:bottom w:val="single" w:sz="4" w:space="0" w:color="auto"/>
              <w:right w:val="single" w:sz="4" w:space="0" w:color="auto"/>
            </w:tcBorders>
            <w:shd w:val="clear" w:color="000000" w:fill="FBC0C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23,5 %</w:t>
            </w:r>
          </w:p>
        </w:tc>
        <w:tc>
          <w:tcPr>
            <w:tcW w:w="0" w:type="auto"/>
            <w:tcBorders>
              <w:top w:val="single" w:sz="4" w:space="0" w:color="auto"/>
              <w:left w:val="single" w:sz="4" w:space="0" w:color="auto"/>
              <w:bottom w:val="single" w:sz="4" w:space="0" w:color="auto"/>
              <w:right w:val="single" w:sz="4" w:space="0" w:color="auto"/>
            </w:tcBorders>
            <w:shd w:val="clear" w:color="000000" w:fill="D3ECD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5,2 %</w:t>
            </w:r>
          </w:p>
        </w:tc>
        <w:tc>
          <w:tcPr>
            <w:tcW w:w="0" w:type="auto"/>
            <w:tcBorders>
              <w:top w:val="single" w:sz="4" w:space="0" w:color="auto"/>
              <w:left w:val="single" w:sz="4" w:space="0" w:color="auto"/>
              <w:bottom w:val="single" w:sz="4" w:space="0" w:color="auto"/>
              <w:right w:val="single" w:sz="4" w:space="0" w:color="auto"/>
            </w:tcBorders>
            <w:shd w:val="clear" w:color="000000" w:fill="D2EBD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2,8 %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Šumperk</w:t>
            </w:r>
          </w:p>
        </w:tc>
        <w:tc>
          <w:tcPr>
            <w:tcW w:w="0" w:type="auto"/>
            <w:tcBorders>
              <w:top w:val="single" w:sz="4" w:space="0" w:color="auto"/>
              <w:left w:val="single" w:sz="4" w:space="0" w:color="auto"/>
              <w:bottom w:val="single" w:sz="4" w:space="0" w:color="auto"/>
              <w:right w:val="single" w:sz="4" w:space="0" w:color="auto"/>
            </w:tcBorders>
            <w:shd w:val="clear" w:color="000000" w:fill="FCE0E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11 664</w:t>
            </w:r>
          </w:p>
        </w:tc>
        <w:tc>
          <w:tcPr>
            <w:tcW w:w="0" w:type="auto"/>
            <w:tcBorders>
              <w:top w:val="single" w:sz="4" w:space="0" w:color="auto"/>
              <w:left w:val="single" w:sz="4" w:space="0" w:color="auto"/>
              <w:bottom w:val="single" w:sz="4" w:space="0" w:color="auto"/>
              <w:right w:val="single" w:sz="4" w:space="0" w:color="auto"/>
            </w:tcBorders>
            <w:shd w:val="clear" w:color="000000" w:fill="FBCED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15 516</w:t>
            </w:r>
          </w:p>
        </w:tc>
        <w:tc>
          <w:tcPr>
            <w:tcW w:w="0" w:type="auto"/>
            <w:tcBorders>
              <w:top w:val="single" w:sz="4" w:space="0" w:color="auto"/>
              <w:left w:val="single" w:sz="4" w:space="0" w:color="auto"/>
              <w:bottom w:val="single" w:sz="4" w:space="0" w:color="auto"/>
              <w:right w:val="single" w:sz="4" w:space="0" w:color="auto"/>
            </w:tcBorders>
            <w:shd w:val="clear" w:color="000000" w:fill="FBC9C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16 624</w:t>
            </w:r>
          </w:p>
        </w:tc>
        <w:tc>
          <w:tcPr>
            <w:tcW w:w="0" w:type="auto"/>
            <w:tcBorders>
              <w:top w:val="single" w:sz="4" w:space="0" w:color="auto"/>
              <w:left w:val="single" w:sz="4" w:space="0" w:color="auto"/>
              <w:bottom w:val="single" w:sz="4" w:space="0" w:color="auto"/>
              <w:right w:val="single" w:sz="4" w:space="0" w:color="auto"/>
            </w:tcBorders>
            <w:shd w:val="clear" w:color="000000" w:fill="B0DDB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3 852</w:t>
            </w:r>
          </w:p>
        </w:tc>
        <w:tc>
          <w:tcPr>
            <w:tcW w:w="0" w:type="auto"/>
            <w:tcBorders>
              <w:top w:val="single" w:sz="4" w:space="0" w:color="auto"/>
              <w:left w:val="single" w:sz="4" w:space="0" w:color="auto"/>
              <w:bottom w:val="single" w:sz="4" w:space="0" w:color="auto"/>
              <w:right w:val="single" w:sz="4" w:space="0" w:color="auto"/>
            </w:tcBorders>
            <w:shd w:val="clear" w:color="000000" w:fill="E9F5E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1 108</w:t>
            </w:r>
          </w:p>
        </w:tc>
        <w:tc>
          <w:tcPr>
            <w:tcW w:w="0" w:type="auto"/>
            <w:tcBorders>
              <w:top w:val="single" w:sz="4" w:space="0" w:color="auto"/>
              <w:left w:val="single" w:sz="4" w:space="0" w:color="auto"/>
              <w:bottom w:val="single" w:sz="4" w:space="0" w:color="auto"/>
              <w:right w:val="single" w:sz="4" w:space="0" w:color="auto"/>
            </w:tcBorders>
            <w:shd w:val="clear" w:color="000000" w:fill="7AA0D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16,4 %</w:t>
            </w:r>
          </w:p>
        </w:tc>
        <w:tc>
          <w:tcPr>
            <w:tcW w:w="0" w:type="auto"/>
            <w:tcBorders>
              <w:top w:val="single" w:sz="4" w:space="0" w:color="auto"/>
              <w:left w:val="single" w:sz="4" w:space="0" w:color="auto"/>
              <w:bottom w:val="single" w:sz="4" w:space="0" w:color="auto"/>
              <w:right w:val="single" w:sz="4" w:space="0" w:color="auto"/>
            </w:tcBorders>
            <w:shd w:val="clear" w:color="000000" w:fill="FBCCC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23,0 %</w:t>
            </w:r>
          </w:p>
        </w:tc>
        <w:tc>
          <w:tcPr>
            <w:tcW w:w="0" w:type="auto"/>
            <w:tcBorders>
              <w:top w:val="single" w:sz="4" w:space="0" w:color="auto"/>
              <w:left w:val="single" w:sz="4" w:space="0" w:color="auto"/>
              <w:bottom w:val="single" w:sz="4" w:space="0" w:color="auto"/>
              <w:right w:val="single" w:sz="4" w:space="0" w:color="auto"/>
            </w:tcBorders>
            <w:shd w:val="clear" w:color="000000" w:fill="FA8E9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25,4 %</w:t>
            </w:r>
          </w:p>
        </w:tc>
        <w:tc>
          <w:tcPr>
            <w:tcW w:w="0" w:type="auto"/>
            <w:tcBorders>
              <w:top w:val="single" w:sz="4" w:space="0" w:color="auto"/>
              <w:left w:val="single" w:sz="4" w:space="0" w:color="auto"/>
              <w:bottom w:val="single" w:sz="4" w:space="0" w:color="auto"/>
              <w:right w:val="single" w:sz="4" w:space="0" w:color="auto"/>
            </w:tcBorders>
            <w:shd w:val="clear" w:color="000000" w:fill="9CD5A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6,6 %</w:t>
            </w:r>
          </w:p>
        </w:tc>
        <w:tc>
          <w:tcPr>
            <w:tcW w:w="0" w:type="auto"/>
            <w:tcBorders>
              <w:top w:val="single" w:sz="4" w:space="0" w:color="auto"/>
              <w:left w:val="single" w:sz="4" w:space="0" w:color="auto"/>
              <w:bottom w:val="single" w:sz="4" w:space="0" w:color="auto"/>
              <w:right w:val="single" w:sz="4" w:space="0" w:color="auto"/>
            </w:tcBorders>
            <w:shd w:val="clear" w:color="000000" w:fill="F6FAFA"/>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2,4 %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Uničov</w:t>
            </w:r>
          </w:p>
        </w:tc>
        <w:tc>
          <w:tcPr>
            <w:tcW w:w="0" w:type="auto"/>
            <w:tcBorders>
              <w:top w:val="single" w:sz="4" w:space="0" w:color="auto"/>
              <w:left w:val="single" w:sz="4" w:space="0" w:color="auto"/>
              <w:bottom w:val="single" w:sz="4" w:space="0" w:color="auto"/>
              <w:right w:val="single" w:sz="4" w:space="0" w:color="auto"/>
            </w:tcBorders>
            <w:shd w:val="clear" w:color="000000" w:fill="AAC2E2"/>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3 665</w:t>
            </w:r>
          </w:p>
        </w:tc>
        <w:tc>
          <w:tcPr>
            <w:tcW w:w="0" w:type="auto"/>
            <w:tcBorders>
              <w:top w:val="single" w:sz="4" w:space="0" w:color="auto"/>
              <w:left w:val="single" w:sz="4" w:space="0" w:color="auto"/>
              <w:bottom w:val="single" w:sz="4" w:space="0" w:color="auto"/>
              <w:right w:val="single" w:sz="4" w:space="0" w:color="auto"/>
            </w:tcBorders>
            <w:shd w:val="clear" w:color="000000" w:fill="D6E1F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4 650</w:t>
            </w:r>
          </w:p>
        </w:tc>
        <w:tc>
          <w:tcPr>
            <w:tcW w:w="0" w:type="auto"/>
            <w:tcBorders>
              <w:top w:val="single" w:sz="4" w:space="0" w:color="auto"/>
              <w:left w:val="single" w:sz="4" w:space="0" w:color="auto"/>
              <w:bottom w:val="single" w:sz="4" w:space="0" w:color="auto"/>
              <w:right w:val="single" w:sz="4" w:space="0" w:color="auto"/>
            </w:tcBorders>
            <w:shd w:val="clear" w:color="000000" w:fill="F0F4FB"/>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5 247</w:t>
            </w:r>
          </w:p>
        </w:tc>
        <w:tc>
          <w:tcPr>
            <w:tcW w:w="0" w:type="auto"/>
            <w:tcBorders>
              <w:top w:val="single" w:sz="4" w:space="0" w:color="auto"/>
              <w:left w:val="single" w:sz="4" w:space="0" w:color="auto"/>
              <w:bottom w:val="single" w:sz="4" w:space="0" w:color="auto"/>
              <w:right w:val="single" w:sz="4" w:space="0" w:color="auto"/>
            </w:tcBorders>
            <w:shd w:val="clear" w:color="000000" w:fill="ECF6F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985</w:t>
            </w:r>
          </w:p>
        </w:tc>
        <w:tc>
          <w:tcPr>
            <w:tcW w:w="0" w:type="auto"/>
            <w:tcBorders>
              <w:top w:val="single" w:sz="4" w:space="0" w:color="auto"/>
              <w:left w:val="single" w:sz="4" w:space="0" w:color="auto"/>
              <w:bottom w:val="single" w:sz="4" w:space="0" w:color="auto"/>
              <w:right w:val="single" w:sz="4" w:space="0" w:color="auto"/>
            </w:tcBorders>
            <w:shd w:val="clear" w:color="000000" w:fill="F4F9F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597</w:t>
            </w:r>
          </w:p>
        </w:tc>
        <w:tc>
          <w:tcPr>
            <w:tcW w:w="0" w:type="auto"/>
            <w:tcBorders>
              <w:top w:val="single" w:sz="4" w:space="0" w:color="auto"/>
              <w:left w:val="single" w:sz="4" w:space="0" w:color="auto"/>
              <w:bottom w:val="single" w:sz="4" w:space="0" w:color="auto"/>
              <w:right w:val="single" w:sz="4" w:space="0" w:color="auto"/>
            </w:tcBorders>
            <w:shd w:val="clear" w:color="000000" w:fill="6F99C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16,0 %</w:t>
            </w:r>
          </w:p>
        </w:tc>
        <w:tc>
          <w:tcPr>
            <w:tcW w:w="0" w:type="auto"/>
            <w:tcBorders>
              <w:top w:val="single" w:sz="4" w:space="0" w:color="auto"/>
              <w:left w:val="single" w:sz="4" w:space="0" w:color="auto"/>
              <w:bottom w:val="single" w:sz="4" w:space="0" w:color="auto"/>
              <w:right w:val="single" w:sz="4" w:space="0" w:color="auto"/>
            </w:tcBorders>
            <w:shd w:val="clear" w:color="000000" w:fill="FBFBFE"/>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21,1 %</w:t>
            </w:r>
          </w:p>
        </w:tc>
        <w:tc>
          <w:tcPr>
            <w:tcW w:w="0" w:type="auto"/>
            <w:tcBorders>
              <w:top w:val="single" w:sz="4" w:space="0" w:color="auto"/>
              <w:left w:val="single" w:sz="4" w:space="0" w:color="auto"/>
              <w:bottom w:val="single" w:sz="4" w:space="0" w:color="auto"/>
              <w:right w:val="single" w:sz="4" w:space="0" w:color="auto"/>
            </w:tcBorders>
            <w:shd w:val="clear" w:color="000000" w:fill="FAAAAD"/>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24,3 %</w:t>
            </w:r>
          </w:p>
        </w:tc>
        <w:tc>
          <w:tcPr>
            <w:tcW w:w="0" w:type="auto"/>
            <w:tcBorders>
              <w:top w:val="single" w:sz="4" w:space="0" w:color="auto"/>
              <w:left w:val="single" w:sz="4" w:space="0" w:color="auto"/>
              <w:bottom w:val="single" w:sz="4" w:space="0" w:color="auto"/>
              <w:right w:val="single" w:sz="4" w:space="0" w:color="auto"/>
            </w:tcBorders>
            <w:shd w:val="clear" w:color="000000" w:fill="D6EDDF"/>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5,1 %</w:t>
            </w:r>
          </w:p>
        </w:tc>
        <w:tc>
          <w:tcPr>
            <w:tcW w:w="0" w:type="auto"/>
            <w:tcBorders>
              <w:top w:val="single" w:sz="4" w:space="0" w:color="auto"/>
              <w:left w:val="single" w:sz="4" w:space="0" w:color="auto"/>
              <w:bottom w:val="single" w:sz="4" w:space="0" w:color="auto"/>
              <w:right w:val="single" w:sz="4" w:space="0" w:color="auto"/>
            </w:tcBorders>
            <w:shd w:val="clear" w:color="000000" w:fill="A8DAB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3,2 %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sz w:val="18"/>
                <w:szCs w:val="18"/>
              </w:rPr>
            </w:pPr>
            <w:r w:rsidRPr="00E07890">
              <w:rPr>
                <w:rFonts w:cs="Segoe UI"/>
                <w:sz w:val="18"/>
                <w:szCs w:val="18"/>
              </w:rPr>
              <w:t>Zábřeh</w:t>
            </w:r>
          </w:p>
        </w:tc>
        <w:tc>
          <w:tcPr>
            <w:tcW w:w="0" w:type="auto"/>
            <w:tcBorders>
              <w:top w:val="single" w:sz="4" w:space="0" w:color="auto"/>
              <w:left w:val="single" w:sz="4" w:space="0" w:color="auto"/>
              <w:bottom w:val="single" w:sz="4" w:space="0" w:color="auto"/>
              <w:right w:val="single" w:sz="4" w:space="0" w:color="auto"/>
            </w:tcBorders>
            <w:shd w:val="clear" w:color="000000" w:fill="F6F7F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5 363</w:t>
            </w:r>
          </w:p>
        </w:tc>
        <w:tc>
          <w:tcPr>
            <w:tcW w:w="0" w:type="auto"/>
            <w:tcBorders>
              <w:top w:val="single" w:sz="4" w:space="0" w:color="auto"/>
              <w:left w:val="single" w:sz="4" w:space="0" w:color="auto"/>
              <w:bottom w:val="single" w:sz="4" w:space="0" w:color="auto"/>
              <w:right w:val="single" w:sz="4" w:space="0" w:color="auto"/>
            </w:tcBorders>
            <w:shd w:val="clear" w:color="000000" w:fill="FCF5F8"/>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7 113</w:t>
            </w:r>
          </w:p>
        </w:tc>
        <w:tc>
          <w:tcPr>
            <w:tcW w:w="0" w:type="auto"/>
            <w:tcBorders>
              <w:top w:val="single" w:sz="4" w:space="0" w:color="auto"/>
              <w:left w:val="single" w:sz="4" w:space="0" w:color="auto"/>
              <w:bottom w:val="single" w:sz="4" w:space="0" w:color="auto"/>
              <w:right w:val="single" w:sz="4" w:space="0" w:color="auto"/>
            </w:tcBorders>
            <w:shd w:val="clear" w:color="000000" w:fill="FCF1F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7 943</w:t>
            </w:r>
          </w:p>
        </w:tc>
        <w:tc>
          <w:tcPr>
            <w:tcW w:w="0" w:type="auto"/>
            <w:tcBorders>
              <w:top w:val="single" w:sz="4" w:space="0" w:color="auto"/>
              <w:left w:val="single" w:sz="4" w:space="0" w:color="auto"/>
              <w:bottom w:val="single" w:sz="4" w:space="0" w:color="auto"/>
              <w:right w:val="single" w:sz="4" w:space="0" w:color="auto"/>
            </w:tcBorders>
            <w:shd w:val="clear" w:color="000000" w:fill="DCEFE3"/>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1 750</w:t>
            </w:r>
          </w:p>
        </w:tc>
        <w:tc>
          <w:tcPr>
            <w:tcW w:w="0" w:type="auto"/>
            <w:tcBorders>
              <w:top w:val="single" w:sz="4" w:space="0" w:color="auto"/>
              <w:left w:val="single" w:sz="4" w:space="0" w:color="auto"/>
              <w:bottom w:val="single" w:sz="4" w:space="0" w:color="auto"/>
              <w:right w:val="single" w:sz="4" w:space="0" w:color="auto"/>
            </w:tcBorders>
            <w:shd w:val="clear" w:color="000000" w:fill="EFF7F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830</w:t>
            </w:r>
          </w:p>
        </w:tc>
        <w:tc>
          <w:tcPr>
            <w:tcW w:w="0" w:type="auto"/>
            <w:tcBorders>
              <w:top w:val="single" w:sz="4" w:space="0" w:color="auto"/>
              <w:left w:val="single" w:sz="4" w:space="0" w:color="auto"/>
              <w:bottom w:val="single" w:sz="4" w:space="0" w:color="auto"/>
              <w:right w:val="single" w:sz="4" w:space="0" w:color="auto"/>
            </w:tcBorders>
            <w:shd w:val="clear" w:color="000000" w:fill="6C96CC"/>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15,9 %</w:t>
            </w:r>
          </w:p>
        </w:tc>
        <w:tc>
          <w:tcPr>
            <w:tcW w:w="0" w:type="auto"/>
            <w:tcBorders>
              <w:top w:val="single" w:sz="4" w:space="0" w:color="auto"/>
              <w:left w:val="single" w:sz="4" w:space="0" w:color="auto"/>
              <w:bottom w:val="single" w:sz="4" w:space="0" w:color="auto"/>
              <w:right w:val="single" w:sz="4" w:space="0" w:color="auto"/>
            </w:tcBorders>
            <w:shd w:val="clear" w:color="000000" w:fill="FCEDF0"/>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21,7 %</w:t>
            </w:r>
          </w:p>
        </w:tc>
        <w:tc>
          <w:tcPr>
            <w:tcW w:w="0" w:type="auto"/>
            <w:tcBorders>
              <w:top w:val="single" w:sz="4" w:space="0" w:color="auto"/>
              <w:left w:val="single" w:sz="4" w:space="0" w:color="auto"/>
              <w:bottom w:val="single" w:sz="4" w:space="0" w:color="auto"/>
              <w:right w:val="single" w:sz="4" w:space="0" w:color="auto"/>
            </w:tcBorders>
            <w:shd w:val="clear" w:color="000000" w:fill="FA9FA1"/>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24,8 %</w:t>
            </w:r>
          </w:p>
        </w:tc>
        <w:tc>
          <w:tcPr>
            <w:tcW w:w="0" w:type="auto"/>
            <w:tcBorders>
              <w:top w:val="single" w:sz="4" w:space="0" w:color="auto"/>
              <w:left w:val="single" w:sz="4" w:space="0" w:color="auto"/>
              <w:bottom w:val="single" w:sz="4" w:space="0" w:color="auto"/>
              <w:right w:val="single" w:sz="4" w:space="0" w:color="auto"/>
            </w:tcBorders>
            <w:shd w:val="clear" w:color="000000" w:fill="BBE2C7"/>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5,8 %</w:t>
            </w:r>
          </w:p>
        </w:tc>
        <w:tc>
          <w:tcPr>
            <w:tcW w:w="0" w:type="auto"/>
            <w:tcBorders>
              <w:top w:val="single" w:sz="4" w:space="0" w:color="auto"/>
              <w:left w:val="single" w:sz="4" w:space="0" w:color="auto"/>
              <w:bottom w:val="single" w:sz="4" w:space="0" w:color="auto"/>
              <w:right w:val="single" w:sz="4" w:space="0" w:color="auto"/>
            </w:tcBorders>
            <w:shd w:val="clear" w:color="000000" w:fill="B8E1C4"/>
            <w:noWrap/>
            <w:vAlign w:val="bottom"/>
            <w:hideMark/>
          </w:tcPr>
          <w:p w:rsidR="00E07890" w:rsidRPr="00E07890" w:rsidRDefault="00E07890" w:rsidP="00E07890">
            <w:pPr>
              <w:spacing w:before="0"/>
              <w:jc w:val="right"/>
              <w:rPr>
                <w:rFonts w:cs="Segoe UI"/>
                <w:sz w:val="18"/>
                <w:szCs w:val="18"/>
              </w:rPr>
            </w:pPr>
            <w:r w:rsidRPr="00E07890">
              <w:rPr>
                <w:rFonts w:cs="Segoe UI"/>
                <w:sz w:val="18"/>
                <w:szCs w:val="18"/>
              </w:rPr>
              <w:t>3,1 %</w:t>
            </w:r>
          </w:p>
        </w:tc>
      </w:tr>
      <w:tr w:rsidR="00E07890" w:rsidRPr="00E07890" w:rsidTr="002E6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7890" w:rsidRPr="00E07890" w:rsidRDefault="00E07890" w:rsidP="00E07890">
            <w:pPr>
              <w:spacing w:before="0"/>
              <w:rPr>
                <w:rFonts w:cs="Segoe UI"/>
                <w:b/>
                <w:bCs/>
                <w:sz w:val="18"/>
                <w:szCs w:val="18"/>
              </w:rPr>
            </w:pPr>
            <w:r w:rsidRPr="00E07890">
              <w:rPr>
                <w:rFonts w:cs="Segoe UI"/>
                <w:b/>
                <w:bCs/>
                <w:sz w:val="18"/>
                <w:szCs w:val="18"/>
              </w:rPr>
              <w:t>Celkem OK</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104 919</w:t>
            </w:r>
          </w:p>
        </w:tc>
        <w:tc>
          <w:tcPr>
            <w:tcW w:w="0" w:type="auto"/>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133 929</w:t>
            </w:r>
          </w:p>
        </w:tc>
        <w:tc>
          <w:tcPr>
            <w:tcW w:w="0" w:type="auto"/>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147 389</w:t>
            </w:r>
          </w:p>
        </w:tc>
        <w:tc>
          <w:tcPr>
            <w:tcW w:w="0" w:type="auto"/>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29 010</w:t>
            </w:r>
          </w:p>
        </w:tc>
        <w:tc>
          <w:tcPr>
            <w:tcW w:w="0" w:type="auto"/>
            <w:tcBorders>
              <w:top w:val="nil"/>
              <w:left w:val="nil"/>
              <w:bottom w:val="single" w:sz="4" w:space="0" w:color="auto"/>
              <w:right w:val="single" w:sz="4" w:space="0" w:color="auto"/>
            </w:tcBorders>
            <w:shd w:val="clear" w:color="auto" w:fill="auto"/>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13 460</w:t>
            </w:r>
          </w:p>
        </w:tc>
        <w:tc>
          <w:tcPr>
            <w:tcW w:w="0" w:type="auto"/>
            <w:tcBorders>
              <w:top w:val="single" w:sz="4" w:space="0" w:color="auto"/>
              <w:left w:val="single" w:sz="4" w:space="0" w:color="auto"/>
              <w:bottom w:val="single" w:sz="4" w:space="0" w:color="auto"/>
              <w:right w:val="single" w:sz="4" w:space="0" w:color="auto"/>
            </w:tcBorders>
            <w:shd w:val="clear" w:color="000000" w:fill="7AA1D1"/>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16,4 %</w:t>
            </w:r>
          </w:p>
        </w:tc>
        <w:tc>
          <w:tcPr>
            <w:tcW w:w="0" w:type="auto"/>
            <w:tcBorders>
              <w:top w:val="single" w:sz="4" w:space="0" w:color="auto"/>
              <w:left w:val="single" w:sz="4" w:space="0" w:color="auto"/>
              <w:bottom w:val="single" w:sz="4" w:space="0" w:color="auto"/>
              <w:right w:val="single" w:sz="4" w:space="0" w:color="auto"/>
            </w:tcBorders>
            <w:shd w:val="clear" w:color="000000" w:fill="FCF3F6"/>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21,5 %</w:t>
            </w:r>
          </w:p>
        </w:tc>
        <w:tc>
          <w:tcPr>
            <w:tcW w:w="0" w:type="auto"/>
            <w:tcBorders>
              <w:top w:val="single" w:sz="4" w:space="0" w:color="auto"/>
              <w:left w:val="single" w:sz="4" w:space="0" w:color="auto"/>
              <w:bottom w:val="single" w:sz="4" w:space="0" w:color="auto"/>
              <w:right w:val="single" w:sz="4" w:space="0" w:color="auto"/>
            </w:tcBorders>
            <w:shd w:val="clear" w:color="000000" w:fill="FAADB0"/>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24,2 %</w:t>
            </w:r>
          </w:p>
        </w:tc>
        <w:tc>
          <w:tcPr>
            <w:tcW w:w="0" w:type="auto"/>
            <w:tcBorders>
              <w:top w:val="single" w:sz="4" w:space="0" w:color="auto"/>
              <w:left w:val="single" w:sz="4" w:space="0" w:color="auto"/>
              <w:bottom w:val="single" w:sz="4" w:space="0" w:color="auto"/>
              <w:right w:val="single" w:sz="4" w:space="0" w:color="auto"/>
            </w:tcBorders>
            <w:shd w:val="clear" w:color="000000" w:fill="D7EDDF"/>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5,1 %</w:t>
            </w:r>
          </w:p>
        </w:tc>
        <w:tc>
          <w:tcPr>
            <w:tcW w:w="0" w:type="auto"/>
            <w:tcBorders>
              <w:top w:val="single" w:sz="4" w:space="0" w:color="auto"/>
              <w:left w:val="single" w:sz="4" w:space="0" w:color="auto"/>
              <w:bottom w:val="single" w:sz="4" w:space="0" w:color="auto"/>
              <w:right w:val="single" w:sz="4" w:space="0" w:color="auto"/>
            </w:tcBorders>
            <w:shd w:val="clear" w:color="000000" w:fill="DAEEE1"/>
            <w:noWrap/>
            <w:vAlign w:val="bottom"/>
            <w:hideMark/>
          </w:tcPr>
          <w:p w:rsidR="00E07890" w:rsidRPr="00E07890" w:rsidRDefault="00E07890" w:rsidP="00E07890">
            <w:pPr>
              <w:spacing w:before="0"/>
              <w:jc w:val="right"/>
              <w:rPr>
                <w:rFonts w:cs="Segoe UI"/>
                <w:b/>
                <w:bCs/>
                <w:sz w:val="18"/>
                <w:szCs w:val="18"/>
              </w:rPr>
            </w:pPr>
            <w:r w:rsidRPr="00E07890">
              <w:rPr>
                <w:rFonts w:cs="Segoe UI"/>
                <w:b/>
                <w:bCs/>
                <w:sz w:val="18"/>
                <w:szCs w:val="18"/>
              </w:rPr>
              <w:t>2,7 %</w:t>
            </w:r>
          </w:p>
        </w:tc>
      </w:tr>
    </w:tbl>
    <w:p w:rsidR="00AF4350" w:rsidRPr="0039748C" w:rsidRDefault="00AF4350" w:rsidP="00E07890">
      <w:pPr>
        <w:pStyle w:val="Zdrojobjektu"/>
      </w:pPr>
      <w:r w:rsidRPr="0039748C">
        <w:t xml:space="preserve">Zdroj: ČSÚ, vlastní prognózy obyvatel pro jednotlivá SO ORP, data k 1. 1. daného roku </w:t>
      </w:r>
    </w:p>
    <w:p w:rsidR="00AF4350" w:rsidRPr="0039748C" w:rsidRDefault="00AF4350" w:rsidP="00A34764">
      <w:r w:rsidRPr="0039748C">
        <w:lastRenderedPageBreak/>
        <w:t>Vybrané pobytové sociální slu</w:t>
      </w:r>
      <w:r w:rsidR="00A456E8">
        <w:t>žby určené primárně pro seniory</w:t>
      </w:r>
      <w:r w:rsidRPr="0039748C">
        <w:t xml:space="preserve"> využívalo v OK v roce 2021 celkem 6 350 osob. Při rozdělení uživatelů dle stupňů závislosti je 24,3 % osob ve 4. stupni závislosti (</w:t>
      </w:r>
      <w:r>
        <w:t>úplná závislost</w:t>
      </w:r>
      <w:r w:rsidRPr="0039748C">
        <w:t>), celkem 1 545 osob, 3. stupeň závislosti (těžká závislost) má 21,4 % uživatelů, 11,5 % uživatelů má 2. stupeň a 6,8 % 1. stupeň. Celkem 4,1 % uživatelů je bez příspěvku na péči. Výrazný nárůst počtu uživatelů (+790) nastal v roce 2021, zejména pak u uživatelů se dvěma nejvyššími stupni závislosti, celkem jich meziročně přibylo 636.</w:t>
      </w:r>
    </w:p>
    <w:p w:rsidR="00AF4350" w:rsidRPr="0039748C" w:rsidRDefault="00AF4350" w:rsidP="002E64D7">
      <w:pPr>
        <w:pStyle w:val="popistabulkySPRSS2024"/>
      </w:pPr>
      <w:bookmarkStart w:id="94" w:name="_Toc117607040"/>
      <w:r w:rsidRPr="0039748C">
        <w:t xml:space="preserve">Graf </w:t>
      </w:r>
      <w:r w:rsidR="00412C70">
        <w:fldChar w:fldCharType="begin"/>
      </w:r>
      <w:r w:rsidR="00412C70">
        <w:instrText xml:space="preserve"> SEQ Graf \* ARABIC </w:instrText>
      </w:r>
      <w:r w:rsidR="00412C70">
        <w:fldChar w:fldCharType="separate"/>
      </w:r>
      <w:r w:rsidR="003A12AF">
        <w:rPr>
          <w:noProof/>
        </w:rPr>
        <w:t>14</w:t>
      </w:r>
      <w:r w:rsidR="00412C70">
        <w:rPr>
          <w:noProof/>
        </w:rPr>
        <w:fldChar w:fldCharType="end"/>
      </w:r>
      <w:r w:rsidRPr="0085022A">
        <w:t>: Počet</w:t>
      </w:r>
      <w:r w:rsidRPr="0039748C">
        <w:t xml:space="preserve"> uživatelů sociálních služeb pro seniory*</w:t>
      </w:r>
      <w:bookmarkEnd w:id="94"/>
    </w:p>
    <w:p w:rsidR="00AF4350" w:rsidRPr="0039748C" w:rsidRDefault="00AF4350" w:rsidP="002E64D7">
      <w:pPr>
        <w:spacing w:before="0"/>
      </w:pPr>
      <w:r w:rsidRPr="0039748C">
        <w:rPr>
          <w:noProof/>
          <w:lang w:eastAsia="cs-CZ"/>
        </w:rPr>
        <w:drawing>
          <wp:inline distT="0" distB="0" distL="0" distR="0" wp14:anchorId="05067F86" wp14:editId="6556EB3A">
            <wp:extent cx="5773420" cy="226822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3420" cy="2268220"/>
                    </a:xfrm>
                    <a:prstGeom prst="rect">
                      <a:avLst/>
                    </a:prstGeom>
                    <a:noFill/>
                  </pic:spPr>
                </pic:pic>
              </a:graphicData>
            </a:graphic>
          </wp:inline>
        </w:drawing>
      </w:r>
    </w:p>
    <w:p w:rsidR="00AF4350" w:rsidRPr="0039748C" w:rsidRDefault="00AF4350" w:rsidP="002E64D7">
      <w:pPr>
        <w:pStyle w:val="Zdrojobjektu"/>
      </w:pPr>
      <w:r w:rsidRPr="0039748C">
        <w:t xml:space="preserve">Zdroj: </w:t>
      </w:r>
      <w:proofErr w:type="spellStart"/>
      <w:r w:rsidRPr="0039748C">
        <w:t>KISSoS</w:t>
      </w:r>
      <w:proofErr w:type="spellEnd"/>
      <w:r w:rsidRPr="0039748C">
        <w:t>, 2022* data ze sociálních služeb: domovy pro seniory (§ 49), domovy se zvláštním režimem (§ 50), sociální služby poskytované ve zdravotnických zařízeních lůžkové péče (§ 52)</w:t>
      </w:r>
    </w:p>
    <w:p w:rsidR="00AF4350" w:rsidRPr="0039748C" w:rsidRDefault="00AF4350" w:rsidP="002E64D7">
      <w:pPr>
        <w:pStyle w:val="Tun"/>
      </w:pPr>
      <w:r w:rsidRPr="0039748C">
        <w:t xml:space="preserve">Kapacita zařízení pro seniory </w:t>
      </w:r>
    </w:p>
    <w:p w:rsidR="00AF4350" w:rsidRPr="0039748C" w:rsidRDefault="00AF4350" w:rsidP="00A34764">
      <w:r w:rsidRPr="0039748C">
        <w:t>Největší relativní kapacitu pobytových zařízení pro seniory</w:t>
      </w:r>
      <w:r w:rsidR="004F2015">
        <w:t xml:space="preserve"> (</w:t>
      </w:r>
      <w:r w:rsidR="004F2015" w:rsidRPr="00795D41">
        <w:t>domovy pro seniory a kapacity v domovech se zvláštním režimem vyhrazené pro senior</w:t>
      </w:r>
      <w:r w:rsidR="004F2015">
        <w:t>y)</w:t>
      </w:r>
      <w:r w:rsidRPr="0039748C">
        <w:t>, vzhledem k počtu seniorů na území správního obvodu, ve sledovaném ob</w:t>
      </w:r>
      <w:r>
        <w:t>dobí, má SO ORP Konice, kde na jedno</w:t>
      </w:r>
      <w:r w:rsidRPr="0039748C">
        <w:t xml:space="preserve"> místo v domově pro seniory či domově se zvláštním režimem připadalo 15 seniorů, následoval SO ORP Litovel s 24 seniory na jedno místo a SO ORP Jeseník s 26 seniory na jedno místo. Nejmenší relativní kapacitu, kde na jedno místo připadalo více než 100 seniorů, pak měl SO ORP Mohelnice (170 seniorů/místo), SO ORP Uničov (72 seniorů/místo) a SO ORP Olomouc (51 seniorů/místo). Žádné z uvedených pobytových zařízení sociálních služeb se ve sledovaném období nenacházelo ve SO ORP Lipník nad Bečvou.</w:t>
      </w:r>
    </w:p>
    <w:p w:rsidR="00AF4350" w:rsidRPr="0039748C" w:rsidRDefault="00AF4350" w:rsidP="002E64D7">
      <w:pPr>
        <w:pStyle w:val="popistabulkySPRSS2024"/>
      </w:pPr>
      <w:bookmarkStart w:id="95" w:name="_Toc117607080"/>
      <w:r w:rsidRPr="0085022A">
        <w:t xml:space="preserve">Tabulka </w:t>
      </w:r>
      <w:r w:rsidR="00412C70">
        <w:fldChar w:fldCharType="begin"/>
      </w:r>
      <w:r w:rsidR="00412C70">
        <w:instrText xml:space="preserve"> SEQ Tabulka \* ARABIC </w:instrText>
      </w:r>
      <w:r w:rsidR="00412C70">
        <w:fldChar w:fldCharType="separate"/>
      </w:r>
      <w:r w:rsidR="003A12AF">
        <w:rPr>
          <w:noProof/>
        </w:rPr>
        <w:t>20</w:t>
      </w:r>
      <w:r w:rsidR="00412C70">
        <w:rPr>
          <w:noProof/>
        </w:rPr>
        <w:fldChar w:fldCharType="end"/>
      </w:r>
      <w:r w:rsidRPr="0085022A">
        <w:t>: Kapacita</w:t>
      </w:r>
      <w:r w:rsidRPr="0039748C">
        <w:t xml:space="preserve"> pobytových služeb pro seniory v roce 2022 vzhledem k počtu seniorů v SO ORP OK</w:t>
      </w:r>
      <w:bookmarkEnd w:id="95"/>
    </w:p>
    <w:tbl>
      <w:tblPr>
        <w:tblW w:w="0" w:type="auto"/>
        <w:tblInd w:w="-5" w:type="dxa"/>
        <w:tblLayout w:type="fixed"/>
        <w:tblCellMar>
          <w:left w:w="70" w:type="dxa"/>
          <w:right w:w="70" w:type="dxa"/>
        </w:tblCellMar>
        <w:tblLook w:val="04A0" w:firstRow="1" w:lastRow="0" w:firstColumn="1" w:lastColumn="0" w:noHBand="0" w:noVBand="1"/>
      </w:tblPr>
      <w:tblGrid>
        <w:gridCol w:w="1134"/>
        <w:gridCol w:w="1134"/>
        <w:gridCol w:w="1812"/>
        <w:gridCol w:w="2206"/>
        <w:gridCol w:w="764"/>
        <w:gridCol w:w="989"/>
        <w:gridCol w:w="1028"/>
      </w:tblGrid>
      <w:tr w:rsidR="002E64D7" w:rsidRPr="0039748C" w:rsidTr="004F2015">
        <w:trPr>
          <w:trHeight w:val="20"/>
        </w:trPr>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E64D7" w:rsidRPr="0039748C" w:rsidRDefault="002E64D7" w:rsidP="002E64D7">
            <w:pPr>
              <w:spacing w:before="0"/>
              <w:jc w:val="center"/>
              <w:rPr>
                <w:b/>
                <w:bCs/>
                <w:sz w:val="18"/>
                <w:szCs w:val="18"/>
              </w:rPr>
            </w:pPr>
            <w:r w:rsidRPr="0039748C">
              <w:rPr>
                <w:b/>
                <w:bCs/>
                <w:sz w:val="18"/>
                <w:szCs w:val="18"/>
              </w:rPr>
              <w:t>SO ORP</w:t>
            </w:r>
          </w:p>
        </w:tc>
        <w:tc>
          <w:tcPr>
            <w:tcW w:w="5916" w:type="dxa"/>
            <w:gridSpan w:val="4"/>
            <w:tcBorders>
              <w:top w:val="single" w:sz="4" w:space="0" w:color="auto"/>
              <w:left w:val="nil"/>
              <w:bottom w:val="single" w:sz="4" w:space="0" w:color="auto"/>
              <w:right w:val="single" w:sz="4" w:space="0" w:color="auto"/>
            </w:tcBorders>
            <w:shd w:val="clear" w:color="000000" w:fill="F2F2F2"/>
            <w:noWrap/>
            <w:vAlign w:val="center"/>
            <w:hideMark/>
          </w:tcPr>
          <w:p w:rsidR="002E64D7" w:rsidRPr="0039748C" w:rsidRDefault="002E64D7" w:rsidP="002E64D7">
            <w:pPr>
              <w:spacing w:before="0"/>
              <w:jc w:val="center"/>
              <w:rPr>
                <w:b/>
                <w:bCs/>
                <w:sz w:val="18"/>
                <w:szCs w:val="18"/>
              </w:rPr>
            </w:pPr>
            <w:r w:rsidRPr="0039748C">
              <w:rPr>
                <w:b/>
                <w:bCs/>
                <w:sz w:val="18"/>
                <w:szCs w:val="18"/>
              </w:rPr>
              <w:t>Kapacita pobytových služeb pro seniory</w:t>
            </w:r>
          </w:p>
        </w:tc>
        <w:tc>
          <w:tcPr>
            <w:tcW w:w="98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E64D7" w:rsidRPr="0039748C" w:rsidRDefault="002E64D7" w:rsidP="002E64D7">
            <w:pPr>
              <w:spacing w:before="0"/>
              <w:jc w:val="center"/>
              <w:rPr>
                <w:b/>
                <w:bCs/>
                <w:sz w:val="18"/>
                <w:szCs w:val="18"/>
              </w:rPr>
            </w:pPr>
            <w:r w:rsidRPr="0039748C">
              <w:rPr>
                <w:b/>
                <w:bCs/>
                <w:sz w:val="18"/>
                <w:szCs w:val="18"/>
              </w:rPr>
              <w:t>Počet seniorů (65</w:t>
            </w:r>
            <w:r>
              <w:rPr>
                <w:b/>
                <w:bCs/>
                <w:sz w:val="18"/>
                <w:szCs w:val="18"/>
              </w:rPr>
              <w:t>+)</w:t>
            </w:r>
          </w:p>
        </w:tc>
        <w:tc>
          <w:tcPr>
            <w:tcW w:w="102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E64D7" w:rsidRPr="0039748C" w:rsidRDefault="002E64D7" w:rsidP="002E64D7">
            <w:pPr>
              <w:spacing w:before="0"/>
              <w:jc w:val="center"/>
              <w:rPr>
                <w:b/>
                <w:bCs/>
                <w:sz w:val="18"/>
                <w:szCs w:val="18"/>
              </w:rPr>
            </w:pPr>
            <w:r w:rsidRPr="0039748C">
              <w:rPr>
                <w:b/>
                <w:bCs/>
                <w:sz w:val="18"/>
                <w:szCs w:val="18"/>
              </w:rPr>
              <w:t>Počet seniorů na 1 místo</w:t>
            </w:r>
          </w:p>
        </w:tc>
      </w:tr>
      <w:tr w:rsidR="002E64D7" w:rsidRPr="0039748C" w:rsidTr="004F2015">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2E64D7" w:rsidRPr="0039748C" w:rsidRDefault="002E64D7" w:rsidP="002E64D7">
            <w:pPr>
              <w:spacing w:before="0"/>
              <w:rPr>
                <w:b/>
                <w:bCs/>
                <w:sz w:val="18"/>
                <w:szCs w:val="18"/>
              </w:rPr>
            </w:pPr>
          </w:p>
        </w:tc>
        <w:tc>
          <w:tcPr>
            <w:tcW w:w="1134" w:type="dxa"/>
            <w:tcBorders>
              <w:top w:val="nil"/>
              <w:left w:val="nil"/>
              <w:bottom w:val="single" w:sz="4" w:space="0" w:color="auto"/>
              <w:right w:val="single" w:sz="4" w:space="0" w:color="auto"/>
            </w:tcBorders>
            <w:shd w:val="clear" w:color="000000" w:fill="F2F2F2"/>
            <w:vAlign w:val="center"/>
            <w:hideMark/>
          </w:tcPr>
          <w:p w:rsidR="002E64D7" w:rsidRPr="0039748C" w:rsidRDefault="002E64D7" w:rsidP="002E64D7">
            <w:pPr>
              <w:spacing w:before="0"/>
              <w:jc w:val="center"/>
              <w:rPr>
                <w:b/>
                <w:bCs/>
                <w:sz w:val="18"/>
                <w:szCs w:val="18"/>
              </w:rPr>
            </w:pPr>
            <w:r w:rsidRPr="0039748C">
              <w:rPr>
                <w:b/>
                <w:bCs/>
                <w:sz w:val="18"/>
                <w:szCs w:val="18"/>
              </w:rPr>
              <w:t>Domovy pro seniory</w:t>
            </w:r>
          </w:p>
        </w:tc>
        <w:tc>
          <w:tcPr>
            <w:tcW w:w="1812" w:type="dxa"/>
            <w:tcBorders>
              <w:top w:val="nil"/>
              <w:left w:val="nil"/>
              <w:bottom w:val="single" w:sz="4" w:space="0" w:color="auto"/>
              <w:right w:val="single" w:sz="4" w:space="0" w:color="auto"/>
            </w:tcBorders>
            <w:shd w:val="clear" w:color="000000" w:fill="F2F2F2"/>
            <w:vAlign w:val="center"/>
            <w:hideMark/>
          </w:tcPr>
          <w:p w:rsidR="002E64D7" w:rsidRPr="0039748C" w:rsidRDefault="002E64D7" w:rsidP="002E64D7">
            <w:pPr>
              <w:spacing w:before="0"/>
              <w:jc w:val="center"/>
              <w:rPr>
                <w:b/>
                <w:bCs/>
                <w:sz w:val="18"/>
                <w:szCs w:val="18"/>
              </w:rPr>
            </w:pPr>
            <w:r w:rsidRPr="0039748C">
              <w:rPr>
                <w:b/>
                <w:bCs/>
                <w:sz w:val="18"/>
                <w:szCs w:val="18"/>
              </w:rPr>
              <w:t>Domovy se</w:t>
            </w:r>
            <w:r w:rsidR="004F2015">
              <w:rPr>
                <w:b/>
                <w:bCs/>
                <w:sz w:val="18"/>
                <w:szCs w:val="18"/>
              </w:rPr>
              <w:t xml:space="preserve"> zvláštním režimem pro seniory</w:t>
            </w:r>
          </w:p>
        </w:tc>
        <w:tc>
          <w:tcPr>
            <w:tcW w:w="2206" w:type="dxa"/>
            <w:tcBorders>
              <w:top w:val="nil"/>
              <w:left w:val="nil"/>
              <w:bottom w:val="single" w:sz="4" w:space="0" w:color="auto"/>
              <w:right w:val="single" w:sz="4" w:space="0" w:color="auto"/>
            </w:tcBorders>
            <w:shd w:val="clear" w:color="000000" w:fill="F2F2F2"/>
            <w:vAlign w:val="center"/>
            <w:hideMark/>
          </w:tcPr>
          <w:p w:rsidR="002E64D7" w:rsidRPr="0039748C" w:rsidRDefault="002E64D7" w:rsidP="002E64D7">
            <w:pPr>
              <w:spacing w:before="0"/>
              <w:jc w:val="center"/>
              <w:rPr>
                <w:b/>
                <w:bCs/>
                <w:sz w:val="18"/>
                <w:szCs w:val="18"/>
              </w:rPr>
            </w:pPr>
            <w:r w:rsidRPr="0039748C">
              <w:rPr>
                <w:b/>
                <w:bCs/>
                <w:sz w:val="18"/>
                <w:szCs w:val="18"/>
              </w:rPr>
              <w:t>Soc</w:t>
            </w:r>
            <w:r>
              <w:rPr>
                <w:b/>
                <w:bCs/>
                <w:sz w:val="18"/>
                <w:szCs w:val="18"/>
              </w:rPr>
              <w:t>.</w:t>
            </w:r>
            <w:r w:rsidRPr="0039748C">
              <w:rPr>
                <w:b/>
                <w:bCs/>
                <w:sz w:val="18"/>
                <w:szCs w:val="18"/>
              </w:rPr>
              <w:t xml:space="preserve"> služby poskytované ve zdravotnických zařízeních lůžkové péče</w:t>
            </w:r>
          </w:p>
        </w:tc>
        <w:tc>
          <w:tcPr>
            <w:tcW w:w="764" w:type="dxa"/>
            <w:tcBorders>
              <w:top w:val="nil"/>
              <w:left w:val="nil"/>
              <w:bottom w:val="single" w:sz="4" w:space="0" w:color="auto"/>
              <w:right w:val="single" w:sz="4" w:space="0" w:color="auto"/>
            </w:tcBorders>
            <w:shd w:val="clear" w:color="000000" w:fill="F2F2F2"/>
            <w:vAlign w:val="center"/>
            <w:hideMark/>
          </w:tcPr>
          <w:p w:rsidR="002E64D7" w:rsidRPr="0039748C" w:rsidRDefault="002E64D7" w:rsidP="002E64D7">
            <w:pPr>
              <w:spacing w:before="0"/>
              <w:jc w:val="center"/>
              <w:rPr>
                <w:b/>
                <w:bCs/>
                <w:sz w:val="18"/>
                <w:szCs w:val="18"/>
              </w:rPr>
            </w:pPr>
            <w:r w:rsidRPr="0039748C">
              <w:rPr>
                <w:b/>
                <w:bCs/>
                <w:sz w:val="18"/>
                <w:szCs w:val="18"/>
              </w:rPr>
              <w:t>Celkem</w:t>
            </w: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2E64D7" w:rsidRPr="0039748C" w:rsidRDefault="002E64D7" w:rsidP="002E64D7">
            <w:pPr>
              <w:spacing w:before="0"/>
              <w:jc w:val="center"/>
              <w:rPr>
                <w:b/>
                <w:bCs/>
                <w:sz w:val="18"/>
                <w:szCs w:val="18"/>
              </w:rPr>
            </w:pPr>
          </w:p>
        </w:tc>
        <w:tc>
          <w:tcPr>
            <w:tcW w:w="1028" w:type="dxa"/>
            <w:vMerge/>
            <w:tcBorders>
              <w:top w:val="single" w:sz="4" w:space="0" w:color="auto"/>
              <w:left w:val="single" w:sz="4" w:space="0" w:color="auto"/>
              <w:bottom w:val="single" w:sz="4" w:space="0" w:color="auto"/>
              <w:right w:val="single" w:sz="4" w:space="0" w:color="auto"/>
            </w:tcBorders>
            <w:vAlign w:val="center"/>
            <w:hideMark/>
          </w:tcPr>
          <w:p w:rsidR="002E64D7" w:rsidRPr="0039748C" w:rsidRDefault="002E64D7" w:rsidP="002E64D7">
            <w:pPr>
              <w:spacing w:before="0"/>
              <w:jc w:val="center"/>
              <w:rPr>
                <w:b/>
                <w:bCs/>
                <w:sz w:val="18"/>
                <w:szCs w:val="18"/>
              </w:rPr>
            </w:pP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sz w:val="18"/>
                <w:szCs w:val="18"/>
              </w:rPr>
            </w:pPr>
            <w:r w:rsidRPr="0039748C">
              <w:rPr>
                <w:sz w:val="18"/>
                <w:szCs w:val="18"/>
              </w:rPr>
              <w:t>Konice</w:t>
            </w:r>
          </w:p>
        </w:tc>
        <w:tc>
          <w:tcPr>
            <w:tcW w:w="1134" w:type="dxa"/>
            <w:tcBorders>
              <w:top w:val="single" w:sz="4" w:space="0" w:color="auto"/>
              <w:left w:val="single" w:sz="4" w:space="0" w:color="auto"/>
              <w:bottom w:val="single" w:sz="4" w:space="0" w:color="auto"/>
              <w:right w:val="single" w:sz="4" w:space="0" w:color="auto"/>
            </w:tcBorders>
            <w:shd w:val="clear" w:color="000000" w:fill="FCD9DC"/>
            <w:noWrap/>
            <w:vAlign w:val="bottom"/>
            <w:hideMark/>
          </w:tcPr>
          <w:p w:rsidR="002E64D7" w:rsidRPr="0039748C" w:rsidRDefault="002E64D7" w:rsidP="002E64D7">
            <w:pPr>
              <w:spacing w:before="0"/>
              <w:jc w:val="right"/>
              <w:rPr>
                <w:sz w:val="18"/>
                <w:szCs w:val="18"/>
              </w:rPr>
            </w:pPr>
            <w:r w:rsidRPr="0039748C">
              <w:rPr>
                <w:sz w:val="18"/>
                <w:szCs w:val="18"/>
              </w:rPr>
              <w:t>158</w:t>
            </w:r>
          </w:p>
        </w:tc>
        <w:tc>
          <w:tcPr>
            <w:tcW w:w="1812"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2206"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764" w:type="dxa"/>
            <w:tcBorders>
              <w:top w:val="single" w:sz="4" w:space="0" w:color="auto"/>
              <w:left w:val="single" w:sz="4" w:space="0" w:color="auto"/>
              <w:bottom w:val="single" w:sz="4" w:space="0" w:color="auto"/>
              <w:right w:val="single" w:sz="4" w:space="0" w:color="auto"/>
            </w:tcBorders>
            <w:shd w:val="clear" w:color="000000" w:fill="D7EDE0"/>
            <w:noWrap/>
            <w:vAlign w:val="bottom"/>
            <w:hideMark/>
          </w:tcPr>
          <w:p w:rsidR="002E64D7" w:rsidRPr="0039748C" w:rsidRDefault="002E64D7" w:rsidP="002E64D7">
            <w:pPr>
              <w:spacing w:before="0"/>
              <w:jc w:val="right"/>
              <w:rPr>
                <w:sz w:val="18"/>
                <w:szCs w:val="18"/>
              </w:rPr>
            </w:pPr>
            <w:r w:rsidRPr="0039748C">
              <w:rPr>
                <w:sz w:val="18"/>
                <w:szCs w:val="18"/>
              </w:rPr>
              <w:t>158</w:t>
            </w:r>
          </w:p>
        </w:tc>
        <w:tc>
          <w:tcPr>
            <w:tcW w:w="989"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2E64D7" w:rsidRPr="0039748C" w:rsidRDefault="002E64D7" w:rsidP="002E64D7">
            <w:pPr>
              <w:spacing w:before="0"/>
              <w:jc w:val="right"/>
              <w:rPr>
                <w:sz w:val="18"/>
                <w:szCs w:val="18"/>
              </w:rPr>
            </w:pPr>
            <w:r w:rsidRPr="0039748C">
              <w:rPr>
                <w:sz w:val="18"/>
                <w:szCs w:val="18"/>
              </w:rPr>
              <w:t>2 488</w:t>
            </w:r>
          </w:p>
        </w:tc>
        <w:tc>
          <w:tcPr>
            <w:tcW w:w="1028"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2E64D7" w:rsidRPr="0039748C" w:rsidRDefault="002E64D7" w:rsidP="002E64D7">
            <w:pPr>
              <w:spacing w:before="0"/>
              <w:jc w:val="right"/>
              <w:rPr>
                <w:sz w:val="18"/>
                <w:szCs w:val="18"/>
              </w:rPr>
            </w:pPr>
            <w:r w:rsidRPr="0039748C">
              <w:rPr>
                <w:sz w:val="18"/>
                <w:szCs w:val="18"/>
              </w:rPr>
              <w:t>16</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sz w:val="18"/>
                <w:szCs w:val="18"/>
              </w:rPr>
            </w:pPr>
            <w:r w:rsidRPr="0039748C">
              <w:rPr>
                <w:sz w:val="18"/>
                <w:szCs w:val="18"/>
              </w:rPr>
              <w:t>Zábřeh</w:t>
            </w:r>
          </w:p>
        </w:tc>
        <w:tc>
          <w:tcPr>
            <w:tcW w:w="1134" w:type="dxa"/>
            <w:tcBorders>
              <w:top w:val="single" w:sz="4" w:space="0" w:color="auto"/>
              <w:left w:val="single" w:sz="4" w:space="0" w:color="auto"/>
              <w:bottom w:val="single" w:sz="4" w:space="0" w:color="auto"/>
              <w:right w:val="single" w:sz="4" w:space="0" w:color="auto"/>
            </w:tcBorders>
            <w:shd w:val="clear" w:color="000000" w:fill="FCF7FA"/>
            <w:noWrap/>
            <w:vAlign w:val="bottom"/>
            <w:hideMark/>
          </w:tcPr>
          <w:p w:rsidR="002E64D7" w:rsidRPr="0039748C" w:rsidRDefault="002E64D7" w:rsidP="002E64D7">
            <w:pPr>
              <w:spacing w:before="0"/>
              <w:jc w:val="right"/>
              <w:rPr>
                <w:sz w:val="18"/>
                <w:szCs w:val="18"/>
              </w:rPr>
            </w:pPr>
            <w:r w:rsidRPr="0039748C">
              <w:rPr>
                <w:sz w:val="18"/>
                <w:szCs w:val="18"/>
              </w:rPr>
              <w:t>53</w:t>
            </w:r>
          </w:p>
        </w:tc>
        <w:tc>
          <w:tcPr>
            <w:tcW w:w="1812" w:type="dxa"/>
            <w:tcBorders>
              <w:top w:val="single" w:sz="4" w:space="0" w:color="auto"/>
              <w:left w:val="single" w:sz="4" w:space="0" w:color="auto"/>
              <w:bottom w:val="single" w:sz="4" w:space="0" w:color="auto"/>
              <w:right w:val="single" w:sz="4" w:space="0" w:color="auto"/>
            </w:tcBorders>
            <w:shd w:val="clear" w:color="000000" w:fill="FBCBCD"/>
            <w:noWrap/>
            <w:vAlign w:val="bottom"/>
            <w:hideMark/>
          </w:tcPr>
          <w:p w:rsidR="002E64D7" w:rsidRPr="0039748C" w:rsidRDefault="002E64D7" w:rsidP="002E64D7">
            <w:pPr>
              <w:spacing w:before="0"/>
              <w:jc w:val="right"/>
              <w:rPr>
                <w:sz w:val="18"/>
                <w:szCs w:val="18"/>
              </w:rPr>
            </w:pPr>
            <w:r w:rsidRPr="0039748C">
              <w:rPr>
                <w:sz w:val="18"/>
                <w:szCs w:val="18"/>
              </w:rPr>
              <w:t>207</w:t>
            </w:r>
          </w:p>
        </w:tc>
        <w:tc>
          <w:tcPr>
            <w:tcW w:w="2206" w:type="dxa"/>
            <w:tcBorders>
              <w:top w:val="single" w:sz="4" w:space="0" w:color="auto"/>
              <w:left w:val="single" w:sz="4" w:space="0" w:color="auto"/>
              <w:bottom w:val="single" w:sz="4" w:space="0" w:color="auto"/>
              <w:right w:val="single" w:sz="4" w:space="0" w:color="auto"/>
            </w:tcBorders>
            <w:shd w:val="clear" w:color="000000" w:fill="FCF4F7"/>
            <w:noWrap/>
            <w:vAlign w:val="bottom"/>
            <w:hideMark/>
          </w:tcPr>
          <w:p w:rsidR="002E64D7" w:rsidRPr="0039748C" w:rsidRDefault="002E64D7" w:rsidP="002E64D7">
            <w:pPr>
              <w:spacing w:before="0"/>
              <w:jc w:val="right"/>
              <w:rPr>
                <w:sz w:val="18"/>
                <w:szCs w:val="18"/>
              </w:rPr>
            </w:pPr>
            <w:r w:rsidRPr="0039748C">
              <w:rPr>
                <w:sz w:val="18"/>
                <w:szCs w:val="18"/>
              </w:rPr>
              <w:t>65</w:t>
            </w:r>
          </w:p>
        </w:tc>
        <w:tc>
          <w:tcPr>
            <w:tcW w:w="764" w:type="dxa"/>
            <w:tcBorders>
              <w:top w:val="single" w:sz="4" w:space="0" w:color="auto"/>
              <w:left w:val="single" w:sz="4" w:space="0" w:color="auto"/>
              <w:bottom w:val="single" w:sz="4" w:space="0" w:color="auto"/>
              <w:right w:val="single" w:sz="4" w:space="0" w:color="auto"/>
            </w:tcBorders>
            <w:shd w:val="clear" w:color="000000" w:fill="B0DEBE"/>
            <w:noWrap/>
            <w:vAlign w:val="bottom"/>
            <w:hideMark/>
          </w:tcPr>
          <w:p w:rsidR="002E64D7" w:rsidRPr="0039748C" w:rsidRDefault="002E64D7" w:rsidP="002E64D7">
            <w:pPr>
              <w:spacing w:before="0"/>
              <w:jc w:val="right"/>
              <w:rPr>
                <w:sz w:val="18"/>
                <w:szCs w:val="18"/>
              </w:rPr>
            </w:pPr>
            <w:r w:rsidRPr="0039748C">
              <w:rPr>
                <w:sz w:val="18"/>
                <w:szCs w:val="18"/>
              </w:rPr>
              <w:t>325</w:t>
            </w:r>
          </w:p>
        </w:tc>
        <w:tc>
          <w:tcPr>
            <w:tcW w:w="989" w:type="dxa"/>
            <w:tcBorders>
              <w:top w:val="single" w:sz="4" w:space="0" w:color="auto"/>
              <w:left w:val="single" w:sz="4" w:space="0" w:color="auto"/>
              <w:bottom w:val="single" w:sz="4" w:space="0" w:color="auto"/>
              <w:right w:val="single" w:sz="4" w:space="0" w:color="auto"/>
            </w:tcBorders>
            <w:shd w:val="clear" w:color="000000" w:fill="E6F3EC"/>
            <w:noWrap/>
            <w:vAlign w:val="bottom"/>
            <w:hideMark/>
          </w:tcPr>
          <w:p w:rsidR="002E64D7" w:rsidRPr="0039748C" w:rsidRDefault="002E64D7" w:rsidP="002E64D7">
            <w:pPr>
              <w:spacing w:before="0"/>
              <w:jc w:val="right"/>
              <w:rPr>
                <w:sz w:val="18"/>
                <w:szCs w:val="18"/>
              </w:rPr>
            </w:pPr>
            <w:r w:rsidRPr="0039748C">
              <w:rPr>
                <w:sz w:val="18"/>
                <w:szCs w:val="18"/>
              </w:rPr>
              <w:t>7 113</w:t>
            </w:r>
          </w:p>
        </w:tc>
        <w:tc>
          <w:tcPr>
            <w:tcW w:w="1028" w:type="dxa"/>
            <w:tcBorders>
              <w:top w:val="single" w:sz="4" w:space="0" w:color="auto"/>
              <w:left w:val="single" w:sz="4" w:space="0" w:color="auto"/>
              <w:bottom w:val="single" w:sz="4" w:space="0" w:color="auto"/>
              <w:right w:val="single" w:sz="4" w:space="0" w:color="auto"/>
            </w:tcBorders>
            <w:shd w:val="clear" w:color="000000" w:fill="FCF1F4"/>
            <w:noWrap/>
            <w:vAlign w:val="bottom"/>
            <w:hideMark/>
          </w:tcPr>
          <w:p w:rsidR="002E64D7" w:rsidRPr="0039748C" w:rsidRDefault="002E64D7" w:rsidP="002E64D7">
            <w:pPr>
              <w:spacing w:before="0"/>
              <w:jc w:val="right"/>
              <w:rPr>
                <w:sz w:val="18"/>
                <w:szCs w:val="18"/>
              </w:rPr>
            </w:pPr>
            <w:r w:rsidRPr="0039748C">
              <w:rPr>
                <w:sz w:val="18"/>
                <w:szCs w:val="18"/>
              </w:rPr>
              <w:t>22</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sz w:val="18"/>
                <w:szCs w:val="18"/>
              </w:rPr>
            </w:pPr>
            <w:r w:rsidRPr="0039748C">
              <w:rPr>
                <w:sz w:val="18"/>
                <w:szCs w:val="18"/>
              </w:rPr>
              <w:t>Litovel</w:t>
            </w:r>
          </w:p>
        </w:tc>
        <w:tc>
          <w:tcPr>
            <w:tcW w:w="1134" w:type="dxa"/>
            <w:tcBorders>
              <w:top w:val="single" w:sz="4" w:space="0" w:color="auto"/>
              <w:left w:val="single" w:sz="4" w:space="0" w:color="auto"/>
              <w:bottom w:val="single" w:sz="4" w:space="0" w:color="auto"/>
              <w:right w:val="single" w:sz="4" w:space="0" w:color="auto"/>
            </w:tcBorders>
            <w:shd w:val="clear" w:color="000000" w:fill="FBD7DA"/>
            <w:noWrap/>
            <w:vAlign w:val="bottom"/>
            <w:hideMark/>
          </w:tcPr>
          <w:p w:rsidR="002E64D7" w:rsidRPr="0039748C" w:rsidRDefault="002E64D7" w:rsidP="002E64D7">
            <w:pPr>
              <w:spacing w:before="0"/>
              <w:jc w:val="right"/>
              <w:rPr>
                <w:sz w:val="18"/>
                <w:szCs w:val="18"/>
              </w:rPr>
            </w:pPr>
            <w:r w:rsidRPr="0039748C">
              <w:rPr>
                <w:sz w:val="18"/>
                <w:szCs w:val="18"/>
              </w:rPr>
              <w:t>165</w:t>
            </w:r>
          </w:p>
        </w:tc>
        <w:tc>
          <w:tcPr>
            <w:tcW w:w="181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2E64D7" w:rsidRPr="0039748C" w:rsidRDefault="002E64D7" w:rsidP="002E64D7">
            <w:pPr>
              <w:spacing w:before="0"/>
              <w:jc w:val="right"/>
              <w:rPr>
                <w:sz w:val="18"/>
                <w:szCs w:val="18"/>
              </w:rPr>
            </w:pPr>
            <w:r w:rsidRPr="0039748C">
              <w:rPr>
                <w:sz w:val="18"/>
                <w:szCs w:val="18"/>
              </w:rPr>
              <w:t>34</w:t>
            </w:r>
          </w:p>
        </w:tc>
        <w:tc>
          <w:tcPr>
            <w:tcW w:w="2206"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764" w:type="dxa"/>
            <w:tcBorders>
              <w:top w:val="single" w:sz="4" w:space="0" w:color="auto"/>
              <w:left w:val="single" w:sz="4" w:space="0" w:color="auto"/>
              <w:bottom w:val="single" w:sz="4" w:space="0" w:color="auto"/>
              <w:right w:val="single" w:sz="4" w:space="0" w:color="auto"/>
            </w:tcBorders>
            <w:shd w:val="clear" w:color="000000" w:fill="CEEAD7"/>
            <w:noWrap/>
            <w:vAlign w:val="bottom"/>
            <w:hideMark/>
          </w:tcPr>
          <w:p w:rsidR="002E64D7" w:rsidRPr="0039748C" w:rsidRDefault="002E64D7" w:rsidP="002E64D7">
            <w:pPr>
              <w:spacing w:before="0"/>
              <w:jc w:val="right"/>
              <w:rPr>
                <w:sz w:val="18"/>
                <w:szCs w:val="18"/>
              </w:rPr>
            </w:pPr>
            <w:r w:rsidRPr="0039748C">
              <w:rPr>
                <w:sz w:val="18"/>
                <w:szCs w:val="18"/>
              </w:rPr>
              <w:t>199</w:t>
            </w:r>
          </w:p>
        </w:tc>
        <w:tc>
          <w:tcPr>
            <w:tcW w:w="989" w:type="dxa"/>
            <w:tcBorders>
              <w:top w:val="single" w:sz="4" w:space="0" w:color="auto"/>
              <w:left w:val="single" w:sz="4" w:space="0" w:color="auto"/>
              <w:bottom w:val="single" w:sz="4" w:space="0" w:color="auto"/>
              <w:right w:val="single" w:sz="4" w:space="0" w:color="auto"/>
            </w:tcBorders>
            <w:shd w:val="clear" w:color="000000" w:fill="F0F8F5"/>
            <w:noWrap/>
            <w:vAlign w:val="bottom"/>
            <w:hideMark/>
          </w:tcPr>
          <w:p w:rsidR="002E64D7" w:rsidRPr="0039748C" w:rsidRDefault="002E64D7" w:rsidP="002E64D7">
            <w:pPr>
              <w:spacing w:before="0"/>
              <w:jc w:val="right"/>
              <w:rPr>
                <w:sz w:val="18"/>
                <w:szCs w:val="18"/>
              </w:rPr>
            </w:pPr>
            <w:r w:rsidRPr="0039748C">
              <w:rPr>
                <w:sz w:val="18"/>
                <w:szCs w:val="18"/>
              </w:rPr>
              <w:t>4 969</w:t>
            </w:r>
          </w:p>
        </w:tc>
        <w:tc>
          <w:tcPr>
            <w:tcW w:w="1028" w:type="dxa"/>
            <w:tcBorders>
              <w:top w:val="single" w:sz="4" w:space="0" w:color="auto"/>
              <w:left w:val="single" w:sz="4" w:space="0" w:color="auto"/>
              <w:bottom w:val="single" w:sz="4" w:space="0" w:color="auto"/>
              <w:right w:val="single" w:sz="4" w:space="0" w:color="auto"/>
            </w:tcBorders>
            <w:shd w:val="clear" w:color="000000" w:fill="FCEBEE"/>
            <w:noWrap/>
            <w:vAlign w:val="bottom"/>
            <w:hideMark/>
          </w:tcPr>
          <w:p w:rsidR="002E64D7" w:rsidRPr="0039748C" w:rsidRDefault="002E64D7" w:rsidP="002E64D7">
            <w:pPr>
              <w:spacing w:before="0"/>
              <w:jc w:val="right"/>
              <w:rPr>
                <w:sz w:val="18"/>
                <w:szCs w:val="18"/>
              </w:rPr>
            </w:pPr>
            <w:r w:rsidRPr="0039748C">
              <w:rPr>
                <w:sz w:val="18"/>
                <w:szCs w:val="18"/>
              </w:rPr>
              <w:t>25</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sz w:val="18"/>
                <w:szCs w:val="18"/>
              </w:rPr>
            </w:pPr>
            <w:r w:rsidRPr="0039748C">
              <w:rPr>
                <w:sz w:val="18"/>
                <w:szCs w:val="18"/>
              </w:rPr>
              <w:t>Jeseník</w:t>
            </w:r>
          </w:p>
        </w:tc>
        <w:tc>
          <w:tcPr>
            <w:tcW w:w="1134" w:type="dxa"/>
            <w:tcBorders>
              <w:top w:val="single" w:sz="4" w:space="0" w:color="auto"/>
              <w:left w:val="single" w:sz="4" w:space="0" w:color="auto"/>
              <w:bottom w:val="single" w:sz="4" w:space="0" w:color="auto"/>
              <w:right w:val="single" w:sz="4" w:space="0" w:color="auto"/>
            </w:tcBorders>
            <w:shd w:val="clear" w:color="000000" w:fill="FBB3B6"/>
            <w:noWrap/>
            <w:vAlign w:val="bottom"/>
            <w:hideMark/>
          </w:tcPr>
          <w:p w:rsidR="002E64D7" w:rsidRPr="0039748C" w:rsidRDefault="002E64D7" w:rsidP="002E64D7">
            <w:pPr>
              <w:spacing w:before="0"/>
              <w:jc w:val="right"/>
              <w:rPr>
                <w:sz w:val="18"/>
                <w:szCs w:val="18"/>
              </w:rPr>
            </w:pPr>
            <w:r w:rsidRPr="0039748C">
              <w:rPr>
                <w:sz w:val="18"/>
                <w:szCs w:val="18"/>
              </w:rPr>
              <w:t>289</w:t>
            </w:r>
          </w:p>
        </w:tc>
        <w:tc>
          <w:tcPr>
            <w:tcW w:w="1812"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rsidR="002E64D7" w:rsidRPr="0039748C" w:rsidRDefault="002E64D7" w:rsidP="002E64D7">
            <w:pPr>
              <w:spacing w:before="0"/>
              <w:jc w:val="right"/>
              <w:rPr>
                <w:sz w:val="18"/>
                <w:szCs w:val="18"/>
              </w:rPr>
            </w:pPr>
            <w:r w:rsidRPr="0039748C">
              <w:rPr>
                <w:sz w:val="18"/>
                <w:szCs w:val="18"/>
              </w:rPr>
              <w:t>40</w:t>
            </w:r>
          </w:p>
        </w:tc>
        <w:tc>
          <w:tcPr>
            <w:tcW w:w="2206"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764" w:type="dxa"/>
            <w:tcBorders>
              <w:top w:val="single" w:sz="4" w:space="0" w:color="auto"/>
              <w:left w:val="single" w:sz="4" w:space="0" w:color="auto"/>
              <w:bottom w:val="single" w:sz="4" w:space="0" w:color="auto"/>
              <w:right w:val="single" w:sz="4" w:space="0" w:color="auto"/>
            </w:tcBorders>
            <w:shd w:val="clear" w:color="000000" w:fill="AFDDBD"/>
            <w:noWrap/>
            <w:vAlign w:val="bottom"/>
            <w:hideMark/>
          </w:tcPr>
          <w:p w:rsidR="002E64D7" w:rsidRPr="0039748C" w:rsidRDefault="002E64D7" w:rsidP="002E64D7">
            <w:pPr>
              <w:spacing w:before="0"/>
              <w:jc w:val="right"/>
              <w:rPr>
                <w:sz w:val="18"/>
                <w:szCs w:val="18"/>
              </w:rPr>
            </w:pPr>
            <w:r w:rsidRPr="0039748C">
              <w:rPr>
                <w:sz w:val="18"/>
                <w:szCs w:val="18"/>
              </w:rPr>
              <w:t>329</w:t>
            </w:r>
          </w:p>
        </w:tc>
        <w:tc>
          <w:tcPr>
            <w:tcW w:w="989" w:type="dxa"/>
            <w:tcBorders>
              <w:top w:val="single" w:sz="4" w:space="0" w:color="auto"/>
              <w:left w:val="single" w:sz="4" w:space="0" w:color="auto"/>
              <w:bottom w:val="single" w:sz="4" w:space="0" w:color="auto"/>
              <w:right w:val="single" w:sz="4" w:space="0" w:color="auto"/>
            </w:tcBorders>
            <w:shd w:val="clear" w:color="000000" w:fill="DFF0E6"/>
            <w:noWrap/>
            <w:vAlign w:val="bottom"/>
            <w:hideMark/>
          </w:tcPr>
          <w:p w:rsidR="002E64D7" w:rsidRPr="0039748C" w:rsidRDefault="002E64D7" w:rsidP="002E64D7">
            <w:pPr>
              <w:spacing w:before="0"/>
              <w:jc w:val="right"/>
              <w:rPr>
                <w:sz w:val="18"/>
                <w:szCs w:val="18"/>
              </w:rPr>
            </w:pPr>
            <w:r w:rsidRPr="0039748C">
              <w:rPr>
                <w:sz w:val="18"/>
                <w:szCs w:val="18"/>
              </w:rPr>
              <w:t>8 577</w:t>
            </w:r>
          </w:p>
        </w:tc>
        <w:tc>
          <w:tcPr>
            <w:tcW w:w="1028" w:type="dxa"/>
            <w:tcBorders>
              <w:top w:val="single" w:sz="4" w:space="0" w:color="auto"/>
              <w:left w:val="single" w:sz="4" w:space="0" w:color="auto"/>
              <w:bottom w:val="single" w:sz="4" w:space="0" w:color="auto"/>
              <w:right w:val="single" w:sz="4" w:space="0" w:color="auto"/>
            </w:tcBorders>
            <w:shd w:val="clear" w:color="000000" w:fill="FCE9EC"/>
            <w:noWrap/>
            <w:vAlign w:val="bottom"/>
            <w:hideMark/>
          </w:tcPr>
          <w:p w:rsidR="002E64D7" w:rsidRPr="0039748C" w:rsidRDefault="002E64D7" w:rsidP="002E64D7">
            <w:pPr>
              <w:spacing w:before="0"/>
              <w:jc w:val="right"/>
              <w:rPr>
                <w:sz w:val="18"/>
                <w:szCs w:val="18"/>
              </w:rPr>
            </w:pPr>
            <w:r w:rsidRPr="0039748C">
              <w:rPr>
                <w:sz w:val="18"/>
                <w:szCs w:val="18"/>
              </w:rPr>
              <w:t>26</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sz w:val="18"/>
                <w:szCs w:val="18"/>
              </w:rPr>
            </w:pPr>
            <w:r w:rsidRPr="0039748C">
              <w:rPr>
                <w:sz w:val="18"/>
                <w:szCs w:val="18"/>
              </w:rPr>
              <w:t>Přerov</w:t>
            </w:r>
          </w:p>
        </w:tc>
        <w:tc>
          <w:tcPr>
            <w:tcW w:w="1134" w:type="dxa"/>
            <w:tcBorders>
              <w:top w:val="single" w:sz="4" w:space="0" w:color="auto"/>
              <w:left w:val="single" w:sz="4" w:space="0" w:color="auto"/>
              <w:bottom w:val="single" w:sz="4" w:space="0" w:color="auto"/>
              <w:right w:val="single" w:sz="4" w:space="0" w:color="auto"/>
            </w:tcBorders>
            <w:shd w:val="clear" w:color="000000" w:fill="FAB1B4"/>
            <w:noWrap/>
            <w:vAlign w:val="bottom"/>
            <w:hideMark/>
          </w:tcPr>
          <w:p w:rsidR="002E64D7" w:rsidRPr="0039748C" w:rsidRDefault="002E64D7" w:rsidP="002E64D7">
            <w:pPr>
              <w:spacing w:before="0"/>
              <w:jc w:val="right"/>
              <w:rPr>
                <w:sz w:val="18"/>
                <w:szCs w:val="18"/>
              </w:rPr>
            </w:pPr>
            <w:r w:rsidRPr="0039748C">
              <w:rPr>
                <w:sz w:val="18"/>
                <w:szCs w:val="18"/>
              </w:rPr>
              <w:t>295</w:t>
            </w:r>
          </w:p>
        </w:tc>
        <w:tc>
          <w:tcPr>
            <w:tcW w:w="1812" w:type="dxa"/>
            <w:tcBorders>
              <w:top w:val="single" w:sz="4" w:space="0" w:color="auto"/>
              <w:left w:val="single" w:sz="4" w:space="0" w:color="auto"/>
              <w:bottom w:val="single" w:sz="4" w:space="0" w:color="auto"/>
              <w:right w:val="single" w:sz="4" w:space="0" w:color="auto"/>
            </w:tcBorders>
            <w:shd w:val="clear" w:color="000000" w:fill="FAB3B5"/>
            <w:noWrap/>
            <w:vAlign w:val="bottom"/>
            <w:hideMark/>
          </w:tcPr>
          <w:p w:rsidR="002E64D7" w:rsidRPr="0039748C" w:rsidRDefault="002E64D7" w:rsidP="002E64D7">
            <w:pPr>
              <w:spacing w:before="0"/>
              <w:jc w:val="right"/>
              <w:rPr>
                <w:sz w:val="18"/>
                <w:szCs w:val="18"/>
              </w:rPr>
            </w:pPr>
            <w:r w:rsidRPr="0039748C">
              <w:rPr>
                <w:sz w:val="18"/>
                <w:szCs w:val="18"/>
              </w:rPr>
              <w:t>290</w:t>
            </w:r>
          </w:p>
        </w:tc>
        <w:tc>
          <w:tcPr>
            <w:tcW w:w="2206"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764" w:type="dxa"/>
            <w:tcBorders>
              <w:top w:val="single" w:sz="4" w:space="0" w:color="auto"/>
              <w:left w:val="single" w:sz="4" w:space="0" w:color="auto"/>
              <w:bottom w:val="single" w:sz="4" w:space="0" w:color="auto"/>
              <w:right w:val="single" w:sz="4" w:space="0" w:color="auto"/>
            </w:tcBorders>
            <w:shd w:val="clear" w:color="000000" w:fill="73C589"/>
            <w:noWrap/>
            <w:vAlign w:val="bottom"/>
            <w:hideMark/>
          </w:tcPr>
          <w:p w:rsidR="002E64D7" w:rsidRPr="0039748C" w:rsidRDefault="002E64D7" w:rsidP="002E64D7">
            <w:pPr>
              <w:spacing w:before="0"/>
              <w:jc w:val="right"/>
              <w:rPr>
                <w:sz w:val="18"/>
                <w:szCs w:val="18"/>
              </w:rPr>
            </w:pPr>
            <w:r w:rsidRPr="0039748C">
              <w:rPr>
                <w:sz w:val="18"/>
                <w:szCs w:val="18"/>
              </w:rPr>
              <w:t>585</w:t>
            </w:r>
          </w:p>
        </w:tc>
        <w:tc>
          <w:tcPr>
            <w:tcW w:w="989" w:type="dxa"/>
            <w:tcBorders>
              <w:top w:val="single" w:sz="4" w:space="0" w:color="auto"/>
              <w:left w:val="single" w:sz="4" w:space="0" w:color="auto"/>
              <w:bottom w:val="single" w:sz="4" w:space="0" w:color="auto"/>
              <w:right w:val="single" w:sz="4" w:space="0" w:color="auto"/>
            </w:tcBorders>
            <w:shd w:val="clear" w:color="000000" w:fill="B2DEBF"/>
            <w:noWrap/>
            <w:vAlign w:val="bottom"/>
            <w:hideMark/>
          </w:tcPr>
          <w:p w:rsidR="002E64D7" w:rsidRPr="0039748C" w:rsidRDefault="002E64D7" w:rsidP="002E64D7">
            <w:pPr>
              <w:spacing w:before="0"/>
              <w:jc w:val="right"/>
              <w:rPr>
                <w:sz w:val="18"/>
                <w:szCs w:val="18"/>
              </w:rPr>
            </w:pPr>
            <w:r w:rsidRPr="0039748C">
              <w:rPr>
                <w:sz w:val="18"/>
                <w:szCs w:val="18"/>
              </w:rPr>
              <w:t>17 709</w:t>
            </w:r>
          </w:p>
        </w:tc>
        <w:tc>
          <w:tcPr>
            <w:tcW w:w="1028" w:type="dxa"/>
            <w:tcBorders>
              <w:top w:val="single" w:sz="4" w:space="0" w:color="auto"/>
              <w:left w:val="single" w:sz="4" w:space="0" w:color="auto"/>
              <w:bottom w:val="single" w:sz="4" w:space="0" w:color="auto"/>
              <w:right w:val="single" w:sz="4" w:space="0" w:color="auto"/>
            </w:tcBorders>
            <w:shd w:val="clear" w:color="000000" w:fill="FCE1E3"/>
            <w:noWrap/>
            <w:vAlign w:val="bottom"/>
            <w:hideMark/>
          </w:tcPr>
          <w:p w:rsidR="002E64D7" w:rsidRPr="0039748C" w:rsidRDefault="002E64D7" w:rsidP="002E64D7">
            <w:pPr>
              <w:spacing w:before="0"/>
              <w:jc w:val="right"/>
              <w:rPr>
                <w:sz w:val="18"/>
                <w:szCs w:val="18"/>
              </w:rPr>
            </w:pPr>
            <w:r w:rsidRPr="0039748C">
              <w:rPr>
                <w:sz w:val="18"/>
                <w:szCs w:val="18"/>
              </w:rPr>
              <w:t>30</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sz w:val="18"/>
                <w:szCs w:val="18"/>
              </w:rPr>
            </w:pPr>
            <w:r w:rsidRPr="0039748C">
              <w:rPr>
                <w:sz w:val="18"/>
                <w:szCs w:val="18"/>
              </w:rPr>
              <w:t>Prostějov</w:t>
            </w:r>
          </w:p>
        </w:tc>
        <w:tc>
          <w:tcPr>
            <w:tcW w:w="1134" w:type="dxa"/>
            <w:tcBorders>
              <w:top w:val="single" w:sz="4" w:space="0" w:color="auto"/>
              <w:left w:val="single" w:sz="4" w:space="0" w:color="auto"/>
              <w:bottom w:val="single" w:sz="4" w:space="0" w:color="auto"/>
              <w:right w:val="single" w:sz="4" w:space="0" w:color="auto"/>
            </w:tcBorders>
            <w:shd w:val="clear" w:color="000000" w:fill="F97678"/>
            <w:noWrap/>
            <w:vAlign w:val="bottom"/>
            <w:hideMark/>
          </w:tcPr>
          <w:p w:rsidR="002E64D7" w:rsidRPr="0039748C" w:rsidRDefault="002E64D7" w:rsidP="002E64D7">
            <w:pPr>
              <w:spacing w:before="0"/>
              <w:jc w:val="right"/>
              <w:rPr>
                <w:sz w:val="18"/>
                <w:szCs w:val="18"/>
              </w:rPr>
            </w:pPr>
            <w:r w:rsidRPr="0039748C">
              <w:rPr>
                <w:sz w:val="18"/>
                <w:szCs w:val="18"/>
              </w:rPr>
              <w:t>501</w:t>
            </w:r>
          </w:p>
        </w:tc>
        <w:tc>
          <w:tcPr>
            <w:tcW w:w="1812" w:type="dxa"/>
            <w:tcBorders>
              <w:top w:val="single" w:sz="4" w:space="0" w:color="auto"/>
              <w:left w:val="single" w:sz="4" w:space="0" w:color="auto"/>
              <w:bottom w:val="single" w:sz="4" w:space="0" w:color="auto"/>
              <w:right w:val="single" w:sz="4" w:space="0" w:color="auto"/>
            </w:tcBorders>
            <w:shd w:val="clear" w:color="000000" w:fill="FCDEE1"/>
            <w:noWrap/>
            <w:vAlign w:val="bottom"/>
            <w:hideMark/>
          </w:tcPr>
          <w:p w:rsidR="002E64D7" w:rsidRPr="0039748C" w:rsidRDefault="002E64D7" w:rsidP="002E64D7">
            <w:pPr>
              <w:spacing w:before="0"/>
              <w:jc w:val="right"/>
              <w:rPr>
                <w:sz w:val="18"/>
                <w:szCs w:val="18"/>
              </w:rPr>
            </w:pPr>
            <w:r w:rsidRPr="0039748C">
              <w:rPr>
                <w:sz w:val="18"/>
                <w:szCs w:val="18"/>
              </w:rPr>
              <w:t>141</w:t>
            </w:r>
          </w:p>
        </w:tc>
        <w:tc>
          <w:tcPr>
            <w:tcW w:w="2206" w:type="dxa"/>
            <w:tcBorders>
              <w:top w:val="single" w:sz="4" w:space="0" w:color="auto"/>
              <w:left w:val="single" w:sz="4" w:space="0" w:color="auto"/>
              <w:bottom w:val="single" w:sz="4" w:space="0" w:color="auto"/>
              <w:right w:val="single" w:sz="4" w:space="0" w:color="auto"/>
            </w:tcBorders>
            <w:shd w:val="clear" w:color="000000" w:fill="719ACE"/>
            <w:noWrap/>
            <w:vAlign w:val="bottom"/>
            <w:hideMark/>
          </w:tcPr>
          <w:p w:rsidR="002E64D7" w:rsidRPr="0039748C" w:rsidRDefault="002E64D7" w:rsidP="002E64D7">
            <w:pPr>
              <w:spacing w:before="0"/>
              <w:jc w:val="right"/>
              <w:rPr>
                <w:sz w:val="18"/>
                <w:szCs w:val="18"/>
              </w:rPr>
            </w:pPr>
            <w:r w:rsidRPr="0039748C">
              <w:rPr>
                <w:sz w:val="18"/>
                <w:szCs w:val="18"/>
              </w:rPr>
              <w:t>5</w:t>
            </w:r>
          </w:p>
        </w:tc>
        <w:tc>
          <w:tcPr>
            <w:tcW w:w="764" w:type="dxa"/>
            <w:tcBorders>
              <w:top w:val="single" w:sz="4" w:space="0" w:color="auto"/>
              <w:left w:val="single" w:sz="4" w:space="0" w:color="auto"/>
              <w:bottom w:val="single" w:sz="4" w:space="0" w:color="auto"/>
              <w:right w:val="single" w:sz="4" w:space="0" w:color="auto"/>
            </w:tcBorders>
            <w:shd w:val="clear" w:color="000000" w:fill="65BF7D"/>
            <w:noWrap/>
            <w:vAlign w:val="bottom"/>
            <w:hideMark/>
          </w:tcPr>
          <w:p w:rsidR="002E64D7" w:rsidRPr="0039748C" w:rsidRDefault="002E64D7" w:rsidP="002E64D7">
            <w:pPr>
              <w:spacing w:before="0"/>
              <w:jc w:val="right"/>
              <w:rPr>
                <w:sz w:val="18"/>
                <w:szCs w:val="18"/>
              </w:rPr>
            </w:pPr>
            <w:r w:rsidRPr="0039748C">
              <w:rPr>
                <w:sz w:val="18"/>
                <w:szCs w:val="18"/>
              </w:rPr>
              <w:t>647</w:t>
            </w:r>
          </w:p>
        </w:tc>
        <w:tc>
          <w:tcPr>
            <w:tcW w:w="989" w:type="dxa"/>
            <w:tcBorders>
              <w:top w:val="single" w:sz="4" w:space="0" w:color="auto"/>
              <w:left w:val="single" w:sz="4" w:space="0" w:color="auto"/>
              <w:bottom w:val="single" w:sz="4" w:space="0" w:color="auto"/>
              <w:right w:val="single" w:sz="4" w:space="0" w:color="auto"/>
            </w:tcBorders>
            <w:shd w:val="clear" w:color="000000" w:fill="A4D9B3"/>
            <w:noWrap/>
            <w:vAlign w:val="bottom"/>
            <w:hideMark/>
          </w:tcPr>
          <w:p w:rsidR="002E64D7" w:rsidRPr="0039748C" w:rsidRDefault="002E64D7" w:rsidP="002E64D7">
            <w:pPr>
              <w:spacing w:before="0"/>
              <w:jc w:val="right"/>
              <w:rPr>
                <w:sz w:val="18"/>
                <w:szCs w:val="18"/>
              </w:rPr>
            </w:pPr>
            <w:r w:rsidRPr="0039748C">
              <w:rPr>
                <w:sz w:val="18"/>
                <w:szCs w:val="18"/>
              </w:rPr>
              <w:t>20 483</w:t>
            </w:r>
          </w:p>
        </w:tc>
        <w:tc>
          <w:tcPr>
            <w:tcW w:w="1028" w:type="dxa"/>
            <w:tcBorders>
              <w:top w:val="single" w:sz="4" w:space="0" w:color="auto"/>
              <w:left w:val="single" w:sz="4" w:space="0" w:color="auto"/>
              <w:bottom w:val="single" w:sz="4" w:space="0" w:color="auto"/>
              <w:right w:val="single" w:sz="4" w:space="0" w:color="auto"/>
            </w:tcBorders>
            <w:shd w:val="clear" w:color="000000" w:fill="FCDEE1"/>
            <w:noWrap/>
            <w:vAlign w:val="bottom"/>
            <w:hideMark/>
          </w:tcPr>
          <w:p w:rsidR="002E64D7" w:rsidRPr="0039748C" w:rsidRDefault="002E64D7" w:rsidP="002E64D7">
            <w:pPr>
              <w:spacing w:before="0"/>
              <w:jc w:val="right"/>
              <w:rPr>
                <w:sz w:val="18"/>
                <w:szCs w:val="18"/>
              </w:rPr>
            </w:pPr>
            <w:r w:rsidRPr="0039748C">
              <w:rPr>
                <w:sz w:val="18"/>
                <w:szCs w:val="18"/>
              </w:rPr>
              <w:t>32</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sz w:val="18"/>
                <w:szCs w:val="18"/>
              </w:rPr>
            </w:pPr>
            <w:r w:rsidRPr="0039748C">
              <w:rPr>
                <w:sz w:val="18"/>
                <w:szCs w:val="18"/>
              </w:rPr>
              <w:t>Šumperk</w:t>
            </w:r>
          </w:p>
        </w:tc>
        <w:tc>
          <w:tcPr>
            <w:tcW w:w="1134" w:type="dxa"/>
            <w:tcBorders>
              <w:top w:val="single" w:sz="4" w:space="0" w:color="auto"/>
              <w:left w:val="single" w:sz="4" w:space="0" w:color="auto"/>
              <w:bottom w:val="single" w:sz="4" w:space="0" w:color="auto"/>
              <w:right w:val="single" w:sz="4" w:space="0" w:color="auto"/>
            </w:tcBorders>
            <w:shd w:val="clear" w:color="000000" w:fill="FBBEC1"/>
            <w:noWrap/>
            <w:vAlign w:val="bottom"/>
            <w:hideMark/>
          </w:tcPr>
          <w:p w:rsidR="002E64D7" w:rsidRPr="0039748C" w:rsidRDefault="002E64D7" w:rsidP="002E64D7">
            <w:pPr>
              <w:spacing w:before="0"/>
              <w:jc w:val="right"/>
              <w:rPr>
                <w:sz w:val="18"/>
                <w:szCs w:val="18"/>
              </w:rPr>
            </w:pPr>
            <w:r w:rsidRPr="0039748C">
              <w:rPr>
                <w:sz w:val="18"/>
                <w:szCs w:val="18"/>
              </w:rPr>
              <w:t>251</w:t>
            </w:r>
          </w:p>
        </w:tc>
        <w:tc>
          <w:tcPr>
            <w:tcW w:w="1812" w:type="dxa"/>
            <w:tcBorders>
              <w:top w:val="single" w:sz="4" w:space="0" w:color="auto"/>
              <w:left w:val="single" w:sz="4" w:space="0" w:color="auto"/>
              <w:bottom w:val="single" w:sz="4" w:space="0" w:color="auto"/>
              <w:right w:val="single" w:sz="4" w:space="0" w:color="auto"/>
            </w:tcBorders>
            <w:shd w:val="clear" w:color="000000" w:fill="FBC8CA"/>
            <w:noWrap/>
            <w:vAlign w:val="bottom"/>
            <w:hideMark/>
          </w:tcPr>
          <w:p w:rsidR="002E64D7" w:rsidRPr="0039748C" w:rsidRDefault="002E64D7" w:rsidP="002E64D7">
            <w:pPr>
              <w:spacing w:before="0"/>
              <w:jc w:val="right"/>
              <w:rPr>
                <w:sz w:val="18"/>
                <w:szCs w:val="18"/>
              </w:rPr>
            </w:pPr>
            <w:r w:rsidRPr="0039748C">
              <w:rPr>
                <w:sz w:val="18"/>
                <w:szCs w:val="18"/>
              </w:rPr>
              <w:t>217</w:t>
            </w:r>
          </w:p>
        </w:tc>
        <w:tc>
          <w:tcPr>
            <w:tcW w:w="2206" w:type="dxa"/>
            <w:tcBorders>
              <w:top w:val="single" w:sz="4" w:space="0" w:color="auto"/>
              <w:left w:val="single" w:sz="4" w:space="0" w:color="auto"/>
              <w:bottom w:val="single" w:sz="4" w:space="0" w:color="auto"/>
              <w:right w:val="single" w:sz="4" w:space="0" w:color="auto"/>
            </w:tcBorders>
            <w:shd w:val="clear" w:color="000000" w:fill="A1BCDF"/>
            <w:noWrap/>
            <w:vAlign w:val="bottom"/>
            <w:hideMark/>
          </w:tcPr>
          <w:p w:rsidR="002E64D7" w:rsidRPr="0039748C" w:rsidRDefault="002E64D7" w:rsidP="002E64D7">
            <w:pPr>
              <w:spacing w:before="0"/>
              <w:jc w:val="right"/>
              <w:rPr>
                <w:sz w:val="18"/>
                <w:szCs w:val="18"/>
              </w:rPr>
            </w:pPr>
            <w:r w:rsidRPr="0039748C">
              <w:rPr>
                <w:sz w:val="18"/>
                <w:szCs w:val="18"/>
              </w:rPr>
              <w:t>15</w:t>
            </w:r>
          </w:p>
        </w:tc>
        <w:tc>
          <w:tcPr>
            <w:tcW w:w="764" w:type="dxa"/>
            <w:tcBorders>
              <w:top w:val="single" w:sz="4" w:space="0" w:color="auto"/>
              <w:left w:val="single" w:sz="4" w:space="0" w:color="auto"/>
              <w:bottom w:val="single" w:sz="4" w:space="0" w:color="auto"/>
              <w:right w:val="single" w:sz="4" w:space="0" w:color="auto"/>
            </w:tcBorders>
            <w:shd w:val="clear" w:color="000000" w:fill="8BCF9E"/>
            <w:noWrap/>
            <w:vAlign w:val="bottom"/>
            <w:hideMark/>
          </w:tcPr>
          <w:p w:rsidR="002E64D7" w:rsidRPr="0039748C" w:rsidRDefault="002E64D7" w:rsidP="002E64D7">
            <w:pPr>
              <w:spacing w:before="0"/>
              <w:jc w:val="right"/>
              <w:rPr>
                <w:sz w:val="18"/>
                <w:szCs w:val="18"/>
              </w:rPr>
            </w:pPr>
            <w:r w:rsidRPr="0039748C">
              <w:rPr>
                <w:sz w:val="18"/>
                <w:szCs w:val="18"/>
              </w:rPr>
              <w:t>483</w:t>
            </w:r>
          </w:p>
        </w:tc>
        <w:tc>
          <w:tcPr>
            <w:tcW w:w="989" w:type="dxa"/>
            <w:tcBorders>
              <w:top w:val="single" w:sz="4" w:space="0" w:color="auto"/>
              <w:left w:val="single" w:sz="4" w:space="0" w:color="auto"/>
              <w:bottom w:val="single" w:sz="4" w:space="0" w:color="auto"/>
              <w:right w:val="single" w:sz="4" w:space="0" w:color="auto"/>
            </w:tcBorders>
            <w:shd w:val="clear" w:color="000000" w:fill="BDE3C8"/>
            <w:noWrap/>
            <w:vAlign w:val="bottom"/>
            <w:hideMark/>
          </w:tcPr>
          <w:p w:rsidR="002E64D7" w:rsidRPr="0039748C" w:rsidRDefault="002E64D7" w:rsidP="002E64D7">
            <w:pPr>
              <w:spacing w:before="0"/>
              <w:jc w:val="right"/>
              <w:rPr>
                <w:sz w:val="18"/>
                <w:szCs w:val="18"/>
              </w:rPr>
            </w:pPr>
            <w:r w:rsidRPr="0039748C">
              <w:rPr>
                <w:sz w:val="18"/>
                <w:szCs w:val="18"/>
              </w:rPr>
              <w:t>15 516</w:t>
            </w:r>
          </w:p>
        </w:tc>
        <w:tc>
          <w:tcPr>
            <w:tcW w:w="1028" w:type="dxa"/>
            <w:tcBorders>
              <w:top w:val="single" w:sz="4" w:space="0" w:color="auto"/>
              <w:left w:val="single" w:sz="4" w:space="0" w:color="auto"/>
              <w:bottom w:val="single" w:sz="4" w:space="0" w:color="auto"/>
              <w:right w:val="single" w:sz="4" w:space="0" w:color="auto"/>
            </w:tcBorders>
            <w:shd w:val="clear" w:color="000000" w:fill="FCDDE0"/>
            <w:noWrap/>
            <w:vAlign w:val="bottom"/>
            <w:hideMark/>
          </w:tcPr>
          <w:p w:rsidR="002E64D7" w:rsidRPr="0039748C" w:rsidRDefault="002E64D7" w:rsidP="002E64D7">
            <w:pPr>
              <w:spacing w:before="0"/>
              <w:jc w:val="right"/>
              <w:rPr>
                <w:sz w:val="18"/>
                <w:szCs w:val="18"/>
              </w:rPr>
            </w:pPr>
            <w:r w:rsidRPr="0039748C">
              <w:rPr>
                <w:sz w:val="18"/>
                <w:szCs w:val="18"/>
              </w:rPr>
              <w:t>32</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sz w:val="18"/>
                <w:szCs w:val="18"/>
              </w:rPr>
            </w:pPr>
            <w:r w:rsidRPr="0039748C">
              <w:rPr>
                <w:sz w:val="18"/>
                <w:szCs w:val="18"/>
              </w:rPr>
              <w:t>Hranice</w:t>
            </w:r>
          </w:p>
        </w:tc>
        <w:tc>
          <w:tcPr>
            <w:tcW w:w="1134" w:type="dxa"/>
            <w:tcBorders>
              <w:top w:val="single" w:sz="4" w:space="0" w:color="auto"/>
              <w:left w:val="single" w:sz="4" w:space="0" w:color="auto"/>
              <w:bottom w:val="single" w:sz="4" w:space="0" w:color="auto"/>
              <w:right w:val="single" w:sz="4" w:space="0" w:color="auto"/>
            </w:tcBorders>
            <w:shd w:val="clear" w:color="000000" w:fill="FBD1D4"/>
            <w:noWrap/>
            <w:vAlign w:val="bottom"/>
            <w:hideMark/>
          </w:tcPr>
          <w:p w:rsidR="002E64D7" w:rsidRPr="0039748C" w:rsidRDefault="002E64D7" w:rsidP="002E64D7">
            <w:pPr>
              <w:spacing w:before="0"/>
              <w:jc w:val="right"/>
              <w:rPr>
                <w:sz w:val="18"/>
                <w:szCs w:val="18"/>
              </w:rPr>
            </w:pPr>
            <w:r w:rsidRPr="0039748C">
              <w:rPr>
                <w:sz w:val="18"/>
                <w:szCs w:val="18"/>
              </w:rPr>
              <w:t>184</w:t>
            </w:r>
          </w:p>
        </w:tc>
        <w:tc>
          <w:tcPr>
            <w:tcW w:w="1812" w:type="dxa"/>
            <w:tcBorders>
              <w:top w:val="single" w:sz="4" w:space="0" w:color="auto"/>
              <w:left w:val="single" w:sz="4" w:space="0" w:color="auto"/>
              <w:bottom w:val="single" w:sz="4" w:space="0" w:color="auto"/>
              <w:right w:val="single" w:sz="4" w:space="0" w:color="auto"/>
            </w:tcBorders>
            <w:shd w:val="clear" w:color="000000" w:fill="EDF1F9"/>
            <w:noWrap/>
            <w:vAlign w:val="bottom"/>
            <w:hideMark/>
          </w:tcPr>
          <w:p w:rsidR="002E64D7" w:rsidRPr="0039748C" w:rsidRDefault="002E64D7" w:rsidP="002E64D7">
            <w:pPr>
              <w:spacing w:before="0"/>
              <w:jc w:val="right"/>
              <w:rPr>
                <w:sz w:val="18"/>
                <w:szCs w:val="18"/>
              </w:rPr>
            </w:pPr>
            <w:r w:rsidRPr="0039748C">
              <w:rPr>
                <w:sz w:val="18"/>
                <w:szCs w:val="18"/>
              </w:rPr>
              <w:t>31</w:t>
            </w:r>
          </w:p>
        </w:tc>
        <w:tc>
          <w:tcPr>
            <w:tcW w:w="2206"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764" w:type="dxa"/>
            <w:tcBorders>
              <w:top w:val="single" w:sz="4" w:space="0" w:color="auto"/>
              <w:left w:val="single" w:sz="4" w:space="0" w:color="auto"/>
              <w:bottom w:val="single" w:sz="4" w:space="0" w:color="auto"/>
              <w:right w:val="single" w:sz="4" w:space="0" w:color="auto"/>
            </w:tcBorders>
            <w:shd w:val="clear" w:color="000000" w:fill="CAE8D4"/>
            <w:noWrap/>
            <w:vAlign w:val="bottom"/>
            <w:hideMark/>
          </w:tcPr>
          <w:p w:rsidR="002E64D7" w:rsidRPr="0039748C" w:rsidRDefault="002E64D7" w:rsidP="002E64D7">
            <w:pPr>
              <w:spacing w:before="0"/>
              <w:jc w:val="right"/>
              <w:rPr>
                <w:sz w:val="18"/>
                <w:szCs w:val="18"/>
              </w:rPr>
            </w:pPr>
            <w:r w:rsidRPr="0039748C">
              <w:rPr>
                <w:sz w:val="18"/>
                <w:szCs w:val="18"/>
              </w:rPr>
              <w:t>215</w:t>
            </w:r>
          </w:p>
        </w:tc>
        <w:tc>
          <w:tcPr>
            <w:tcW w:w="989" w:type="dxa"/>
            <w:tcBorders>
              <w:top w:val="single" w:sz="4" w:space="0" w:color="auto"/>
              <w:left w:val="single" w:sz="4" w:space="0" w:color="auto"/>
              <w:bottom w:val="single" w:sz="4" w:space="0" w:color="auto"/>
              <w:right w:val="single" w:sz="4" w:space="0" w:color="auto"/>
            </w:tcBorders>
            <w:shd w:val="clear" w:color="000000" w:fill="E6F4EC"/>
            <w:noWrap/>
            <w:vAlign w:val="bottom"/>
            <w:hideMark/>
          </w:tcPr>
          <w:p w:rsidR="002E64D7" w:rsidRPr="0039748C" w:rsidRDefault="002E64D7" w:rsidP="002E64D7">
            <w:pPr>
              <w:spacing w:before="0"/>
              <w:jc w:val="right"/>
              <w:rPr>
                <w:sz w:val="18"/>
                <w:szCs w:val="18"/>
              </w:rPr>
            </w:pPr>
            <w:r w:rsidRPr="0039748C">
              <w:rPr>
                <w:sz w:val="18"/>
                <w:szCs w:val="18"/>
              </w:rPr>
              <w:t>6 988</w:t>
            </w:r>
          </w:p>
        </w:tc>
        <w:tc>
          <w:tcPr>
            <w:tcW w:w="1028" w:type="dxa"/>
            <w:tcBorders>
              <w:top w:val="single" w:sz="4" w:space="0" w:color="auto"/>
              <w:left w:val="single" w:sz="4" w:space="0" w:color="auto"/>
              <w:bottom w:val="single" w:sz="4" w:space="0" w:color="auto"/>
              <w:right w:val="single" w:sz="4" w:space="0" w:color="auto"/>
            </w:tcBorders>
            <w:shd w:val="clear" w:color="000000" w:fill="FCDCDF"/>
            <w:noWrap/>
            <w:vAlign w:val="bottom"/>
            <w:hideMark/>
          </w:tcPr>
          <w:p w:rsidR="002E64D7" w:rsidRPr="0039748C" w:rsidRDefault="002E64D7" w:rsidP="002E64D7">
            <w:pPr>
              <w:spacing w:before="0"/>
              <w:jc w:val="right"/>
              <w:rPr>
                <w:sz w:val="18"/>
                <w:szCs w:val="18"/>
              </w:rPr>
            </w:pPr>
            <w:r w:rsidRPr="0039748C">
              <w:rPr>
                <w:sz w:val="18"/>
                <w:szCs w:val="18"/>
              </w:rPr>
              <w:t>33</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sz w:val="18"/>
                <w:szCs w:val="18"/>
              </w:rPr>
            </w:pPr>
            <w:r w:rsidRPr="0039748C">
              <w:rPr>
                <w:sz w:val="18"/>
                <w:szCs w:val="18"/>
              </w:rPr>
              <w:t>Šternberk</w:t>
            </w:r>
          </w:p>
        </w:tc>
        <w:tc>
          <w:tcPr>
            <w:tcW w:w="1134" w:type="dxa"/>
            <w:tcBorders>
              <w:top w:val="single" w:sz="4" w:space="0" w:color="auto"/>
              <w:left w:val="single" w:sz="4" w:space="0" w:color="auto"/>
              <w:bottom w:val="single" w:sz="4" w:space="0" w:color="auto"/>
              <w:right w:val="single" w:sz="4" w:space="0" w:color="auto"/>
            </w:tcBorders>
            <w:shd w:val="clear" w:color="000000" w:fill="DAE4F3"/>
            <w:noWrap/>
            <w:vAlign w:val="bottom"/>
            <w:hideMark/>
          </w:tcPr>
          <w:p w:rsidR="002E64D7" w:rsidRPr="0039748C" w:rsidRDefault="002E64D7" w:rsidP="002E64D7">
            <w:pPr>
              <w:spacing w:before="0"/>
              <w:jc w:val="right"/>
              <w:rPr>
                <w:sz w:val="18"/>
                <w:szCs w:val="18"/>
              </w:rPr>
            </w:pPr>
            <w:r w:rsidRPr="0039748C">
              <w:rPr>
                <w:sz w:val="18"/>
                <w:szCs w:val="18"/>
              </w:rPr>
              <w:t>27</w:t>
            </w:r>
          </w:p>
        </w:tc>
        <w:tc>
          <w:tcPr>
            <w:tcW w:w="1812" w:type="dxa"/>
            <w:tcBorders>
              <w:top w:val="single" w:sz="4" w:space="0" w:color="auto"/>
              <w:left w:val="single" w:sz="4" w:space="0" w:color="auto"/>
              <w:bottom w:val="single" w:sz="4" w:space="0" w:color="auto"/>
              <w:right w:val="single" w:sz="4" w:space="0" w:color="auto"/>
            </w:tcBorders>
            <w:shd w:val="clear" w:color="000000" w:fill="FCECEF"/>
            <w:noWrap/>
            <w:vAlign w:val="bottom"/>
            <w:hideMark/>
          </w:tcPr>
          <w:p w:rsidR="002E64D7" w:rsidRPr="0039748C" w:rsidRDefault="002E64D7" w:rsidP="002E64D7">
            <w:pPr>
              <w:spacing w:before="0"/>
              <w:jc w:val="right"/>
              <w:rPr>
                <w:sz w:val="18"/>
                <w:szCs w:val="18"/>
              </w:rPr>
            </w:pPr>
            <w:r w:rsidRPr="0039748C">
              <w:rPr>
                <w:sz w:val="18"/>
                <w:szCs w:val="18"/>
              </w:rPr>
              <w:t>90</w:t>
            </w:r>
          </w:p>
        </w:tc>
        <w:tc>
          <w:tcPr>
            <w:tcW w:w="2206"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764" w:type="dxa"/>
            <w:tcBorders>
              <w:top w:val="single" w:sz="4" w:space="0" w:color="auto"/>
              <w:left w:val="single" w:sz="4" w:space="0" w:color="auto"/>
              <w:bottom w:val="single" w:sz="4" w:space="0" w:color="auto"/>
              <w:right w:val="single" w:sz="4" w:space="0" w:color="auto"/>
            </w:tcBorders>
            <w:shd w:val="clear" w:color="000000" w:fill="E1F1E8"/>
            <w:noWrap/>
            <w:vAlign w:val="bottom"/>
            <w:hideMark/>
          </w:tcPr>
          <w:p w:rsidR="002E64D7" w:rsidRPr="0039748C" w:rsidRDefault="002E64D7" w:rsidP="002E64D7">
            <w:pPr>
              <w:spacing w:before="0"/>
              <w:jc w:val="right"/>
              <w:rPr>
                <w:sz w:val="18"/>
                <w:szCs w:val="18"/>
              </w:rPr>
            </w:pPr>
            <w:r w:rsidRPr="0039748C">
              <w:rPr>
                <w:sz w:val="18"/>
                <w:szCs w:val="18"/>
              </w:rPr>
              <w:t>117</w:t>
            </w:r>
          </w:p>
        </w:tc>
        <w:tc>
          <w:tcPr>
            <w:tcW w:w="989" w:type="dxa"/>
            <w:tcBorders>
              <w:top w:val="single" w:sz="4" w:space="0" w:color="auto"/>
              <w:left w:val="single" w:sz="4" w:space="0" w:color="auto"/>
              <w:bottom w:val="single" w:sz="4" w:space="0" w:color="auto"/>
              <w:right w:val="single" w:sz="4" w:space="0" w:color="auto"/>
            </w:tcBorders>
            <w:shd w:val="clear" w:color="000000" w:fill="F1F8F5"/>
            <w:noWrap/>
            <w:vAlign w:val="bottom"/>
            <w:hideMark/>
          </w:tcPr>
          <w:p w:rsidR="002E64D7" w:rsidRPr="0039748C" w:rsidRDefault="002E64D7" w:rsidP="002E64D7">
            <w:pPr>
              <w:spacing w:before="0"/>
              <w:jc w:val="right"/>
              <w:rPr>
                <w:sz w:val="18"/>
                <w:szCs w:val="18"/>
              </w:rPr>
            </w:pPr>
            <w:r w:rsidRPr="0039748C">
              <w:rPr>
                <w:sz w:val="18"/>
                <w:szCs w:val="18"/>
              </w:rPr>
              <w:t>4 933</w:t>
            </w:r>
          </w:p>
        </w:tc>
        <w:tc>
          <w:tcPr>
            <w:tcW w:w="1028" w:type="dxa"/>
            <w:tcBorders>
              <w:top w:val="single" w:sz="4" w:space="0" w:color="auto"/>
              <w:left w:val="single" w:sz="4" w:space="0" w:color="auto"/>
              <w:bottom w:val="single" w:sz="4" w:space="0" w:color="auto"/>
              <w:right w:val="single" w:sz="4" w:space="0" w:color="auto"/>
            </w:tcBorders>
            <w:shd w:val="clear" w:color="000000" w:fill="FBCACC"/>
            <w:noWrap/>
            <w:vAlign w:val="bottom"/>
            <w:hideMark/>
          </w:tcPr>
          <w:p w:rsidR="002E64D7" w:rsidRPr="0039748C" w:rsidRDefault="002E64D7" w:rsidP="002E64D7">
            <w:pPr>
              <w:spacing w:before="0"/>
              <w:jc w:val="right"/>
              <w:rPr>
                <w:sz w:val="18"/>
                <w:szCs w:val="18"/>
              </w:rPr>
            </w:pPr>
            <w:r w:rsidRPr="0039748C">
              <w:rPr>
                <w:sz w:val="18"/>
                <w:szCs w:val="18"/>
              </w:rPr>
              <w:t>42</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sz w:val="18"/>
                <w:szCs w:val="18"/>
              </w:rPr>
            </w:pPr>
            <w:r w:rsidRPr="0039748C">
              <w:rPr>
                <w:sz w:val="18"/>
                <w:szCs w:val="18"/>
              </w:rPr>
              <w:t>Olomouc</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2E64D7" w:rsidRPr="0039748C" w:rsidRDefault="002E64D7" w:rsidP="002E64D7">
            <w:pPr>
              <w:spacing w:before="0"/>
              <w:jc w:val="right"/>
              <w:rPr>
                <w:sz w:val="18"/>
                <w:szCs w:val="18"/>
              </w:rPr>
            </w:pPr>
            <w:r w:rsidRPr="0039748C">
              <w:rPr>
                <w:sz w:val="18"/>
                <w:szCs w:val="18"/>
              </w:rPr>
              <w:t>545</w:t>
            </w:r>
          </w:p>
        </w:tc>
        <w:tc>
          <w:tcPr>
            <w:tcW w:w="1812" w:type="dxa"/>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2E64D7" w:rsidRPr="0039748C" w:rsidRDefault="002E64D7" w:rsidP="002E64D7">
            <w:pPr>
              <w:spacing w:before="0"/>
              <w:jc w:val="right"/>
              <w:rPr>
                <w:sz w:val="18"/>
                <w:szCs w:val="18"/>
              </w:rPr>
            </w:pPr>
            <w:r w:rsidRPr="0039748C">
              <w:rPr>
                <w:sz w:val="18"/>
                <w:szCs w:val="18"/>
              </w:rPr>
              <w:t>97</w:t>
            </w:r>
          </w:p>
        </w:tc>
        <w:tc>
          <w:tcPr>
            <w:tcW w:w="2206" w:type="dxa"/>
            <w:tcBorders>
              <w:top w:val="single" w:sz="4" w:space="0" w:color="auto"/>
              <w:left w:val="single" w:sz="4" w:space="0" w:color="auto"/>
              <w:bottom w:val="single" w:sz="4" w:space="0" w:color="auto"/>
              <w:right w:val="single" w:sz="4" w:space="0" w:color="auto"/>
            </w:tcBorders>
            <w:shd w:val="clear" w:color="000000" w:fill="89ABD6"/>
            <w:noWrap/>
            <w:vAlign w:val="bottom"/>
            <w:hideMark/>
          </w:tcPr>
          <w:p w:rsidR="002E64D7" w:rsidRPr="0039748C" w:rsidRDefault="002E64D7" w:rsidP="002E64D7">
            <w:pPr>
              <w:spacing w:before="0"/>
              <w:jc w:val="right"/>
              <w:rPr>
                <w:sz w:val="18"/>
                <w:szCs w:val="18"/>
              </w:rPr>
            </w:pPr>
            <w:r w:rsidRPr="0039748C">
              <w:rPr>
                <w:sz w:val="18"/>
                <w:szCs w:val="18"/>
              </w:rPr>
              <w:t>10</w:t>
            </w:r>
          </w:p>
        </w:tc>
        <w:tc>
          <w:tcPr>
            <w:tcW w:w="76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2E64D7" w:rsidRPr="0039748C" w:rsidRDefault="002E64D7" w:rsidP="002E64D7">
            <w:pPr>
              <w:spacing w:before="0"/>
              <w:jc w:val="right"/>
              <w:rPr>
                <w:sz w:val="18"/>
                <w:szCs w:val="18"/>
              </w:rPr>
            </w:pPr>
            <w:r w:rsidRPr="0039748C">
              <w:rPr>
                <w:sz w:val="18"/>
                <w:szCs w:val="18"/>
              </w:rPr>
              <w:t>652</w:t>
            </w:r>
          </w:p>
        </w:tc>
        <w:tc>
          <w:tcPr>
            <w:tcW w:w="98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2E64D7" w:rsidRPr="0039748C" w:rsidRDefault="002E64D7" w:rsidP="002E64D7">
            <w:pPr>
              <w:spacing w:before="0"/>
              <w:jc w:val="right"/>
              <w:rPr>
                <w:sz w:val="18"/>
                <w:szCs w:val="18"/>
              </w:rPr>
            </w:pPr>
            <w:r w:rsidRPr="0039748C">
              <w:rPr>
                <w:sz w:val="18"/>
                <w:szCs w:val="18"/>
              </w:rPr>
              <w:t>33 717</w:t>
            </w:r>
          </w:p>
        </w:tc>
        <w:tc>
          <w:tcPr>
            <w:tcW w:w="1028" w:type="dxa"/>
            <w:tcBorders>
              <w:top w:val="single" w:sz="4" w:space="0" w:color="auto"/>
              <w:left w:val="single" w:sz="4" w:space="0" w:color="auto"/>
              <w:bottom w:val="single" w:sz="4" w:space="0" w:color="auto"/>
              <w:right w:val="single" w:sz="4" w:space="0" w:color="auto"/>
            </w:tcBorders>
            <w:shd w:val="clear" w:color="000000" w:fill="FBB7BA"/>
            <w:noWrap/>
            <w:vAlign w:val="bottom"/>
            <w:hideMark/>
          </w:tcPr>
          <w:p w:rsidR="002E64D7" w:rsidRPr="0039748C" w:rsidRDefault="002E64D7" w:rsidP="002E64D7">
            <w:pPr>
              <w:spacing w:before="0"/>
              <w:jc w:val="right"/>
              <w:rPr>
                <w:sz w:val="18"/>
                <w:szCs w:val="18"/>
              </w:rPr>
            </w:pPr>
            <w:r w:rsidRPr="0039748C">
              <w:rPr>
                <w:sz w:val="18"/>
                <w:szCs w:val="18"/>
              </w:rPr>
              <w:t>52</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sz w:val="18"/>
                <w:szCs w:val="18"/>
              </w:rPr>
            </w:pPr>
            <w:r w:rsidRPr="0039748C">
              <w:rPr>
                <w:sz w:val="18"/>
                <w:szCs w:val="18"/>
              </w:rPr>
              <w:t>Uničov</w:t>
            </w:r>
          </w:p>
        </w:tc>
        <w:tc>
          <w:tcPr>
            <w:tcW w:w="1134" w:type="dxa"/>
            <w:tcBorders>
              <w:top w:val="single" w:sz="4" w:space="0" w:color="auto"/>
              <w:left w:val="single" w:sz="4" w:space="0" w:color="auto"/>
              <w:bottom w:val="single" w:sz="4" w:space="0" w:color="auto"/>
              <w:right w:val="single" w:sz="4" w:space="0" w:color="auto"/>
            </w:tcBorders>
            <w:shd w:val="clear" w:color="000000" w:fill="FCF4F7"/>
            <w:noWrap/>
            <w:vAlign w:val="bottom"/>
            <w:hideMark/>
          </w:tcPr>
          <w:p w:rsidR="002E64D7" w:rsidRPr="0039748C" w:rsidRDefault="002E64D7" w:rsidP="002E64D7">
            <w:pPr>
              <w:spacing w:before="0"/>
              <w:jc w:val="right"/>
              <w:rPr>
                <w:sz w:val="18"/>
                <w:szCs w:val="18"/>
              </w:rPr>
            </w:pPr>
            <w:r w:rsidRPr="0039748C">
              <w:rPr>
                <w:sz w:val="18"/>
                <w:szCs w:val="18"/>
              </w:rPr>
              <w:t>62</w:t>
            </w:r>
          </w:p>
        </w:tc>
        <w:tc>
          <w:tcPr>
            <w:tcW w:w="1812"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2206" w:type="dxa"/>
            <w:tcBorders>
              <w:top w:val="single" w:sz="4" w:space="0" w:color="auto"/>
              <w:left w:val="single" w:sz="4" w:space="0" w:color="auto"/>
              <w:bottom w:val="single" w:sz="4" w:space="0" w:color="auto"/>
              <w:right w:val="single" w:sz="4" w:space="0" w:color="auto"/>
            </w:tcBorders>
            <w:shd w:val="clear" w:color="000000" w:fill="B9CDE7"/>
            <w:noWrap/>
            <w:vAlign w:val="bottom"/>
            <w:hideMark/>
          </w:tcPr>
          <w:p w:rsidR="002E64D7" w:rsidRPr="0039748C" w:rsidRDefault="002E64D7" w:rsidP="002E64D7">
            <w:pPr>
              <w:spacing w:before="0"/>
              <w:jc w:val="right"/>
              <w:rPr>
                <w:sz w:val="18"/>
                <w:szCs w:val="18"/>
              </w:rPr>
            </w:pPr>
            <w:r w:rsidRPr="0039748C">
              <w:rPr>
                <w:sz w:val="18"/>
                <w:szCs w:val="18"/>
              </w:rPr>
              <w:t>20</w:t>
            </w:r>
          </w:p>
        </w:tc>
        <w:tc>
          <w:tcPr>
            <w:tcW w:w="764" w:type="dxa"/>
            <w:tcBorders>
              <w:top w:val="single" w:sz="4" w:space="0" w:color="auto"/>
              <w:left w:val="single" w:sz="4" w:space="0" w:color="auto"/>
              <w:bottom w:val="single" w:sz="4" w:space="0" w:color="auto"/>
              <w:right w:val="single" w:sz="4" w:space="0" w:color="auto"/>
            </w:tcBorders>
            <w:shd w:val="clear" w:color="000000" w:fill="E9F5EF"/>
            <w:noWrap/>
            <w:vAlign w:val="bottom"/>
            <w:hideMark/>
          </w:tcPr>
          <w:p w:rsidR="002E64D7" w:rsidRPr="0039748C" w:rsidRDefault="002E64D7" w:rsidP="002E64D7">
            <w:pPr>
              <w:spacing w:before="0"/>
              <w:jc w:val="right"/>
              <w:rPr>
                <w:sz w:val="18"/>
                <w:szCs w:val="18"/>
              </w:rPr>
            </w:pPr>
            <w:r w:rsidRPr="0039748C">
              <w:rPr>
                <w:sz w:val="18"/>
                <w:szCs w:val="18"/>
              </w:rPr>
              <w:t>82</w:t>
            </w:r>
          </w:p>
        </w:tc>
        <w:tc>
          <w:tcPr>
            <w:tcW w:w="989" w:type="dxa"/>
            <w:tcBorders>
              <w:top w:val="single" w:sz="4" w:space="0" w:color="auto"/>
              <w:left w:val="single" w:sz="4" w:space="0" w:color="auto"/>
              <w:bottom w:val="single" w:sz="4" w:space="0" w:color="auto"/>
              <w:right w:val="single" w:sz="4" w:space="0" w:color="auto"/>
            </w:tcBorders>
            <w:shd w:val="clear" w:color="000000" w:fill="F2F8F6"/>
            <w:noWrap/>
            <w:vAlign w:val="bottom"/>
            <w:hideMark/>
          </w:tcPr>
          <w:p w:rsidR="002E64D7" w:rsidRPr="0039748C" w:rsidRDefault="002E64D7" w:rsidP="002E64D7">
            <w:pPr>
              <w:spacing w:before="0"/>
              <w:jc w:val="right"/>
              <w:rPr>
                <w:sz w:val="18"/>
                <w:szCs w:val="18"/>
              </w:rPr>
            </w:pPr>
            <w:r w:rsidRPr="0039748C">
              <w:rPr>
                <w:sz w:val="18"/>
                <w:szCs w:val="18"/>
              </w:rPr>
              <w:t>4 650</w:t>
            </w:r>
          </w:p>
        </w:tc>
        <w:tc>
          <w:tcPr>
            <w:tcW w:w="1028" w:type="dxa"/>
            <w:tcBorders>
              <w:top w:val="single" w:sz="4" w:space="0" w:color="auto"/>
              <w:left w:val="single" w:sz="4" w:space="0" w:color="auto"/>
              <w:bottom w:val="single" w:sz="4" w:space="0" w:color="auto"/>
              <w:right w:val="single" w:sz="4" w:space="0" w:color="auto"/>
            </w:tcBorders>
            <w:shd w:val="clear" w:color="000000" w:fill="FAAEB0"/>
            <w:noWrap/>
            <w:vAlign w:val="bottom"/>
            <w:hideMark/>
          </w:tcPr>
          <w:p w:rsidR="002E64D7" w:rsidRPr="0039748C" w:rsidRDefault="002E64D7" w:rsidP="002E64D7">
            <w:pPr>
              <w:spacing w:before="0"/>
              <w:jc w:val="right"/>
              <w:rPr>
                <w:sz w:val="18"/>
                <w:szCs w:val="18"/>
              </w:rPr>
            </w:pPr>
            <w:r w:rsidRPr="0039748C">
              <w:rPr>
                <w:sz w:val="18"/>
                <w:szCs w:val="18"/>
              </w:rPr>
              <w:t>57</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sz w:val="18"/>
                <w:szCs w:val="18"/>
              </w:rPr>
            </w:pPr>
            <w:r w:rsidRPr="0039748C">
              <w:rPr>
                <w:sz w:val="18"/>
                <w:szCs w:val="18"/>
              </w:rPr>
              <w:t>Mohelnice</w:t>
            </w:r>
          </w:p>
        </w:tc>
        <w:tc>
          <w:tcPr>
            <w:tcW w:w="1134"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rsidR="002E64D7" w:rsidRPr="0039748C" w:rsidRDefault="002E64D7" w:rsidP="002E64D7">
            <w:pPr>
              <w:spacing w:before="0"/>
              <w:jc w:val="right"/>
              <w:rPr>
                <w:sz w:val="18"/>
                <w:szCs w:val="18"/>
              </w:rPr>
            </w:pPr>
            <w:r w:rsidRPr="0039748C">
              <w:rPr>
                <w:sz w:val="18"/>
                <w:szCs w:val="18"/>
              </w:rPr>
              <w:t>41</w:t>
            </w:r>
          </w:p>
        </w:tc>
        <w:tc>
          <w:tcPr>
            <w:tcW w:w="1812"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2206"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764" w:type="dxa"/>
            <w:tcBorders>
              <w:top w:val="single" w:sz="4" w:space="0" w:color="auto"/>
              <w:left w:val="single" w:sz="4" w:space="0" w:color="auto"/>
              <w:bottom w:val="single" w:sz="4" w:space="0" w:color="auto"/>
              <w:right w:val="single" w:sz="4" w:space="0" w:color="auto"/>
            </w:tcBorders>
            <w:shd w:val="clear" w:color="000000" w:fill="F3F9F7"/>
            <w:noWrap/>
            <w:vAlign w:val="bottom"/>
            <w:hideMark/>
          </w:tcPr>
          <w:p w:rsidR="002E64D7" w:rsidRPr="0039748C" w:rsidRDefault="002E64D7" w:rsidP="002E64D7">
            <w:pPr>
              <w:spacing w:before="0"/>
              <w:jc w:val="right"/>
              <w:rPr>
                <w:sz w:val="18"/>
                <w:szCs w:val="18"/>
              </w:rPr>
            </w:pPr>
            <w:r w:rsidRPr="0039748C">
              <w:rPr>
                <w:sz w:val="18"/>
                <w:szCs w:val="18"/>
              </w:rPr>
              <w:t>41</w:t>
            </w:r>
          </w:p>
        </w:tc>
        <w:tc>
          <w:tcPr>
            <w:tcW w:w="989" w:type="dxa"/>
            <w:tcBorders>
              <w:top w:val="single" w:sz="4" w:space="0" w:color="auto"/>
              <w:left w:val="single" w:sz="4" w:space="0" w:color="auto"/>
              <w:bottom w:val="single" w:sz="4" w:space="0" w:color="auto"/>
              <w:right w:val="single" w:sz="4" w:space="0" w:color="auto"/>
            </w:tcBorders>
            <w:shd w:val="clear" w:color="000000" w:fill="F6FAFA"/>
            <w:noWrap/>
            <w:vAlign w:val="bottom"/>
            <w:hideMark/>
          </w:tcPr>
          <w:p w:rsidR="002E64D7" w:rsidRPr="0039748C" w:rsidRDefault="002E64D7" w:rsidP="002E64D7">
            <w:pPr>
              <w:spacing w:before="0"/>
              <w:jc w:val="right"/>
              <w:rPr>
                <w:sz w:val="18"/>
                <w:szCs w:val="18"/>
              </w:rPr>
            </w:pPr>
            <w:r w:rsidRPr="0039748C">
              <w:rPr>
                <w:sz w:val="18"/>
                <w:szCs w:val="18"/>
              </w:rPr>
              <w:t>3 780</w:t>
            </w:r>
          </w:p>
        </w:tc>
        <w:tc>
          <w:tcPr>
            <w:tcW w:w="102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2E64D7" w:rsidRPr="0039748C" w:rsidRDefault="002E64D7" w:rsidP="002E64D7">
            <w:pPr>
              <w:spacing w:before="0"/>
              <w:jc w:val="right"/>
              <w:rPr>
                <w:sz w:val="18"/>
                <w:szCs w:val="18"/>
              </w:rPr>
            </w:pPr>
            <w:r w:rsidRPr="0039748C">
              <w:rPr>
                <w:sz w:val="18"/>
                <w:szCs w:val="18"/>
              </w:rPr>
              <w:t>92</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4F2015">
            <w:pPr>
              <w:spacing w:before="0"/>
              <w:rPr>
                <w:sz w:val="18"/>
                <w:szCs w:val="18"/>
              </w:rPr>
            </w:pPr>
            <w:r w:rsidRPr="0039748C">
              <w:rPr>
                <w:sz w:val="18"/>
                <w:szCs w:val="18"/>
              </w:rPr>
              <w:t xml:space="preserve">Lipník </w:t>
            </w:r>
            <w:r w:rsidR="004F2015">
              <w:rPr>
                <w:sz w:val="18"/>
                <w:szCs w:val="18"/>
              </w:rPr>
              <w:t>n. B.</w:t>
            </w:r>
          </w:p>
        </w:tc>
        <w:tc>
          <w:tcPr>
            <w:tcW w:w="1134"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1812"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2206"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2E64D7" w:rsidRPr="0039748C" w:rsidRDefault="002E64D7" w:rsidP="002E64D7">
            <w:pPr>
              <w:spacing w:before="0"/>
              <w:jc w:val="right"/>
              <w:rPr>
                <w:sz w:val="18"/>
                <w:szCs w:val="18"/>
              </w:rPr>
            </w:pPr>
            <w:r w:rsidRPr="0039748C">
              <w:rPr>
                <w:sz w:val="18"/>
                <w:szCs w:val="18"/>
              </w:rPr>
              <w:t>0</w:t>
            </w:r>
          </w:p>
        </w:tc>
        <w:tc>
          <w:tcPr>
            <w:tcW w:w="764"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2E64D7" w:rsidRPr="0039748C" w:rsidRDefault="002E64D7" w:rsidP="002E64D7">
            <w:pPr>
              <w:spacing w:before="0"/>
              <w:jc w:val="right"/>
              <w:rPr>
                <w:sz w:val="18"/>
                <w:szCs w:val="18"/>
              </w:rPr>
            </w:pPr>
            <w:r w:rsidRPr="0039748C">
              <w:rPr>
                <w:sz w:val="18"/>
                <w:szCs w:val="18"/>
              </w:rPr>
              <w:t>0</w:t>
            </w:r>
          </w:p>
        </w:tc>
        <w:tc>
          <w:tcPr>
            <w:tcW w:w="989" w:type="dxa"/>
            <w:tcBorders>
              <w:top w:val="single" w:sz="4" w:space="0" w:color="auto"/>
              <w:left w:val="single" w:sz="4" w:space="0" w:color="auto"/>
              <w:bottom w:val="single" w:sz="4" w:space="0" w:color="auto"/>
              <w:right w:val="single" w:sz="4" w:space="0" w:color="auto"/>
            </w:tcBorders>
            <w:shd w:val="clear" w:color="000000" w:fill="FAFBFD"/>
            <w:noWrap/>
            <w:vAlign w:val="bottom"/>
            <w:hideMark/>
          </w:tcPr>
          <w:p w:rsidR="002E64D7" w:rsidRPr="0039748C" w:rsidRDefault="002E64D7" w:rsidP="002E64D7">
            <w:pPr>
              <w:spacing w:before="0"/>
              <w:jc w:val="right"/>
              <w:rPr>
                <w:sz w:val="18"/>
                <w:szCs w:val="18"/>
              </w:rPr>
            </w:pPr>
            <w:r w:rsidRPr="0039748C">
              <w:rPr>
                <w:sz w:val="18"/>
                <w:szCs w:val="18"/>
              </w:rPr>
              <w:t>3 006</w:t>
            </w:r>
          </w:p>
        </w:tc>
        <w:tc>
          <w:tcPr>
            <w:tcW w:w="1028" w:type="dxa"/>
            <w:tcBorders>
              <w:top w:val="nil"/>
              <w:left w:val="nil"/>
              <w:bottom w:val="single" w:sz="4" w:space="0" w:color="auto"/>
              <w:right w:val="single" w:sz="4" w:space="0" w:color="auto"/>
            </w:tcBorders>
            <w:shd w:val="clear" w:color="auto" w:fill="auto"/>
            <w:noWrap/>
            <w:vAlign w:val="bottom"/>
            <w:hideMark/>
          </w:tcPr>
          <w:p w:rsidR="002E64D7" w:rsidRPr="0039748C" w:rsidRDefault="002E64D7" w:rsidP="002E64D7">
            <w:pPr>
              <w:spacing w:before="0"/>
              <w:jc w:val="right"/>
              <w:rPr>
                <w:sz w:val="18"/>
                <w:szCs w:val="18"/>
              </w:rPr>
            </w:pPr>
            <w:r w:rsidRPr="0039748C">
              <w:rPr>
                <w:sz w:val="18"/>
                <w:szCs w:val="18"/>
              </w:rPr>
              <w:t>-</w:t>
            </w:r>
          </w:p>
        </w:tc>
      </w:tr>
      <w:tr w:rsidR="002E64D7" w:rsidRPr="0039748C" w:rsidTr="004F201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E64D7" w:rsidRPr="0039748C" w:rsidRDefault="002E64D7" w:rsidP="002E64D7">
            <w:pPr>
              <w:spacing w:before="0"/>
              <w:rPr>
                <w:b/>
                <w:bCs/>
                <w:sz w:val="18"/>
                <w:szCs w:val="18"/>
              </w:rPr>
            </w:pPr>
            <w:r w:rsidRPr="0039748C">
              <w:rPr>
                <w:b/>
                <w:bCs/>
                <w:sz w:val="18"/>
                <w:szCs w:val="18"/>
              </w:rPr>
              <w:t>Celkem OK</w:t>
            </w:r>
          </w:p>
        </w:tc>
        <w:tc>
          <w:tcPr>
            <w:tcW w:w="1134" w:type="dxa"/>
            <w:tcBorders>
              <w:top w:val="nil"/>
              <w:left w:val="nil"/>
              <w:bottom w:val="single" w:sz="4" w:space="0" w:color="auto"/>
              <w:right w:val="single" w:sz="4" w:space="0" w:color="auto"/>
            </w:tcBorders>
            <w:shd w:val="clear" w:color="auto" w:fill="auto"/>
            <w:noWrap/>
            <w:vAlign w:val="bottom"/>
            <w:hideMark/>
          </w:tcPr>
          <w:p w:rsidR="002E64D7" w:rsidRPr="0039748C" w:rsidRDefault="002E64D7" w:rsidP="002E64D7">
            <w:pPr>
              <w:spacing w:before="0"/>
              <w:jc w:val="right"/>
              <w:rPr>
                <w:b/>
                <w:bCs/>
                <w:sz w:val="18"/>
                <w:szCs w:val="18"/>
              </w:rPr>
            </w:pPr>
            <w:r w:rsidRPr="0039748C">
              <w:rPr>
                <w:b/>
                <w:bCs/>
                <w:sz w:val="18"/>
                <w:szCs w:val="18"/>
              </w:rPr>
              <w:t>2 571</w:t>
            </w:r>
          </w:p>
        </w:tc>
        <w:tc>
          <w:tcPr>
            <w:tcW w:w="1812" w:type="dxa"/>
            <w:tcBorders>
              <w:top w:val="nil"/>
              <w:left w:val="nil"/>
              <w:bottom w:val="single" w:sz="4" w:space="0" w:color="auto"/>
              <w:right w:val="single" w:sz="4" w:space="0" w:color="auto"/>
            </w:tcBorders>
            <w:shd w:val="clear" w:color="auto" w:fill="auto"/>
            <w:noWrap/>
            <w:vAlign w:val="bottom"/>
            <w:hideMark/>
          </w:tcPr>
          <w:p w:rsidR="002E64D7" w:rsidRPr="0039748C" w:rsidRDefault="002E64D7" w:rsidP="002E64D7">
            <w:pPr>
              <w:spacing w:before="0"/>
              <w:jc w:val="right"/>
              <w:rPr>
                <w:b/>
                <w:bCs/>
                <w:sz w:val="18"/>
                <w:szCs w:val="18"/>
              </w:rPr>
            </w:pPr>
            <w:r w:rsidRPr="0039748C">
              <w:rPr>
                <w:b/>
                <w:bCs/>
                <w:sz w:val="18"/>
                <w:szCs w:val="18"/>
              </w:rPr>
              <w:t>1 147</w:t>
            </w:r>
          </w:p>
        </w:tc>
        <w:tc>
          <w:tcPr>
            <w:tcW w:w="2206" w:type="dxa"/>
            <w:tcBorders>
              <w:top w:val="nil"/>
              <w:left w:val="nil"/>
              <w:bottom w:val="single" w:sz="4" w:space="0" w:color="auto"/>
              <w:right w:val="single" w:sz="4" w:space="0" w:color="auto"/>
            </w:tcBorders>
            <w:shd w:val="clear" w:color="auto" w:fill="auto"/>
            <w:noWrap/>
            <w:vAlign w:val="bottom"/>
            <w:hideMark/>
          </w:tcPr>
          <w:p w:rsidR="002E64D7" w:rsidRPr="0039748C" w:rsidRDefault="002E64D7" w:rsidP="002E64D7">
            <w:pPr>
              <w:spacing w:before="0"/>
              <w:jc w:val="right"/>
              <w:rPr>
                <w:b/>
                <w:bCs/>
                <w:sz w:val="18"/>
                <w:szCs w:val="18"/>
              </w:rPr>
            </w:pPr>
            <w:r w:rsidRPr="0039748C">
              <w:rPr>
                <w:b/>
                <w:bCs/>
                <w:sz w:val="18"/>
                <w:szCs w:val="18"/>
              </w:rPr>
              <w:t>115</w:t>
            </w:r>
          </w:p>
        </w:tc>
        <w:tc>
          <w:tcPr>
            <w:tcW w:w="764" w:type="dxa"/>
            <w:tcBorders>
              <w:top w:val="nil"/>
              <w:left w:val="nil"/>
              <w:bottom w:val="single" w:sz="4" w:space="0" w:color="auto"/>
              <w:right w:val="single" w:sz="4" w:space="0" w:color="auto"/>
            </w:tcBorders>
            <w:shd w:val="clear" w:color="auto" w:fill="auto"/>
            <w:noWrap/>
            <w:vAlign w:val="bottom"/>
            <w:hideMark/>
          </w:tcPr>
          <w:p w:rsidR="002E64D7" w:rsidRPr="0039748C" w:rsidRDefault="002E64D7" w:rsidP="002E64D7">
            <w:pPr>
              <w:spacing w:before="0"/>
              <w:jc w:val="right"/>
              <w:rPr>
                <w:b/>
                <w:bCs/>
                <w:sz w:val="18"/>
                <w:szCs w:val="18"/>
              </w:rPr>
            </w:pPr>
            <w:r w:rsidRPr="0039748C">
              <w:rPr>
                <w:b/>
                <w:bCs/>
                <w:sz w:val="18"/>
                <w:szCs w:val="18"/>
              </w:rPr>
              <w:t>3 833</w:t>
            </w:r>
          </w:p>
        </w:tc>
        <w:tc>
          <w:tcPr>
            <w:tcW w:w="989" w:type="dxa"/>
            <w:tcBorders>
              <w:top w:val="nil"/>
              <w:left w:val="nil"/>
              <w:bottom w:val="single" w:sz="4" w:space="0" w:color="auto"/>
              <w:right w:val="single" w:sz="4" w:space="0" w:color="auto"/>
            </w:tcBorders>
            <w:shd w:val="clear" w:color="auto" w:fill="auto"/>
            <w:noWrap/>
            <w:vAlign w:val="bottom"/>
            <w:hideMark/>
          </w:tcPr>
          <w:p w:rsidR="002E64D7" w:rsidRPr="0039748C" w:rsidRDefault="002E64D7" w:rsidP="002E64D7">
            <w:pPr>
              <w:spacing w:before="0"/>
              <w:jc w:val="right"/>
              <w:rPr>
                <w:b/>
                <w:bCs/>
                <w:sz w:val="18"/>
                <w:szCs w:val="18"/>
              </w:rPr>
            </w:pPr>
            <w:r w:rsidRPr="0039748C">
              <w:rPr>
                <w:b/>
                <w:bCs/>
                <w:sz w:val="18"/>
                <w:szCs w:val="18"/>
              </w:rPr>
              <w:t>133 929</w:t>
            </w:r>
          </w:p>
        </w:tc>
        <w:tc>
          <w:tcPr>
            <w:tcW w:w="1028" w:type="dxa"/>
            <w:tcBorders>
              <w:top w:val="single" w:sz="4" w:space="0" w:color="auto"/>
              <w:left w:val="single" w:sz="4" w:space="0" w:color="auto"/>
              <w:bottom w:val="single" w:sz="4" w:space="0" w:color="auto"/>
              <w:right w:val="single" w:sz="4" w:space="0" w:color="auto"/>
            </w:tcBorders>
            <w:shd w:val="clear" w:color="000000" w:fill="FBD8DA"/>
            <w:noWrap/>
            <w:vAlign w:val="bottom"/>
            <w:hideMark/>
          </w:tcPr>
          <w:p w:rsidR="002E64D7" w:rsidRPr="0039748C" w:rsidRDefault="002E64D7" w:rsidP="002E64D7">
            <w:pPr>
              <w:spacing w:before="0"/>
              <w:jc w:val="right"/>
              <w:rPr>
                <w:b/>
                <w:bCs/>
                <w:sz w:val="18"/>
                <w:szCs w:val="18"/>
              </w:rPr>
            </w:pPr>
            <w:r w:rsidRPr="0039748C">
              <w:rPr>
                <w:b/>
                <w:bCs/>
                <w:sz w:val="18"/>
                <w:szCs w:val="18"/>
              </w:rPr>
              <w:t>35</w:t>
            </w:r>
          </w:p>
        </w:tc>
      </w:tr>
    </w:tbl>
    <w:p w:rsidR="00AF4350" w:rsidRPr="0039748C" w:rsidRDefault="00AF4350" w:rsidP="002E64D7">
      <w:pPr>
        <w:pStyle w:val="Zdrojobjektu"/>
      </w:pPr>
      <w:r w:rsidRPr="0039748C">
        <w:t xml:space="preserve">Zdroj: ČSÚ, Veřejná databáze, </w:t>
      </w:r>
      <w:proofErr w:type="spellStart"/>
      <w:r w:rsidRPr="0039748C">
        <w:t>KISSoS</w:t>
      </w:r>
      <w:proofErr w:type="spellEnd"/>
      <w:r w:rsidRPr="0039748C">
        <w:t>, vlastní zpracování</w:t>
      </w:r>
    </w:p>
    <w:p w:rsidR="00AF4350" w:rsidRPr="0039748C" w:rsidRDefault="00AF4350" w:rsidP="00A34764">
      <w:pPr>
        <w:pStyle w:val="Nadpis3"/>
        <w:rPr>
          <w:rFonts w:eastAsia="Times New Roman"/>
        </w:rPr>
      </w:pPr>
      <w:bookmarkStart w:id="96" w:name="_Toc117606968"/>
      <w:r w:rsidRPr="0039748C">
        <w:rPr>
          <w:rFonts w:eastAsia="Times New Roman"/>
        </w:rPr>
        <w:lastRenderedPageBreak/>
        <w:t>Etnické menšiny a cizinci</w:t>
      </w:r>
      <w:bookmarkEnd w:id="96"/>
    </w:p>
    <w:p w:rsidR="00AF4350" w:rsidRPr="0039748C" w:rsidRDefault="00AF4350" w:rsidP="00A34764">
      <w:r w:rsidRPr="0039748C">
        <w:t>Nejpočetnější zastoupení cizinců tvořili v OK na počátku roku 2022 občané Ukrajiny, jejichž počet rostl mezi lety 2005–2008, kdy se vyšplhal na 3,1 tis. osob, po tomto období následoval pokles, který trval až do roku 2015, poté nastal opětovný nárůst až na hodnotu 3,4 tis. osob k 1. 1. 2022, což představuje nárůst o více než 1,6 tis. osob od roku 2005</w:t>
      </w:r>
      <w:r w:rsidRPr="0039748C">
        <w:rPr>
          <w:vertAlign w:val="superscript"/>
        </w:rPr>
        <w:footnoteReference w:id="3"/>
      </w:r>
      <w:r>
        <w:t>.</w:t>
      </w:r>
      <w:r w:rsidRPr="0039748C">
        <w:t xml:space="preserve"> Druhou nejpočetnější skupinou cizinců jsou Slováci, jejichž počet mezi lety 2005–2021 kontinuálně rostl, v roce 2022 však poklesl na hodnotu 3 066. Třetí výraznou skupinu cizinců tvoří Vietnamci, jejichž počet kontinuálně roste, v posledním roce však byla zaznamenána stagnace jejich počtu, k 1. 1. 2022 jich žilo na území OK 1,8 tis., což představuje nárůst o 1,1 tis. osob od roku 2005.</w:t>
      </w:r>
    </w:p>
    <w:p w:rsidR="00AF4350" w:rsidRPr="0039748C" w:rsidRDefault="00AF4350" w:rsidP="004F2015">
      <w:pPr>
        <w:pStyle w:val="popistabulkySPRSS2024"/>
      </w:pPr>
      <w:bookmarkStart w:id="97" w:name="_Toc117607041"/>
      <w:r w:rsidRPr="0039748C">
        <w:t xml:space="preserve">Graf </w:t>
      </w:r>
      <w:r w:rsidR="00412C70">
        <w:fldChar w:fldCharType="begin"/>
      </w:r>
      <w:r w:rsidR="00412C70">
        <w:instrText xml:space="preserve"> SEQ Graf \* ARABIC </w:instrText>
      </w:r>
      <w:r w:rsidR="00412C70">
        <w:fldChar w:fldCharType="separate"/>
      </w:r>
      <w:r w:rsidR="003A12AF">
        <w:rPr>
          <w:noProof/>
        </w:rPr>
        <w:t>15</w:t>
      </w:r>
      <w:r w:rsidR="00412C70">
        <w:rPr>
          <w:noProof/>
        </w:rPr>
        <w:fldChar w:fldCharType="end"/>
      </w:r>
      <w:r w:rsidRPr="0085022A">
        <w:t>:</w:t>
      </w:r>
      <w:r w:rsidRPr="0039748C">
        <w:t xml:space="preserve"> Vývoj počtu cizinců v OK v letech 2005 až 2022</w:t>
      </w:r>
      <w:bookmarkEnd w:id="97"/>
    </w:p>
    <w:p w:rsidR="00AF4350" w:rsidRPr="0039748C" w:rsidRDefault="00AF4350" w:rsidP="004F2015">
      <w:pPr>
        <w:spacing w:before="0"/>
      </w:pPr>
      <w:r w:rsidRPr="0039748C">
        <w:rPr>
          <w:noProof/>
          <w:lang w:eastAsia="cs-CZ"/>
        </w:rPr>
        <w:drawing>
          <wp:inline distT="0" distB="0" distL="0" distR="0" wp14:anchorId="528B0F13" wp14:editId="3BCE212C">
            <wp:extent cx="5907405" cy="2664460"/>
            <wp:effectExtent l="0" t="0" r="0" b="254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7405" cy="2664460"/>
                    </a:xfrm>
                    <a:prstGeom prst="rect">
                      <a:avLst/>
                    </a:prstGeom>
                    <a:noFill/>
                  </pic:spPr>
                </pic:pic>
              </a:graphicData>
            </a:graphic>
          </wp:inline>
        </w:drawing>
      </w:r>
    </w:p>
    <w:p w:rsidR="00AF4350" w:rsidRPr="0039748C" w:rsidRDefault="00AF4350" w:rsidP="004F2015">
      <w:pPr>
        <w:pStyle w:val="Zdrojobjektu"/>
      </w:pPr>
      <w:r w:rsidRPr="0039748C">
        <w:t>Zdroj: ČSÚ, Veřejná databáze (Ředitelství služby cizinecké policie), údaje k 1. 1. daného roku. Zpracování ACCENDO (2022)</w:t>
      </w:r>
    </w:p>
    <w:p w:rsidR="00AF4350" w:rsidRPr="0039748C" w:rsidRDefault="00AF4350" w:rsidP="00A34764">
      <w:r w:rsidRPr="0039748C">
        <w:t>Celkem bylo k 1. 1. 2022 v OK 13,7 tis. cizinců (z toho 58 % tvoří muži), jejich počet od roku 2012 vzrostl o 3,9 tis. V okresech Olomouc, Prostějov a Šumperk jsou nejpočetnější Ukrajinci, v okresech Přerov a Jeseník jsou nejpočetnější Slováci. Podrobnosti jsou uvedeny v následující tabulce a mapě.</w:t>
      </w:r>
    </w:p>
    <w:p w:rsidR="00AF4350" w:rsidRPr="0039748C" w:rsidRDefault="00AF4350" w:rsidP="004F2015">
      <w:pPr>
        <w:pStyle w:val="popistabulkySPRSS2024"/>
      </w:pPr>
      <w:bookmarkStart w:id="98" w:name="_Toc117607081"/>
      <w:r w:rsidRPr="0039748C">
        <w:t xml:space="preserve">Tabulka </w:t>
      </w:r>
      <w:r w:rsidR="00412C70">
        <w:fldChar w:fldCharType="begin"/>
      </w:r>
      <w:r w:rsidR="00412C70">
        <w:instrText xml:space="preserve"> SEQ Tabulka \* ARABIC </w:instrText>
      </w:r>
      <w:r w:rsidR="00412C70">
        <w:fldChar w:fldCharType="separate"/>
      </w:r>
      <w:r w:rsidR="003A12AF">
        <w:rPr>
          <w:noProof/>
        </w:rPr>
        <w:t>21</w:t>
      </w:r>
      <w:r w:rsidR="00412C70">
        <w:rPr>
          <w:noProof/>
        </w:rPr>
        <w:fldChar w:fldCharType="end"/>
      </w:r>
      <w:r w:rsidRPr="0085022A">
        <w:t>: Počet</w:t>
      </w:r>
      <w:r w:rsidRPr="0039748C">
        <w:t xml:space="preserve"> cizinců v okresech OK podle národnosti k 1. 1. 2022</w:t>
      </w:r>
      <w:bookmarkEnd w:id="98"/>
    </w:p>
    <w:tbl>
      <w:tblPr>
        <w:tblW w:w="5000" w:type="pct"/>
        <w:tblLayout w:type="fixed"/>
        <w:tblCellMar>
          <w:left w:w="70" w:type="dxa"/>
          <w:right w:w="70" w:type="dxa"/>
        </w:tblCellMar>
        <w:tblLook w:val="04A0" w:firstRow="1" w:lastRow="0" w:firstColumn="1" w:lastColumn="0" w:noHBand="0" w:noVBand="1"/>
      </w:tblPr>
      <w:tblGrid>
        <w:gridCol w:w="876"/>
        <w:gridCol w:w="680"/>
        <w:gridCol w:w="848"/>
        <w:gridCol w:w="995"/>
        <w:gridCol w:w="1145"/>
        <w:gridCol w:w="712"/>
        <w:gridCol w:w="1153"/>
        <w:gridCol w:w="723"/>
        <w:gridCol w:w="1122"/>
        <w:gridCol w:w="808"/>
      </w:tblGrid>
      <w:tr w:rsidR="004F2015" w:rsidRPr="0039748C" w:rsidTr="003F2AA0">
        <w:trPr>
          <w:trHeight w:val="170"/>
        </w:trPr>
        <w:tc>
          <w:tcPr>
            <w:tcW w:w="48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Okres</w:t>
            </w:r>
          </w:p>
        </w:tc>
        <w:tc>
          <w:tcPr>
            <w:tcW w:w="1392" w:type="pct"/>
            <w:gridSpan w:val="3"/>
            <w:tcBorders>
              <w:top w:val="single" w:sz="4" w:space="0" w:color="auto"/>
              <w:left w:val="nil"/>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Počet cizinců</w:t>
            </w:r>
          </w:p>
        </w:tc>
        <w:tc>
          <w:tcPr>
            <w:tcW w:w="1025" w:type="pct"/>
            <w:gridSpan w:val="2"/>
            <w:tcBorders>
              <w:top w:val="single" w:sz="4" w:space="0" w:color="auto"/>
              <w:left w:val="nil"/>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I. Nejčetnější původ</w:t>
            </w:r>
          </w:p>
        </w:tc>
        <w:tc>
          <w:tcPr>
            <w:tcW w:w="1035" w:type="pct"/>
            <w:gridSpan w:val="2"/>
            <w:tcBorders>
              <w:top w:val="single" w:sz="4" w:space="0" w:color="auto"/>
              <w:left w:val="nil"/>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II. Nejčetnější původ</w:t>
            </w:r>
          </w:p>
        </w:tc>
        <w:tc>
          <w:tcPr>
            <w:tcW w:w="1065" w:type="pct"/>
            <w:gridSpan w:val="2"/>
            <w:tcBorders>
              <w:top w:val="single" w:sz="4" w:space="0" w:color="auto"/>
              <w:left w:val="nil"/>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III. Nejčetnější původ</w:t>
            </w:r>
          </w:p>
        </w:tc>
      </w:tr>
      <w:tr w:rsidR="004F2015" w:rsidRPr="0039748C" w:rsidTr="003F2AA0">
        <w:trPr>
          <w:trHeight w:val="170"/>
        </w:trPr>
        <w:tc>
          <w:tcPr>
            <w:tcW w:w="483" w:type="pct"/>
            <w:vMerge/>
            <w:tcBorders>
              <w:top w:val="single" w:sz="4" w:space="0" w:color="auto"/>
              <w:left w:val="single" w:sz="4" w:space="0" w:color="auto"/>
              <w:bottom w:val="single" w:sz="4" w:space="0" w:color="auto"/>
              <w:right w:val="single" w:sz="4" w:space="0" w:color="auto"/>
            </w:tcBorders>
            <w:vAlign w:val="center"/>
            <w:hideMark/>
          </w:tcPr>
          <w:p w:rsidR="004F2015" w:rsidRPr="0039748C" w:rsidRDefault="004F2015" w:rsidP="003F2AA0">
            <w:pPr>
              <w:rPr>
                <w:b/>
                <w:bCs/>
                <w:sz w:val="18"/>
                <w:szCs w:val="18"/>
              </w:rPr>
            </w:pPr>
          </w:p>
        </w:tc>
        <w:tc>
          <w:tcPr>
            <w:tcW w:w="375" w:type="pct"/>
            <w:tcBorders>
              <w:top w:val="nil"/>
              <w:left w:val="nil"/>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2012</w:t>
            </w:r>
          </w:p>
        </w:tc>
        <w:tc>
          <w:tcPr>
            <w:tcW w:w="468" w:type="pct"/>
            <w:tcBorders>
              <w:top w:val="nil"/>
              <w:left w:val="nil"/>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2022</w:t>
            </w:r>
          </w:p>
        </w:tc>
        <w:tc>
          <w:tcPr>
            <w:tcW w:w="548" w:type="pct"/>
            <w:tcBorders>
              <w:top w:val="nil"/>
              <w:left w:val="nil"/>
              <w:bottom w:val="single" w:sz="4" w:space="0" w:color="auto"/>
              <w:right w:val="single" w:sz="4" w:space="0" w:color="auto"/>
            </w:tcBorders>
            <w:shd w:val="clear" w:color="000000" w:fill="F2F2F2"/>
            <w:vAlign w:val="center"/>
            <w:hideMark/>
          </w:tcPr>
          <w:p w:rsidR="004F2015" w:rsidRPr="0039748C" w:rsidRDefault="004F2015" w:rsidP="003F2AA0">
            <w:pPr>
              <w:rPr>
                <w:b/>
                <w:bCs/>
                <w:sz w:val="18"/>
                <w:szCs w:val="18"/>
              </w:rPr>
            </w:pPr>
            <w:r w:rsidRPr="0039748C">
              <w:rPr>
                <w:b/>
                <w:bCs/>
                <w:sz w:val="18"/>
                <w:szCs w:val="18"/>
              </w:rPr>
              <w:t>Změna 2017 až 2021</w:t>
            </w:r>
          </w:p>
        </w:tc>
        <w:tc>
          <w:tcPr>
            <w:tcW w:w="632" w:type="pct"/>
            <w:tcBorders>
              <w:top w:val="nil"/>
              <w:left w:val="nil"/>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Stát</w:t>
            </w:r>
          </w:p>
        </w:tc>
        <w:tc>
          <w:tcPr>
            <w:tcW w:w="393" w:type="pct"/>
            <w:tcBorders>
              <w:top w:val="nil"/>
              <w:left w:val="nil"/>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Počet</w:t>
            </w:r>
          </w:p>
        </w:tc>
        <w:tc>
          <w:tcPr>
            <w:tcW w:w="636" w:type="pct"/>
            <w:tcBorders>
              <w:top w:val="nil"/>
              <w:left w:val="nil"/>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Stát</w:t>
            </w:r>
          </w:p>
        </w:tc>
        <w:tc>
          <w:tcPr>
            <w:tcW w:w="399" w:type="pct"/>
            <w:tcBorders>
              <w:top w:val="nil"/>
              <w:left w:val="nil"/>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Počet</w:t>
            </w:r>
          </w:p>
        </w:tc>
        <w:tc>
          <w:tcPr>
            <w:tcW w:w="619" w:type="pct"/>
            <w:tcBorders>
              <w:top w:val="nil"/>
              <w:left w:val="nil"/>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Stát</w:t>
            </w:r>
          </w:p>
        </w:tc>
        <w:tc>
          <w:tcPr>
            <w:tcW w:w="446" w:type="pct"/>
            <w:tcBorders>
              <w:top w:val="nil"/>
              <w:left w:val="nil"/>
              <w:bottom w:val="single" w:sz="4" w:space="0" w:color="auto"/>
              <w:right w:val="single" w:sz="4" w:space="0" w:color="auto"/>
            </w:tcBorders>
            <w:shd w:val="clear" w:color="000000" w:fill="F2F2F2"/>
            <w:noWrap/>
            <w:vAlign w:val="center"/>
            <w:hideMark/>
          </w:tcPr>
          <w:p w:rsidR="004F2015" w:rsidRPr="0039748C" w:rsidRDefault="004F2015" w:rsidP="003F2AA0">
            <w:pPr>
              <w:rPr>
                <w:b/>
                <w:bCs/>
                <w:sz w:val="18"/>
                <w:szCs w:val="18"/>
              </w:rPr>
            </w:pPr>
            <w:r w:rsidRPr="0039748C">
              <w:rPr>
                <w:b/>
                <w:bCs/>
                <w:sz w:val="18"/>
                <w:szCs w:val="18"/>
              </w:rPr>
              <w:t>Počet</w:t>
            </w:r>
          </w:p>
        </w:tc>
      </w:tr>
      <w:tr w:rsidR="004F2015" w:rsidRPr="0039748C" w:rsidTr="003F2AA0">
        <w:trPr>
          <w:trHeight w:val="170"/>
        </w:trPr>
        <w:tc>
          <w:tcPr>
            <w:tcW w:w="483" w:type="pct"/>
            <w:tcBorders>
              <w:top w:val="nil"/>
              <w:left w:val="single" w:sz="4" w:space="0" w:color="auto"/>
              <w:bottom w:val="single" w:sz="4" w:space="0" w:color="auto"/>
              <w:right w:val="single" w:sz="4" w:space="0" w:color="auto"/>
            </w:tcBorders>
            <w:shd w:val="clear" w:color="auto" w:fill="auto"/>
            <w:hideMark/>
          </w:tcPr>
          <w:p w:rsidR="004F2015" w:rsidRPr="0039748C" w:rsidRDefault="004F2015" w:rsidP="003F2AA0">
            <w:pPr>
              <w:rPr>
                <w:sz w:val="18"/>
                <w:szCs w:val="18"/>
              </w:rPr>
            </w:pPr>
            <w:r w:rsidRPr="0039748C">
              <w:rPr>
                <w:sz w:val="18"/>
                <w:szCs w:val="18"/>
              </w:rPr>
              <w:t>Olomouc</w:t>
            </w:r>
          </w:p>
        </w:tc>
        <w:tc>
          <w:tcPr>
            <w:tcW w:w="375" w:type="pct"/>
            <w:tcBorders>
              <w:top w:val="single" w:sz="4" w:space="0" w:color="auto"/>
              <w:left w:val="single" w:sz="4" w:space="0" w:color="auto"/>
              <w:bottom w:val="single" w:sz="4" w:space="0" w:color="auto"/>
              <w:right w:val="single" w:sz="4" w:space="0" w:color="auto"/>
            </w:tcBorders>
            <w:shd w:val="clear" w:color="000000" w:fill="F8696B"/>
            <w:vAlign w:val="center"/>
            <w:hideMark/>
          </w:tcPr>
          <w:p w:rsidR="004F2015" w:rsidRPr="0039748C" w:rsidRDefault="004F2015" w:rsidP="003F2AA0">
            <w:pPr>
              <w:jc w:val="right"/>
              <w:rPr>
                <w:sz w:val="18"/>
                <w:szCs w:val="18"/>
              </w:rPr>
            </w:pPr>
            <w:r w:rsidRPr="0039748C">
              <w:rPr>
                <w:sz w:val="18"/>
                <w:szCs w:val="18"/>
              </w:rPr>
              <w:t>4 604</w:t>
            </w:r>
          </w:p>
        </w:tc>
        <w:tc>
          <w:tcPr>
            <w:tcW w:w="468" w:type="pct"/>
            <w:tcBorders>
              <w:top w:val="single" w:sz="4" w:space="0" w:color="auto"/>
              <w:left w:val="single" w:sz="4" w:space="0" w:color="auto"/>
              <w:bottom w:val="single" w:sz="4" w:space="0" w:color="auto"/>
              <w:right w:val="single" w:sz="4" w:space="0" w:color="auto"/>
            </w:tcBorders>
            <w:shd w:val="clear" w:color="000000" w:fill="F8696B"/>
            <w:vAlign w:val="center"/>
            <w:hideMark/>
          </w:tcPr>
          <w:p w:rsidR="004F2015" w:rsidRPr="0039748C" w:rsidRDefault="004F2015" w:rsidP="003F2AA0">
            <w:pPr>
              <w:jc w:val="right"/>
              <w:rPr>
                <w:sz w:val="18"/>
                <w:szCs w:val="18"/>
              </w:rPr>
            </w:pPr>
            <w:r w:rsidRPr="0039748C">
              <w:rPr>
                <w:sz w:val="18"/>
                <w:szCs w:val="18"/>
              </w:rPr>
              <w:t>6 448</w:t>
            </w:r>
          </w:p>
        </w:tc>
        <w:tc>
          <w:tcPr>
            <w:tcW w:w="548"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4F2015" w:rsidRPr="0039748C" w:rsidRDefault="004F2015" w:rsidP="003F2AA0">
            <w:pPr>
              <w:jc w:val="right"/>
              <w:rPr>
                <w:sz w:val="18"/>
                <w:szCs w:val="18"/>
              </w:rPr>
            </w:pPr>
            <w:r w:rsidRPr="0039748C">
              <w:rPr>
                <w:sz w:val="18"/>
                <w:szCs w:val="18"/>
              </w:rPr>
              <w:t>1 844</w:t>
            </w:r>
          </w:p>
        </w:tc>
        <w:tc>
          <w:tcPr>
            <w:tcW w:w="632" w:type="pct"/>
            <w:tcBorders>
              <w:top w:val="nil"/>
              <w:left w:val="nil"/>
              <w:bottom w:val="single" w:sz="4" w:space="0" w:color="auto"/>
              <w:right w:val="single" w:sz="4" w:space="0" w:color="auto"/>
            </w:tcBorders>
            <w:shd w:val="clear" w:color="000000" w:fill="DCE6F1"/>
            <w:noWrap/>
            <w:vAlign w:val="bottom"/>
            <w:hideMark/>
          </w:tcPr>
          <w:p w:rsidR="004F2015" w:rsidRPr="0039748C" w:rsidRDefault="004F2015" w:rsidP="003F2AA0">
            <w:pPr>
              <w:rPr>
                <w:sz w:val="18"/>
                <w:szCs w:val="18"/>
              </w:rPr>
            </w:pPr>
            <w:r w:rsidRPr="0039748C">
              <w:rPr>
                <w:sz w:val="18"/>
                <w:szCs w:val="18"/>
              </w:rPr>
              <w:t>Ukrajina</w:t>
            </w:r>
          </w:p>
        </w:tc>
        <w:tc>
          <w:tcPr>
            <w:tcW w:w="393"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1 562</w:t>
            </w:r>
          </w:p>
        </w:tc>
        <w:tc>
          <w:tcPr>
            <w:tcW w:w="636" w:type="pct"/>
            <w:tcBorders>
              <w:top w:val="nil"/>
              <w:left w:val="nil"/>
              <w:bottom w:val="single" w:sz="4" w:space="0" w:color="auto"/>
              <w:right w:val="single" w:sz="4" w:space="0" w:color="auto"/>
            </w:tcBorders>
            <w:shd w:val="clear" w:color="000000" w:fill="FFCCCC"/>
            <w:noWrap/>
            <w:vAlign w:val="bottom"/>
            <w:hideMark/>
          </w:tcPr>
          <w:p w:rsidR="004F2015" w:rsidRPr="0039748C" w:rsidRDefault="004F2015" w:rsidP="003F2AA0">
            <w:pPr>
              <w:rPr>
                <w:sz w:val="18"/>
                <w:szCs w:val="18"/>
              </w:rPr>
            </w:pPr>
            <w:r w:rsidRPr="0039748C">
              <w:rPr>
                <w:sz w:val="18"/>
                <w:szCs w:val="18"/>
              </w:rPr>
              <w:t>Slovensko</w:t>
            </w:r>
          </w:p>
        </w:tc>
        <w:tc>
          <w:tcPr>
            <w:tcW w:w="399"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1 267</w:t>
            </w:r>
          </w:p>
        </w:tc>
        <w:tc>
          <w:tcPr>
            <w:tcW w:w="619" w:type="pct"/>
            <w:tcBorders>
              <w:top w:val="nil"/>
              <w:left w:val="nil"/>
              <w:bottom w:val="single" w:sz="4" w:space="0" w:color="auto"/>
              <w:right w:val="single" w:sz="4" w:space="0" w:color="auto"/>
            </w:tcBorders>
            <w:shd w:val="clear" w:color="000000" w:fill="FFFF99"/>
            <w:noWrap/>
            <w:vAlign w:val="bottom"/>
            <w:hideMark/>
          </w:tcPr>
          <w:p w:rsidR="004F2015" w:rsidRPr="0039748C" w:rsidRDefault="004F2015" w:rsidP="003F2AA0">
            <w:pPr>
              <w:rPr>
                <w:sz w:val="18"/>
                <w:szCs w:val="18"/>
              </w:rPr>
            </w:pPr>
            <w:r w:rsidRPr="0039748C">
              <w:rPr>
                <w:sz w:val="18"/>
                <w:szCs w:val="18"/>
              </w:rPr>
              <w:t>Vietnam</w:t>
            </w:r>
          </w:p>
        </w:tc>
        <w:tc>
          <w:tcPr>
            <w:tcW w:w="446"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719</w:t>
            </w:r>
          </w:p>
        </w:tc>
      </w:tr>
      <w:tr w:rsidR="004F2015" w:rsidRPr="0039748C" w:rsidTr="003F2AA0">
        <w:trPr>
          <w:trHeight w:val="170"/>
        </w:trPr>
        <w:tc>
          <w:tcPr>
            <w:tcW w:w="483" w:type="pct"/>
            <w:tcBorders>
              <w:top w:val="nil"/>
              <w:left w:val="single" w:sz="4" w:space="0" w:color="auto"/>
              <w:bottom w:val="single" w:sz="4" w:space="0" w:color="auto"/>
              <w:right w:val="single" w:sz="4" w:space="0" w:color="auto"/>
            </w:tcBorders>
            <w:shd w:val="clear" w:color="auto" w:fill="auto"/>
            <w:hideMark/>
          </w:tcPr>
          <w:p w:rsidR="004F2015" w:rsidRPr="0039748C" w:rsidRDefault="004F2015" w:rsidP="003F2AA0">
            <w:pPr>
              <w:rPr>
                <w:sz w:val="18"/>
                <w:szCs w:val="18"/>
              </w:rPr>
            </w:pPr>
            <w:r w:rsidRPr="0039748C">
              <w:rPr>
                <w:sz w:val="18"/>
                <w:szCs w:val="18"/>
              </w:rPr>
              <w:t>Přerov</w:t>
            </w:r>
          </w:p>
        </w:tc>
        <w:tc>
          <w:tcPr>
            <w:tcW w:w="375" w:type="pct"/>
            <w:tcBorders>
              <w:top w:val="single" w:sz="4" w:space="0" w:color="auto"/>
              <w:left w:val="single" w:sz="4" w:space="0" w:color="auto"/>
              <w:bottom w:val="single" w:sz="4" w:space="0" w:color="auto"/>
              <w:right w:val="single" w:sz="4" w:space="0" w:color="auto"/>
            </w:tcBorders>
            <w:shd w:val="clear" w:color="000000" w:fill="FBD6D9"/>
            <w:vAlign w:val="center"/>
            <w:hideMark/>
          </w:tcPr>
          <w:p w:rsidR="004F2015" w:rsidRPr="0039748C" w:rsidRDefault="004F2015" w:rsidP="003F2AA0">
            <w:pPr>
              <w:jc w:val="right"/>
              <w:rPr>
                <w:sz w:val="18"/>
                <w:szCs w:val="18"/>
              </w:rPr>
            </w:pPr>
            <w:r w:rsidRPr="0039748C">
              <w:rPr>
                <w:sz w:val="18"/>
                <w:szCs w:val="18"/>
              </w:rPr>
              <w:t>1 804</w:t>
            </w:r>
          </w:p>
        </w:tc>
        <w:tc>
          <w:tcPr>
            <w:tcW w:w="468" w:type="pct"/>
            <w:tcBorders>
              <w:top w:val="single" w:sz="4" w:space="0" w:color="auto"/>
              <w:left w:val="single" w:sz="4" w:space="0" w:color="auto"/>
              <w:bottom w:val="single" w:sz="4" w:space="0" w:color="auto"/>
              <w:right w:val="single" w:sz="4" w:space="0" w:color="auto"/>
            </w:tcBorders>
            <w:shd w:val="clear" w:color="000000" w:fill="FBCCCF"/>
            <w:vAlign w:val="center"/>
            <w:hideMark/>
          </w:tcPr>
          <w:p w:rsidR="004F2015" w:rsidRPr="0039748C" w:rsidRDefault="004F2015" w:rsidP="003F2AA0">
            <w:pPr>
              <w:jc w:val="right"/>
              <w:rPr>
                <w:sz w:val="18"/>
                <w:szCs w:val="18"/>
              </w:rPr>
            </w:pPr>
            <w:r w:rsidRPr="0039748C">
              <w:rPr>
                <w:sz w:val="18"/>
                <w:szCs w:val="18"/>
              </w:rPr>
              <w:t>2 618</w:t>
            </w:r>
          </w:p>
        </w:tc>
        <w:tc>
          <w:tcPr>
            <w:tcW w:w="548" w:type="pct"/>
            <w:tcBorders>
              <w:top w:val="single" w:sz="4" w:space="0" w:color="auto"/>
              <w:left w:val="single" w:sz="4" w:space="0" w:color="auto"/>
              <w:bottom w:val="single" w:sz="4" w:space="0" w:color="auto"/>
              <w:right w:val="single" w:sz="4" w:space="0" w:color="auto"/>
            </w:tcBorders>
            <w:shd w:val="clear" w:color="000000" w:fill="B6E0C3"/>
            <w:noWrap/>
            <w:vAlign w:val="bottom"/>
            <w:hideMark/>
          </w:tcPr>
          <w:p w:rsidR="004F2015" w:rsidRPr="0039748C" w:rsidRDefault="004F2015" w:rsidP="003F2AA0">
            <w:pPr>
              <w:jc w:val="right"/>
              <w:rPr>
                <w:sz w:val="18"/>
                <w:szCs w:val="18"/>
              </w:rPr>
            </w:pPr>
            <w:r w:rsidRPr="0039748C">
              <w:rPr>
                <w:sz w:val="18"/>
                <w:szCs w:val="18"/>
              </w:rPr>
              <w:t>814</w:t>
            </w:r>
          </w:p>
        </w:tc>
        <w:tc>
          <w:tcPr>
            <w:tcW w:w="632" w:type="pct"/>
            <w:tcBorders>
              <w:top w:val="nil"/>
              <w:left w:val="nil"/>
              <w:bottom w:val="single" w:sz="4" w:space="0" w:color="auto"/>
              <w:right w:val="single" w:sz="4" w:space="0" w:color="auto"/>
            </w:tcBorders>
            <w:shd w:val="clear" w:color="000000" w:fill="FFCCCC"/>
            <w:noWrap/>
            <w:vAlign w:val="bottom"/>
            <w:hideMark/>
          </w:tcPr>
          <w:p w:rsidR="004F2015" w:rsidRPr="0039748C" w:rsidRDefault="004F2015" w:rsidP="003F2AA0">
            <w:pPr>
              <w:rPr>
                <w:sz w:val="18"/>
                <w:szCs w:val="18"/>
              </w:rPr>
            </w:pPr>
            <w:r w:rsidRPr="0039748C">
              <w:rPr>
                <w:sz w:val="18"/>
                <w:szCs w:val="18"/>
              </w:rPr>
              <w:t>Slovensko</w:t>
            </w:r>
          </w:p>
        </w:tc>
        <w:tc>
          <w:tcPr>
            <w:tcW w:w="393"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695</w:t>
            </w:r>
          </w:p>
        </w:tc>
        <w:tc>
          <w:tcPr>
            <w:tcW w:w="636" w:type="pct"/>
            <w:tcBorders>
              <w:top w:val="nil"/>
              <w:left w:val="nil"/>
              <w:bottom w:val="single" w:sz="4" w:space="0" w:color="auto"/>
              <w:right w:val="single" w:sz="4" w:space="0" w:color="auto"/>
            </w:tcBorders>
            <w:shd w:val="clear" w:color="000000" w:fill="DCE6F1"/>
            <w:noWrap/>
            <w:vAlign w:val="bottom"/>
            <w:hideMark/>
          </w:tcPr>
          <w:p w:rsidR="004F2015" w:rsidRPr="0039748C" w:rsidRDefault="004F2015" w:rsidP="003F2AA0">
            <w:pPr>
              <w:rPr>
                <w:sz w:val="18"/>
                <w:szCs w:val="18"/>
              </w:rPr>
            </w:pPr>
            <w:r w:rsidRPr="0039748C">
              <w:rPr>
                <w:sz w:val="18"/>
                <w:szCs w:val="18"/>
              </w:rPr>
              <w:t>Ukrajina</w:t>
            </w:r>
          </w:p>
        </w:tc>
        <w:tc>
          <w:tcPr>
            <w:tcW w:w="399"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596</w:t>
            </w:r>
          </w:p>
        </w:tc>
        <w:tc>
          <w:tcPr>
            <w:tcW w:w="619" w:type="pct"/>
            <w:tcBorders>
              <w:top w:val="nil"/>
              <w:left w:val="nil"/>
              <w:bottom w:val="single" w:sz="4" w:space="0" w:color="auto"/>
              <w:right w:val="single" w:sz="4" w:space="0" w:color="auto"/>
            </w:tcBorders>
            <w:shd w:val="clear" w:color="000000" w:fill="FFFF99"/>
            <w:noWrap/>
            <w:vAlign w:val="bottom"/>
            <w:hideMark/>
          </w:tcPr>
          <w:p w:rsidR="004F2015" w:rsidRPr="0039748C" w:rsidRDefault="004F2015" w:rsidP="003F2AA0">
            <w:pPr>
              <w:rPr>
                <w:sz w:val="18"/>
                <w:szCs w:val="18"/>
              </w:rPr>
            </w:pPr>
            <w:r w:rsidRPr="0039748C">
              <w:rPr>
                <w:sz w:val="18"/>
                <w:szCs w:val="18"/>
              </w:rPr>
              <w:t>Vietnam</w:t>
            </w:r>
          </w:p>
        </w:tc>
        <w:tc>
          <w:tcPr>
            <w:tcW w:w="446"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477</w:t>
            </w:r>
          </w:p>
        </w:tc>
      </w:tr>
      <w:tr w:rsidR="004F2015" w:rsidRPr="0039748C" w:rsidTr="003F2AA0">
        <w:trPr>
          <w:trHeight w:val="170"/>
        </w:trPr>
        <w:tc>
          <w:tcPr>
            <w:tcW w:w="483" w:type="pct"/>
            <w:tcBorders>
              <w:top w:val="nil"/>
              <w:left w:val="single" w:sz="4" w:space="0" w:color="auto"/>
              <w:bottom w:val="single" w:sz="4" w:space="0" w:color="auto"/>
              <w:right w:val="single" w:sz="4" w:space="0" w:color="auto"/>
            </w:tcBorders>
            <w:shd w:val="clear" w:color="auto" w:fill="auto"/>
            <w:hideMark/>
          </w:tcPr>
          <w:p w:rsidR="004F2015" w:rsidRPr="0039748C" w:rsidRDefault="004F2015" w:rsidP="003F2AA0">
            <w:pPr>
              <w:rPr>
                <w:sz w:val="18"/>
                <w:szCs w:val="18"/>
              </w:rPr>
            </w:pPr>
            <w:r w:rsidRPr="0039748C">
              <w:rPr>
                <w:sz w:val="18"/>
                <w:szCs w:val="18"/>
              </w:rPr>
              <w:t>Prostějov</w:t>
            </w:r>
          </w:p>
        </w:tc>
        <w:tc>
          <w:tcPr>
            <w:tcW w:w="375" w:type="pct"/>
            <w:tcBorders>
              <w:top w:val="single" w:sz="4" w:space="0" w:color="auto"/>
              <w:left w:val="single" w:sz="4" w:space="0" w:color="auto"/>
              <w:bottom w:val="single" w:sz="4" w:space="0" w:color="auto"/>
              <w:right w:val="single" w:sz="4" w:space="0" w:color="auto"/>
            </w:tcBorders>
            <w:shd w:val="clear" w:color="000000" w:fill="FCE9EC"/>
            <w:vAlign w:val="center"/>
            <w:hideMark/>
          </w:tcPr>
          <w:p w:rsidR="004F2015" w:rsidRPr="0039748C" w:rsidRDefault="004F2015" w:rsidP="003F2AA0">
            <w:pPr>
              <w:jc w:val="right"/>
              <w:rPr>
                <w:sz w:val="18"/>
                <w:szCs w:val="18"/>
              </w:rPr>
            </w:pPr>
            <w:r w:rsidRPr="0039748C">
              <w:rPr>
                <w:sz w:val="18"/>
                <w:szCs w:val="18"/>
              </w:rPr>
              <w:t>1 305</w:t>
            </w:r>
          </w:p>
        </w:tc>
        <w:tc>
          <w:tcPr>
            <w:tcW w:w="468" w:type="pct"/>
            <w:tcBorders>
              <w:top w:val="single" w:sz="4" w:space="0" w:color="auto"/>
              <w:left w:val="single" w:sz="4" w:space="0" w:color="auto"/>
              <w:bottom w:val="single" w:sz="4" w:space="0" w:color="auto"/>
              <w:right w:val="single" w:sz="4" w:space="0" w:color="auto"/>
            </w:tcBorders>
            <w:shd w:val="clear" w:color="000000" w:fill="FBD7D9"/>
            <w:vAlign w:val="center"/>
            <w:hideMark/>
          </w:tcPr>
          <w:p w:rsidR="004F2015" w:rsidRPr="0039748C" w:rsidRDefault="004F2015" w:rsidP="003F2AA0">
            <w:pPr>
              <w:jc w:val="right"/>
              <w:rPr>
                <w:sz w:val="18"/>
                <w:szCs w:val="18"/>
              </w:rPr>
            </w:pPr>
            <w:r w:rsidRPr="0039748C">
              <w:rPr>
                <w:sz w:val="18"/>
                <w:szCs w:val="18"/>
              </w:rPr>
              <w:t>2 206</w:t>
            </w:r>
          </w:p>
        </w:tc>
        <w:tc>
          <w:tcPr>
            <w:tcW w:w="548" w:type="pct"/>
            <w:tcBorders>
              <w:top w:val="single" w:sz="4" w:space="0" w:color="auto"/>
              <w:left w:val="single" w:sz="4" w:space="0" w:color="auto"/>
              <w:bottom w:val="single" w:sz="4" w:space="0" w:color="auto"/>
              <w:right w:val="single" w:sz="4" w:space="0" w:color="auto"/>
            </w:tcBorders>
            <w:shd w:val="clear" w:color="000000" w:fill="AFDDBD"/>
            <w:noWrap/>
            <w:vAlign w:val="bottom"/>
            <w:hideMark/>
          </w:tcPr>
          <w:p w:rsidR="004F2015" w:rsidRPr="0039748C" w:rsidRDefault="004F2015" w:rsidP="003F2AA0">
            <w:pPr>
              <w:jc w:val="right"/>
              <w:rPr>
                <w:sz w:val="18"/>
                <w:szCs w:val="18"/>
              </w:rPr>
            </w:pPr>
            <w:r w:rsidRPr="0039748C">
              <w:rPr>
                <w:sz w:val="18"/>
                <w:szCs w:val="18"/>
              </w:rPr>
              <w:t>901</w:t>
            </w:r>
          </w:p>
        </w:tc>
        <w:tc>
          <w:tcPr>
            <w:tcW w:w="632" w:type="pct"/>
            <w:tcBorders>
              <w:top w:val="nil"/>
              <w:left w:val="nil"/>
              <w:bottom w:val="single" w:sz="4" w:space="0" w:color="auto"/>
              <w:right w:val="single" w:sz="4" w:space="0" w:color="auto"/>
            </w:tcBorders>
            <w:shd w:val="clear" w:color="000000" w:fill="DCE6F1"/>
            <w:noWrap/>
            <w:vAlign w:val="bottom"/>
            <w:hideMark/>
          </w:tcPr>
          <w:p w:rsidR="004F2015" w:rsidRPr="0039748C" w:rsidRDefault="004F2015" w:rsidP="003F2AA0">
            <w:pPr>
              <w:rPr>
                <w:sz w:val="18"/>
                <w:szCs w:val="18"/>
              </w:rPr>
            </w:pPr>
            <w:r w:rsidRPr="0039748C">
              <w:rPr>
                <w:sz w:val="18"/>
                <w:szCs w:val="18"/>
              </w:rPr>
              <w:t>Ukrajina</w:t>
            </w:r>
          </w:p>
        </w:tc>
        <w:tc>
          <w:tcPr>
            <w:tcW w:w="393"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766</w:t>
            </w:r>
          </w:p>
        </w:tc>
        <w:tc>
          <w:tcPr>
            <w:tcW w:w="636" w:type="pct"/>
            <w:tcBorders>
              <w:top w:val="nil"/>
              <w:left w:val="nil"/>
              <w:bottom w:val="single" w:sz="4" w:space="0" w:color="auto"/>
              <w:right w:val="single" w:sz="4" w:space="0" w:color="auto"/>
            </w:tcBorders>
            <w:shd w:val="clear" w:color="000000" w:fill="FFCCCC"/>
            <w:noWrap/>
            <w:vAlign w:val="bottom"/>
            <w:hideMark/>
          </w:tcPr>
          <w:p w:rsidR="004F2015" w:rsidRPr="0039748C" w:rsidRDefault="004F2015" w:rsidP="003F2AA0">
            <w:pPr>
              <w:rPr>
                <w:sz w:val="18"/>
                <w:szCs w:val="18"/>
              </w:rPr>
            </w:pPr>
            <w:r w:rsidRPr="0039748C">
              <w:rPr>
                <w:sz w:val="18"/>
                <w:szCs w:val="18"/>
              </w:rPr>
              <w:t>Slovensko</w:t>
            </w:r>
          </w:p>
        </w:tc>
        <w:tc>
          <w:tcPr>
            <w:tcW w:w="399"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594</w:t>
            </w:r>
          </w:p>
        </w:tc>
        <w:tc>
          <w:tcPr>
            <w:tcW w:w="619" w:type="pct"/>
            <w:tcBorders>
              <w:top w:val="nil"/>
              <w:left w:val="nil"/>
              <w:bottom w:val="single" w:sz="4" w:space="0" w:color="auto"/>
              <w:right w:val="single" w:sz="4" w:space="0" w:color="auto"/>
            </w:tcBorders>
            <w:shd w:val="clear" w:color="000000" w:fill="FFFF99"/>
            <w:noWrap/>
            <w:vAlign w:val="bottom"/>
            <w:hideMark/>
          </w:tcPr>
          <w:p w:rsidR="004F2015" w:rsidRPr="0039748C" w:rsidRDefault="004F2015" w:rsidP="003F2AA0">
            <w:pPr>
              <w:rPr>
                <w:sz w:val="18"/>
                <w:szCs w:val="18"/>
              </w:rPr>
            </w:pPr>
            <w:r w:rsidRPr="0039748C">
              <w:rPr>
                <w:sz w:val="18"/>
                <w:szCs w:val="18"/>
              </w:rPr>
              <w:t>Vietnam</w:t>
            </w:r>
          </w:p>
        </w:tc>
        <w:tc>
          <w:tcPr>
            <w:tcW w:w="446"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216</w:t>
            </w:r>
          </w:p>
        </w:tc>
      </w:tr>
      <w:tr w:rsidR="004F2015" w:rsidRPr="0039748C" w:rsidTr="003F2AA0">
        <w:trPr>
          <w:trHeight w:val="170"/>
        </w:trPr>
        <w:tc>
          <w:tcPr>
            <w:tcW w:w="483" w:type="pct"/>
            <w:tcBorders>
              <w:top w:val="nil"/>
              <w:left w:val="single" w:sz="4" w:space="0" w:color="auto"/>
              <w:bottom w:val="single" w:sz="4" w:space="0" w:color="auto"/>
              <w:right w:val="single" w:sz="4" w:space="0" w:color="auto"/>
            </w:tcBorders>
            <w:shd w:val="clear" w:color="auto" w:fill="auto"/>
            <w:hideMark/>
          </w:tcPr>
          <w:p w:rsidR="004F2015" w:rsidRPr="0039748C" w:rsidRDefault="004F2015" w:rsidP="003F2AA0">
            <w:pPr>
              <w:rPr>
                <w:sz w:val="18"/>
                <w:szCs w:val="18"/>
              </w:rPr>
            </w:pPr>
            <w:r w:rsidRPr="0039748C">
              <w:rPr>
                <w:sz w:val="18"/>
                <w:szCs w:val="18"/>
              </w:rPr>
              <w:t>Šumperk</w:t>
            </w:r>
          </w:p>
        </w:tc>
        <w:tc>
          <w:tcPr>
            <w:tcW w:w="375" w:type="pct"/>
            <w:tcBorders>
              <w:top w:val="single" w:sz="4" w:space="0" w:color="auto"/>
              <w:left w:val="single" w:sz="4" w:space="0" w:color="auto"/>
              <w:bottom w:val="single" w:sz="4" w:space="0" w:color="auto"/>
              <w:right w:val="single" w:sz="4" w:space="0" w:color="auto"/>
            </w:tcBorders>
            <w:shd w:val="clear" w:color="000000" w:fill="FCECEF"/>
            <w:vAlign w:val="center"/>
            <w:hideMark/>
          </w:tcPr>
          <w:p w:rsidR="004F2015" w:rsidRPr="0039748C" w:rsidRDefault="004F2015" w:rsidP="003F2AA0">
            <w:pPr>
              <w:jc w:val="right"/>
              <w:rPr>
                <w:sz w:val="18"/>
                <w:szCs w:val="18"/>
              </w:rPr>
            </w:pPr>
            <w:r w:rsidRPr="0039748C">
              <w:rPr>
                <w:sz w:val="18"/>
                <w:szCs w:val="18"/>
              </w:rPr>
              <w:t>1 244</w:t>
            </w:r>
          </w:p>
        </w:tc>
        <w:tc>
          <w:tcPr>
            <w:tcW w:w="468" w:type="pct"/>
            <w:tcBorders>
              <w:top w:val="single" w:sz="4" w:space="0" w:color="auto"/>
              <w:left w:val="single" w:sz="4" w:space="0" w:color="auto"/>
              <w:bottom w:val="single" w:sz="4" w:space="0" w:color="auto"/>
              <w:right w:val="single" w:sz="4" w:space="0" w:color="auto"/>
            </w:tcBorders>
            <w:shd w:val="clear" w:color="000000" w:fill="FCE3E5"/>
            <w:vAlign w:val="center"/>
            <w:hideMark/>
          </w:tcPr>
          <w:p w:rsidR="004F2015" w:rsidRPr="0039748C" w:rsidRDefault="004F2015" w:rsidP="003F2AA0">
            <w:pPr>
              <w:jc w:val="right"/>
              <w:rPr>
                <w:sz w:val="18"/>
                <w:szCs w:val="18"/>
              </w:rPr>
            </w:pPr>
            <w:r w:rsidRPr="0039748C">
              <w:rPr>
                <w:sz w:val="18"/>
                <w:szCs w:val="18"/>
              </w:rPr>
              <w:t>1 744</w:t>
            </w:r>
          </w:p>
        </w:tc>
        <w:tc>
          <w:tcPr>
            <w:tcW w:w="548" w:type="pct"/>
            <w:tcBorders>
              <w:top w:val="single" w:sz="4" w:space="0" w:color="auto"/>
              <w:left w:val="single" w:sz="4" w:space="0" w:color="auto"/>
              <w:bottom w:val="single" w:sz="4" w:space="0" w:color="auto"/>
              <w:right w:val="single" w:sz="4" w:space="0" w:color="auto"/>
            </w:tcBorders>
            <w:shd w:val="clear" w:color="000000" w:fill="CFEAD8"/>
            <w:noWrap/>
            <w:vAlign w:val="bottom"/>
            <w:hideMark/>
          </w:tcPr>
          <w:p w:rsidR="004F2015" w:rsidRPr="0039748C" w:rsidRDefault="004F2015" w:rsidP="003F2AA0">
            <w:pPr>
              <w:jc w:val="right"/>
              <w:rPr>
                <w:sz w:val="18"/>
                <w:szCs w:val="18"/>
              </w:rPr>
            </w:pPr>
            <w:r w:rsidRPr="0039748C">
              <w:rPr>
                <w:sz w:val="18"/>
                <w:szCs w:val="18"/>
              </w:rPr>
              <w:t>500</w:t>
            </w:r>
          </w:p>
        </w:tc>
        <w:tc>
          <w:tcPr>
            <w:tcW w:w="632" w:type="pct"/>
            <w:tcBorders>
              <w:top w:val="nil"/>
              <w:left w:val="nil"/>
              <w:bottom w:val="single" w:sz="4" w:space="0" w:color="auto"/>
              <w:right w:val="single" w:sz="4" w:space="0" w:color="auto"/>
            </w:tcBorders>
            <w:shd w:val="clear" w:color="000000" w:fill="DCE6F1"/>
            <w:noWrap/>
            <w:vAlign w:val="bottom"/>
            <w:hideMark/>
          </w:tcPr>
          <w:p w:rsidR="004F2015" w:rsidRPr="0039748C" w:rsidRDefault="004F2015" w:rsidP="003F2AA0">
            <w:pPr>
              <w:rPr>
                <w:sz w:val="18"/>
                <w:szCs w:val="18"/>
              </w:rPr>
            </w:pPr>
            <w:r w:rsidRPr="0039748C">
              <w:rPr>
                <w:sz w:val="18"/>
                <w:szCs w:val="18"/>
              </w:rPr>
              <w:t>Ukrajina</w:t>
            </w:r>
          </w:p>
        </w:tc>
        <w:tc>
          <w:tcPr>
            <w:tcW w:w="393"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490</w:t>
            </w:r>
          </w:p>
        </w:tc>
        <w:tc>
          <w:tcPr>
            <w:tcW w:w="636" w:type="pct"/>
            <w:tcBorders>
              <w:top w:val="nil"/>
              <w:left w:val="nil"/>
              <w:bottom w:val="single" w:sz="4" w:space="0" w:color="auto"/>
              <w:right w:val="single" w:sz="4" w:space="0" w:color="auto"/>
            </w:tcBorders>
            <w:shd w:val="clear" w:color="000000" w:fill="FFCCCC"/>
            <w:noWrap/>
            <w:vAlign w:val="bottom"/>
            <w:hideMark/>
          </w:tcPr>
          <w:p w:rsidR="004F2015" w:rsidRPr="0039748C" w:rsidRDefault="004F2015" w:rsidP="003F2AA0">
            <w:pPr>
              <w:rPr>
                <w:sz w:val="18"/>
                <w:szCs w:val="18"/>
              </w:rPr>
            </w:pPr>
            <w:r w:rsidRPr="0039748C">
              <w:rPr>
                <w:sz w:val="18"/>
                <w:szCs w:val="18"/>
              </w:rPr>
              <w:t>Slovensko</w:t>
            </w:r>
          </w:p>
        </w:tc>
        <w:tc>
          <w:tcPr>
            <w:tcW w:w="399"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337</w:t>
            </w:r>
          </w:p>
        </w:tc>
        <w:tc>
          <w:tcPr>
            <w:tcW w:w="619" w:type="pct"/>
            <w:tcBorders>
              <w:top w:val="nil"/>
              <w:left w:val="nil"/>
              <w:bottom w:val="single" w:sz="4" w:space="0" w:color="auto"/>
              <w:right w:val="single" w:sz="4" w:space="0" w:color="auto"/>
            </w:tcBorders>
            <w:shd w:val="clear" w:color="000000" w:fill="FFFF99"/>
            <w:noWrap/>
            <w:vAlign w:val="bottom"/>
            <w:hideMark/>
          </w:tcPr>
          <w:p w:rsidR="004F2015" w:rsidRPr="0039748C" w:rsidRDefault="004F2015" w:rsidP="003F2AA0">
            <w:pPr>
              <w:rPr>
                <w:sz w:val="18"/>
                <w:szCs w:val="18"/>
              </w:rPr>
            </w:pPr>
            <w:r w:rsidRPr="0039748C">
              <w:rPr>
                <w:sz w:val="18"/>
                <w:szCs w:val="18"/>
              </w:rPr>
              <w:t>Vietnam</w:t>
            </w:r>
          </w:p>
        </w:tc>
        <w:tc>
          <w:tcPr>
            <w:tcW w:w="446"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275</w:t>
            </w:r>
          </w:p>
        </w:tc>
      </w:tr>
      <w:tr w:rsidR="004F2015" w:rsidRPr="0039748C" w:rsidTr="003F2AA0">
        <w:trPr>
          <w:trHeight w:val="170"/>
        </w:trPr>
        <w:tc>
          <w:tcPr>
            <w:tcW w:w="483" w:type="pct"/>
            <w:tcBorders>
              <w:top w:val="nil"/>
              <w:left w:val="single" w:sz="4" w:space="0" w:color="auto"/>
              <w:bottom w:val="single" w:sz="4" w:space="0" w:color="auto"/>
              <w:right w:val="single" w:sz="4" w:space="0" w:color="auto"/>
            </w:tcBorders>
            <w:shd w:val="clear" w:color="auto" w:fill="auto"/>
            <w:hideMark/>
          </w:tcPr>
          <w:p w:rsidR="004F2015" w:rsidRPr="0039748C" w:rsidRDefault="004F2015" w:rsidP="003F2AA0">
            <w:pPr>
              <w:rPr>
                <w:sz w:val="18"/>
                <w:szCs w:val="18"/>
              </w:rPr>
            </w:pPr>
            <w:r w:rsidRPr="0039748C">
              <w:rPr>
                <w:sz w:val="18"/>
                <w:szCs w:val="18"/>
              </w:rPr>
              <w:t>Jeseník</w:t>
            </w:r>
          </w:p>
        </w:tc>
        <w:tc>
          <w:tcPr>
            <w:tcW w:w="375"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4F2015" w:rsidRPr="0039748C" w:rsidRDefault="004F2015" w:rsidP="003F2AA0">
            <w:pPr>
              <w:jc w:val="right"/>
              <w:rPr>
                <w:sz w:val="18"/>
                <w:szCs w:val="18"/>
              </w:rPr>
            </w:pPr>
            <w:r w:rsidRPr="0039748C">
              <w:rPr>
                <w:sz w:val="18"/>
                <w:szCs w:val="18"/>
              </w:rPr>
              <w:t>808</w:t>
            </w:r>
          </w:p>
        </w:tc>
        <w:tc>
          <w:tcPr>
            <w:tcW w:w="468" w:type="pct"/>
            <w:tcBorders>
              <w:top w:val="single" w:sz="4" w:space="0" w:color="auto"/>
              <w:left w:val="single" w:sz="4" w:space="0" w:color="auto"/>
              <w:bottom w:val="single" w:sz="4" w:space="0" w:color="auto"/>
              <w:right w:val="single" w:sz="4" w:space="0" w:color="auto"/>
            </w:tcBorders>
            <w:shd w:val="clear" w:color="000000" w:fill="FCFCFF"/>
            <w:vAlign w:val="center"/>
            <w:hideMark/>
          </w:tcPr>
          <w:p w:rsidR="004F2015" w:rsidRPr="0039748C" w:rsidRDefault="004F2015" w:rsidP="003F2AA0">
            <w:pPr>
              <w:jc w:val="right"/>
              <w:rPr>
                <w:sz w:val="18"/>
                <w:szCs w:val="18"/>
              </w:rPr>
            </w:pPr>
            <w:r w:rsidRPr="0039748C">
              <w:rPr>
                <w:sz w:val="18"/>
                <w:szCs w:val="18"/>
              </w:rPr>
              <w:t>739</w:t>
            </w:r>
          </w:p>
        </w:tc>
        <w:tc>
          <w:tcPr>
            <w:tcW w:w="54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4F2015" w:rsidRPr="0039748C" w:rsidRDefault="004F2015" w:rsidP="003F2AA0">
            <w:pPr>
              <w:jc w:val="right"/>
              <w:rPr>
                <w:sz w:val="18"/>
                <w:szCs w:val="18"/>
              </w:rPr>
            </w:pPr>
            <w:r w:rsidRPr="0039748C">
              <w:rPr>
                <w:sz w:val="18"/>
                <w:szCs w:val="18"/>
              </w:rPr>
              <w:t>-69</w:t>
            </w:r>
          </w:p>
        </w:tc>
        <w:tc>
          <w:tcPr>
            <w:tcW w:w="632" w:type="pct"/>
            <w:tcBorders>
              <w:top w:val="nil"/>
              <w:left w:val="nil"/>
              <w:bottom w:val="single" w:sz="4" w:space="0" w:color="auto"/>
              <w:right w:val="single" w:sz="4" w:space="0" w:color="auto"/>
            </w:tcBorders>
            <w:shd w:val="clear" w:color="000000" w:fill="FFCCCC"/>
            <w:noWrap/>
            <w:vAlign w:val="bottom"/>
            <w:hideMark/>
          </w:tcPr>
          <w:p w:rsidR="004F2015" w:rsidRPr="0039748C" w:rsidRDefault="004F2015" w:rsidP="003F2AA0">
            <w:pPr>
              <w:rPr>
                <w:sz w:val="18"/>
                <w:szCs w:val="18"/>
              </w:rPr>
            </w:pPr>
            <w:r w:rsidRPr="0039748C">
              <w:rPr>
                <w:sz w:val="18"/>
                <w:szCs w:val="18"/>
              </w:rPr>
              <w:t>Slovensko</w:t>
            </w:r>
          </w:p>
        </w:tc>
        <w:tc>
          <w:tcPr>
            <w:tcW w:w="393"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173</w:t>
            </w:r>
          </w:p>
        </w:tc>
        <w:tc>
          <w:tcPr>
            <w:tcW w:w="636" w:type="pct"/>
            <w:tcBorders>
              <w:top w:val="nil"/>
              <w:left w:val="nil"/>
              <w:bottom w:val="single" w:sz="4" w:space="0" w:color="auto"/>
              <w:right w:val="single" w:sz="4" w:space="0" w:color="auto"/>
            </w:tcBorders>
            <w:shd w:val="clear" w:color="000000" w:fill="FF9999"/>
            <w:noWrap/>
            <w:vAlign w:val="bottom"/>
            <w:hideMark/>
          </w:tcPr>
          <w:p w:rsidR="004F2015" w:rsidRPr="0039748C" w:rsidRDefault="004F2015" w:rsidP="003F2AA0">
            <w:pPr>
              <w:rPr>
                <w:sz w:val="18"/>
                <w:szCs w:val="18"/>
              </w:rPr>
            </w:pPr>
            <w:r w:rsidRPr="0039748C">
              <w:rPr>
                <w:sz w:val="18"/>
                <w:szCs w:val="18"/>
              </w:rPr>
              <w:t>Polsko</w:t>
            </w:r>
          </w:p>
        </w:tc>
        <w:tc>
          <w:tcPr>
            <w:tcW w:w="399"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149</w:t>
            </w:r>
          </w:p>
        </w:tc>
        <w:tc>
          <w:tcPr>
            <w:tcW w:w="619" w:type="pct"/>
            <w:tcBorders>
              <w:top w:val="nil"/>
              <w:left w:val="nil"/>
              <w:bottom w:val="single" w:sz="4" w:space="0" w:color="auto"/>
              <w:right w:val="single" w:sz="4" w:space="0" w:color="auto"/>
            </w:tcBorders>
            <w:shd w:val="clear" w:color="000000" w:fill="FFFF99"/>
            <w:noWrap/>
            <w:vAlign w:val="bottom"/>
            <w:hideMark/>
          </w:tcPr>
          <w:p w:rsidR="004F2015" w:rsidRPr="0039748C" w:rsidRDefault="004F2015" w:rsidP="003F2AA0">
            <w:pPr>
              <w:rPr>
                <w:sz w:val="18"/>
                <w:szCs w:val="18"/>
              </w:rPr>
            </w:pPr>
            <w:r w:rsidRPr="0039748C">
              <w:rPr>
                <w:sz w:val="18"/>
                <w:szCs w:val="18"/>
              </w:rPr>
              <w:t>Vietnam</w:t>
            </w:r>
          </w:p>
        </w:tc>
        <w:tc>
          <w:tcPr>
            <w:tcW w:w="446"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sz w:val="18"/>
                <w:szCs w:val="18"/>
              </w:rPr>
            </w:pPr>
            <w:r w:rsidRPr="0039748C">
              <w:rPr>
                <w:sz w:val="18"/>
                <w:szCs w:val="18"/>
              </w:rPr>
              <w:t>131</w:t>
            </w:r>
          </w:p>
        </w:tc>
      </w:tr>
      <w:tr w:rsidR="004F2015" w:rsidRPr="0039748C" w:rsidTr="003F2AA0">
        <w:trPr>
          <w:trHeight w:val="170"/>
        </w:trPr>
        <w:tc>
          <w:tcPr>
            <w:tcW w:w="483" w:type="pct"/>
            <w:tcBorders>
              <w:top w:val="nil"/>
              <w:left w:val="single" w:sz="4" w:space="0" w:color="auto"/>
              <w:bottom w:val="single" w:sz="4" w:space="0" w:color="auto"/>
              <w:right w:val="single" w:sz="4" w:space="0" w:color="auto"/>
            </w:tcBorders>
            <w:shd w:val="clear" w:color="auto" w:fill="auto"/>
            <w:noWrap/>
            <w:hideMark/>
          </w:tcPr>
          <w:p w:rsidR="004F2015" w:rsidRPr="0039748C" w:rsidRDefault="004F2015" w:rsidP="003F2AA0">
            <w:pPr>
              <w:rPr>
                <w:b/>
                <w:bCs/>
                <w:sz w:val="18"/>
                <w:szCs w:val="18"/>
              </w:rPr>
            </w:pPr>
            <w:r w:rsidRPr="0039748C">
              <w:rPr>
                <w:b/>
                <w:bCs/>
                <w:sz w:val="18"/>
                <w:szCs w:val="18"/>
              </w:rPr>
              <w:t>OK</w:t>
            </w:r>
          </w:p>
        </w:tc>
        <w:tc>
          <w:tcPr>
            <w:tcW w:w="375"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b/>
                <w:bCs/>
                <w:sz w:val="18"/>
                <w:szCs w:val="18"/>
              </w:rPr>
            </w:pPr>
            <w:r w:rsidRPr="0039748C">
              <w:rPr>
                <w:b/>
                <w:bCs/>
                <w:sz w:val="18"/>
                <w:szCs w:val="18"/>
              </w:rPr>
              <w:t>9 765</w:t>
            </w:r>
          </w:p>
        </w:tc>
        <w:tc>
          <w:tcPr>
            <w:tcW w:w="468"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b/>
                <w:bCs/>
                <w:sz w:val="18"/>
                <w:szCs w:val="18"/>
              </w:rPr>
            </w:pPr>
            <w:r w:rsidRPr="0039748C">
              <w:rPr>
                <w:b/>
                <w:bCs/>
                <w:sz w:val="18"/>
                <w:szCs w:val="18"/>
              </w:rPr>
              <w:t>13 686</w:t>
            </w:r>
          </w:p>
        </w:tc>
        <w:tc>
          <w:tcPr>
            <w:tcW w:w="548" w:type="pct"/>
            <w:tcBorders>
              <w:top w:val="nil"/>
              <w:left w:val="nil"/>
              <w:bottom w:val="single" w:sz="4" w:space="0" w:color="auto"/>
              <w:right w:val="single" w:sz="4" w:space="0" w:color="auto"/>
            </w:tcBorders>
            <w:shd w:val="clear" w:color="auto" w:fill="auto"/>
            <w:noWrap/>
            <w:vAlign w:val="bottom"/>
            <w:hideMark/>
          </w:tcPr>
          <w:p w:rsidR="004F2015" w:rsidRPr="0039748C" w:rsidRDefault="004F2015" w:rsidP="003F2AA0">
            <w:pPr>
              <w:jc w:val="right"/>
              <w:rPr>
                <w:b/>
                <w:bCs/>
                <w:sz w:val="18"/>
                <w:szCs w:val="18"/>
              </w:rPr>
            </w:pPr>
            <w:r w:rsidRPr="0039748C">
              <w:rPr>
                <w:b/>
                <w:bCs/>
                <w:sz w:val="18"/>
                <w:szCs w:val="18"/>
              </w:rPr>
              <w:t>3 921</w:t>
            </w:r>
          </w:p>
        </w:tc>
        <w:tc>
          <w:tcPr>
            <w:tcW w:w="632" w:type="pct"/>
            <w:tcBorders>
              <w:top w:val="nil"/>
              <w:left w:val="nil"/>
              <w:bottom w:val="single" w:sz="4" w:space="0" w:color="auto"/>
              <w:right w:val="single" w:sz="4" w:space="0" w:color="auto"/>
            </w:tcBorders>
            <w:shd w:val="clear" w:color="000000" w:fill="DCE6F1"/>
            <w:noWrap/>
            <w:vAlign w:val="bottom"/>
            <w:hideMark/>
          </w:tcPr>
          <w:p w:rsidR="004F2015" w:rsidRPr="0039748C" w:rsidRDefault="004F2015" w:rsidP="003F2AA0">
            <w:pPr>
              <w:rPr>
                <w:b/>
                <w:bCs/>
                <w:sz w:val="18"/>
                <w:szCs w:val="18"/>
              </w:rPr>
            </w:pPr>
            <w:r w:rsidRPr="0039748C">
              <w:rPr>
                <w:b/>
                <w:bCs/>
                <w:sz w:val="18"/>
                <w:szCs w:val="18"/>
              </w:rPr>
              <w:t>Ukrajina</w:t>
            </w:r>
          </w:p>
        </w:tc>
        <w:tc>
          <w:tcPr>
            <w:tcW w:w="393"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b/>
                <w:bCs/>
                <w:sz w:val="18"/>
                <w:szCs w:val="18"/>
              </w:rPr>
            </w:pPr>
            <w:r w:rsidRPr="0039748C">
              <w:rPr>
                <w:b/>
                <w:bCs/>
                <w:sz w:val="18"/>
                <w:szCs w:val="18"/>
              </w:rPr>
              <w:t>3 471</w:t>
            </w:r>
          </w:p>
        </w:tc>
        <w:tc>
          <w:tcPr>
            <w:tcW w:w="636" w:type="pct"/>
            <w:tcBorders>
              <w:top w:val="nil"/>
              <w:left w:val="nil"/>
              <w:bottom w:val="single" w:sz="4" w:space="0" w:color="auto"/>
              <w:right w:val="single" w:sz="4" w:space="0" w:color="auto"/>
            </w:tcBorders>
            <w:shd w:val="clear" w:color="000000" w:fill="FFCCCC"/>
            <w:noWrap/>
            <w:vAlign w:val="bottom"/>
            <w:hideMark/>
          </w:tcPr>
          <w:p w:rsidR="004F2015" w:rsidRPr="0039748C" w:rsidRDefault="004F2015" w:rsidP="003F2AA0">
            <w:pPr>
              <w:rPr>
                <w:b/>
                <w:bCs/>
                <w:sz w:val="18"/>
                <w:szCs w:val="18"/>
              </w:rPr>
            </w:pPr>
            <w:r w:rsidRPr="0039748C">
              <w:rPr>
                <w:b/>
                <w:bCs/>
                <w:sz w:val="18"/>
                <w:szCs w:val="18"/>
              </w:rPr>
              <w:t>Slovensko</w:t>
            </w:r>
          </w:p>
        </w:tc>
        <w:tc>
          <w:tcPr>
            <w:tcW w:w="399"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b/>
                <w:bCs/>
                <w:sz w:val="18"/>
                <w:szCs w:val="18"/>
              </w:rPr>
            </w:pPr>
            <w:r w:rsidRPr="0039748C">
              <w:rPr>
                <w:b/>
                <w:bCs/>
                <w:sz w:val="18"/>
                <w:szCs w:val="18"/>
              </w:rPr>
              <w:t>3 066</w:t>
            </w:r>
          </w:p>
        </w:tc>
        <w:tc>
          <w:tcPr>
            <w:tcW w:w="619" w:type="pct"/>
            <w:tcBorders>
              <w:top w:val="nil"/>
              <w:left w:val="nil"/>
              <w:bottom w:val="single" w:sz="4" w:space="0" w:color="auto"/>
              <w:right w:val="single" w:sz="4" w:space="0" w:color="auto"/>
            </w:tcBorders>
            <w:shd w:val="clear" w:color="000000" w:fill="FFFF99"/>
            <w:noWrap/>
            <w:vAlign w:val="bottom"/>
            <w:hideMark/>
          </w:tcPr>
          <w:p w:rsidR="004F2015" w:rsidRPr="0039748C" w:rsidRDefault="004F2015" w:rsidP="003F2AA0">
            <w:pPr>
              <w:rPr>
                <w:b/>
                <w:bCs/>
                <w:sz w:val="18"/>
                <w:szCs w:val="18"/>
              </w:rPr>
            </w:pPr>
            <w:r w:rsidRPr="0039748C">
              <w:rPr>
                <w:b/>
                <w:bCs/>
                <w:sz w:val="18"/>
                <w:szCs w:val="18"/>
              </w:rPr>
              <w:t>Vietnam</w:t>
            </w:r>
          </w:p>
        </w:tc>
        <w:tc>
          <w:tcPr>
            <w:tcW w:w="446" w:type="pct"/>
            <w:tcBorders>
              <w:top w:val="nil"/>
              <w:left w:val="nil"/>
              <w:bottom w:val="single" w:sz="4" w:space="0" w:color="auto"/>
              <w:right w:val="single" w:sz="4" w:space="0" w:color="auto"/>
            </w:tcBorders>
            <w:shd w:val="clear" w:color="auto" w:fill="auto"/>
            <w:vAlign w:val="center"/>
            <w:hideMark/>
          </w:tcPr>
          <w:p w:rsidR="004F2015" w:rsidRPr="0039748C" w:rsidRDefault="004F2015" w:rsidP="003F2AA0">
            <w:pPr>
              <w:jc w:val="right"/>
              <w:rPr>
                <w:b/>
                <w:bCs/>
                <w:sz w:val="18"/>
                <w:szCs w:val="18"/>
              </w:rPr>
            </w:pPr>
            <w:r w:rsidRPr="0039748C">
              <w:rPr>
                <w:b/>
                <w:bCs/>
                <w:sz w:val="18"/>
                <w:szCs w:val="18"/>
              </w:rPr>
              <w:t>1 818</w:t>
            </w:r>
          </w:p>
        </w:tc>
      </w:tr>
    </w:tbl>
    <w:p w:rsidR="00AF4350" w:rsidRPr="0039748C" w:rsidRDefault="00AF4350" w:rsidP="004F2015">
      <w:pPr>
        <w:pStyle w:val="Zdrojobjektu"/>
      </w:pPr>
      <w:r w:rsidRPr="0039748C">
        <w:t>Zdroj: ČSÚ, Veřejná databáze (Ředitelství služby cizinecké policie), údaje k 1. 1. daného roku. Zpracování ACCENDO (2022)</w:t>
      </w:r>
    </w:p>
    <w:p w:rsidR="00AF4350" w:rsidRPr="0039748C" w:rsidRDefault="00AF4350" w:rsidP="004F2015">
      <w:pPr>
        <w:pStyle w:val="popistabulkySPRSS2024"/>
      </w:pPr>
      <w:bookmarkStart w:id="99" w:name="_Toc117607058"/>
      <w:r w:rsidRPr="0039748C">
        <w:lastRenderedPageBreak/>
        <w:t xml:space="preserve">Mapa </w:t>
      </w:r>
      <w:r w:rsidR="00412C70">
        <w:fldChar w:fldCharType="begin"/>
      </w:r>
      <w:r w:rsidR="00412C70">
        <w:instrText xml:space="preserve"> SEQ Mapa \* ARABIC </w:instrText>
      </w:r>
      <w:r w:rsidR="00412C70">
        <w:fldChar w:fldCharType="separate"/>
      </w:r>
      <w:r w:rsidR="003A12AF">
        <w:rPr>
          <w:noProof/>
        </w:rPr>
        <w:t>6</w:t>
      </w:r>
      <w:r w:rsidR="00412C70">
        <w:rPr>
          <w:noProof/>
        </w:rPr>
        <w:fldChar w:fldCharType="end"/>
      </w:r>
      <w:r w:rsidRPr="00090B18">
        <w:t>: Počet</w:t>
      </w:r>
      <w:r w:rsidRPr="0039748C">
        <w:t xml:space="preserve"> a struktura cizinců v okresech OK k 1. 1. 2022</w:t>
      </w:r>
      <w:bookmarkEnd w:id="99"/>
    </w:p>
    <w:p w:rsidR="00AF4350" w:rsidRPr="0039748C" w:rsidRDefault="00AF4350" w:rsidP="004F2015">
      <w:pPr>
        <w:spacing w:before="0"/>
      </w:pPr>
      <w:r w:rsidRPr="0039748C">
        <w:rPr>
          <w:noProof/>
          <w:lang w:eastAsia="cs-CZ"/>
        </w:rPr>
        <w:drawing>
          <wp:inline distT="0" distB="0" distL="0" distR="0" wp14:anchorId="6DDB6395" wp14:editId="148839BA">
            <wp:extent cx="3716866" cy="5104547"/>
            <wp:effectExtent l="0" t="0" r="0" b="127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LK_Cizinci_202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34845" cy="5129239"/>
                    </a:xfrm>
                    <a:prstGeom prst="rect">
                      <a:avLst/>
                    </a:prstGeom>
                  </pic:spPr>
                </pic:pic>
              </a:graphicData>
            </a:graphic>
          </wp:inline>
        </w:drawing>
      </w:r>
    </w:p>
    <w:p w:rsidR="00AF4350" w:rsidRPr="0039748C" w:rsidRDefault="00AF4350" w:rsidP="004F2015">
      <w:pPr>
        <w:pStyle w:val="Zdrojobjektu"/>
      </w:pPr>
      <w:r w:rsidRPr="0039748C">
        <w:t>Zdroj: ČSÚ, Veřejná databáze, 20</w:t>
      </w:r>
      <w:r w:rsidR="00A456E8">
        <w:t>22</w:t>
      </w:r>
      <w:r w:rsidRPr="0039748C">
        <w:t>. Zpracování ACCENDO</w:t>
      </w:r>
    </w:p>
    <w:p w:rsidR="00AF4350" w:rsidRPr="0039748C" w:rsidRDefault="00AF4350" w:rsidP="00A34764">
      <w:r w:rsidRPr="0039748C">
        <w:t xml:space="preserve">Od počátku války na Ukrajině se počet osob s uděleným pobytovým oprávněním v souvislosti s válkou na Ukrajině v OK dostal na hodnotu 11 440 (k 17. 6. 2022), trend nárůstu osob se od počátku války snížil, přičemž meziměsíční nárůst se zpomalil ze 4 tis. nových osob mezi březnem a dubnem na 819 nových osob mezi květnem a červnem. </w:t>
      </w:r>
    </w:p>
    <w:p w:rsidR="00AF4350" w:rsidRPr="0039748C" w:rsidRDefault="00AF4350" w:rsidP="004F2015">
      <w:pPr>
        <w:pStyle w:val="popistabulkySPRSS2024"/>
      </w:pPr>
      <w:bookmarkStart w:id="100" w:name="_Toc117607042"/>
      <w:r w:rsidRPr="0039748C">
        <w:t xml:space="preserve">Graf </w:t>
      </w:r>
      <w:r w:rsidR="00412C70">
        <w:fldChar w:fldCharType="begin"/>
      </w:r>
      <w:r w:rsidR="00412C70">
        <w:instrText xml:space="preserve"> SEQ Graf \* ARABIC </w:instrText>
      </w:r>
      <w:r w:rsidR="00412C70">
        <w:fldChar w:fldCharType="separate"/>
      </w:r>
      <w:r w:rsidR="003A12AF">
        <w:rPr>
          <w:noProof/>
        </w:rPr>
        <w:t>16</w:t>
      </w:r>
      <w:r w:rsidR="00412C70">
        <w:rPr>
          <w:noProof/>
        </w:rPr>
        <w:fldChar w:fldCharType="end"/>
      </w:r>
      <w:r w:rsidRPr="00090B18">
        <w:t>: Počty</w:t>
      </w:r>
      <w:r w:rsidRPr="0039748C">
        <w:t xml:space="preserve"> osob s uděleným pobytovým oprávněním v souvislosti s válkou na Ukrajině v OK</w:t>
      </w:r>
      <w:bookmarkEnd w:id="100"/>
    </w:p>
    <w:p w:rsidR="00AF4350" w:rsidRPr="0039748C" w:rsidRDefault="00AF4350" w:rsidP="004F2015">
      <w:pPr>
        <w:spacing w:before="0"/>
      </w:pPr>
      <w:r w:rsidRPr="0039748C">
        <w:rPr>
          <w:noProof/>
          <w:lang w:eastAsia="cs-CZ"/>
        </w:rPr>
        <w:drawing>
          <wp:inline distT="0" distB="0" distL="0" distR="0" wp14:anchorId="491B4BF1" wp14:editId="373D3F4F">
            <wp:extent cx="5760720" cy="2003612"/>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003612"/>
                    </a:xfrm>
                    <a:prstGeom prst="rect">
                      <a:avLst/>
                    </a:prstGeom>
                    <a:noFill/>
                    <a:ln>
                      <a:noFill/>
                    </a:ln>
                  </pic:spPr>
                </pic:pic>
              </a:graphicData>
            </a:graphic>
          </wp:inline>
        </w:drawing>
      </w:r>
    </w:p>
    <w:p w:rsidR="00AF4350" w:rsidRPr="0039748C" w:rsidRDefault="00AF4350" w:rsidP="004F2015">
      <w:pPr>
        <w:pStyle w:val="Zdrojobjektu"/>
      </w:pPr>
      <w:r w:rsidRPr="0039748C">
        <w:t>Zdroj: MVČR, data k 17. 6. 2022, zpracování ACCENDO (2022)</w:t>
      </w:r>
    </w:p>
    <w:p w:rsidR="00AF4350" w:rsidRPr="0039748C" w:rsidRDefault="00AF4350" w:rsidP="00A34764">
      <w:r w:rsidRPr="0039748C">
        <w:lastRenderedPageBreak/>
        <w:t>Ve srovnání s ostatními kraji přijal OK menší počet těchto osob, jak v absolutních číslech, tak i v přepočtu na počet obyvatel. V rámci jednotlivých SO ORP OK je pak největší počet ve SO ORP Olomouc, ve kterém je 3,5 tis. těchto osob, následují SO ORP Prostějov, Šumperk, Přerov a Hranice, ve kterých je 1–1,5 tis. těchto osob, v ostatních SO ORP je méně než 1 tis. těchto osob. Z hlediska relativního zastoupení na 1 000 obyvatel s trvalým pobytem v jednotlivých SO ORP je těchto osob nejvíce v Hranicích a Mohelnici, kde vzhledem k ekonomické migraci (zahraniční pracovníci z Ukrajiny) měli Ukrajinci do jisté míry vybudováno zázemí svými krajany.</w:t>
      </w:r>
    </w:p>
    <w:p w:rsidR="00AF4350" w:rsidRPr="0039748C" w:rsidRDefault="00AF4350" w:rsidP="004F2015">
      <w:pPr>
        <w:pStyle w:val="popistabulkySPRSS2024"/>
      </w:pPr>
      <w:bookmarkStart w:id="101" w:name="_Toc117607059"/>
      <w:r w:rsidRPr="0039748C">
        <w:t xml:space="preserve">Mapa </w:t>
      </w:r>
      <w:r w:rsidR="00412C70">
        <w:fldChar w:fldCharType="begin"/>
      </w:r>
      <w:r w:rsidR="00412C70">
        <w:instrText xml:space="preserve"> SEQ Mapa \* ARABIC </w:instrText>
      </w:r>
      <w:r w:rsidR="00412C70">
        <w:fldChar w:fldCharType="separate"/>
      </w:r>
      <w:r w:rsidR="003A12AF">
        <w:rPr>
          <w:noProof/>
        </w:rPr>
        <w:t>7</w:t>
      </w:r>
      <w:r w:rsidR="00412C70">
        <w:rPr>
          <w:noProof/>
        </w:rPr>
        <w:fldChar w:fldCharType="end"/>
      </w:r>
      <w:r w:rsidRPr="00090B18">
        <w:t xml:space="preserve">: </w:t>
      </w:r>
      <w:r w:rsidRPr="0039748C">
        <w:t>Počty osob s uděleným pobytovým oprávněním v souvislosti s válkou na Ukrajině ve SO ORP OK a krajích ČR</w:t>
      </w:r>
      <w:bookmarkEnd w:id="101"/>
    </w:p>
    <w:p w:rsidR="00AF4350" w:rsidRPr="004F2015" w:rsidRDefault="00AF4350" w:rsidP="004F2015">
      <w:pPr>
        <w:spacing w:before="0"/>
        <w:rPr>
          <w:rStyle w:val="ZdrojobjektuChar"/>
        </w:rPr>
      </w:pPr>
      <w:r w:rsidRPr="0039748C">
        <w:rPr>
          <w:noProof/>
          <w:lang w:eastAsia="cs-CZ"/>
        </w:rPr>
        <w:drawing>
          <wp:inline distT="0" distB="0" distL="0" distR="0" wp14:anchorId="43B27C9C" wp14:editId="31634E61">
            <wp:extent cx="5759003" cy="2351111"/>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LK_Ukrajina_202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003" cy="2351111"/>
                    </a:xfrm>
                    <a:prstGeom prst="rect">
                      <a:avLst/>
                    </a:prstGeom>
                  </pic:spPr>
                </pic:pic>
              </a:graphicData>
            </a:graphic>
          </wp:inline>
        </w:drawing>
      </w:r>
      <w:r w:rsidRPr="0039748C">
        <w:t xml:space="preserve"> </w:t>
      </w:r>
      <w:r w:rsidRPr="004F2015">
        <w:rPr>
          <w:rStyle w:val="ZdrojobjektuChar"/>
        </w:rPr>
        <w:t>Zdroj: MVČR, data k 17. 6. 2022, zpracování ACCENDO (2022)</w:t>
      </w:r>
    </w:p>
    <w:p w:rsidR="00AF4350" w:rsidRPr="0039748C" w:rsidRDefault="00AF4350" w:rsidP="00A34764">
      <w:r w:rsidRPr="0039748C">
        <w:t>Z hlediska pohlaví a věku osob s uděleným pobytovým oprávněním v souvislosti s válkou na Ukrajině převažují ženy, zejména ve věku 18–64 let, kterých je v OK 4 955, osob do 15 let je v OK 3 399, osob ve věku 15–17 let je pak v kraji 708. Podrobnosti jsou uvedeny v následující tabulce a grafu.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239"/>
      </w:tblGrid>
      <w:tr w:rsidR="00AF4350" w:rsidRPr="0039748C" w:rsidTr="00AF4350">
        <w:trPr>
          <w:trHeight w:val="5205"/>
        </w:trPr>
        <w:tc>
          <w:tcPr>
            <w:tcW w:w="4470" w:type="dxa"/>
          </w:tcPr>
          <w:p w:rsidR="00AF4350" w:rsidRPr="0039748C" w:rsidRDefault="00AF4350" w:rsidP="004F2015">
            <w:pPr>
              <w:pStyle w:val="popistabulkySPRSS2024"/>
            </w:pPr>
            <w:bookmarkStart w:id="102" w:name="_Toc117607082"/>
            <w:r w:rsidRPr="0039748C">
              <w:t xml:space="preserve">Tabulka </w:t>
            </w:r>
            <w:r w:rsidR="00412C70">
              <w:fldChar w:fldCharType="begin"/>
            </w:r>
            <w:r w:rsidR="00412C70">
              <w:instrText xml:space="preserve"> SEQ Tabulka \* ARABIC </w:instrText>
            </w:r>
            <w:r w:rsidR="00412C70">
              <w:fldChar w:fldCharType="separate"/>
            </w:r>
            <w:r w:rsidR="003A12AF">
              <w:rPr>
                <w:noProof/>
              </w:rPr>
              <w:t>22</w:t>
            </w:r>
            <w:r w:rsidR="00412C70">
              <w:rPr>
                <w:noProof/>
              </w:rPr>
              <w:fldChar w:fldCharType="end"/>
            </w:r>
            <w:r w:rsidRPr="00F820E9">
              <w:t>: Počet</w:t>
            </w:r>
            <w:r w:rsidRPr="0039748C">
              <w:t xml:space="preserve"> osob s uděleným pobytovým oprávněním v souvislosti s válkou na Ukrajině podle pohlaví a věku v OK</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2"/>
              <w:gridCol w:w="918"/>
              <w:gridCol w:w="710"/>
              <w:gridCol w:w="639"/>
              <w:gridCol w:w="764"/>
              <w:gridCol w:w="764"/>
            </w:tblGrid>
            <w:tr w:rsidR="00AF4350" w:rsidRPr="00F820E9" w:rsidTr="004F2015">
              <w:trPr>
                <w:trHeight w:val="288"/>
              </w:trPr>
              <w:tc>
                <w:tcPr>
                  <w:tcW w:w="812" w:type="dxa"/>
                  <w:vMerge w:val="restart"/>
                  <w:shd w:val="clear" w:color="000000" w:fill="F2F2F2"/>
                  <w:noWrap/>
                  <w:vAlign w:val="center"/>
                  <w:hideMark/>
                </w:tcPr>
                <w:p w:rsidR="00AF4350" w:rsidRPr="004F2015" w:rsidRDefault="00AF4350" w:rsidP="004F2015">
                  <w:pPr>
                    <w:jc w:val="center"/>
                    <w:rPr>
                      <w:rFonts w:cs="Segoe UI"/>
                      <w:b/>
                      <w:sz w:val="18"/>
                      <w:szCs w:val="18"/>
                    </w:rPr>
                  </w:pPr>
                  <w:r w:rsidRPr="004F2015">
                    <w:rPr>
                      <w:rFonts w:cs="Segoe UI"/>
                      <w:b/>
                      <w:sz w:val="18"/>
                      <w:szCs w:val="18"/>
                    </w:rPr>
                    <w:t>Věk</w:t>
                  </w:r>
                </w:p>
              </w:tc>
              <w:tc>
                <w:tcPr>
                  <w:tcW w:w="918" w:type="dxa"/>
                  <w:vMerge w:val="restart"/>
                  <w:shd w:val="clear" w:color="000000" w:fill="F2F2F2"/>
                  <w:noWrap/>
                  <w:vAlign w:val="center"/>
                  <w:hideMark/>
                </w:tcPr>
                <w:p w:rsidR="00AF4350" w:rsidRPr="004F2015" w:rsidRDefault="00AF4350" w:rsidP="004F2015">
                  <w:pPr>
                    <w:jc w:val="center"/>
                    <w:rPr>
                      <w:rFonts w:cs="Segoe UI"/>
                      <w:b/>
                      <w:sz w:val="18"/>
                      <w:szCs w:val="18"/>
                    </w:rPr>
                  </w:pPr>
                  <w:r w:rsidRPr="004F2015">
                    <w:rPr>
                      <w:rFonts w:cs="Segoe UI"/>
                      <w:b/>
                      <w:sz w:val="18"/>
                      <w:szCs w:val="18"/>
                    </w:rPr>
                    <w:t>Celkem</w:t>
                  </w:r>
                </w:p>
              </w:tc>
              <w:tc>
                <w:tcPr>
                  <w:tcW w:w="1349" w:type="dxa"/>
                  <w:gridSpan w:val="2"/>
                  <w:shd w:val="clear" w:color="000000" w:fill="F2F2F2"/>
                  <w:noWrap/>
                  <w:vAlign w:val="center"/>
                  <w:hideMark/>
                </w:tcPr>
                <w:p w:rsidR="00AF4350" w:rsidRPr="004F2015" w:rsidRDefault="00AF4350" w:rsidP="004F2015">
                  <w:pPr>
                    <w:jc w:val="center"/>
                    <w:rPr>
                      <w:rFonts w:cs="Segoe UI"/>
                      <w:b/>
                      <w:sz w:val="18"/>
                      <w:szCs w:val="18"/>
                    </w:rPr>
                  </w:pPr>
                  <w:r w:rsidRPr="004F2015">
                    <w:rPr>
                      <w:rFonts w:cs="Segoe UI"/>
                      <w:b/>
                      <w:sz w:val="18"/>
                      <w:szCs w:val="18"/>
                    </w:rPr>
                    <w:t>Počet osob</w:t>
                  </w:r>
                </w:p>
              </w:tc>
              <w:tc>
                <w:tcPr>
                  <w:tcW w:w="0" w:type="auto"/>
                  <w:gridSpan w:val="2"/>
                  <w:shd w:val="clear" w:color="000000" w:fill="F2F2F2"/>
                  <w:noWrap/>
                  <w:vAlign w:val="center"/>
                  <w:hideMark/>
                </w:tcPr>
                <w:p w:rsidR="00AF4350" w:rsidRPr="004F2015" w:rsidRDefault="00AF4350" w:rsidP="004F2015">
                  <w:pPr>
                    <w:jc w:val="center"/>
                    <w:rPr>
                      <w:rFonts w:cs="Segoe UI"/>
                      <w:b/>
                      <w:sz w:val="18"/>
                      <w:szCs w:val="18"/>
                    </w:rPr>
                  </w:pPr>
                  <w:r w:rsidRPr="004F2015">
                    <w:rPr>
                      <w:rFonts w:cs="Segoe UI"/>
                      <w:b/>
                      <w:sz w:val="18"/>
                      <w:szCs w:val="18"/>
                    </w:rPr>
                    <w:t>Podíl osob</w:t>
                  </w:r>
                </w:p>
              </w:tc>
            </w:tr>
            <w:tr w:rsidR="00AF4350" w:rsidRPr="00F820E9" w:rsidTr="004F2015">
              <w:trPr>
                <w:trHeight w:val="288"/>
              </w:trPr>
              <w:tc>
                <w:tcPr>
                  <w:tcW w:w="812" w:type="dxa"/>
                  <w:vMerge/>
                  <w:vAlign w:val="center"/>
                  <w:hideMark/>
                </w:tcPr>
                <w:p w:rsidR="00AF4350" w:rsidRPr="004F2015" w:rsidRDefault="00AF4350" w:rsidP="004F2015">
                  <w:pPr>
                    <w:jc w:val="center"/>
                    <w:rPr>
                      <w:rFonts w:cs="Segoe UI"/>
                      <w:b/>
                      <w:sz w:val="18"/>
                      <w:szCs w:val="18"/>
                    </w:rPr>
                  </w:pPr>
                </w:p>
              </w:tc>
              <w:tc>
                <w:tcPr>
                  <w:tcW w:w="918" w:type="dxa"/>
                  <w:vMerge/>
                  <w:vAlign w:val="center"/>
                  <w:hideMark/>
                </w:tcPr>
                <w:p w:rsidR="00AF4350" w:rsidRPr="004F2015" w:rsidRDefault="00AF4350" w:rsidP="004F2015">
                  <w:pPr>
                    <w:jc w:val="center"/>
                    <w:rPr>
                      <w:rFonts w:cs="Segoe UI"/>
                      <w:b/>
                      <w:sz w:val="18"/>
                      <w:szCs w:val="18"/>
                    </w:rPr>
                  </w:pPr>
                </w:p>
              </w:tc>
              <w:tc>
                <w:tcPr>
                  <w:tcW w:w="710" w:type="dxa"/>
                  <w:shd w:val="clear" w:color="4F81BD" w:fill="F2F2F2"/>
                  <w:noWrap/>
                  <w:vAlign w:val="center"/>
                  <w:hideMark/>
                </w:tcPr>
                <w:p w:rsidR="00AF4350" w:rsidRPr="004F2015" w:rsidRDefault="00AF4350" w:rsidP="004F2015">
                  <w:pPr>
                    <w:jc w:val="center"/>
                    <w:rPr>
                      <w:rFonts w:cs="Segoe UI"/>
                      <w:b/>
                      <w:sz w:val="18"/>
                      <w:szCs w:val="18"/>
                    </w:rPr>
                  </w:pPr>
                  <w:r w:rsidRPr="004F2015">
                    <w:rPr>
                      <w:rFonts w:cs="Segoe UI"/>
                      <w:b/>
                      <w:sz w:val="18"/>
                      <w:szCs w:val="18"/>
                    </w:rPr>
                    <w:t>Muži</w:t>
                  </w:r>
                </w:p>
              </w:tc>
              <w:tc>
                <w:tcPr>
                  <w:tcW w:w="0" w:type="auto"/>
                  <w:shd w:val="clear" w:color="4F81BD" w:fill="F2F2F2"/>
                  <w:noWrap/>
                  <w:vAlign w:val="center"/>
                  <w:hideMark/>
                </w:tcPr>
                <w:p w:rsidR="00AF4350" w:rsidRPr="004F2015" w:rsidRDefault="00AF4350" w:rsidP="004F2015">
                  <w:pPr>
                    <w:jc w:val="center"/>
                    <w:rPr>
                      <w:rFonts w:cs="Segoe UI"/>
                      <w:b/>
                      <w:sz w:val="18"/>
                      <w:szCs w:val="18"/>
                    </w:rPr>
                  </w:pPr>
                  <w:r w:rsidRPr="004F2015">
                    <w:rPr>
                      <w:rFonts w:cs="Segoe UI"/>
                      <w:b/>
                      <w:sz w:val="18"/>
                      <w:szCs w:val="18"/>
                    </w:rPr>
                    <w:t>Ženy</w:t>
                  </w:r>
                </w:p>
              </w:tc>
              <w:tc>
                <w:tcPr>
                  <w:tcW w:w="0" w:type="auto"/>
                  <w:shd w:val="clear" w:color="4F81BD" w:fill="F2F2F2"/>
                  <w:noWrap/>
                  <w:vAlign w:val="center"/>
                  <w:hideMark/>
                </w:tcPr>
                <w:p w:rsidR="00AF4350" w:rsidRPr="004F2015" w:rsidRDefault="00AF4350" w:rsidP="004F2015">
                  <w:pPr>
                    <w:jc w:val="center"/>
                    <w:rPr>
                      <w:rFonts w:cs="Segoe UI"/>
                      <w:b/>
                      <w:sz w:val="18"/>
                      <w:szCs w:val="18"/>
                    </w:rPr>
                  </w:pPr>
                  <w:r w:rsidRPr="004F2015">
                    <w:rPr>
                      <w:rFonts w:cs="Segoe UI"/>
                      <w:b/>
                      <w:sz w:val="18"/>
                      <w:szCs w:val="18"/>
                    </w:rPr>
                    <w:t>Muži</w:t>
                  </w:r>
                </w:p>
              </w:tc>
              <w:tc>
                <w:tcPr>
                  <w:tcW w:w="0" w:type="auto"/>
                  <w:shd w:val="clear" w:color="4F81BD" w:fill="F2F2F2"/>
                  <w:noWrap/>
                  <w:vAlign w:val="center"/>
                  <w:hideMark/>
                </w:tcPr>
                <w:p w:rsidR="00AF4350" w:rsidRPr="004F2015" w:rsidRDefault="00AF4350" w:rsidP="004F2015">
                  <w:pPr>
                    <w:jc w:val="center"/>
                    <w:rPr>
                      <w:rFonts w:cs="Segoe UI"/>
                      <w:b/>
                      <w:sz w:val="18"/>
                      <w:szCs w:val="18"/>
                    </w:rPr>
                  </w:pPr>
                  <w:r w:rsidRPr="004F2015">
                    <w:rPr>
                      <w:rFonts w:cs="Segoe UI"/>
                      <w:b/>
                      <w:sz w:val="18"/>
                      <w:szCs w:val="18"/>
                    </w:rPr>
                    <w:t>Ženy</w:t>
                  </w:r>
                </w:p>
              </w:tc>
            </w:tr>
            <w:tr w:rsidR="00AF4350" w:rsidRPr="00F820E9" w:rsidTr="004F2015">
              <w:trPr>
                <w:trHeight w:val="288"/>
              </w:trPr>
              <w:tc>
                <w:tcPr>
                  <w:tcW w:w="812" w:type="dxa"/>
                  <w:shd w:val="clear" w:color="4F81BD" w:fill="FFFFFF"/>
                  <w:noWrap/>
                  <w:vAlign w:val="center"/>
                  <w:hideMark/>
                </w:tcPr>
                <w:p w:rsidR="00AF4350" w:rsidRPr="004F2015" w:rsidRDefault="00AF4350" w:rsidP="00A34764">
                  <w:pPr>
                    <w:rPr>
                      <w:rFonts w:cs="Segoe UI"/>
                      <w:sz w:val="18"/>
                      <w:szCs w:val="18"/>
                    </w:rPr>
                  </w:pPr>
                  <w:r w:rsidRPr="004F2015">
                    <w:rPr>
                      <w:rFonts w:cs="Segoe UI"/>
                      <w:sz w:val="18"/>
                      <w:szCs w:val="18"/>
                    </w:rPr>
                    <w:t xml:space="preserve"> 0–2</w:t>
                  </w:r>
                </w:p>
              </w:tc>
              <w:tc>
                <w:tcPr>
                  <w:tcW w:w="918" w:type="dxa"/>
                  <w:shd w:val="clear" w:color="000000" w:fill="769DCF"/>
                  <w:noWrap/>
                  <w:vAlign w:val="center"/>
                  <w:hideMark/>
                </w:tcPr>
                <w:p w:rsidR="00AF4350" w:rsidRPr="004F2015" w:rsidRDefault="00AF4350" w:rsidP="004F2015">
                  <w:pPr>
                    <w:jc w:val="right"/>
                    <w:rPr>
                      <w:rFonts w:cs="Segoe UI"/>
                      <w:sz w:val="18"/>
                      <w:szCs w:val="18"/>
                    </w:rPr>
                  </w:pPr>
                  <w:r w:rsidRPr="004F2015">
                    <w:rPr>
                      <w:rFonts w:cs="Segoe UI"/>
                      <w:sz w:val="18"/>
                      <w:szCs w:val="18"/>
                    </w:rPr>
                    <w:t>486</w:t>
                  </w:r>
                </w:p>
              </w:tc>
              <w:tc>
                <w:tcPr>
                  <w:tcW w:w="710" w:type="dxa"/>
                  <w:shd w:val="clear" w:color="000000" w:fill="BACEE8"/>
                  <w:noWrap/>
                  <w:vAlign w:val="center"/>
                  <w:hideMark/>
                </w:tcPr>
                <w:p w:rsidR="00AF4350" w:rsidRPr="004F2015" w:rsidRDefault="00AF4350" w:rsidP="004F2015">
                  <w:pPr>
                    <w:jc w:val="right"/>
                    <w:rPr>
                      <w:rFonts w:cs="Segoe UI"/>
                      <w:sz w:val="18"/>
                      <w:szCs w:val="18"/>
                    </w:rPr>
                  </w:pPr>
                  <w:r w:rsidRPr="004F2015">
                    <w:rPr>
                      <w:rFonts w:cs="Segoe UI"/>
                      <w:sz w:val="18"/>
                      <w:szCs w:val="18"/>
                    </w:rPr>
                    <w:t>242</w:t>
                  </w:r>
                </w:p>
              </w:tc>
              <w:tc>
                <w:tcPr>
                  <w:tcW w:w="0" w:type="auto"/>
                  <w:shd w:val="clear" w:color="000000" w:fill="BCCFE8"/>
                  <w:noWrap/>
                  <w:vAlign w:val="center"/>
                  <w:hideMark/>
                </w:tcPr>
                <w:p w:rsidR="00AF4350" w:rsidRPr="004F2015" w:rsidRDefault="00AF4350" w:rsidP="004F2015">
                  <w:pPr>
                    <w:jc w:val="right"/>
                    <w:rPr>
                      <w:rFonts w:cs="Segoe UI"/>
                      <w:sz w:val="18"/>
                      <w:szCs w:val="18"/>
                    </w:rPr>
                  </w:pPr>
                  <w:r w:rsidRPr="004F2015">
                    <w:rPr>
                      <w:rFonts w:cs="Segoe UI"/>
                      <w:sz w:val="18"/>
                      <w:szCs w:val="18"/>
                    </w:rPr>
                    <w:t>244</w:t>
                  </w:r>
                </w:p>
              </w:tc>
              <w:tc>
                <w:tcPr>
                  <w:tcW w:w="0" w:type="auto"/>
                  <w:shd w:val="clear" w:color="000000" w:fill="D8E2F2"/>
                  <w:noWrap/>
                  <w:vAlign w:val="center"/>
                  <w:hideMark/>
                </w:tcPr>
                <w:p w:rsidR="00AF4350" w:rsidRPr="004F2015" w:rsidRDefault="00AF4350" w:rsidP="004F2015">
                  <w:pPr>
                    <w:jc w:val="right"/>
                    <w:rPr>
                      <w:rFonts w:cs="Segoe UI"/>
                      <w:sz w:val="18"/>
                      <w:szCs w:val="18"/>
                    </w:rPr>
                  </w:pPr>
                  <w:r w:rsidRPr="004F2015">
                    <w:rPr>
                      <w:rFonts w:cs="Segoe UI"/>
                      <w:sz w:val="18"/>
                      <w:szCs w:val="18"/>
                    </w:rPr>
                    <w:t>5,8 %</w:t>
                  </w:r>
                </w:p>
              </w:tc>
              <w:tc>
                <w:tcPr>
                  <w:tcW w:w="0" w:type="auto"/>
                  <w:shd w:val="clear" w:color="000000" w:fill="6F99CD"/>
                  <w:noWrap/>
                  <w:vAlign w:val="center"/>
                  <w:hideMark/>
                </w:tcPr>
                <w:p w:rsidR="00AF4350" w:rsidRPr="004F2015" w:rsidRDefault="00AF4350" w:rsidP="004F2015">
                  <w:pPr>
                    <w:jc w:val="right"/>
                    <w:rPr>
                      <w:rFonts w:cs="Segoe UI"/>
                      <w:sz w:val="18"/>
                      <w:szCs w:val="18"/>
                    </w:rPr>
                  </w:pPr>
                  <w:r w:rsidRPr="004F2015">
                    <w:rPr>
                      <w:rFonts w:cs="Segoe UI"/>
                      <w:sz w:val="18"/>
                      <w:szCs w:val="18"/>
                    </w:rPr>
                    <w:t>3,3 %</w:t>
                  </w:r>
                </w:p>
              </w:tc>
            </w:tr>
            <w:tr w:rsidR="00AF4350" w:rsidRPr="00F820E9" w:rsidTr="004F2015">
              <w:trPr>
                <w:trHeight w:val="288"/>
              </w:trPr>
              <w:tc>
                <w:tcPr>
                  <w:tcW w:w="812" w:type="dxa"/>
                  <w:shd w:val="clear" w:color="4F81BD" w:fill="FFFFFF"/>
                  <w:noWrap/>
                  <w:vAlign w:val="center"/>
                  <w:hideMark/>
                </w:tcPr>
                <w:p w:rsidR="00AF4350" w:rsidRPr="004F2015" w:rsidRDefault="00AF4350" w:rsidP="00A34764">
                  <w:pPr>
                    <w:rPr>
                      <w:rFonts w:cs="Segoe UI"/>
                      <w:sz w:val="18"/>
                      <w:szCs w:val="18"/>
                    </w:rPr>
                  </w:pPr>
                  <w:r w:rsidRPr="004F2015">
                    <w:rPr>
                      <w:rFonts w:cs="Segoe UI"/>
                      <w:sz w:val="18"/>
                      <w:szCs w:val="18"/>
                    </w:rPr>
                    <w:t xml:space="preserve"> 3–5</w:t>
                  </w:r>
                </w:p>
              </w:tc>
              <w:tc>
                <w:tcPr>
                  <w:tcW w:w="918" w:type="dxa"/>
                  <w:shd w:val="clear" w:color="000000" w:fill="DCE5F3"/>
                  <w:noWrap/>
                  <w:vAlign w:val="center"/>
                  <w:hideMark/>
                </w:tcPr>
                <w:p w:rsidR="00AF4350" w:rsidRPr="004F2015" w:rsidRDefault="00AF4350" w:rsidP="004F2015">
                  <w:pPr>
                    <w:jc w:val="right"/>
                    <w:rPr>
                      <w:rFonts w:cs="Segoe UI"/>
                      <w:sz w:val="18"/>
                      <w:szCs w:val="18"/>
                    </w:rPr>
                  </w:pPr>
                  <w:r w:rsidRPr="004F2015">
                    <w:rPr>
                      <w:rFonts w:cs="Segoe UI"/>
                      <w:sz w:val="18"/>
                      <w:szCs w:val="18"/>
                    </w:rPr>
                    <w:t>623</w:t>
                  </w:r>
                </w:p>
              </w:tc>
              <w:tc>
                <w:tcPr>
                  <w:tcW w:w="710" w:type="dxa"/>
                  <w:shd w:val="clear" w:color="000000" w:fill="F1F4FB"/>
                  <w:noWrap/>
                  <w:vAlign w:val="center"/>
                  <w:hideMark/>
                </w:tcPr>
                <w:p w:rsidR="00AF4350" w:rsidRPr="004F2015" w:rsidRDefault="00AF4350" w:rsidP="004F2015">
                  <w:pPr>
                    <w:jc w:val="right"/>
                    <w:rPr>
                      <w:rFonts w:cs="Segoe UI"/>
                      <w:sz w:val="18"/>
                      <w:szCs w:val="18"/>
                    </w:rPr>
                  </w:pPr>
                  <w:r w:rsidRPr="004F2015">
                    <w:rPr>
                      <w:rFonts w:cs="Segoe UI"/>
                      <w:sz w:val="18"/>
                      <w:szCs w:val="18"/>
                    </w:rPr>
                    <w:t>313</w:t>
                  </w:r>
                </w:p>
              </w:tc>
              <w:tc>
                <w:tcPr>
                  <w:tcW w:w="0" w:type="auto"/>
                  <w:shd w:val="clear" w:color="000000" w:fill="EFF3FA"/>
                  <w:noWrap/>
                  <w:vAlign w:val="center"/>
                  <w:hideMark/>
                </w:tcPr>
                <w:p w:rsidR="00AF4350" w:rsidRPr="004F2015" w:rsidRDefault="00AF4350" w:rsidP="004F2015">
                  <w:pPr>
                    <w:jc w:val="right"/>
                    <w:rPr>
                      <w:rFonts w:cs="Segoe UI"/>
                      <w:sz w:val="18"/>
                      <w:szCs w:val="18"/>
                    </w:rPr>
                  </w:pPr>
                  <w:r w:rsidRPr="004F2015">
                    <w:rPr>
                      <w:rFonts w:cs="Segoe UI"/>
                      <w:sz w:val="18"/>
                      <w:szCs w:val="18"/>
                    </w:rPr>
                    <w:t>310</w:t>
                  </w:r>
                </w:p>
              </w:tc>
              <w:tc>
                <w:tcPr>
                  <w:tcW w:w="0" w:type="auto"/>
                  <w:shd w:val="clear" w:color="000000" w:fill="FCFAFD"/>
                  <w:noWrap/>
                  <w:vAlign w:val="center"/>
                  <w:hideMark/>
                </w:tcPr>
                <w:p w:rsidR="00AF4350" w:rsidRPr="004F2015" w:rsidRDefault="00AF4350" w:rsidP="004F2015">
                  <w:pPr>
                    <w:jc w:val="right"/>
                    <w:rPr>
                      <w:rFonts w:cs="Segoe UI"/>
                      <w:sz w:val="18"/>
                      <w:szCs w:val="18"/>
                    </w:rPr>
                  </w:pPr>
                  <w:r w:rsidRPr="004F2015">
                    <w:rPr>
                      <w:rFonts w:cs="Segoe UI"/>
                      <w:sz w:val="18"/>
                      <w:szCs w:val="18"/>
                    </w:rPr>
                    <w:t>7,6 %</w:t>
                  </w:r>
                </w:p>
              </w:tc>
              <w:tc>
                <w:tcPr>
                  <w:tcW w:w="0" w:type="auto"/>
                  <w:shd w:val="clear" w:color="000000" w:fill="95B3DA"/>
                  <w:noWrap/>
                  <w:vAlign w:val="center"/>
                  <w:hideMark/>
                </w:tcPr>
                <w:p w:rsidR="00AF4350" w:rsidRPr="004F2015" w:rsidRDefault="00AF4350" w:rsidP="004F2015">
                  <w:pPr>
                    <w:jc w:val="right"/>
                    <w:rPr>
                      <w:rFonts w:cs="Segoe UI"/>
                      <w:sz w:val="18"/>
                      <w:szCs w:val="18"/>
                    </w:rPr>
                  </w:pPr>
                  <w:r w:rsidRPr="004F2015">
                    <w:rPr>
                      <w:rFonts w:cs="Segoe UI"/>
                      <w:sz w:val="18"/>
                      <w:szCs w:val="18"/>
                    </w:rPr>
                    <w:t>4,2 %</w:t>
                  </w:r>
                </w:p>
              </w:tc>
            </w:tr>
            <w:tr w:rsidR="00AF4350" w:rsidRPr="00F820E9" w:rsidTr="004F2015">
              <w:trPr>
                <w:trHeight w:val="288"/>
              </w:trPr>
              <w:tc>
                <w:tcPr>
                  <w:tcW w:w="812" w:type="dxa"/>
                  <w:shd w:val="clear" w:color="4F81BD" w:fill="FFFFFF"/>
                  <w:noWrap/>
                  <w:vAlign w:val="center"/>
                  <w:hideMark/>
                </w:tcPr>
                <w:p w:rsidR="00AF4350" w:rsidRPr="004F2015" w:rsidRDefault="00AF4350" w:rsidP="00A34764">
                  <w:pPr>
                    <w:rPr>
                      <w:rFonts w:cs="Segoe UI"/>
                      <w:sz w:val="18"/>
                      <w:szCs w:val="18"/>
                    </w:rPr>
                  </w:pPr>
                  <w:r w:rsidRPr="004F2015">
                    <w:rPr>
                      <w:rFonts w:cs="Segoe UI"/>
                      <w:sz w:val="18"/>
                      <w:szCs w:val="18"/>
                    </w:rPr>
                    <w:t xml:space="preserve"> 6–14</w:t>
                  </w:r>
                </w:p>
              </w:tc>
              <w:tc>
                <w:tcPr>
                  <w:tcW w:w="918" w:type="dxa"/>
                  <w:shd w:val="clear" w:color="000000" w:fill="FBD6D9"/>
                  <w:noWrap/>
                  <w:vAlign w:val="center"/>
                  <w:hideMark/>
                </w:tcPr>
                <w:p w:rsidR="00AF4350" w:rsidRPr="004F2015" w:rsidRDefault="00AF4350" w:rsidP="004F2015">
                  <w:pPr>
                    <w:jc w:val="right"/>
                    <w:rPr>
                      <w:rFonts w:cs="Segoe UI"/>
                      <w:sz w:val="18"/>
                      <w:szCs w:val="18"/>
                    </w:rPr>
                  </w:pPr>
                  <w:r w:rsidRPr="004F2015">
                    <w:rPr>
                      <w:rFonts w:cs="Segoe UI"/>
                      <w:sz w:val="18"/>
                      <w:szCs w:val="18"/>
                    </w:rPr>
                    <w:t>2 290</w:t>
                  </w:r>
                </w:p>
              </w:tc>
              <w:tc>
                <w:tcPr>
                  <w:tcW w:w="710" w:type="dxa"/>
                  <w:shd w:val="clear" w:color="000000" w:fill="FCE2E5"/>
                  <w:noWrap/>
                  <w:vAlign w:val="center"/>
                  <w:hideMark/>
                </w:tcPr>
                <w:p w:rsidR="00AF4350" w:rsidRPr="004F2015" w:rsidRDefault="00AF4350" w:rsidP="004F2015">
                  <w:pPr>
                    <w:jc w:val="right"/>
                    <w:rPr>
                      <w:rFonts w:cs="Segoe UI"/>
                      <w:sz w:val="18"/>
                      <w:szCs w:val="18"/>
                    </w:rPr>
                  </w:pPr>
                  <w:r w:rsidRPr="004F2015">
                    <w:rPr>
                      <w:rFonts w:cs="Segoe UI"/>
                      <w:sz w:val="18"/>
                      <w:szCs w:val="18"/>
                    </w:rPr>
                    <w:t>1 152</w:t>
                  </w:r>
                </w:p>
              </w:tc>
              <w:tc>
                <w:tcPr>
                  <w:tcW w:w="0" w:type="auto"/>
                  <w:shd w:val="clear" w:color="000000" w:fill="FCE3E6"/>
                  <w:noWrap/>
                  <w:vAlign w:val="center"/>
                  <w:hideMark/>
                </w:tcPr>
                <w:p w:rsidR="00AF4350" w:rsidRPr="004F2015" w:rsidRDefault="00AF4350" w:rsidP="004F2015">
                  <w:pPr>
                    <w:jc w:val="right"/>
                    <w:rPr>
                      <w:rFonts w:cs="Segoe UI"/>
                      <w:sz w:val="18"/>
                      <w:szCs w:val="18"/>
                    </w:rPr>
                  </w:pPr>
                  <w:r w:rsidRPr="004F2015">
                    <w:rPr>
                      <w:rFonts w:cs="Segoe UI"/>
                      <w:sz w:val="18"/>
                      <w:szCs w:val="18"/>
                    </w:rPr>
                    <w:t>1 138</w:t>
                  </w:r>
                </w:p>
              </w:tc>
              <w:tc>
                <w:tcPr>
                  <w:tcW w:w="0" w:type="auto"/>
                  <w:shd w:val="clear" w:color="000000" w:fill="FBCACC"/>
                  <w:noWrap/>
                  <w:vAlign w:val="center"/>
                  <w:hideMark/>
                </w:tcPr>
                <w:p w:rsidR="00AF4350" w:rsidRPr="004F2015" w:rsidRDefault="00AF4350" w:rsidP="004F2015">
                  <w:pPr>
                    <w:jc w:val="right"/>
                    <w:rPr>
                      <w:rFonts w:cs="Segoe UI"/>
                      <w:sz w:val="18"/>
                      <w:szCs w:val="18"/>
                    </w:rPr>
                  </w:pPr>
                  <w:r w:rsidRPr="004F2015">
                    <w:rPr>
                      <w:rFonts w:cs="Segoe UI"/>
                      <w:sz w:val="18"/>
                      <w:szCs w:val="18"/>
                    </w:rPr>
                    <w:t>27,8 %</w:t>
                  </w:r>
                </w:p>
              </w:tc>
              <w:tc>
                <w:tcPr>
                  <w:tcW w:w="0" w:type="auto"/>
                  <w:shd w:val="clear" w:color="000000" w:fill="FCE7EA"/>
                  <w:noWrap/>
                  <w:vAlign w:val="center"/>
                  <w:hideMark/>
                </w:tcPr>
                <w:p w:rsidR="00AF4350" w:rsidRPr="004F2015" w:rsidRDefault="00AF4350" w:rsidP="004F2015">
                  <w:pPr>
                    <w:jc w:val="right"/>
                    <w:rPr>
                      <w:rFonts w:cs="Segoe UI"/>
                      <w:sz w:val="18"/>
                      <w:szCs w:val="18"/>
                    </w:rPr>
                  </w:pPr>
                  <w:r w:rsidRPr="004F2015">
                    <w:rPr>
                      <w:rFonts w:cs="Segoe UI"/>
                      <w:sz w:val="18"/>
                      <w:szCs w:val="18"/>
                    </w:rPr>
                    <w:t>15,6 %</w:t>
                  </w:r>
                </w:p>
              </w:tc>
            </w:tr>
            <w:tr w:rsidR="00AF4350" w:rsidRPr="00F820E9" w:rsidTr="004F2015">
              <w:trPr>
                <w:trHeight w:val="288"/>
              </w:trPr>
              <w:tc>
                <w:tcPr>
                  <w:tcW w:w="812" w:type="dxa"/>
                  <w:shd w:val="clear" w:color="4F81BD" w:fill="FFFFFF"/>
                  <w:noWrap/>
                  <w:vAlign w:val="center"/>
                  <w:hideMark/>
                </w:tcPr>
                <w:p w:rsidR="00AF4350" w:rsidRPr="004F2015" w:rsidRDefault="00AF4350" w:rsidP="00A34764">
                  <w:pPr>
                    <w:rPr>
                      <w:rFonts w:cs="Segoe UI"/>
                      <w:sz w:val="18"/>
                      <w:szCs w:val="18"/>
                    </w:rPr>
                  </w:pPr>
                  <w:r w:rsidRPr="004F2015">
                    <w:rPr>
                      <w:rFonts w:cs="Segoe UI"/>
                      <w:sz w:val="18"/>
                      <w:szCs w:val="18"/>
                    </w:rPr>
                    <w:t xml:space="preserve"> 15–17</w:t>
                  </w:r>
                </w:p>
              </w:tc>
              <w:tc>
                <w:tcPr>
                  <w:tcW w:w="918" w:type="dxa"/>
                  <w:shd w:val="clear" w:color="000000" w:fill="FCFBFE"/>
                  <w:noWrap/>
                  <w:vAlign w:val="center"/>
                  <w:hideMark/>
                </w:tcPr>
                <w:p w:rsidR="00AF4350" w:rsidRPr="004F2015" w:rsidRDefault="00AF4350" w:rsidP="004F2015">
                  <w:pPr>
                    <w:jc w:val="right"/>
                    <w:rPr>
                      <w:rFonts w:cs="Segoe UI"/>
                      <w:sz w:val="18"/>
                      <w:szCs w:val="18"/>
                    </w:rPr>
                  </w:pPr>
                  <w:r w:rsidRPr="004F2015">
                    <w:rPr>
                      <w:rFonts w:cs="Segoe UI"/>
                      <w:sz w:val="18"/>
                      <w:szCs w:val="18"/>
                    </w:rPr>
                    <w:t>708</w:t>
                  </w:r>
                </w:p>
              </w:tc>
              <w:tc>
                <w:tcPr>
                  <w:tcW w:w="710" w:type="dxa"/>
                  <w:shd w:val="clear" w:color="000000" w:fill="FCFBFE"/>
                  <w:noWrap/>
                  <w:vAlign w:val="center"/>
                  <w:hideMark/>
                </w:tcPr>
                <w:p w:rsidR="00AF4350" w:rsidRPr="004F2015" w:rsidRDefault="00AF4350" w:rsidP="004F2015">
                  <w:pPr>
                    <w:jc w:val="right"/>
                    <w:rPr>
                      <w:rFonts w:cs="Segoe UI"/>
                      <w:sz w:val="18"/>
                      <w:szCs w:val="18"/>
                    </w:rPr>
                  </w:pPr>
                  <w:r w:rsidRPr="004F2015">
                    <w:rPr>
                      <w:rFonts w:cs="Segoe UI"/>
                      <w:sz w:val="18"/>
                      <w:szCs w:val="18"/>
                    </w:rPr>
                    <w:t>386</w:t>
                  </w:r>
                </w:p>
              </w:tc>
              <w:tc>
                <w:tcPr>
                  <w:tcW w:w="0" w:type="auto"/>
                  <w:shd w:val="clear" w:color="000000" w:fill="F8F9FD"/>
                  <w:noWrap/>
                  <w:vAlign w:val="center"/>
                  <w:hideMark/>
                </w:tcPr>
                <w:p w:rsidR="00AF4350" w:rsidRPr="004F2015" w:rsidRDefault="00AF4350" w:rsidP="004F2015">
                  <w:pPr>
                    <w:jc w:val="right"/>
                    <w:rPr>
                      <w:rFonts w:cs="Segoe UI"/>
                      <w:sz w:val="18"/>
                      <w:szCs w:val="18"/>
                    </w:rPr>
                  </w:pPr>
                  <w:r w:rsidRPr="004F2015">
                    <w:rPr>
                      <w:rFonts w:cs="Segoe UI"/>
                      <w:sz w:val="18"/>
                      <w:szCs w:val="18"/>
                    </w:rPr>
                    <w:t>322</w:t>
                  </w:r>
                </w:p>
              </w:tc>
              <w:tc>
                <w:tcPr>
                  <w:tcW w:w="0" w:type="auto"/>
                  <w:shd w:val="clear" w:color="000000" w:fill="FCF6F9"/>
                  <w:noWrap/>
                  <w:vAlign w:val="center"/>
                  <w:hideMark/>
                </w:tcPr>
                <w:p w:rsidR="00AF4350" w:rsidRPr="004F2015" w:rsidRDefault="00AF4350" w:rsidP="004F2015">
                  <w:pPr>
                    <w:jc w:val="right"/>
                    <w:rPr>
                      <w:rFonts w:cs="Segoe UI"/>
                      <w:sz w:val="18"/>
                      <w:szCs w:val="18"/>
                    </w:rPr>
                  </w:pPr>
                  <w:r w:rsidRPr="004F2015">
                    <w:rPr>
                      <w:rFonts w:cs="Segoe UI"/>
                      <w:sz w:val="18"/>
                      <w:szCs w:val="18"/>
                    </w:rPr>
                    <w:t>9,3 %</w:t>
                  </w:r>
                </w:p>
              </w:tc>
              <w:tc>
                <w:tcPr>
                  <w:tcW w:w="0" w:type="auto"/>
                  <w:shd w:val="clear" w:color="000000" w:fill="9CB8DD"/>
                  <w:noWrap/>
                  <w:vAlign w:val="center"/>
                  <w:hideMark/>
                </w:tcPr>
                <w:p w:rsidR="00AF4350" w:rsidRPr="004F2015" w:rsidRDefault="00AF4350" w:rsidP="004F2015">
                  <w:pPr>
                    <w:jc w:val="right"/>
                    <w:rPr>
                      <w:rFonts w:cs="Segoe UI"/>
                      <w:sz w:val="18"/>
                      <w:szCs w:val="18"/>
                    </w:rPr>
                  </w:pPr>
                  <w:r w:rsidRPr="004F2015">
                    <w:rPr>
                      <w:rFonts w:cs="Segoe UI"/>
                      <w:sz w:val="18"/>
                      <w:szCs w:val="18"/>
                    </w:rPr>
                    <w:t>4,4 %</w:t>
                  </w:r>
                </w:p>
              </w:tc>
            </w:tr>
            <w:tr w:rsidR="00AF4350" w:rsidRPr="00F820E9" w:rsidTr="004F2015">
              <w:trPr>
                <w:trHeight w:val="288"/>
              </w:trPr>
              <w:tc>
                <w:tcPr>
                  <w:tcW w:w="812" w:type="dxa"/>
                  <w:shd w:val="clear" w:color="4F81BD" w:fill="FFFFFF"/>
                  <w:noWrap/>
                  <w:vAlign w:val="center"/>
                  <w:hideMark/>
                </w:tcPr>
                <w:p w:rsidR="00AF4350" w:rsidRPr="004F2015" w:rsidRDefault="00AF4350" w:rsidP="00A34764">
                  <w:pPr>
                    <w:rPr>
                      <w:rFonts w:cs="Segoe UI"/>
                      <w:sz w:val="18"/>
                      <w:szCs w:val="18"/>
                    </w:rPr>
                  </w:pPr>
                  <w:r w:rsidRPr="004F2015">
                    <w:rPr>
                      <w:rFonts w:cs="Segoe UI"/>
                      <w:sz w:val="18"/>
                      <w:szCs w:val="18"/>
                    </w:rPr>
                    <w:t xml:space="preserve"> 18–64</w:t>
                  </w:r>
                </w:p>
              </w:tc>
              <w:tc>
                <w:tcPr>
                  <w:tcW w:w="918" w:type="dxa"/>
                  <w:shd w:val="clear" w:color="000000" w:fill="F8696B"/>
                  <w:noWrap/>
                  <w:vAlign w:val="center"/>
                  <w:hideMark/>
                </w:tcPr>
                <w:p w:rsidR="00AF4350" w:rsidRPr="004F2015" w:rsidRDefault="00AF4350" w:rsidP="004F2015">
                  <w:pPr>
                    <w:jc w:val="right"/>
                    <w:rPr>
                      <w:rFonts w:cs="Segoe UI"/>
                      <w:sz w:val="18"/>
                      <w:szCs w:val="18"/>
                    </w:rPr>
                  </w:pPr>
                  <w:r w:rsidRPr="004F2015">
                    <w:rPr>
                      <w:rFonts w:cs="Segoe UI"/>
                      <w:sz w:val="18"/>
                      <w:szCs w:val="18"/>
                    </w:rPr>
                    <w:t>6 885</w:t>
                  </w:r>
                </w:p>
              </w:tc>
              <w:tc>
                <w:tcPr>
                  <w:tcW w:w="710" w:type="dxa"/>
                  <w:shd w:val="clear" w:color="000000" w:fill="FBCACC"/>
                  <w:noWrap/>
                  <w:vAlign w:val="center"/>
                  <w:hideMark/>
                </w:tcPr>
                <w:p w:rsidR="00AF4350" w:rsidRPr="004F2015" w:rsidRDefault="00AF4350" w:rsidP="004F2015">
                  <w:pPr>
                    <w:jc w:val="right"/>
                    <w:rPr>
                      <w:rFonts w:cs="Segoe UI"/>
                      <w:sz w:val="18"/>
                      <w:szCs w:val="18"/>
                    </w:rPr>
                  </w:pPr>
                  <w:r w:rsidRPr="004F2015">
                    <w:rPr>
                      <w:rFonts w:cs="Segoe UI"/>
                      <w:sz w:val="18"/>
                      <w:szCs w:val="18"/>
                    </w:rPr>
                    <w:t>1 930</w:t>
                  </w:r>
                </w:p>
              </w:tc>
              <w:tc>
                <w:tcPr>
                  <w:tcW w:w="0" w:type="auto"/>
                  <w:shd w:val="clear" w:color="000000" w:fill="F8696B"/>
                  <w:noWrap/>
                  <w:vAlign w:val="center"/>
                  <w:hideMark/>
                </w:tcPr>
                <w:p w:rsidR="00AF4350" w:rsidRPr="004F2015" w:rsidRDefault="00AF4350" w:rsidP="004F2015">
                  <w:pPr>
                    <w:jc w:val="right"/>
                    <w:rPr>
                      <w:rFonts w:cs="Segoe UI"/>
                      <w:sz w:val="18"/>
                      <w:szCs w:val="18"/>
                    </w:rPr>
                  </w:pPr>
                  <w:r w:rsidRPr="004F2015">
                    <w:rPr>
                      <w:rFonts w:cs="Segoe UI"/>
                      <w:sz w:val="18"/>
                      <w:szCs w:val="18"/>
                    </w:rPr>
                    <w:t>4 955</w:t>
                  </w:r>
                </w:p>
              </w:tc>
              <w:tc>
                <w:tcPr>
                  <w:tcW w:w="0" w:type="auto"/>
                  <w:shd w:val="clear" w:color="000000" w:fill="FA9D9F"/>
                  <w:noWrap/>
                  <w:vAlign w:val="center"/>
                  <w:hideMark/>
                </w:tcPr>
                <w:p w:rsidR="00AF4350" w:rsidRPr="004F2015" w:rsidRDefault="00AF4350" w:rsidP="004F2015">
                  <w:pPr>
                    <w:jc w:val="right"/>
                    <w:rPr>
                      <w:rFonts w:cs="Segoe UI"/>
                      <w:sz w:val="18"/>
                      <w:szCs w:val="18"/>
                    </w:rPr>
                  </w:pPr>
                  <w:r w:rsidRPr="004F2015">
                    <w:rPr>
                      <w:rFonts w:cs="Segoe UI"/>
                      <w:sz w:val="18"/>
                      <w:szCs w:val="18"/>
                    </w:rPr>
                    <w:t>46,6 %</w:t>
                  </w:r>
                </w:p>
              </w:tc>
              <w:tc>
                <w:tcPr>
                  <w:tcW w:w="0" w:type="auto"/>
                  <w:shd w:val="clear" w:color="000000" w:fill="F8696B"/>
                  <w:noWrap/>
                  <w:vAlign w:val="center"/>
                  <w:hideMark/>
                </w:tcPr>
                <w:p w:rsidR="00AF4350" w:rsidRPr="004F2015" w:rsidRDefault="00AF4350" w:rsidP="004F2015">
                  <w:pPr>
                    <w:jc w:val="right"/>
                    <w:rPr>
                      <w:rFonts w:cs="Segoe UI"/>
                      <w:sz w:val="18"/>
                      <w:szCs w:val="18"/>
                    </w:rPr>
                  </w:pPr>
                  <w:r w:rsidRPr="004F2015">
                    <w:rPr>
                      <w:rFonts w:cs="Segoe UI"/>
                      <w:sz w:val="18"/>
                      <w:szCs w:val="18"/>
                    </w:rPr>
                    <w:t>67,9 %</w:t>
                  </w:r>
                </w:p>
              </w:tc>
            </w:tr>
            <w:tr w:rsidR="00AF4350" w:rsidRPr="00F820E9" w:rsidTr="004F2015">
              <w:trPr>
                <w:trHeight w:val="288"/>
              </w:trPr>
              <w:tc>
                <w:tcPr>
                  <w:tcW w:w="812" w:type="dxa"/>
                  <w:shd w:val="clear" w:color="4F81BD" w:fill="FFFFFF"/>
                  <w:noWrap/>
                  <w:vAlign w:val="center"/>
                  <w:hideMark/>
                </w:tcPr>
                <w:p w:rsidR="00AF4350" w:rsidRPr="004F2015" w:rsidRDefault="00AF4350" w:rsidP="00A34764">
                  <w:pPr>
                    <w:rPr>
                      <w:rFonts w:cs="Segoe UI"/>
                      <w:sz w:val="18"/>
                      <w:szCs w:val="18"/>
                    </w:rPr>
                  </w:pPr>
                  <w:r w:rsidRPr="004F2015">
                    <w:rPr>
                      <w:rFonts w:cs="Segoe UI"/>
                      <w:sz w:val="18"/>
                      <w:szCs w:val="18"/>
                    </w:rPr>
                    <w:t>65 a více</w:t>
                  </w:r>
                </w:p>
              </w:tc>
              <w:tc>
                <w:tcPr>
                  <w:tcW w:w="918" w:type="dxa"/>
                  <w:shd w:val="clear" w:color="000000" w:fill="5A8AC6"/>
                  <w:noWrap/>
                  <w:vAlign w:val="center"/>
                  <w:hideMark/>
                </w:tcPr>
                <w:p w:rsidR="00AF4350" w:rsidRPr="004F2015" w:rsidRDefault="00AF4350" w:rsidP="004F2015">
                  <w:pPr>
                    <w:jc w:val="right"/>
                    <w:rPr>
                      <w:rFonts w:cs="Segoe UI"/>
                      <w:sz w:val="18"/>
                      <w:szCs w:val="18"/>
                    </w:rPr>
                  </w:pPr>
                  <w:r w:rsidRPr="004F2015">
                    <w:rPr>
                      <w:rFonts w:cs="Segoe UI"/>
                      <w:sz w:val="18"/>
                      <w:szCs w:val="18"/>
                    </w:rPr>
                    <w:t>448</w:t>
                  </w:r>
                </w:p>
              </w:tc>
              <w:tc>
                <w:tcPr>
                  <w:tcW w:w="710" w:type="dxa"/>
                  <w:shd w:val="clear" w:color="000000" w:fill="5A8AC6"/>
                  <w:noWrap/>
                  <w:vAlign w:val="center"/>
                  <w:hideMark/>
                </w:tcPr>
                <w:p w:rsidR="00AF4350" w:rsidRPr="004F2015" w:rsidRDefault="00AF4350" w:rsidP="004F2015">
                  <w:pPr>
                    <w:jc w:val="right"/>
                    <w:rPr>
                      <w:rFonts w:cs="Segoe UI"/>
                      <w:sz w:val="18"/>
                      <w:szCs w:val="18"/>
                    </w:rPr>
                  </w:pPr>
                  <w:r w:rsidRPr="004F2015">
                    <w:rPr>
                      <w:rFonts w:cs="Segoe UI"/>
                      <w:sz w:val="18"/>
                      <w:szCs w:val="18"/>
                    </w:rPr>
                    <w:t>117</w:t>
                  </w:r>
                </w:p>
              </w:tc>
              <w:tc>
                <w:tcPr>
                  <w:tcW w:w="0" w:type="auto"/>
                  <w:shd w:val="clear" w:color="000000" w:fill="FCFCFF"/>
                  <w:noWrap/>
                  <w:vAlign w:val="center"/>
                  <w:hideMark/>
                </w:tcPr>
                <w:p w:rsidR="00AF4350" w:rsidRPr="004F2015" w:rsidRDefault="00AF4350" w:rsidP="004F2015">
                  <w:pPr>
                    <w:jc w:val="right"/>
                    <w:rPr>
                      <w:rFonts w:cs="Segoe UI"/>
                      <w:sz w:val="18"/>
                      <w:szCs w:val="18"/>
                    </w:rPr>
                  </w:pPr>
                  <w:r w:rsidRPr="004F2015">
                    <w:rPr>
                      <w:rFonts w:cs="Segoe UI"/>
                      <w:sz w:val="18"/>
                      <w:szCs w:val="18"/>
                    </w:rPr>
                    <w:t>331</w:t>
                  </w:r>
                </w:p>
              </w:tc>
              <w:tc>
                <w:tcPr>
                  <w:tcW w:w="0" w:type="auto"/>
                  <w:shd w:val="clear" w:color="000000" w:fill="5A8AC6"/>
                  <w:noWrap/>
                  <w:vAlign w:val="center"/>
                  <w:hideMark/>
                </w:tcPr>
                <w:p w:rsidR="00AF4350" w:rsidRPr="004F2015" w:rsidRDefault="00AF4350" w:rsidP="004F2015">
                  <w:pPr>
                    <w:jc w:val="right"/>
                    <w:rPr>
                      <w:rFonts w:cs="Segoe UI"/>
                      <w:sz w:val="18"/>
                      <w:szCs w:val="18"/>
                    </w:rPr>
                  </w:pPr>
                  <w:r w:rsidRPr="004F2015">
                    <w:rPr>
                      <w:rFonts w:cs="Segoe UI"/>
                      <w:sz w:val="18"/>
                      <w:szCs w:val="18"/>
                    </w:rPr>
                    <w:t>2,8 %</w:t>
                  </w:r>
                </w:p>
              </w:tc>
              <w:tc>
                <w:tcPr>
                  <w:tcW w:w="0" w:type="auto"/>
                  <w:shd w:val="clear" w:color="000000" w:fill="A1BCDF"/>
                  <w:noWrap/>
                  <w:vAlign w:val="center"/>
                  <w:hideMark/>
                </w:tcPr>
                <w:p w:rsidR="00AF4350" w:rsidRPr="004F2015" w:rsidRDefault="00AF4350" w:rsidP="004F2015">
                  <w:pPr>
                    <w:jc w:val="right"/>
                    <w:rPr>
                      <w:rFonts w:cs="Segoe UI"/>
                      <w:sz w:val="18"/>
                      <w:szCs w:val="18"/>
                    </w:rPr>
                  </w:pPr>
                  <w:r w:rsidRPr="004F2015">
                    <w:rPr>
                      <w:rFonts w:cs="Segoe UI"/>
                      <w:sz w:val="18"/>
                      <w:szCs w:val="18"/>
                    </w:rPr>
                    <w:t>4,5 %</w:t>
                  </w:r>
                </w:p>
              </w:tc>
            </w:tr>
            <w:tr w:rsidR="00AF4350" w:rsidRPr="00F820E9" w:rsidTr="004F2015">
              <w:trPr>
                <w:trHeight w:val="288"/>
              </w:trPr>
              <w:tc>
                <w:tcPr>
                  <w:tcW w:w="812" w:type="dxa"/>
                  <w:shd w:val="clear" w:color="000000" w:fill="FFFFFF"/>
                  <w:noWrap/>
                  <w:vAlign w:val="bottom"/>
                  <w:hideMark/>
                </w:tcPr>
                <w:p w:rsidR="00AF4350" w:rsidRPr="000C1309" w:rsidRDefault="000C1309" w:rsidP="00A34764">
                  <w:pPr>
                    <w:rPr>
                      <w:rFonts w:cs="Segoe UI"/>
                      <w:sz w:val="18"/>
                      <w:szCs w:val="18"/>
                    </w:rPr>
                  </w:pPr>
                  <w:r w:rsidRPr="000C1309">
                    <w:rPr>
                      <w:rFonts w:cs="Segoe UI"/>
                      <w:sz w:val="18"/>
                      <w:szCs w:val="18"/>
                    </w:rPr>
                    <w:t>OK</w:t>
                  </w:r>
                </w:p>
              </w:tc>
              <w:tc>
                <w:tcPr>
                  <w:tcW w:w="918" w:type="dxa"/>
                  <w:shd w:val="clear" w:color="auto" w:fill="auto"/>
                  <w:noWrap/>
                  <w:vAlign w:val="center"/>
                  <w:hideMark/>
                </w:tcPr>
                <w:p w:rsidR="00AF4350" w:rsidRPr="000C1309" w:rsidRDefault="00AF4350" w:rsidP="004F2015">
                  <w:pPr>
                    <w:jc w:val="right"/>
                    <w:rPr>
                      <w:rFonts w:cs="Segoe UI"/>
                      <w:sz w:val="18"/>
                      <w:szCs w:val="18"/>
                    </w:rPr>
                  </w:pPr>
                  <w:r w:rsidRPr="000C1309">
                    <w:rPr>
                      <w:rFonts w:cs="Segoe UI"/>
                      <w:sz w:val="18"/>
                      <w:szCs w:val="18"/>
                    </w:rPr>
                    <w:t>11 440</w:t>
                  </w:r>
                </w:p>
              </w:tc>
              <w:tc>
                <w:tcPr>
                  <w:tcW w:w="710" w:type="dxa"/>
                  <w:shd w:val="clear" w:color="auto" w:fill="auto"/>
                  <w:noWrap/>
                  <w:vAlign w:val="center"/>
                  <w:hideMark/>
                </w:tcPr>
                <w:p w:rsidR="00AF4350" w:rsidRPr="000C1309" w:rsidRDefault="00AF4350" w:rsidP="004F2015">
                  <w:pPr>
                    <w:jc w:val="right"/>
                    <w:rPr>
                      <w:rFonts w:cs="Segoe UI"/>
                      <w:sz w:val="18"/>
                      <w:szCs w:val="18"/>
                    </w:rPr>
                  </w:pPr>
                  <w:r w:rsidRPr="000C1309">
                    <w:rPr>
                      <w:rFonts w:cs="Segoe UI"/>
                      <w:sz w:val="18"/>
                      <w:szCs w:val="18"/>
                    </w:rPr>
                    <w:t>4 140</w:t>
                  </w:r>
                </w:p>
              </w:tc>
              <w:tc>
                <w:tcPr>
                  <w:tcW w:w="0" w:type="auto"/>
                  <w:shd w:val="clear" w:color="auto" w:fill="auto"/>
                  <w:noWrap/>
                  <w:vAlign w:val="center"/>
                  <w:hideMark/>
                </w:tcPr>
                <w:p w:rsidR="00AF4350" w:rsidRPr="000C1309" w:rsidRDefault="00AF4350" w:rsidP="004F2015">
                  <w:pPr>
                    <w:jc w:val="right"/>
                    <w:rPr>
                      <w:rFonts w:cs="Segoe UI"/>
                      <w:sz w:val="18"/>
                      <w:szCs w:val="18"/>
                    </w:rPr>
                  </w:pPr>
                  <w:r w:rsidRPr="000C1309">
                    <w:rPr>
                      <w:rFonts w:cs="Segoe UI"/>
                      <w:sz w:val="18"/>
                      <w:szCs w:val="18"/>
                    </w:rPr>
                    <w:t>7 300</w:t>
                  </w:r>
                </w:p>
              </w:tc>
              <w:tc>
                <w:tcPr>
                  <w:tcW w:w="0" w:type="auto"/>
                  <w:shd w:val="clear" w:color="auto" w:fill="auto"/>
                  <w:noWrap/>
                  <w:vAlign w:val="center"/>
                  <w:hideMark/>
                </w:tcPr>
                <w:p w:rsidR="00AF4350" w:rsidRPr="000C1309" w:rsidRDefault="00AF4350" w:rsidP="004F2015">
                  <w:pPr>
                    <w:jc w:val="right"/>
                    <w:rPr>
                      <w:rFonts w:cs="Segoe UI"/>
                      <w:sz w:val="18"/>
                      <w:szCs w:val="18"/>
                    </w:rPr>
                  </w:pPr>
                  <w:r w:rsidRPr="000C1309">
                    <w:rPr>
                      <w:rFonts w:cs="Segoe UI"/>
                      <w:sz w:val="18"/>
                      <w:szCs w:val="18"/>
                    </w:rPr>
                    <w:t>100,0 %</w:t>
                  </w:r>
                </w:p>
              </w:tc>
              <w:tc>
                <w:tcPr>
                  <w:tcW w:w="0" w:type="auto"/>
                  <w:shd w:val="clear" w:color="auto" w:fill="auto"/>
                  <w:noWrap/>
                  <w:vAlign w:val="center"/>
                  <w:hideMark/>
                </w:tcPr>
                <w:p w:rsidR="00AF4350" w:rsidRPr="000C1309" w:rsidRDefault="00AF4350" w:rsidP="004F2015">
                  <w:pPr>
                    <w:jc w:val="right"/>
                    <w:rPr>
                      <w:rFonts w:cs="Segoe UI"/>
                      <w:sz w:val="18"/>
                      <w:szCs w:val="18"/>
                    </w:rPr>
                  </w:pPr>
                  <w:r w:rsidRPr="000C1309">
                    <w:rPr>
                      <w:rFonts w:cs="Segoe UI"/>
                      <w:sz w:val="18"/>
                      <w:szCs w:val="18"/>
                    </w:rPr>
                    <w:t>100,0 %</w:t>
                  </w:r>
                </w:p>
              </w:tc>
            </w:tr>
          </w:tbl>
          <w:p w:rsidR="00AF4350" w:rsidRPr="0039748C" w:rsidRDefault="00AF4350" w:rsidP="004F2015">
            <w:pPr>
              <w:pStyle w:val="Zdrojobjektu"/>
            </w:pPr>
            <w:r w:rsidRPr="0039748C">
              <w:t>Zdroj: MVČR, data k 17. 6. 2022, zpracování ACCENDO (2022)</w:t>
            </w:r>
          </w:p>
          <w:p w:rsidR="00AF4350" w:rsidRPr="0039748C" w:rsidRDefault="00AF4350" w:rsidP="00A34764"/>
        </w:tc>
        <w:tc>
          <w:tcPr>
            <w:tcW w:w="4470" w:type="dxa"/>
          </w:tcPr>
          <w:p w:rsidR="00AF4350" w:rsidRPr="0039748C" w:rsidRDefault="00AF4350" w:rsidP="004F2015">
            <w:pPr>
              <w:pStyle w:val="popistabulkySPRSS2024"/>
            </w:pPr>
            <w:bookmarkStart w:id="103" w:name="_Toc117607043"/>
            <w:r w:rsidRPr="0039748C">
              <w:t xml:space="preserve">Graf </w:t>
            </w:r>
            <w:r w:rsidR="00412C70">
              <w:fldChar w:fldCharType="begin"/>
            </w:r>
            <w:r w:rsidR="00412C70">
              <w:instrText xml:space="preserve"> SEQ Graf \* ARABIC </w:instrText>
            </w:r>
            <w:r w:rsidR="00412C70">
              <w:fldChar w:fldCharType="separate"/>
            </w:r>
            <w:r w:rsidR="003A12AF">
              <w:rPr>
                <w:noProof/>
              </w:rPr>
              <w:t>17</w:t>
            </w:r>
            <w:r w:rsidR="00412C70">
              <w:rPr>
                <w:noProof/>
              </w:rPr>
              <w:fldChar w:fldCharType="end"/>
            </w:r>
            <w:r>
              <w:t>:</w:t>
            </w:r>
            <w:r w:rsidRPr="0039748C">
              <w:t xml:space="preserve"> Počet osob s uděleným pobytovým oprávněním v souvislosti s válkou na Ukrajině podle pohlaví a věku v OK</w:t>
            </w:r>
            <w:bookmarkEnd w:id="103"/>
          </w:p>
          <w:p w:rsidR="00AF4350" w:rsidRPr="0039748C" w:rsidRDefault="00AF4350" w:rsidP="00A34764">
            <w:r w:rsidRPr="0039748C">
              <w:rPr>
                <w:noProof/>
              </w:rPr>
              <w:drawing>
                <wp:inline distT="0" distB="0" distL="0" distR="0" wp14:anchorId="49C2B3AF" wp14:editId="4D740F40">
                  <wp:extent cx="2506980" cy="2374243"/>
                  <wp:effectExtent l="0" t="0" r="7620" b="762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3837" cy="2380737"/>
                          </a:xfrm>
                          <a:prstGeom prst="rect">
                            <a:avLst/>
                          </a:prstGeom>
                          <a:noFill/>
                        </pic:spPr>
                      </pic:pic>
                    </a:graphicData>
                  </a:graphic>
                </wp:inline>
              </w:drawing>
            </w:r>
            <w:r w:rsidRPr="004F2015">
              <w:rPr>
                <w:rStyle w:val="ZdrojobjektuChar"/>
              </w:rPr>
              <w:t>Zdroj: MVČR, data k 17. 6. 2022, zpracování ACCENDO (2022)</w:t>
            </w:r>
          </w:p>
          <w:p w:rsidR="00AF4350" w:rsidRPr="0039748C" w:rsidRDefault="00AF4350" w:rsidP="00A34764"/>
        </w:tc>
      </w:tr>
    </w:tbl>
    <w:p w:rsidR="00AF4350" w:rsidRPr="0039748C" w:rsidRDefault="00AF4350" w:rsidP="00A34764"/>
    <w:p w:rsidR="00AF4350" w:rsidRDefault="00AF4350" w:rsidP="00A34764">
      <w:pPr>
        <w:pStyle w:val="Nadpis3"/>
        <w:rPr>
          <w:rFonts w:eastAsia="Times New Roman"/>
        </w:rPr>
      </w:pPr>
      <w:bookmarkStart w:id="104" w:name="_Toc117606969"/>
      <w:r w:rsidRPr="0039748C">
        <w:rPr>
          <w:rFonts w:eastAsia="Times New Roman"/>
        </w:rPr>
        <w:lastRenderedPageBreak/>
        <w:t>Osoby v krizi a osoby sociálně vyloučené</w:t>
      </w:r>
      <w:bookmarkEnd w:id="104"/>
    </w:p>
    <w:p w:rsidR="00AF4350" w:rsidRPr="008E71AE" w:rsidRDefault="00AF4350" w:rsidP="004F2015">
      <w:pPr>
        <w:pStyle w:val="Tun"/>
      </w:pPr>
      <w:r w:rsidRPr="008E71AE">
        <w:t>Osoby bez přístřeší</w:t>
      </w:r>
    </w:p>
    <w:p w:rsidR="00AF4350" w:rsidRPr="008E71AE" w:rsidRDefault="00AF4350" w:rsidP="00A34764">
      <w:r w:rsidRPr="008E71AE">
        <w:t>Pojem bezdomovectví (resp. osoba bez domova či bez přístřeší) je pojmem, který vyvolá v různé míře subjektivně zabarvenou představu o osobě, která nemá vlastní domov, nenajímá si jej, nežije v obydlí u</w:t>
      </w:r>
      <w:r w:rsidR="0075108A">
        <w:t> </w:t>
      </w:r>
      <w:r w:rsidRPr="008E71AE">
        <w:t>osoby blízké atp. Se všeobecně přijímanou Evropskou typologií bezdomovství a vyloučení z bydlení (ETHOS, vytvořeno Evropskou federací národních sdružení pracujících s</w:t>
      </w:r>
      <w:r>
        <w:t xml:space="preserve"> lidmi bez přístřeší </w:t>
      </w:r>
      <w:r w:rsidRPr="008E71AE">
        <w:t>- FEANTSA), je však rozlišováno vícero koncepčních kategorií bezdomovectví a vyloučení z bydlení (bez střechy, bez bytu, nejisté bydlení, nevyhovující bydlení), které vychází z principu chápání domova prostřednictvím třech oblastí: „</w:t>
      </w:r>
      <w:r w:rsidRPr="008E71AE">
        <w:rPr>
          <w:i/>
        </w:rPr>
        <w:t>mít přiměřené bydlení, které může osoba a její rodina výlučně užívat (fyzická oblast); mít prostor pro vlastní soukromí s možností sociálních vztahů (sociální oblast); mít právní důvod k užívání (právní oblast).</w:t>
      </w:r>
      <w:r w:rsidRPr="008E71AE">
        <w:t>“</w:t>
      </w:r>
      <w:r w:rsidRPr="008E71AE">
        <w:rPr>
          <w:vertAlign w:val="superscript"/>
        </w:rPr>
        <w:footnoteReference w:id="4"/>
      </w:r>
    </w:p>
    <w:p w:rsidR="00AF4350" w:rsidRPr="008E71AE" w:rsidRDefault="00AF4350" w:rsidP="00A34764">
      <w:r w:rsidRPr="008E71AE">
        <w:t>Níže uvedené informace je nutné chápat jako části nekompletního obrazu k tématu bezdomovectví, které lze v ideálním případě dávat do souvislosti</w:t>
      </w:r>
      <w:r w:rsidRPr="008E71AE">
        <w:rPr>
          <w:vertAlign w:val="superscript"/>
        </w:rPr>
        <w:footnoteReference w:id="5"/>
      </w:r>
      <w:r w:rsidRPr="008E71AE">
        <w:t>.</w:t>
      </w:r>
      <w:bookmarkStart w:id="105" w:name="_Toc19623355"/>
    </w:p>
    <w:p w:rsidR="00AF4350" w:rsidRPr="008E71AE" w:rsidRDefault="00AF4350" w:rsidP="004F2015">
      <w:pPr>
        <w:pStyle w:val="Tun"/>
      </w:pPr>
      <w:r w:rsidRPr="008E71AE">
        <w:t xml:space="preserve">Sčítání lidu, domů a bytů v roce 2021 </w:t>
      </w:r>
    </w:p>
    <w:p w:rsidR="00AF4350" w:rsidRPr="008E71AE" w:rsidRDefault="00AF4350" w:rsidP="00A34764">
      <w:r w:rsidRPr="008E71AE">
        <w:t xml:space="preserve">V OK bylo podle sčítání lidu domů a bytů v roce 2021 celkem 312 osob bez </w:t>
      </w:r>
      <w:r>
        <w:t>přístřeší</w:t>
      </w:r>
      <w:r w:rsidRPr="008E71AE">
        <w:t xml:space="preserve">, přičemž 76 % z nich tvořili muži. Nejvíce osob bez </w:t>
      </w:r>
      <w:r>
        <w:t>přístřeší</w:t>
      </w:r>
      <w:r w:rsidRPr="008E71AE">
        <w:t xml:space="preserve"> žije v SO ORP Olomouc (88), následují SO ORP Jeseník (66) a Šumperk (42), Přerov a Uničov pak mají shodný počet osob bez </w:t>
      </w:r>
      <w:r>
        <w:t>přístřeší</w:t>
      </w:r>
      <w:r w:rsidRPr="008E71AE">
        <w:t xml:space="preserve"> (28), v SO ORP Prostějov jich žije 21, ve Šternberku 13 a Zábřehu 10. Méně než 10 osob bez </w:t>
      </w:r>
      <w:r>
        <w:t>přístřeší</w:t>
      </w:r>
      <w:r w:rsidRPr="008E71AE">
        <w:t xml:space="preserve"> žije v SO ORP Hranice (7), Lipník n. B. (4), Litovel (3) a Mohelnice (2). V SO ORP Konice nežije žádný člověk bez </w:t>
      </w:r>
      <w:r>
        <w:t>přístřeší</w:t>
      </w:r>
      <w:r w:rsidRPr="008E71AE">
        <w:t xml:space="preserve">. Při přepočtu na 100 tis. obyvatel pak v kraji počtem </w:t>
      </w:r>
      <w:r>
        <w:t>osob bez přístřeší</w:t>
      </w:r>
      <w:r w:rsidRPr="008E71AE">
        <w:t xml:space="preserve"> dominuje SO ORP Jeseník s hodnotou 186,1 a</w:t>
      </w:r>
      <w:r>
        <w:t> </w:t>
      </w:r>
      <w:r w:rsidRPr="008E71AE">
        <w:t>Uničov s hodnotou 129,6.</w:t>
      </w:r>
    </w:p>
    <w:p w:rsidR="00AF4350" w:rsidRPr="008E71AE" w:rsidRDefault="00AF4350" w:rsidP="00A34764">
      <w:r w:rsidRPr="008E71AE">
        <w:t xml:space="preserve">V OK dosahuje počet osob bez </w:t>
      </w:r>
      <w:r>
        <w:t>přístřeší</w:t>
      </w:r>
      <w:r w:rsidRPr="008E71AE">
        <w:t xml:space="preserve"> na 100 tis. obyvatel hodnoty 50,3 což je v mezikrajském srovnání po Moravskoslezském kraji (63,4) druhá nejvyšší hodnota, na třetí příčce pak figuruje hlavní město Praha (46,9), s odstupem pak Ústecký (39,2), Karlovarský (39,1), Zlínský (36,2), Jihomoravský (36,2) a Jihočeský kraj (32,1). Nejnižší zastoupení </w:t>
      </w:r>
      <w:r>
        <w:t>osob bez přístřeší</w:t>
      </w:r>
      <w:r w:rsidRPr="008E71AE">
        <w:t xml:space="preserve"> v populaci je v Plzeňském kraji, kde na 100 tis. obyvatel připadá 11,5 </w:t>
      </w:r>
      <w:r>
        <w:t>osob bez přístřeší</w:t>
      </w:r>
      <w:r w:rsidRPr="008E71AE">
        <w:t>. V rámci republiky je pak hodnota ukazatele na úrovni 35,4.</w:t>
      </w:r>
    </w:p>
    <w:p w:rsidR="00AF4350" w:rsidRPr="008E71AE" w:rsidRDefault="00AF4350" w:rsidP="004F2015">
      <w:pPr>
        <w:pStyle w:val="popistabulkySPRSS2024"/>
      </w:pPr>
      <w:bookmarkStart w:id="106" w:name="_Toc117607044"/>
      <w:r w:rsidRPr="008E71AE">
        <w:t xml:space="preserve">Graf </w:t>
      </w:r>
      <w:r w:rsidR="00412C70">
        <w:fldChar w:fldCharType="begin"/>
      </w:r>
      <w:r w:rsidR="00412C70">
        <w:instrText xml:space="preserve"> SEQ Graf \* ARABIC </w:instrText>
      </w:r>
      <w:r w:rsidR="00412C70">
        <w:fldChar w:fldCharType="separate"/>
      </w:r>
      <w:r w:rsidR="003A12AF">
        <w:rPr>
          <w:noProof/>
        </w:rPr>
        <w:t>18</w:t>
      </w:r>
      <w:r w:rsidR="00412C70">
        <w:rPr>
          <w:noProof/>
        </w:rPr>
        <w:fldChar w:fldCharType="end"/>
      </w:r>
      <w:r>
        <w:t>:</w:t>
      </w:r>
      <w:r w:rsidRPr="008E71AE">
        <w:t xml:space="preserve"> Počet osob bez </w:t>
      </w:r>
      <w:r>
        <w:t>přístřeší</w:t>
      </w:r>
      <w:r w:rsidRPr="008E71AE">
        <w:t xml:space="preserve"> na 100 tis. obyvatel v krajích ČR v roce 2021</w:t>
      </w:r>
      <w:bookmarkEnd w:id="106"/>
    </w:p>
    <w:p w:rsidR="00AF4350" w:rsidRPr="004F2015" w:rsidRDefault="0020646C" w:rsidP="004F2015">
      <w:pPr>
        <w:spacing w:before="0"/>
        <w:rPr>
          <w:rStyle w:val="ZdrojobjektuChar"/>
        </w:rPr>
      </w:pPr>
      <w:r>
        <w:rPr>
          <w:rStyle w:val="ZdrojobjektuChar"/>
          <w:noProof/>
        </w:rPr>
        <w:drawing>
          <wp:inline distT="0" distB="0" distL="0" distR="0" wp14:anchorId="010F7F73" wp14:editId="5BEA0858">
            <wp:extent cx="5943600" cy="2065094"/>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1561" cy="2067860"/>
                    </a:xfrm>
                    <a:prstGeom prst="rect">
                      <a:avLst/>
                    </a:prstGeom>
                    <a:noFill/>
                  </pic:spPr>
                </pic:pic>
              </a:graphicData>
            </a:graphic>
          </wp:inline>
        </w:drawing>
      </w:r>
      <w:r w:rsidR="00AF4350" w:rsidRPr="004F2015">
        <w:rPr>
          <w:rStyle w:val="ZdrojobjektuChar"/>
        </w:rPr>
        <w:t>Zdroj: SLDB 2021, ČSÚ (2022). Zpracování ACCENDO.</w:t>
      </w:r>
    </w:p>
    <w:p w:rsidR="00AF4350" w:rsidRPr="008E71AE" w:rsidRDefault="00AF4350" w:rsidP="004F2015">
      <w:pPr>
        <w:pStyle w:val="popistabulkySPRSS2024"/>
      </w:pPr>
      <w:r w:rsidRPr="008E71AE">
        <w:lastRenderedPageBreak/>
        <w:t>Graf 20</w:t>
      </w:r>
      <w:r>
        <w:t>:</w:t>
      </w:r>
      <w:r w:rsidRPr="008E71AE">
        <w:t xml:space="preserve"> Počet </w:t>
      </w:r>
      <w:r w:rsidRPr="004B7948">
        <w:t xml:space="preserve">osob bez </w:t>
      </w:r>
      <w:r>
        <w:t>přístřeší</w:t>
      </w:r>
      <w:r w:rsidRPr="008E71AE">
        <w:t xml:space="preserve"> na 100 tis. obyvatel ve SO ORP OK v roce 2021</w:t>
      </w:r>
    </w:p>
    <w:p w:rsidR="00AF4350" w:rsidRPr="004F2015" w:rsidRDefault="00AF4350" w:rsidP="004F2015">
      <w:pPr>
        <w:spacing w:before="0"/>
        <w:rPr>
          <w:rStyle w:val="ZdrojobjektuChar"/>
        </w:rPr>
      </w:pPr>
      <w:r w:rsidRPr="008E71AE">
        <w:rPr>
          <w:rFonts w:eastAsia="Arial Unicode MS"/>
          <w:noProof/>
          <w:sz w:val="18"/>
          <w:lang w:eastAsia="cs-CZ"/>
        </w:rPr>
        <w:drawing>
          <wp:inline distT="0" distB="0" distL="0" distR="0" wp14:anchorId="6007E175" wp14:editId="29612B55">
            <wp:extent cx="6115050" cy="2085975"/>
            <wp:effectExtent l="0" t="0" r="0" b="952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2085975"/>
                    </a:xfrm>
                    <a:prstGeom prst="rect">
                      <a:avLst/>
                    </a:prstGeom>
                    <a:noFill/>
                  </pic:spPr>
                </pic:pic>
              </a:graphicData>
            </a:graphic>
          </wp:inline>
        </w:drawing>
      </w:r>
      <w:r w:rsidRPr="008E71AE">
        <w:rPr>
          <w:rFonts w:eastAsia="Arial Unicode MS"/>
          <w:sz w:val="18"/>
          <w:lang w:eastAsia="cs-CZ"/>
        </w:rPr>
        <w:t xml:space="preserve"> </w:t>
      </w:r>
      <w:r w:rsidRPr="004F2015">
        <w:rPr>
          <w:rStyle w:val="ZdrojobjektuChar"/>
        </w:rPr>
        <w:t>Zdroj: SLDB 2021, ČSÚ (2022). Zpracování ACCENDO.</w:t>
      </w:r>
    </w:p>
    <w:bookmarkEnd w:id="105"/>
    <w:p w:rsidR="00AF4350" w:rsidRPr="008E71AE" w:rsidRDefault="00AF4350" w:rsidP="004F2015">
      <w:pPr>
        <w:pStyle w:val="Tun"/>
      </w:pPr>
      <w:r w:rsidRPr="008E71AE">
        <w:t>Sčítání osob bez domova – VÚPSV, v. v. i. (duben 2019)</w:t>
      </w:r>
    </w:p>
    <w:p w:rsidR="00AF4350" w:rsidRPr="008E71AE" w:rsidRDefault="00AF4350" w:rsidP="00A34764">
      <w:r w:rsidRPr="008E71AE">
        <w:t>V tabulce níže (přejato z výzkumu SČÍTÁNÍ OSOB BEZ DOMOVA V ČESKÉ REPUBLICE</w:t>
      </w:r>
      <w:r w:rsidRPr="008E71AE">
        <w:rPr>
          <w:vertAlign w:val="superscript"/>
        </w:rPr>
        <w:footnoteReference w:id="6"/>
      </w:r>
      <w:r w:rsidRPr="008E71AE">
        <w:t xml:space="preserve">, který byl realizován na jaře roku 2019) jsou představeny počty sečtených osob bez </w:t>
      </w:r>
      <w:r>
        <w:t>přístřeší</w:t>
      </w:r>
      <w:r w:rsidRPr="008E71AE">
        <w:t xml:space="preserve"> podle místa přespávání (resp. ubytovacího zařízení) v Olomouckém kraji. Sčítání probíhalo v druhém dubnovém týdnu 8. - 14. 4. 2019 v celé ČR. V Olomouckém kraji se zapojilo celkem 46 obcí (I.</w:t>
      </w:r>
      <w:r>
        <w:t>,</w:t>
      </w:r>
      <w:r w:rsidRPr="008E71AE">
        <w:t xml:space="preserve"> II.</w:t>
      </w:r>
      <w:r>
        <w:t>,</w:t>
      </w:r>
      <w:r w:rsidRPr="008E71AE">
        <w:t xml:space="preserve"> III. typu).</w:t>
      </w:r>
    </w:p>
    <w:p w:rsidR="00AF4350" w:rsidRDefault="00AF4350" w:rsidP="00A34764">
      <w:pPr>
        <w:pStyle w:val="Titulek"/>
      </w:pPr>
      <w:bookmarkStart w:id="107" w:name="_Toc117607083"/>
      <w:r>
        <w:t xml:space="preserve">Tabulka </w:t>
      </w:r>
      <w:r w:rsidR="00C140D0">
        <w:rPr>
          <w:noProof/>
        </w:rPr>
        <w:fldChar w:fldCharType="begin"/>
      </w:r>
      <w:r w:rsidR="00C140D0">
        <w:rPr>
          <w:noProof/>
        </w:rPr>
        <w:instrText xml:space="preserve"> SEQ Tabulka \* ARABIC </w:instrText>
      </w:r>
      <w:r w:rsidR="00C140D0">
        <w:rPr>
          <w:noProof/>
        </w:rPr>
        <w:fldChar w:fldCharType="separate"/>
      </w:r>
      <w:r w:rsidR="003A12AF">
        <w:rPr>
          <w:noProof/>
        </w:rPr>
        <w:t>23</w:t>
      </w:r>
      <w:r w:rsidR="00C140D0">
        <w:rPr>
          <w:noProof/>
        </w:rPr>
        <w:fldChar w:fldCharType="end"/>
      </w:r>
      <w:r>
        <w:t xml:space="preserve">: </w:t>
      </w:r>
      <w:r w:rsidRPr="00E278DC">
        <w:t>Osoby bez přístřeší dle místa přespávání</w:t>
      </w:r>
      <w:bookmarkEnd w:id="107"/>
    </w:p>
    <w:tbl>
      <w:tblPr>
        <w:tblStyle w:val="Mkatabulky17"/>
        <w:tblW w:w="9106" w:type="dxa"/>
        <w:tblLook w:val="04A0" w:firstRow="1" w:lastRow="0" w:firstColumn="1" w:lastColumn="0" w:noHBand="0" w:noVBand="1"/>
      </w:tblPr>
      <w:tblGrid>
        <w:gridCol w:w="6691"/>
        <w:gridCol w:w="2415"/>
      </w:tblGrid>
      <w:tr w:rsidR="00AF4350" w:rsidRPr="008E71AE" w:rsidTr="00AF4350">
        <w:trPr>
          <w:trHeight w:val="274"/>
        </w:trPr>
        <w:tc>
          <w:tcPr>
            <w:tcW w:w="6691" w:type="dxa"/>
          </w:tcPr>
          <w:p w:rsidR="00AF4350" w:rsidRPr="008E71AE" w:rsidRDefault="00AF4350" w:rsidP="004F2015">
            <w:pPr>
              <w:spacing w:before="0"/>
              <w:rPr>
                <w:rFonts w:eastAsia="Arial Unicode MS"/>
                <w:lang w:eastAsia="cs-CZ"/>
              </w:rPr>
            </w:pPr>
            <w:r w:rsidRPr="008E71AE">
              <w:rPr>
                <w:rFonts w:eastAsia="Arial Unicode MS"/>
                <w:lang w:eastAsia="cs-CZ"/>
              </w:rPr>
              <w:t>Celkový počet dospělých osob</w:t>
            </w:r>
          </w:p>
        </w:tc>
        <w:tc>
          <w:tcPr>
            <w:tcW w:w="2415" w:type="dxa"/>
          </w:tcPr>
          <w:p w:rsidR="00AF4350" w:rsidRPr="008E71AE" w:rsidRDefault="00AF4350" w:rsidP="004F2015">
            <w:pPr>
              <w:spacing w:before="0"/>
              <w:jc w:val="right"/>
              <w:rPr>
                <w:rFonts w:eastAsia="Arial Unicode MS"/>
                <w:lang w:eastAsia="cs-CZ"/>
              </w:rPr>
            </w:pPr>
            <w:r w:rsidRPr="008E71AE">
              <w:rPr>
                <w:rFonts w:eastAsia="Arial Unicode MS"/>
                <w:lang w:eastAsia="cs-CZ"/>
              </w:rPr>
              <w:t>1</w:t>
            </w:r>
            <w:r w:rsidR="004F2015">
              <w:rPr>
                <w:rFonts w:eastAsia="Arial Unicode MS"/>
                <w:lang w:eastAsia="cs-CZ"/>
              </w:rPr>
              <w:t xml:space="preserve"> </w:t>
            </w:r>
            <w:r w:rsidRPr="008E71AE">
              <w:rPr>
                <w:rFonts w:eastAsia="Arial Unicode MS"/>
                <w:lang w:eastAsia="cs-CZ"/>
              </w:rPr>
              <w:t>315</w:t>
            </w:r>
          </w:p>
        </w:tc>
      </w:tr>
      <w:tr w:rsidR="00AF4350" w:rsidRPr="008E71AE" w:rsidTr="00AF4350">
        <w:trPr>
          <w:trHeight w:val="274"/>
        </w:trPr>
        <w:tc>
          <w:tcPr>
            <w:tcW w:w="6691" w:type="dxa"/>
          </w:tcPr>
          <w:p w:rsidR="00AF4350" w:rsidRPr="008E71AE" w:rsidRDefault="00AF4350" w:rsidP="004F2015">
            <w:pPr>
              <w:spacing w:before="0"/>
              <w:rPr>
                <w:rFonts w:eastAsia="Arial Unicode MS"/>
                <w:lang w:eastAsia="cs-CZ"/>
              </w:rPr>
            </w:pPr>
            <w:r w:rsidRPr="008E71AE">
              <w:rPr>
                <w:rFonts w:eastAsia="Arial Unicode MS"/>
                <w:lang w:eastAsia="cs-CZ"/>
              </w:rPr>
              <w:t>Celkový počet dětí</w:t>
            </w:r>
          </w:p>
        </w:tc>
        <w:tc>
          <w:tcPr>
            <w:tcW w:w="2415" w:type="dxa"/>
          </w:tcPr>
          <w:p w:rsidR="00AF4350" w:rsidRPr="008E71AE" w:rsidRDefault="00AF4350" w:rsidP="004F2015">
            <w:pPr>
              <w:spacing w:before="0"/>
              <w:jc w:val="right"/>
              <w:rPr>
                <w:rFonts w:eastAsia="Arial Unicode MS"/>
                <w:lang w:eastAsia="cs-CZ"/>
              </w:rPr>
            </w:pPr>
            <w:r w:rsidRPr="008E71AE">
              <w:rPr>
                <w:rFonts w:eastAsia="Arial Unicode MS"/>
                <w:lang w:eastAsia="cs-CZ"/>
              </w:rPr>
              <w:t>272</w:t>
            </w:r>
          </w:p>
        </w:tc>
      </w:tr>
      <w:tr w:rsidR="00AF4350" w:rsidRPr="008E71AE" w:rsidTr="00AF4350">
        <w:trPr>
          <w:trHeight w:val="274"/>
        </w:trPr>
        <w:tc>
          <w:tcPr>
            <w:tcW w:w="6691" w:type="dxa"/>
          </w:tcPr>
          <w:p w:rsidR="00AF4350" w:rsidRPr="008E71AE" w:rsidRDefault="00AF4350" w:rsidP="004F2015">
            <w:pPr>
              <w:spacing w:before="0"/>
              <w:rPr>
                <w:rFonts w:eastAsia="Arial Unicode MS"/>
                <w:lang w:eastAsia="cs-CZ"/>
              </w:rPr>
            </w:pPr>
            <w:r w:rsidRPr="008E71AE">
              <w:rPr>
                <w:rFonts w:eastAsia="Arial Unicode MS"/>
                <w:lang w:eastAsia="cs-CZ"/>
              </w:rPr>
              <w:t>venku a v noclehárnách</w:t>
            </w:r>
          </w:p>
        </w:tc>
        <w:tc>
          <w:tcPr>
            <w:tcW w:w="2415" w:type="dxa"/>
          </w:tcPr>
          <w:p w:rsidR="00AF4350" w:rsidRPr="008E71AE" w:rsidRDefault="00AF4350" w:rsidP="004F2015">
            <w:pPr>
              <w:spacing w:before="0"/>
              <w:jc w:val="right"/>
              <w:rPr>
                <w:rFonts w:eastAsia="Arial Unicode MS"/>
                <w:lang w:eastAsia="cs-CZ"/>
              </w:rPr>
            </w:pPr>
            <w:r w:rsidRPr="008E71AE">
              <w:rPr>
                <w:rFonts w:eastAsia="Arial Unicode MS"/>
                <w:lang w:eastAsia="cs-CZ"/>
              </w:rPr>
              <w:t>665*</w:t>
            </w:r>
          </w:p>
        </w:tc>
      </w:tr>
      <w:tr w:rsidR="00AF4350" w:rsidRPr="008E71AE" w:rsidTr="00AF4350">
        <w:trPr>
          <w:trHeight w:val="274"/>
        </w:trPr>
        <w:tc>
          <w:tcPr>
            <w:tcW w:w="6691" w:type="dxa"/>
          </w:tcPr>
          <w:p w:rsidR="00AF4350" w:rsidRPr="008E71AE" w:rsidRDefault="00AF4350" w:rsidP="004F2015">
            <w:pPr>
              <w:spacing w:before="0"/>
              <w:rPr>
                <w:rFonts w:eastAsia="Arial Unicode MS"/>
                <w:lang w:eastAsia="cs-CZ"/>
              </w:rPr>
            </w:pPr>
            <w:r w:rsidRPr="008E71AE">
              <w:rPr>
                <w:rFonts w:eastAsia="Arial Unicode MS"/>
                <w:lang w:eastAsia="cs-CZ"/>
              </w:rPr>
              <w:t>azylové domy – dospělí</w:t>
            </w:r>
          </w:p>
        </w:tc>
        <w:tc>
          <w:tcPr>
            <w:tcW w:w="2415" w:type="dxa"/>
          </w:tcPr>
          <w:p w:rsidR="00AF4350" w:rsidRPr="008E71AE" w:rsidRDefault="00AF4350" w:rsidP="004F2015">
            <w:pPr>
              <w:spacing w:before="0"/>
              <w:jc w:val="right"/>
              <w:rPr>
                <w:rFonts w:eastAsia="Arial Unicode MS"/>
                <w:lang w:eastAsia="cs-CZ"/>
              </w:rPr>
            </w:pPr>
            <w:r w:rsidRPr="008E71AE">
              <w:rPr>
                <w:rFonts w:eastAsia="Arial Unicode MS"/>
                <w:lang w:eastAsia="cs-CZ"/>
              </w:rPr>
              <w:t>400</w:t>
            </w:r>
          </w:p>
        </w:tc>
      </w:tr>
      <w:tr w:rsidR="00AF4350" w:rsidRPr="008E71AE" w:rsidTr="00AF4350">
        <w:trPr>
          <w:trHeight w:val="274"/>
        </w:trPr>
        <w:tc>
          <w:tcPr>
            <w:tcW w:w="6691" w:type="dxa"/>
          </w:tcPr>
          <w:p w:rsidR="00AF4350" w:rsidRPr="008E71AE" w:rsidRDefault="00AF4350" w:rsidP="004F2015">
            <w:pPr>
              <w:spacing w:before="0"/>
              <w:rPr>
                <w:rFonts w:eastAsia="Arial Unicode MS"/>
                <w:lang w:eastAsia="cs-CZ"/>
              </w:rPr>
            </w:pPr>
            <w:r w:rsidRPr="008E71AE">
              <w:rPr>
                <w:rFonts w:eastAsia="Arial Unicode MS"/>
                <w:lang w:eastAsia="cs-CZ"/>
              </w:rPr>
              <w:t>azylové domy – děti</w:t>
            </w:r>
          </w:p>
        </w:tc>
        <w:tc>
          <w:tcPr>
            <w:tcW w:w="2415" w:type="dxa"/>
          </w:tcPr>
          <w:p w:rsidR="00AF4350" w:rsidRPr="008E71AE" w:rsidRDefault="00AF4350" w:rsidP="004F2015">
            <w:pPr>
              <w:spacing w:before="0"/>
              <w:jc w:val="right"/>
              <w:rPr>
                <w:rFonts w:eastAsia="Arial Unicode MS"/>
                <w:lang w:eastAsia="cs-CZ"/>
              </w:rPr>
            </w:pPr>
            <w:r w:rsidRPr="008E71AE">
              <w:rPr>
                <w:rFonts w:eastAsia="Arial Unicode MS"/>
                <w:lang w:eastAsia="cs-CZ"/>
              </w:rPr>
              <w:t>254</w:t>
            </w:r>
          </w:p>
        </w:tc>
      </w:tr>
      <w:tr w:rsidR="00AF4350" w:rsidRPr="008E71AE" w:rsidTr="00AF4350">
        <w:trPr>
          <w:trHeight w:val="274"/>
        </w:trPr>
        <w:tc>
          <w:tcPr>
            <w:tcW w:w="6691" w:type="dxa"/>
          </w:tcPr>
          <w:p w:rsidR="00AF4350" w:rsidRPr="008E71AE" w:rsidRDefault="00AF4350" w:rsidP="004F2015">
            <w:pPr>
              <w:spacing w:before="0"/>
              <w:rPr>
                <w:rFonts w:eastAsia="Arial Unicode MS"/>
                <w:lang w:eastAsia="cs-CZ"/>
              </w:rPr>
            </w:pPr>
            <w:r w:rsidRPr="008E71AE">
              <w:rPr>
                <w:rFonts w:eastAsia="Arial Unicode MS"/>
                <w:lang w:eastAsia="cs-CZ"/>
              </w:rPr>
              <w:t>obecní ubytovny – dospělí</w:t>
            </w:r>
          </w:p>
        </w:tc>
        <w:tc>
          <w:tcPr>
            <w:tcW w:w="2415" w:type="dxa"/>
          </w:tcPr>
          <w:p w:rsidR="00AF4350" w:rsidRPr="008E71AE" w:rsidRDefault="00AF4350" w:rsidP="004F2015">
            <w:pPr>
              <w:spacing w:before="0"/>
              <w:jc w:val="right"/>
              <w:rPr>
                <w:rFonts w:eastAsia="Arial Unicode MS"/>
                <w:lang w:eastAsia="cs-CZ"/>
              </w:rPr>
            </w:pPr>
            <w:r w:rsidRPr="008E71AE">
              <w:rPr>
                <w:rFonts w:eastAsia="Arial Unicode MS"/>
                <w:lang w:eastAsia="cs-CZ"/>
              </w:rPr>
              <w:t>53**</w:t>
            </w:r>
          </w:p>
        </w:tc>
      </w:tr>
      <w:tr w:rsidR="00AF4350" w:rsidRPr="008E71AE" w:rsidTr="00AF4350">
        <w:trPr>
          <w:trHeight w:val="288"/>
        </w:trPr>
        <w:tc>
          <w:tcPr>
            <w:tcW w:w="6691" w:type="dxa"/>
          </w:tcPr>
          <w:p w:rsidR="00AF4350" w:rsidRPr="008E71AE" w:rsidRDefault="00AF4350" w:rsidP="004F2015">
            <w:pPr>
              <w:spacing w:before="0"/>
              <w:rPr>
                <w:rFonts w:eastAsia="Arial Unicode MS"/>
                <w:lang w:eastAsia="cs-CZ"/>
              </w:rPr>
            </w:pPr>
            <w:r w:rsidRPr="008E71AE">
              <w:rPr>
                <w:rFonts w:eastAsia="Arial Unicode MS"/>
                <w:lang w:eastAsia="cs-CZ"/>
              </w:rPr>
              <w:t>obecní ubytovny – děti</w:t>
            </w:r>
          </w:p>
        </w:tc>
        <w:tc>
          <w:tcPr>
            <w:tcW w:w="2415" w:type="dxa"/>
          </w:tcPr>
          <w:p w:rsidR="00AF4350" w:rsidRPr="008E71AE" w:rsidRDefault="00AF4350" w:rsidP="004F2015">
            <w:pPr>
              <w:spacing w:before="0"/>
              <w:jc w:val="right"/>
              <w:rPr>
                <w:rFonts w:eastAsia="Arial Unicode MS"/>
                <w:lang w:eastAsia="cs-CZ"/>
              </w:rPr>
            </w:pPr>
            <w:r w:rsidRPr="008E71AE">
              <w:rPr>
                <w:rFonts w:eastAsia="Arial Unicode MS"/>
                <w:lang w:eastAsia="cs-CZ"/>
              </w:rPr>
              <w:t>17**</w:t>
            </w:r>
          </w:p>
        </w:tc>
      </w:tr>
      <w:tr w:rsidR="00AF4350" w:rsidRPr="008E71AE" w:rsidTr="00AF4350">
        <w:trPr>
          <w:trHeight w:val="274"/>
        </w:trPr>
        <w:tc>
          <w:tcPr>
            <w:tcW w:w="6691" w:type="dxa"/>
          </w:tcPr>
          <w:p w:rsidR="00AF4350" w:rsidRPr="008E71AE" w:rsidRDefault="00AF4350" w:rsidP="004F2015">
            <w:pPr>
              <w:spacing w:before="0"/>
              <w:rPr>
                <w:rFonts w:eastAsia="Arial Unicode MS"/>
                <w:lang w:eastAsia="cs-CZ"/>
              </w:rPr>
            </w:pPr>
            <w:r w:rsidRPr="008E71AE">
              <w:rPr>
                <w:rFonts w:eastAsia="Arial Unicode MS"/>
                <w:lang w:eastAsia="cs-CZ"/>
              </w:rPr>
              <w:t>domy na půl cesty – dospělí</w:t>
            </w:r>
          </w:p>
        </w:tc>
        <w:tc>
          <w:tcPr>
            <w:tcW w:w="2415" w:type="dxa"/>
          </w:tcPr>
          <w:p w:rsidR="00AF4350" w:rsidRPr="008E71AE" w:rsidRDefault="00AF4350" w:rsidP="004F2015">
            <w:pPr>
              <w:spacing w:before="0"/>
              <w:jc w:val="right"/>
              <w:rPr>
                <w:rFonts w:eastAsia="Arial Unicode MS"/>
                <w:lang w:eastAsia="cs-CZ"/>
              </w:rPr>
            </w:pPr>
            <w:r w:rsidRPr="008E71AE">
              <w:rPr>
                <w:rFonts w:eastAsia="Arial Unicode MS"/>
                <w:lang w:eastAsia="cs-CZ"/>
              </w:rPr>
              <w:t>14**</w:t>
            </w:r>
          </w:p>
        </w:tc>
      </w:tr>
      <w:tr w:rsidR="00AF4350" w:rsidRPr="008E71AE" w:rsidTr="00AF4350">
        <w:trPr>
          <w:trHeight w:val="274"/>
        </w:trPr>
        <w:tc>
          <w:tcPr>
            <w:tcW w:w="6691" w:type="dxa"/>
          </w:tcPr>
          <w:p w:rsidR="00AF4350" w:rsidRPr="008E71AE" w:rsidRDefault="00AF4350" w:rsidP="004F2015">
            <w:pPr>
              <w:spacing w:before="0"/>
              <w:rPr>
                <w:rFonts w:eastAsia="Arial Unicode MS"/>
                <w:lang w:eastAsia="cs-CZ"/>
              </w:rPr>
            </w:pPr>
            <w:r w:rsidRPr="008E71AE">
              <w:rPr>
                <w:rFonts w:eastAsia="Arial Unicode MS"/>
                <w:lang w:eastAsia="cs-CZ"/>
              </w:rPr>
              <w:t>domy na půl cesty – pod 18 let</w:t>
            </w:r>
          </w:p>
        </w:tc>
        <w:tc>
          <w:tcPr>
            <w:tcW w:w="2415" w:type="dxa"/>
          </w:tcPr>
          <w:p w:rsidR="00AF4350" w:rsidRPr="008E71AE" w:rsidRDefault="00AF4350" w:rsidP="004F2015">
            <w:pPr>
              <w:spacing w:before="0"/>
              <w:jc w:val="right"/>
              <w:rPr>
                <w:rFonts w:eastAsia="Arial Unicode MS"/>
                <w:lang w:eastAsia="cs-CZ"/>
              </w:rPr>
            </w:pPr>
            <w:r w:rsidRPr="008E71AE">
              <w:rPr>
                <w:rFonts w:eastAsia="Arial Unicode MS"/>
                <w:lang w:eastAsia="cs-CZ"/>
              </w:rPr>
              <w:t>1*</w:t>
            </w:r>
          </w:p>
        </w:tc>
      </w:tr>
      <w:tr w:rsidR="00AF4350" w:rsidRPr="008E71AE" w:rsidTr="00AF4350">
        <w:trPr>
          <w:trHeight w:val="274"/>
        </w:trPr>
        <w:tc>
          <w:tcPr>
            <w:tcW w:w="6691" w:type="dxa"/>
          </w:tcPr>
          <w:p w:rsidR="00AF4350" w:rsidRPr="008E71AE" w:rsidRDefault="00AF4350" w:rsidP="004F2015">
            <w:pPr>
              <w:spacing w:before="0"/>
              <w:rPr>
                <w:rFonts w:eastAsia="Arial Unicode MS"/>
                <w:lang w:eastAsia="cs-CZ"/>
              </w:rPr>
            </w:pPr>
            <w:r w:rsidRPr="008E71AE">
              <w:rPr>
                <w:rFonts w:eastAsia="Arial Unicode MS"/>
                <w:lang w:eastAsia="cs-CZ"/>
              </w:rPr>
              <w:t>věznice</w:t>
            </w:r>
          </w:p>
        </w:tc>
        <w:tc>
          <w:tcPr>
            <w:tcW w:w="2415" w:type="dxa"/>
          </w:tcPr>
          <w:p w:rsidR="00AF4350" w:rsidRPr="008E71AE" w:rsidRDefault="00AF4350" w:rsidP="004F2015">
            <w:pPr>
              <w:spacing w:before="0"/>
              <w:jc w:val="right"/>
              <w:rPr>
                <w:rFonts w:eastAsia="Arial Unicode MS"/>
                <w:lang w:eastAsia="cs-CZ"/>
              </w:rPr>
            </w:pPr>
            <w:r w:rsidRPr="008E71AE">
              <w:rPr>
                <w:rFonts w:eastAsia="Arial Unicode MS"/>
                <w:lang w:eastAsia="cs-CZ"/>
              </w:rPr>
              <w:t>28</w:t>
            </w:r>
          </w:p>
        </w:tc>
      </w:tr>
      <w:tr w:rsidR="00AF4350" w:rsidRPr="008E71AE" w:rsidTr="00AF4350">
        <w:trPr>
          <w:trHeight w:val="274"/>
        </w:trPr>
        <w:tc>
          <w:tcPr>
            <w:tcW w:w="6691" w:type="dxa"/>
          </w:tcPr>
          <w:p w:rsidR="00AF4350" w:rsidRPr="008E71AE" w:rsidRDefault="00AF4350" w:rsidP="004F2015">
            <w:pPr>
              <w:spacing w:before="0"/>
              <w:rPr>
                <w:rFonts w:eastAsia="Arial Unicode MS"/>
                <w:lang w:eastAsia="cs-CZ"/>
              </w:rPr>
            </w:pPr>
            <w:r>
              <w:rPr>
                <w:rFonts w:eastAsia="Arial Unicode MS"/>
                <w:lang w:eastAsia="cs-CZ"/>
              </w:rPr>
              <w:t>n</w:t>
            </w:r>
            <w:r w:rsidRPr="008E71AE">
              <w:rPr>
                <w:rFonts w:eastAsia="Arial Unicode MS"/>
                <w:lang w:eastAsia="cs-CZ"/>
              </w:rPr>
              <w:t>emocnice – dospělí</w:t>
            </w:r>
          </w:p>
        </w:tc>
        <w:tc>
          <w:tcPr>
            <w:tcW w:w="2415" w:type="dxa"/>
          </w:tcPr>
          <w:p w:rsidR="00AF4350" w:rsidRPr="008E71AE" w:rsidRDefault="00AF4350" w:rsidP="004F2015">
            <w:pPr>
              <w:spacing w:before="0"/>
              <w:jc w:val="right"/>
              <w:rPr>
                <w:rFonts w:eastAsia="Arial Unicode MS"/>
                <w:lang w:eastAsia="cs-CZ"/>
              </w:rPr>
            </w:pPr>
            <w:r w:rsidRPr="008E71AE">
              <w:rPr>
                <w:rFonts w:eastAsia="Arial Unicode MS"/>
                <w:lang w:eastAsia="cs-CZ"/>
              </w:rPr>
              <w:t>155*</w:t>
            </w:r>
          </w:p>
        </w:tc>
      </w:tr>
      <w:tr w:rsidR="00AF4350" w:rsidRPr="008E71AE" w:rsidTr="00AF4350">
        <w:trPr>
          <w:trHeight w:val="274"/>
        </w:trPr>
        <w:tc>
          <w:tcPr>
            <w:tcW w:w="6691" w:type="dxa"/>
          </w:tcPr>
          <w:p w:rsidR="00AF4350" w:rsidRPr="008E71AE" w:rsidRDefault="00AF4350" w:rsidP="004F2015">
            <w:pPr>
              <w:spacing w:before="0"/>
              <w:rPr>
                <w:rFonts w:eastAsia="Arial Unicode MS"/>
                <w:lang w:eastAsia="cs-CZ"/>
              </w:rPr>
            </w:pPr>
            <w:r w:rsidRPr="008E71AE">
              <w:rPr>
                <w:rFonts w:eastAsia="Arial Unicode MS"/>
                <w:lang w:eastAsia="cs-CZ"/>
              </w:rPr>
              <w:t>nemocnice – děti</w:t>
            </w:r>
          </w:p>
        </w:tc>
        <w:tc>
          <w:tcPr>
            <w:tcW w:w="2415" w:type="dxa"/>
          </w:tcPr>
          <w:p w:rsidR="00AF4350" w:rsidRPr="008E71AE" w:rsidRDefault="00AF4350" w:rsidP="004F2015">
            <w:pPr>
              <w:spacing w:before="0"/>
              <w:jc w:val="right"/>
              <w:rPr>
                <w:rFonts w:eastAsia="Arial Unicode MS"/>
                <w:lang w:eastAsia="cs-CZ"/>
              </w:rPr>
            </w:pPr>
            <w:r w:rsidRPr="008E71AE">
              <w:rPr>
                <w:rFonts w:eastAsia="Arial Unicode MS"/>
                <w:lang w:eastAsia="cs-CZ"/>
              </w:rPr>
              <w:t>0</w:t>
            </w:r>
          </w:p>
        </w:tc>
      </w:tr>
    </w:tbl>
    <w:p w:rsidR="00AF4350" w:rsidRPr="008E71AE" w:rsidRDefault="00AF4350" w:rsidP="004F2015">
      <w:pPr>
        <w:pStyle w:val="Zdrojobjektu"/>
      </w:pPr>
      <w:r w:rsidRPr="008E71AE">
        <w:t>* Údaj byl získán extrapolací (</w:t>
      </w:r>
      <w:proofErr w:type="gramStart"/>
      <w:r w:rsidRPr="008E71AE">
        <w:t>tzn.</w:t>
      </w:r>
      <w:proofErr w:type="gramEnd"/>
      <w:r w:rsidRPr="008E71AE">
        <w:t xml:space="preserve"> reálně </w:t>
      </w:r>
      <w:proofErr w:type="gramStart"/>
      <w:r w:rsidRPr="008E71AE">
        <w:t>byla</w:t>
      </w:r>
      <w:proofErr w:type="gramEnd"/>
      <w:r w:rsidRPr="008E71AE">
        <w:t xml:space="preserve"> sečtena jen část populace, zbývající část byla získána projekcí získaných dat na oblasti, v nichž sčítání fyzicky realizováno nebylo).</w:t>
      </w:r>
    </w:p>
    <w:p w:rsidR="00AF4350" w:rsidRPr="008E71AE" w:rsidRDefault="00AF4350" w:rsidP="004F2015">
      <w:pPr>
        <w:pStyle w:val="Zdrojobjektu"/>
      </w:pPr>
      <w:r w:rsidRPr="008E71AE">
        <w:t>** V kategorii obecních ubytoven se v rámci kraje jedná o součet údajů pouze z těch obcí, které se do sčítání aktivně zapojily. Počet osob v obecních ubytovnách z ostatních obcí je neznámý a na úrovni krajů nebyl pro nedostatek podkladů extrapolován.</w:t>
      </w:r>
    </w:p>
    <w:p w:rsidR="00AF4350" w:rsidRPr="008E71AE" w:rsidRDefault="00AF4350" w:rsidP="004F2015">
      <w:pPr>
        <w:pStyle w:val="Tun"/>
      </w:pPr>
      <w:r w:rsidRPr="008E71AE">
        <w:t>Kategorie osob „bez střechy“ v OK</w:t>
      </w:r>
    </w:p>
    <w:p w:rsidR="00AF4350" w:rsidRPr="008E71AE" w:rsidRDefault="00AF4350" w:rsidP="00A34764">
      <w:r w:rsidRPr="008E71AE">
        <w:t>Ze závěrů sčítání osob bez domova, vyplynulo, že u osob bez domova spadajících do kategorie osob bez střechy (přežívající ve veřejných prostorách a osoby v noclehárnách), které se zapojily do sčítání, jich více než tři čtvrtiny (76,5 %) přespávalo v dané době venku (improvizované přístřešky, squaty, podmostí atp.), tedy mimo zařízení sociálních služeb – např. nocleháren, které jsou určeny mj. k přenocování. Nocleháren v době sčítání využívalo 23,5 % dotázaných</w:t>
      </w:r>
      <w:r>
        <w:t>.</w:t>
      </w:r>
      <w:r w:rsidRPr="008E71AE">
        <w:rPr>
          <w:vertAlign w:val="superscript"/>
        </w:rPr>
        <w:footnoteReference w:id="7"/>
      </w:r>
      <w:r w:rsidRPr="008E71AE">
        <w:t xml:space="preserve"> U uvedených způsobů přespávání v praxi dochází k jejich </w:t>
      </w:r>
      <w:r w:rsidRPr="008E71AE">
        <w:lastRenderedPageBreak/>
        <w:t>kombinaci</w:t>
      </w:r>
      <w:r>
        <w:t>,</w:t>
      </w:r>
      <w:r w:rsidRPr="008E71AE">
        <w:t xml:space="preserve"> a to z různých důvodů. Noclehárny, jako jedny z druhů sociálních služeb, mají nízkoprahový charakter, avšak i zde jsou nastavena vnitřní pravidla chodu služeb. Důležitou roli hraje i roční období. </w:t>
      </w:r>
    </w:p>
    <w:p w:rsidR="00AF4350" w:rsidRPr="008E71AE" w:rsidRDefault="00AF4350" w:rsidP="0020646C">
      <w:pPr>
        <w:pStyle w:val="Tun"/>
      </w:pPr>
      <w:bookmarkStart w:id="108" w:name="_Toc19623358"/>
      <w:r w:rsidRPr="008E71AE">
        <w:t>Věková struktura osob „bez střechy“</w:t>
      </w:r>
      <w:bookmarkEnd w:id="108"/>
      <w:r w:rsidRPr="008E71AE">
        <w:t xml:space="preserve"> a „bez bytu“ v OK</w:t>
      </w:r>
    </w:p>
    <w:p w:rsidR="00AF4350" w:rsidRPr="00547BEF" w:rsidRDefault="00AF4350" w:rsidP="00A34764">
      <w:r w:rsidRPr="008E71AE">
        <w:t xml:space="preserve">Nejvyšší počet zastoupených osob bez střechy (přežívající ve veřejných prostorách a osoby v noclehárnách) a bez bytu (azylové domy, obecní ubytovny, domy na půl cesty, věznice, nemocnice) se nachází v produktivním věku. Avšak ani věkové kategorie dětí a mladistvých či seniorů nejsou mezi lidmi bez </w:t>
      </w:r>
      <w:r>
        <w:t>přístřeší</w:t>
      </w:r>
      <w:r w:rsidRPr="008E71AE">
        <w:t xml:space="preserve"> výjimkou. Zejména problematika nezletilých dětí využívajících služeb azylových domů pro matky (rodiče) s dětmi a osob dlouhodobě sociálně vyloučených – seniorů, kteří, ať už z důvodu svého věku nebo způsobu života a životních návyků, mají vysoké zdravotně sociální potřeby, jsou tématy, jež budou stále více rezonovat. Mezi poskytovateli sociálních služeb jsou hledány možné alternativy a kombinace služeb, případně jsou zprostředkovávány další návazné služby, kterými by bylo možné tyto specifické cílové skupiny osob zabezpečit. Tyto služby jsou náročné nejen svým obsahem, kvalifikačními požadavky na personál, ale i z ekonomického hlediska.</w:t>
      </w:r>
      <w:bookmarkStart w:id="109" w:name="_Toc22561780"/>
    </w:p>
    <w:p w:rsidR="00AF4350" w:rsidRPr="008E71AE" w:rsidRDefault="00AF4350" w:rsidP="0020646C">
      <w:pPr>
        <w:pStyle w:val="popistabulkySPRSS2024"/>
      </w:pPr>
      <w:bookmarkStart w:id="110" w:name="_Toc117607045"/>
      <w:r w:rsidRPr="008E71AE">
        <w:t xml:space="preserve">Graf </w:t>
      </w:r>
      <w:r w:rsidR="00412C70">
        <w:fldChar w:fldCharType="begin"/>
      </w:r>
      <w:r w:rsidR="00412C70">
        <w:instrText xml:space="preserve"> SEQ Graf \* ARABIC </w:instrText>
      </w:r>
      <w:r w:rsidR="00412C70">
        <w:fldChar w:fldCharType="separate"/>
      </w:r>
      <w:r w:rsidR="003A12AF">
        <w:rPr>
          <w:noProof/>
        </w:rPr>
        <w:t>19</w:t>
      </w:r>
      <w:r w:rsidR="00412C70">
        <w:rPr>
          <w:noProof/>
        </w:rPr>
        <w:fldChar w:fldCharType="end"/>
      </w:r>
      <w:r>
        <w:rPr>
          <w:noProof/>
        </w:rPr>
        <w:t>:</w:t>
      </w:r>
      <w:r w:rsidRPr="008E71AE">
        <w:t xml:space="preserve"> Věková struktura osob spících venku, v noclehárnách, v azylových domech v OK</w:t>
      </w:r>
      <w:bookmarkEnd w:id="109"/>
      <w:bookmarkEnd w:id="110"/>
    </w:p>
    <w:p w:rsidR="00AF4350" w:rsidRPr="0020646C" w:rsidRDefault="00AF4350" w:rsidP="0020646C">
      <w:pPr>
        <w:spacing w:before="0"/>
        <w:rPr>
          <w:rStyle w:val="ZdrojobjektuChar"/>
        </w:rPr>
      </w:pPr>
      <w:r w:rsidRPr="008E71AE">
        <w:rPr>
          <w:rFonts w:eastAsia="Arial Unicode MS"/>
          <w:noProof/>
          <w:sz w:val="18"/>
          <w:lang w:eastAsia="cs-CZ"/>
        </w:rPr>
        <w:drawing>
          <wp:inline distT="0" distB="0" distL="0" distR="0" wp14:anchorId="0FC82FF4" wp14:editId="0DE44F7A">
            <wp:extent cx="5773420" cy="2362200"/>
            <wp:effectExtent l="0" t="0" r="0" b="952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3420" cy="2362200"/>
                    </a:xfrm>
                    <a:prstGeom prst="rect">
                      <a:avLst/>
                    </a:prstGeom>
                    <a:noFill/>
                  </pic:spPr>
                </pic:pic>
              </a:graphicData>
            </a:graphic>
          </wp:inline>
        </w:drawing>
      </w:r>
      <w:r w:rsidRPr="0020646C">
        <w:rPr>
          <w:rStyle w:val="ZdrojobjektuChar"/>
        </w:rPr>
        <w:t>Zdroj: Sčítání osob bez domova 2019; OK; VÚPSV, v. v. i., zpracování ACCENDO (2022).</w:t>
      </w:r>
    </w:p>
    <w:p w:rsidR="00AF4350" w:rsidRPr="008E71AE" w:rsidRDefault="00AF4350" w:rsidP="0020646C">
      <w:pPr>
        <w:pStyle w:val="Tun"/>
      </w:pPr>
      <w:bookmarkStart w:id="111" w:name="_Toc19623359"/>
      <w:r w:rsidRPr="008E71AE">
        <w:t>Doba strávená „bez střechy“ a „bez bytu</w:t>
      </w:r>
      <w:bookmarkEnd w:id="111"/>
      <w:r w:rsidRPr="008E71AE">
        <w:t>“ u osob bez domova v OK</w:t>
      </w:r>
    </w:p>
    <w:p w:rsidR="00AF4350" w:rsidRPr="008E71AE" w:rsidRDefault="00AF4350" w:rsidP="00A34764">
      <w:r w:rsidRPr="008E71AE">
        <w:t xml:space="preserve">Doba strávená na ulici je jedním z důležitých faktorů, který částečně limituje možný návrat zpět k „běžnému“ způsobu života. Vytyčuje hranici mezi „pouhou“ krátkodobou životní epizodou člověka nebo mění nové extrémní nároky života na ulici na ty „běžné“. </w:t>
      </w:r>
    </w:p>
    <w:p w:rsidR="00AF4350" w:rsidRPr="008E71AE" w:rsidRDefault="00AF4350" w:rsidP="00A34764">
      <w:r w:rsidRPr="008E71AE">
        <w:t xml:space="preserve">Ze závěrů výzkumu vyplývá, že takřka polovina sečtených osob starších 50 let žila na ulici bez stabilního bydlení více než pět let. Kratší dobu – do dvou let – byla bez střechy či bytu více </w:t>
      </w:r>
      <w:r>
        <w:t>než jedna čtvrtina 50</w:t>
      </w:r>
      <w:r w:rsidRPr="008E71AE">
        <w:t xml:space="preserve"> letých a starších osob, které se zapojily do výzkumu. Bez přístřeší se tak ocitli lidé v </w:t>
      </w:r>
      <w:proofErr w:type="spellStart"/>
      <w:r w:rsidRPr="008E71AE">
        <w:t>pre</w:t>
      </w:r>
      <w:proofErr w:type="spellEnd"/>
      <w:r w:rsidRPr="008E71AE">
        <w:t>-seniorském věku, a ti „na ulici“ zestárli, ale výjimkou nejsou senioři, kteří se na ulici ocitli nově.</w:t>
      </w:r>
      <w:r w:rsidRPr="008E71AE">
        <w:rPr>
          <w:vertAlign w:val="superscript"/>
        </w:rPr>
        <w:footnoteReference w:id="8"/>
      </w:r>
    </w:p>
    <w:p w:rsidR="00AF4350" w:rsidRPr="008E71AE" w:rsidRDefault="00AF4350" w:rsidP="0020646C">
      <w:pPr>
        <w:pStyle w:val="popistabulkySPRSS2024"/>
      </w:pPr>
      <w:bookmarkStart w:id="112" w:name="_Toc22561781"/>
      <w:bookmarkStart w:id="113" w:name="_Toc117607046"/>
      <w:r w:rsidRPr="008E71AE">
        <w:lastRenderedPageBreak/>
        <w:t>Graf</w:t>
      </w:r>
      <w:r>
        <w:t>:</w:t>
      </w:r>
      <w:r w:rsidRPr="008E71AE">
        <w:t xml:space="preserve"> </w:t>
      </w:r>
      <w:r w:rsidR="00412C70">
        <w:fldChar w:fldCharType="begin"/>
      </w:r>
      <w:r w:rsidR="00412C70">
        <w:instrText xml:space="preserve"> SEQ Graf \* ARABIC </w:instrText>
      </w:r>
      <w:r w:rsidR="00412C70">
        <w:fldChar w:fldCharType="separate"/>
      </w:r>
      <w:r w:rsidR="003A12AF">
        <w:rPr>
          <w:noProof/>
        </w:rPr>
        <w:t>20</w:t>
      </w:r>
      <w:r w:rsidR="00412C70">
        <w:rPr>
          <w:noProof/>
        </w:rPr>
        <w:fldChar w:fldCharType="end"/>
      </w:r>
      <w:r>
        <w:rPr>
          <w:noProof/>
        </w:rPr>
        <w:t>:</w:t>
      </w:r>
      <w:r w:rsidRPr="008E71AE">
        <w:t xml:space="preserve"> Doba strávená bez střechy a bez bytu dle věkových kategorií v</w:t>
      </w:r>
      <w:r w:rsidR="00A456E8">
        <w:t> </w:t>
      </w:r>
      <w:r w:rsidRPr="008E71AE">
        <w:t>OK</w:t>
      </w:r>
      <w:bookmarkEnd w:id="112"/>
      <w:bookmarkEnd w:id="113"/>
    </w:p>
    <w:p w:rsidR="00AF4350" w:rsidRPr="008E71AE" w:rsidRDefault="00AF4350" w:rsidP="0020646C">
      <w:pPr>
        <w:pStyle w:val="Zdrojobjektu"/>
      </w:pPr>
      <w:r w:rsidRPr="008E71AE">
        <w:rPr>
          <w:noProof/>
        </w:rPr>
        <w:drawing>
          <wp:inline distT="0" distB="0" distL="0" distR="0" wp14:anchorId="0AC9B8C4" wp14:editId="77C1E894">
            <wp:extent cx="5773420" cy="2257425"/>
            <wp:effectExtent l="0" t="0" r="0" b="952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3420" cy="2257425"/>
                    </a:xfrm>
                    <a:prstGeom prst="rect">
                      <a:avLst/>
                    </a:prstGeom>
                    <a:noFill/>
                  </pic:spPr>
                </pic:pic>
              </a:graphicData>
            </a:graphic>
          </wp:inline>
        </w:drawing>
      </w:r>
      <w:r w:rsidRPr="008E71AE">
        <w:t>Zdroj: Sčítání osob bez domova 2019; OK; VÚPSV, v. v. i., zpracování ACCENDO (2022)</w:t>
      </w:r>
      <w:r>
        <w:t>.</w:t>
      </w:r>
    </w:p>
    <w:p w:rsidR="00AF4350" w:rsidRPr="008E71AE" w:rsidRDefault="00AF4350" w:rsidP="0020646C">
      <w:pPr>
        <w:pStyle w:val="Zdrojobjektu"/>
      </w:pPr>
      <w:r w:rsidRPr="008E71AE">
        <w:t>Pozn.: Zahrnuje všechny kategorie dle typu místa přespávání, tedy venku, noclehárny, azylové domy a obecní ubytovny.</w:t>
      </w:r>
    </w:p>
    <w:p w:rsidR="00AF4350" w:rsidRPr="008E71AE" w:rsidRDefault="00AF4350" w:rsidP="0020646C">
      <w:pPr>
        <w:pStyle w:val="Tun"/>
      </w:pPr>
      <w:r w:rsidRPr="008E71AE">
        <w:t>Sociální služby v OK pro cílovou skupinu osob bez přístřeší</w:t>
      </w:r>
    </w:p>
    <w:p w:rsidR="00AF4350" w:rsidRPr="008E71AE" w:rsidRDefault="00AF4350" w:rsidP="00A34764">
      <w:r w:rsidRPr="008E71AE">
        <w:t>Mezi sociální služby, které působí v </w:t>
      </w:r>
      <w:r>
        <w:t>OK</w:t>
      </w:r>
      <w:r w:rsidRPr="008E71AE">
        <w:t xml:space="preserve">, a jejichž cílovou skupinou jsou (mohou být) osoby bez </w:t>
      </w:r>
      <w:r>
        <w:t>přístřeší</w:t>
      </w:r>
      <w:r w:rsidRPr="008E71AE">
        <w:t xml:space="preserve">, </w:t>
      </w:r>
      <w:r>
        <w:t>jsou</w:t>
      </w:r>
      <w:r w:rsidRPr="008E71AE">
        <w:t>:</w:t>
      </w:r>
    </w:p>
    <w:p w:rsidR="00AF4350" w:rsidRPr="008E71AE" w:rsidRDefault="00AF4350" w:rsidP="0020646C">
      <w:pPr>
        <w:pStyle w:val="SPRSodrky"/>
        <w:numPr>
          <w:ilvl w:val="0"/>
          <w:numId w:val="259"/>
        </w:numPr>
      </w:pPr>
      <w:r w:rsidRPr="008E71AE">
        <w:t>azylové domy – 20 zařízení sociálních služeb;</w:t>
      </w:r>
    </w:p>
    <w:p w:rsidR="00AF4350" w:rsidRPr="008E71AE" w:rsidRDefault="00AF4350" w:rsidP="0020646C">
      <w:pPr>
        <w:pStyle w:val="SPRSodrky"/>
        <w:numPr>
          <w:ilvl w:val="0"/>
          <w:numId w:val="259"/>
        </w:numPr>
      </w:pPr>
      <w:r w:rsidRPr="008E71AE">
        <w:t>noclehárny – 8 zařízení sociálních služeb;</w:t>
      </w:r>
    </w:p>
    <w:p w:rsidR="00AF4350" w:rsidRPr="008E71AE" w:rsidRDefault="00AF4350" w:rsidP="0020646C">
      <w:pPr>
        <w:pStyle w:val="SPRSodrky"/>
        <w:numPr>
          <w:ilvl w:val="0"/>
          <w:numId w:val="259"/>
        </w:numPr>
      </w:pPr>
      <w:r w:rsidRPr="008E71AE">
        <w:t>nízkoprahová denní centra – 8 zařízení sociálních služeb.</w:t>
      </w:r>
    </w:p>
    <w:p w:rsidR="00AF4350" w:rsidRPr="008E71AE" w:rsidRDefault="00AF4350" w:rsidP="00A34764">
      <w:r w:rsidRPr="008E71AE">
        <w:t>Mezi další sociální služby, které působí v </w:t>
      </w:r>
      <w:r>
        <w:t>OK</w:t>
      </w:r>
      <w:r w:rsidRPr="008E71AE">
        <w:t xml:space="preserve"> a jejichž cílovou skupinou jsou (mohou být) i osoby bez </w:t>
      </w:r>
      <w:r>
        <w:t>přístřeší</w:t>
      </w:r>
      <w:r w:rsidRPr="008E71AE">
        <w:t>, jsou:</w:t>
      </w:r>
    </w:p>
    <w:p w:rsidR="00AF4350" w:rsidRPr="008E71AE" w:rsidRDefault="00AF4350" w:rsidP="0020646C">
      <w:pPr>
        <w:pStyle w:val="SPRSodrky"/>
        <w:numPr>
          <w:ilvl w:val="0"/>
          <w:numId w:val="259"/>
        </w:numPr>
      </w:pPr>
      <w:r w:rsidRPr="008E71AE">
        <w:t xml:space="preserve">domov se zvláštním režimem pro osoby bez </w:t>
      </w:r>
      <w:r>
        <w:t>přístřeší</w:t>
      </w:r>
      <w:r w:rsidRPr="008E71AE">
        <w:t xml:space="preserve"> – 1 zařízení sociálních služeb;</w:t>
      </w:r>
    </w:p>
    <w:p w:rsidR="00AF4350" w:rsidRPr="008E71AE" w:rsidRDefault="00AF4350" w:rsidP="0020646C">
      <w:pPr>
        <w:pStyle w:val="SPRSodrky"/>
        <w:numPr>
          <w:ilvl w:val="0"/>
          <w:numId w:val="259"/>
        </w:numPr>
      </w:pPr>
      <w:r w:rsidRPr="008E71AE">
        <w:t>krizová pomoc – 2 zařízení sociálních služeb;</w:t>
      </w:r>
    </w:p>
    <w:p w:rsidR="00AF4350" w:rsidRPr="008E71AE" w:rsidRDefault="00AF4350" w:rsidP="0020646C">
      <w:pPr>
        <w:pStyle w:val="SPRSodrky"/>
        <w:numPr>
          <w:ilvl w:val="0"/>
          <w:numId w:val="259"/>
        </w:numPr>
      </w:pPr>
      <w:r w:rsidRPr="008E71AE">
        <w:t>sociální rehabilitace – 2 zařízení sociálních služeb.</w:t>
      </w:r>
    </w:p>
    <w:p w:rsidR="00AF4350" w:rsidRPr="008E71AE" w:rsidRDefault="00AF4350" w:rsidP="0020646C">
      <w:pPr>
        <w:pStyle w:val="SPRSodrky"/>
        <w:numPr>
          <w:ilvl w:val="0"/>
          <w:numId w:val="259"/>
        </w:numPr>
      </w:pPr>
      <w:r w:rsidRPr="008E71AE">
        <w:t>terénní programy – 13 sociálních služeb.</w:t>
      </w:r>
    </w:p>
    <w:p w:rsidR="00AF4350" w:rsidRPr="008E71AE" w:rsidRDefault="00AF4350" w:rsidP="00A34764">
      <w:r w:rsidRPr="008E71AE">
        <w:t xml:space="preserve">Mimo sociální služby fungují napříč </w:t>
      </w:r>
      <w:r>
        <w:t>OK</w:t>
      </w:r>
      <w:r w:rsidRPr="008E71AE">
        <w:t xml:space="preserve"> obecní, ale rovněž a zejm. soukromé ubytovny, které jsou lidmi bez přístřeší rovněž využívány.</w:t>
      </w:r>
    </w:p>
    <w:p w:rsidR="00AF4350" w:rsidRPr="008E71AE" w:rsidRDefault="00AF4350" w:rsidP="0020646C">
      <w:pPr>
        <w:pStyle w:val="popistabulkySPRSS2024"/>
      </w:pPr>
      <w:bookmarkStart w:id="114" w:name="_Toc117607047"/>
      <w:r w:rsidRPr="008E71AE">
        <w:t xml:space="preserve">Graf </w:t>
      </w:r>
      <w:r w:rsidR="00412C70">
        <w:fldChar w:fldCharType="begin"/>
      </w:r>
      <w:r w:rsidR="00412C70">
        <w:instrText xml:space="preserve"> SEQ Graf \* ARABIC </w:instrText>
      </w:r>
      <w:r w:rsidR="00412C70">
        <w:fldChar w:fldCharType="separate"/>
      </w:r>
      <w:r w:rsidR="003A12AF">
        <w:rPr>
          <w:noProof/>
        </w:rPr>
        <w:t>21</w:t>
      </w:r>
      <w:r w:rsidR="00412C70">
        <w:rPr>
          <w:noProof/>
        </w:rPr>
        <w:fldChar w:fldCharType="end"/>
      </w:r>
      <w:r>
        <w:t>:</w:t>
      </w:r>
      <w:r w:rsidRPr="008E71AE">
        <w:t xml:space="preserve"> Azylové domy - vybraná data</w:t>
      </w:r>
      <w:bookmarkEnd w:id="114"/>
    </w:p>
    <w:p w:rsidR="00AF4350" w:rsidRPr="008E71AE" w:rsidRDefault="0020646C" w:rsidP="0020646C">
      <w:pPr>
        <w:pStyle w:val="Zdrojobjektu"/>
      </w:pPr>
      <w:r w:rsidRPr="008E71AE">
        <w:rPr>
          <w:noProof/>
        </w:rPr>
        <w:drawing>
          <wp:inline distT="0" distB="0" distL="0" distR="0" wp14:anchorId="64CF038B" wp14:editId="4119EE60">
            <wp:extent cx="5753100" cy="25908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AF4350" w:rsidRPr="008E71AE">
        <w:t xml:space="preserve">Zdroj: </w:t>
      </w:r>
      <w:proofErr w:type="spellStart"/>
      <w:r w:rsidR="00AF4350" w:rsidRPr="008E71AE">
        <w:t>KISSoS</w:t>
      </w:r>
      <w:proofErr w:type="spellEnd"/>
      <w:r w:rsidR="00AF4350" w:rsidRPr="008E71AE">
        <w:t>; zpracování OSV</w:t>
      </w:r>
      <w:r w:rsidR="003F2AA0">
        <w:t xml:space="preserve"> (2022)</w:t>
      </w:r>
      <w:r w:rsidR="00AF4350">
        <w:t>.</w:t>
      </w:r>
    </w:p>
    <w:p w:rsidR="00AF4350" w:rsidRPr="008E71AE" w:rsidRDefault="00AF4350" w:rsidP="003F2AA0">
      <w:pPr>
        <w:pStyle w:val="popistabulkySPRSS2024"/>
      </w:pPr>
      <w:r w:rsidRPr="008E71AE">
        <w:lastRenderedPageBreak/>
        <w:t>Graf 25</w:t>
      </w:r>
      <w:r>
        <w:t>:</w:t>
      </w:r>
      <w:r w:rsidRPr="008E71AE">
        <w:t xml:space="preserve"> Noclehárny - vybraná data</w:t>
      </w:r>
    </w:p>
    <w:p w:rsidR="00AF4350" w:rsidRDefault="003F2AA0" w:rsidP="003F2AA0">
      <w:pPr>
        <w:spacing w:before="0"/>
        <w:rPr>
          <w:rStyle w:val="ZdrojobjektuChar"/>
        </w:rPr>
      </w:pPr>
      <w:r w:rsidRPr="008E71AE">
        <w:rPr>
          <w:rFonts w:eastAsia="Arial Unicode MS"/>
          <w:noProof/>
          <w:lang w:eastAsia="cs-CZ"/>
        </w:rPr>
        <w:drawing>
          <wp:inline distT="0" distB="0" distL="0" distR="0" wp14:anchorId="2C3DA369" wp14:editId="7D920434">
            <wp:extent cx="5760720" cy="2965915"/>
            <wp:effectExtent l="0" t="0" r="11430" b="63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AF4350" w:rsidRPr="003F2AA0">
        <w:rPr>
          <w:rStyle w:val="ZdrojobjektuChar"/>
        </w:rPr>
        <w:t xml:space="preserve">Zdroj: </w:t>
      </w:r>
      <w:proofErr w:type="spellStart"/>
      <w:r w:rsidR="00AF4350" w:rsidRPr="003F2AA0">
        <w:rPr>
          <w:rStyle w:val="ZdrojobjektuChar"/>
        </w:rPr>
        <w:t>KISSoS</w:t>
      </w:r>
      <w:proofErr w:type="spellEnd"/>
      <w:r w:rsidR="00AF4350" w:rsidRPr="003F2AA0">
        <w:rPr>
          <w:rStyle w:val="ZdrojobjektuChar"/>
        </w:rPr>
        <w:t>; zpracování OSV</w:t>
      </w:r>
      <w:r>
        <w:rPr>
          <w:rStyle w:val="ZdrojobjektuChar"/>
        </w:rPr>
        <w:t xml:space="preserve"> (2022).</w:t>
      </w:r>
    </w:p>
    <w:p w:rsidR="003F2AA0" w:rsidRPr="003F2AA0" w:rsidRDefault="003F2AA0" w:rsidP="003F2AA0">
      <w:pPr>
        <w:spacing w:before="0"/>
        <w:rPr>
          <w:rStyle w:val="ZdrojobjektuChar"/>
        </w:rPr>
      </w:pPr>
    </w:p>
    <w:p w:rsidR="00AF4350" w:rsidRPr="003F2AA0" w:rsidRDefault="00AF4350" w:rsidP="00A34764">
      <w:pPr>
        <w:rPr>
          <w:rStyle w:val="popistabulkySPRSS2024Char"/>
        </w:rPr>
      </w:pPr>
      <w:r w:rsidRPr="003F2AA0">
        <w:rPr>
          <w:rStyle w:val="popistabulkySPRSS2024Char"/>
        </w:rPr>
        <w:t>Graf 26: Nízkoprahová denní centra - vybraná data</w:t>
      </w:r>
    </w:p>
    <w:p w:rsidR="00AF4350" w:rsidRPr="008E71AE" w:rsidRDefault="003F2AA0" w:rsidP="003F2AA0">
      <w:pPr>
        <w:pStyle w:val="Zdrojobjektu"/>
      </w:pPr>
      <w:r w:rsidRPr="008E71AE">
        <w:rPr>
          <w:noProof/>
        </w:rPr>
        <w:drawing>
          <wp:inline distT="0" distB="0" distL="0" distR="0" wp14:anchorId="5A0D98B9" wp14:editId="3C42F434">
            <wp:extent cx="5760720" cy="3013446"/>
            <wp:effectExtent l="0" t="0" r="11430" b="1587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AF4350" w:rsidRPr="008E71AE">
        <w:t xml:space="preserve">Zdroj: </w:t>
      </w:r>
      <w:proofErr w:type="spellStart"/>
      <w:r w:rsidR="00AF4350" w:rsidRPr="008E71AE">
        <w:t>KISSoS</w:t>
      </w:r>
      <w:proofErr w:type="spellEnd"/>
      <w:r w:rsidR="00AF4350" w:rsidRPr="008E71AE">
        <w:t>; zpracování OSV</w:t>
      </w:r>
      <w:r>
        <w:t xml:space="preserve"> (2022)</w:t>
      </w:r>
      <w:r w:rsidR="00AF4350">
        <w:t>.</w:t>
      </w:r>
    </w:p>
    <w:p w:rsidR="00AF4350" w:rsidRPr="008E71AE" w:rsidRDefault="00AF4350" w:rsidP="00A34764"/>
    <w:p w:rsidR="00AF4350" w:rsidRPr="00923233" w:rsidRDefault="00AF4350" w:rsidP="003F2AA0">
      <w:pPr>
        <w:keepNext/>
      </w:pPr>
      <w:r w:rsidRPr="00923233">
        <w:lastRenderedPageBreak/>
        <w:t>OK realizoval v období 1. 11. 2018 až 27. 2. 2022 (prodlouženo do 31. 8. 2022) projekt Azylové domy v</w:t>
      </w:r>
      <w:r>
        <w:t> </w:t>
      </w:r>
      <w:r w:rsidRPr="00923233">
        <w:t xml:space="preserve">Olomouckém kraji I. Zapojením do individuálního projektu přineslo částečnou míru jistoty a stability při financování azylových domů v OK. </w:t>
      </w:r>
    </w:p>
    <w:p w:rsidR="00AF4350" w:rsidRPr="00923233" w:rsidRDefault="00AF4350" w:rsidP="003F2AA0">
      <w:pPr>
        <w:keepNext/>
      </w:pPr>
      <w:r w:rsidRPr="00923233">
        <w:t>Ze souhrnného zjištění dle evaluační zprávy</w:t>
      </w:r>
      <w:r w:rsidR="009560B8">
        <w:t xml:space="preserve"> </w:t>
      </w:r>
      <w:r w:rsidRPr="00923233">
        <w:t>pro osoby bez přístřeší vyplývá následující:</w:t>
      </w:r>
    </w:p>
    <w:p w:rsidR="00AF4350" w:rsidRPr="00923233" w:rsidRDefault="00AF4350" w:rsidP="003F2AA0">
      <w:pPr>
        <w:pStyle w:val="SPRSodrky"/>
        <w:keepNext/>
      </w:pPr>
      <w:r w:rsidRPr="00923233">
        <w:t xml:space="preserve">K 30. 6. 2022 bylo podle monitorovacích listů mezi novými uživateli 1 616 mužů (51 %) a 1 569 žen (49 %) – osoby 15–65 let. </w:t>
      </w:r>
    </w:p>
    <w:p w:rsidR="00AF4350" w:rsidRPr="00923233" w:rsidRDefault="00AF4350" w:rsidP="003F2AA0">
      <w:pPr>
        <w:pStyle w:val="SPRSodrky"/>
        <w:keepNext/>
      </w:pPr>
      <w:r w:rsidRPr="00923233">
        <w:t xml:space="preserve">V azylových domech pro osoby v nepříznivé sociální situaci spojené se ztrátou bydlení mezi uživateli jasně převažují muži (74 %), zatímco žen je v těchto AD přibližně čtvrtina (26 %). </w:t>
      </w:r>
    </w:p>
    <w:p w:rsidR="00AF4350" w:rsidRPr="00923233" w:rsidRDefault="00AF4350" w:rsidP="003F2AA0">
      <w:pPr>
        <w:pStyle w:val="SPRSodrky"/>
        <w:keepNext/>
      </w:pPr>
      <w:r w:rsidRPr="00923233">
        <w:t xml:space="preserve">Opačná situace je pak v azylových domech pro rodiče samoživitele, kde více než tři čtvrtiny nových uživatelů tvoří ženy (78 %), zatímco mužů byla necelá čtvrtina (22 %). </w:t>
      </w:r>
    </w:p>
    <w:p w:rsidR="00AF4350" w:rsidRPr="00923233" w:rsidRDefault="00AF4350" w:rsidP="003F2AA0">
      <w:pPr>
        <w:pStyle w:val="SPRSodrky"/>
        <w:keepNext/>
      </w:pPr>
      <w:r w:rsidRPr="00923233">
        <w:t xml:space="preserve">Téměř tři čtvrtiny klientů AD (73 %) mají trvalé bydliště v </w:t>
      </w:r>
      <w:r>
        <w:t>OK</w:t>
      </w:r>
      <w:r w:rsidRPr="00923233">
        <w:t xml:space="preserve">. Více než čtvrtina klientů AD (26 %) má trvalé bydliště mimo Olomoucký kraj, stále ale na území ČR. Mimo území ČR má trvalé bydliště 1 % nových uživatelů AD. </w:t>
      </w:r>
    </w:p>
    <w:p w:rsidR="00AF4350" w:rsidRDefault="00AF4350" w:rsidP="00A34764"/>
    <w:p w:rsidR="00AF4350" w:rsidRPr="00923233" w:rsidRDefault="00AF4350" w:rsidP="003F2AA0">
      <w:r w:rsidRPr="00923233">
        <w:t>Na základě získaných dat z realizovaného projektu můžeme konstatovat, že azylové domy přispívají ke stabilizaci životní situace klienta, zabraňují jejímu případnému zhoršení, ale příliš nepřispívají k řešení životní situace klientů v čase a k jejich opětovnému začlenění do společnosti. Toto tvrzení však nelze paušalizovat a je nutné na něj nahlížet v jeho komplexnosti – azylové domy slouží jako stabilizační prvek v životě uživatele a pomáhají mu zejména ve stabilizaci v oblasti bydlení (jistota bydlení na jeden rok) a</w:t>
      </w:r>
      <w:r w:rsidR="0075108A">
        <w:t> </w:t>
      </w:r>
      <w:r w:rsidRPr="00923233">
        <w:t>v získání finanční stability (vyřízení dávek a příspěvků). Důležitou roli hrají azylové domy pro rodiny/matky s dětmi, které přispívají k minimalizaci rizika odebrání dítěte z péče rodiče a pomáhají tak zabraňovat ještě většímu rozpadu rodiny. Problém však nastává v hledání návazného bydlení, kdy se většině klientů nepodaří návazné bydlení najít, klienti se tak přesunou do dalšího azylového domu</w:t>
      </w:r>
      <w:r>
        <w:t>, čímž začíná jejich zacyklení</w:t>
      </w:r>
      <w:r w:rsidRPr="00923233">
        <w:t xml:space="preserve"> v sociálních služb</w:t>
      </w:r>
      <w:r>
        <w:t xml:space="preserve">ách a snižuje se šance na </w:t>
      </w:r>
      <w:proofErr w:type="spellStart"/>
      <w:r>
        <w:t>znovu</w:t>
      </w:r>
      <w:r w:rsidRPr="00923233">
        <w:t>začlenění</w:t>
      </w:r>
      <w:proofErr w:type="spellEnd"/>
      <w:r w:rsidRPr="00923233">
        <w:t xml:space="preserve"> do společnosti. </w:t>
      </w:r>
    </w:p>
    <w:p w:rsidR="00AF4350" w:rsidRPr="00923233" w:rsidRDefault="00AF4350" w:rsidP="003F2AA0">
      <w:r w:rsidRPr="00923233">
        <w:t xml:space="preserve">Řešení nepříznivé sociální situace klienta musíme vnímat v kontextu bytové problematiky, v kontextu dlouhodobé nezaměstnanosti (ztráta pracovních návyků), zdravotního i psychického stavu, dluhové situace a finanční gramotnosti, vzdělání, prevence apod. U většiny klientů, byla jejich životní/sociální situace dlouhodobě nepříznivá (v horizontu několika let) a je tedy málo pravděpodobné, že by se ji podařilo vyřešit v období jednoho roku, kdy klient v zařízení pobývá. </w:t>
      </w:r>
    </w:p>
    <w:p w:rsidR="00AF4350" w:rsidRPr="00923233" w:rsidRDefault="00AF4350" w:rsidP="003F2AA0">
      <w:r w:rsidRPr="00923233">
        <w:t xml:space="preserve">Jedním z faktorů, které ovlivňují míru zlepšení životní situace u klienta, je jeho motivace. Zjištěno bylo, že největší motivaci ke zlepšení své životní situace mají klienti, kteří využívají služeb azylového domu poprvé. Klienti azylových domů pro rodiče/matky s dětmi mají motivaci svou životní situaci změnit zejména kvůli dětem. Uvědomují si, že azylový dům není pro výchovu dětí vhodné místo a po roce pobytu v jednom zařízení se musí stěhovat do jiného azylového domu. Děti tak často musí </w:t>
      </w:r>
      <w:r>
        <w:t>měnit prostředí, školu a přátelé</w:t>
      </w:r>
      <w:r w:rsidRPr="00923233">
        <w:t xml:space="preserve">. Zároveň jsou ale tito klienti velmi často na trhu s bydlením diskriminováni (rodiny s malými dětmi, Romské etnikum). Pro naprostou většinu klientů azylových domů pro rodiče/matky s dětmi je komerční, ale i obecní či městské bydlení nedostupné a s každým dalším neúspěchem v hledání návazného bydlení motivace změnit svou životní situaci postupně klesá a se svou životní situací se smiřují. </w:t>
      </w:r>
    </w:p>
    <w:p w:rsidR="00AF4350" w:rsidRPr="008E71AE" w:rsidRDefault="00AF4350" w:rsidP="003F2AA0"/>
    <w:p w:rsidR="00AF4350" w:rsidRPr="0039748C" w:rsidRDefault="00AF4350" w:rsidP="00A34764">
      <w:r w:rsidRPr="0039748C">
        <w:br w:type="page"/>
      </w:r>
    </w:p>
    <w:p w:rsidR="00AF4350" w:rsidRPr="0039748C" w:rsidRDefault="00AF4350" w:rsidP="00A34764">
      <w:pPr>
        <w:pStyle w:val="Nadpis3"/>
        <w:rPr>
          <w:rFonts w:eastAsia="Times New Roman"/>
        </w:rPr>
      </w:pPr>
      <w:bookmarkStart w:id="115" w:name="_Toc117606970"/>
      <w:r w:rsidRPr="0039748C">
        <w:rPr>
          <w:rFonts w:eastAsia="Times New Roman"/>
        </w:rPr>
        <w:lastRenderedPageBreak/>
        <w:t>Osoby ohrožené návykovým jednáním</w:t>
      </w:r>
      <w:bookmarkEnd w:id="115"/>
    </w:p>
    <w:p w:rsidR="00AF4350" w:rsidRPr="0039748C" w:rsidRDefault="00AF4350" w:rsidP="00A34764">
      <w:r w:rsidRPr="0039748C">
        <w:t xml:space="preserve">V OK bylo v roce 2020 přibližně 2,2 tis. problémových lidí užívajících drogy rizikově (95 % tvoří uživatelé pervitinu), což je obdobný počet jako v Plzeňském a Libereckém kraji. Mezi roky 2015–2020 klesl jejich počet v OK o 400 uživatelů, což je jeden s největších poklesů v mezikrajském srovnání, větší pokles byl zaznamenán pouze v Moravskoslezském kraji, který však zůstává stále na třetím místě z hlediska počtu rizikových uživatelů. Srovnáme-li relativní hodnoty na 1 000 obyvatel, OK se s hodnotou 3,49 řadí spíše k průměrným krajům s hodnotou mezi 3 až 3,9, do které spadají 4 další kraje. Výrazně větší relativní zastoupení problematických uživatelů bylo identifikováno v krajích hl. m. Prahy, Ústeckém a Libereckém kraji. Výrazně méně pak bylo zastoupení problémových uživatelů v Pardubickém kraji, Středočeském kraji a v Kraji Vysočina. </w:t>
      </w:r>
    </w:p>
    <w:p w:rsidR="00AF4350" w:rsidRPr="0039748C" w:rsidRDefault="00AF4350" w:rsidP="003F2AA0">
      <w:pPr>
        <w:pStyle w:val="popistabulkySPRSS2024"/>
      </w:pPr>
      <w:bookmarkStart w:id="116" w:name="_Toc117607084"/>
      <w:r w:rsidRPr="0039748C">
        <w:t xml:space="preserve">Tabulka </w:t>
      </w:r>
      <w:r w:rsidR="00412C70">
        <w:fldChar w:fldCharType="begin"/>
      </w:r>
      <w:r w:rsidR="00412C70">
        <w:instrText xml:space="preserve"> SEQ Tabulka \* ARA</w:instrText>
      </w:r>
      <w:r w:rsidR="00412C70">
        <w:instrText xml:space="preserve">BIC </w:instrText>
      </w:r>
      <w:r w:rsidR="00412C70">
        <w:fldChar w:fldCharType="separate"/>
      </w:r>
      <w:r w:rsidR="003A12AF">
        <w:rPr>
          <w:noProof/>
        </w:rPr>
        <w:t>24</w:t>
      </w:r>
      <w:r w:rsidR="00412C70">
        <w:rPr>
          <w:noProof/>
        </w:rPr>
        <w:fldChar w:fldCharType="end"/>
      </w:r>
      <w:r>
        <w:t>:</w:t>
      </w:r>
      <w:r w:rsidRPr="0039748C">
        <w:t xml:space="preserve"> Odhadovaný počet lidí užívajících drogy rizikově</w:t>
      </w:r>
      <w:bookmarkEnd w:id="116"/>
    </w:p>
    <w:tbl>
      <w:tblPr>
        <w:tblW w:w="0" w:type="auto"/>
        <w:tblLayout w:type="fixed"/>
        <w:tblCellMar>
          <w:left w:w="0" w:type="dxa"/>
          <w:right w:w="0" w:type="dxa"/>
        </w:tblCellMar>
        <w:tblLook w:val="04A0" w:firstRow="1" w:lastRow="0" w:firstColumn="1" w:lastColumn="0" w:noHBand="0" w:noVBand="1"/>
      </w:tblPr>
      <w:tblGrid>
        <w:gridCol w:w="1555"/>
        <w:gridCol w:w="1134"/>
        <w:gridCol w:w="1559"/>
        <w:gridCol w:w="1984"/>
        <w:gridCol w:w="2268"/>
      </w:tblGrid>
      <w:tr w:rsidR="003F2AA0" w:rsidRPr="003F2AA0" w:rsidTr="003F2AA0">
        <w:trPr>
          <w:trHeight w:val="20"/>
        </w:trPr>
        <w:tc>
          <w:tcPr>
            <w:tcW w:w="1555"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center"/>
            <w:hideMark/>
          </w:tcPr>
          <w:p w:rsidR="003F2AA0" w:rsidRPr="003F2AA0" w:rsidRDefault="003F2AA0" w:rsidP="003F2AA0">
            <w:pPr>
              <w:spacing w:before="0"/>
              <w:jc w:val="center"/>
              <w:rPr>
                <w:rFonts w:cs="Segoe UI"/>
                <w:b/>
                <w:bCs/>
                <w:sz w:val="18"/>
                <w:szCs w:val="18"/>
              </w:rPr>
            </w:pPr>
            <w:r w:rsidRPr="003F2AA0">
              <w:rPr>
                <w:rFonts w:cs="Segoe UI"/>
                <w:b/>
                <w:bCs/>
                <w:sz w:val="18"/>
                <w:szCs w:val="18"/>
              </w:rPr>
              <w:t>Kraj</w:t>
            </w:r>
          </w:p>
        </w:tc>
        <w:tc>
          <w:tcPr>
            <w:tcW w:w="4677" w:type="dxa"/>
            <w:gridSpan w:val="3"/>
            <w:tcBorders>
              <w:top w:val="single" w:sz="4" w:space="0" w:color="auto"/>
              <w:left w:val="nil"/>
              <w:bottom w:val="single" w:sz="4" w:space="0" w:color="auto"/>
              <w:right w:val="nil"/>
            </w:tcBorders>
            <w:shd w:val="clear" w:color="000000" w:fill="F2F2F2"/>
            <w:noWrap/>
            <w:tcMar>
              <w:top w:w="15" w:type="dxa"/>
              <w:left w:w="15" w:type="dxa"/>
              <w:bottom w:w="0" w:type="dxa"/>
              <w:right w:w="15" w:type="dxa"/>
            </w:tcMar>
            <w:vAlign w:val="center"/>
            <w:hideMark/>
          </w:tcPr>
          <w:p w:rsidR="003F2AA0" w:rsidRPr="003F2AA0" w:rsidRDefault="003F2AA0" w:rsidP="003F2AA0">
            <w:pPr>
              <w:spacing w:before="0"/>
              <w:jc w:val="center"/>
              <w:rPr>
                <w:rFonts w:cs="Segoe UI"/>
                <w:b/>
                <w:bCs/>
                <w:sz w:val="18"/>
                <w:szCs w:val="18"/>
              </w:rPr>
            </w:pPr>
            <w:r w:rsidRPr="003F2AA0">
              <w:rPr>
                <w:rFonts w:cs="Segoe UI"/>
                <w:b/>
                <w:bCs/>
                <w:sz w:val="18"/>
                <w:szCs w:val="18"/>
              </w:rPr>
              <w:t>Počet rizikových uživatelů</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center"/>
            <w:hideMark/>
          </w:tcPr>
          <w:p w:rsidR="003F2AA0" w:rsidRPr="003F2AA0" w:rsidRDefault="003F2AA0" w:rsidP="003F2AA0">
            <w:pPr>
              <w:spacing w:before="0"/>
              <w:jc w:val="center"/>
              <w:rPr>
                <w:rFonts w:cs="Segoe UI"/>
                <w:b/>
                <w:bCs/>
                <w:sz w:val="18"/>
                <w:szCs w:val="18"/>
              </w:rPr>
            </w:pPr>
            <w:r w:rsidRPr="003F2AA0">
              <w:rPr>
                <w:rFonts w:cs="Segoe UI"/>
                <w:b/>
                <w:bCs/>
                <w:sz w:val="18"/>
                <w:szCs w:val="18"/>
              </w:rPr>
              <w:t>Rizikoví uživatelé</w:t>
            </w:r>
            <w:r w:rsidRPr="003F2AA0">
              <w:rPr>
                <w:rFonts w:cs="Segoe UI"/>
                <w:b/>
                <w:bCs/>
                <w:sz w:val="18"/>
                <w:szCs w:val="18"/>
              </w:rPr>
              <w:br/>
              <w:t>na 1 000 obyvatel</w:t>
            </w:r>
          </w:p>
        </w:tc>
      </w:tr>
      <w:tr w:rsidR="003F2AA0" w:rsidRPr="003F2AA0" w:rsidTr="003F2AA0">
        <w:trPr>
          <w:trHeight w:val="20"/>
        </w:trPr>
        <w:tc>
          <w:tcPr>
            <w:tcW w:w="1555" w:type="dxa"/>
            <w:vMerge/>
            <w:tcBorders>
              <w:top w:val="single" w:sz="4" w:space="0" w:color="auto"/>
              <w:left w:val="single" w:sz="4" w:space="0" w:color="auto"/>
              <w:bottom w:val="single" w:sz="4" w:space="0" w:color="000000"/>
              <w:right w:val="single" w:sz="4" w:space="0" w:color="auto"/>
            </w:tcBorders>
            <w:vAlign w:val="center"/>
            <w:hideMark/>
          </w:tcPr>
          <w:p w:rsidR="003F2AA0" w:rsidRPr="003F2AA0" w:rsidRDefault="003F2AA0" w:rsidP="003F2AA0">
            <w:pPr>
              <w:spacing w:before="0"/>
              <w:rPr>
                <w:rFonts w:cs="Segoe UI"/>
                <w:b/>
                <w:bCs/>
                <w:sz w:val="18"/>
                <w:szCs w:val="18"/>
              </w:rPr>
            </w:pPr>
          </w:p>
        </w:tc>
        <w:tc>
          <w:tcPr>
            <w:tcW w:w="1134"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F2AA0" w:rsidRPr="003F2AA0" w:rsidRDefault="003F2AA0" w:rsidP="003F2AA0">
            <w:pPr>
              <w:spacing w:before="0"/>
              <w:jc w:val="center"/>
              <w:rPr>
                <w:rFonts w:cs="Segoe UI"/>
                <w:b/>
                <w:bCs/>
                <w:sz w:val="18"/>
                <w:szCs w:val="18"/>
              </w:rPr>
            </w:pPr>
            <w:r w:rsidRPr="003F2AA0">
              <w:rPr>
                <w:rFonts w:cs="Segoe UI"/>
                <w:b/>
                <w:bCs/>
                <w:sz w:val="18"/>
                <w:szCs w:val="18"/>
              </w:rPr>
              <w:t>2015</w:t>
            </w:r>
          </w:p>
        </w:tc>
        <w:tc>
          <w:tcPr>
            <w:tcW w:w="1559"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F2AA0" w:rsidRPr="003F2AA0" w:rsidRDefault="003F2AA0" w:rsidP="003F2AA0">
            <w:pPr>
              <w:spacing w:before="0"/>
              <w:jc w:val="center"/>
              <w:rPr>
                <w:rFonts w:cs="Segoe UI"/>
                <w:b/>
                <w:bCs/>
                <w:sz w:val="18"/>
                <w:szCs w:val="18"/>
              </w:rPr>
            </w:pPr>
            <w:r w:rsidRPr="003F2AA0">
              <w:rPr>
                <w:rFonts w:cs="Segoe UI"/>
                <w:b/>
                <w:bCs/>
                <w:sz w:val="18"/>
                <w:szCs w:val="18"/>
              </w:rPr>
              <w:t>2020</w:t>
            </w:r>
          </w:p>
        </w:tc>
        <w:tc>
          <w:tcPr>
            <w:tcW w:w="1984"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F2AA0" w:rsidRPr="003F2AA0" w:rsidRDefault="003F2AA0" w:rsidP="003F2AA0">
            <w:pPr>
              <w:spacing w:before="0"/>
              <w:jc w:val="center"/>
              <w:rPr>
                <w:rFonts w:cs="Segoe UI"/>
                <w:b/>
                <w:bCs/>
                <w:sz w:val="18"/>
                <w:szCs w:val="18"/>
              </w:rPr>
            </w:pPr>
            <w:r w:rsidRPr="003F2AA0">
              <w:rPr>
                <w:rFonts w:cs="Segoe UI"/>
                <w:b/>
                <w:bCs/>
                <w:sz w:val="18"/>
                <w:szCs w:val="18"/>
              </w:rPr>
              <w:t>Změna 2015–2020</w:t>
            </w: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3F2AA0" w:rsidRPr="003F2AA0" w:rsidRDefault="003F2AA0" w:rsidP="003F2AA0">
            <w:pPr>
              <w:spacing w:before="0"/>
              <w:rPr>
                <w:rFonts w:cs="Segoe UI"/>
                <w:b/>
                <w:bCs/>
                <w:sz w:val="18"/>
                <w:szCs w:val="18"/>
              </w:rPr>
            </w:pPr>
          </w:p>
        </w:tc>
      </w:tr>
      <w:tr w:rsidR="003F2AA0" w:rsidRPr="003F2AA0" w:rsidTr="003F2AA0">
        <w:trPr>
          <w:trHeight w:val="20"/>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Hl. m. Praha</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9 500</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13 000</w:t>
            </w:r>
          </w:p>
        </w:tc>
        <w:tc>
          <w:tcPr>
            <w:tcW w:w="1984" w:type="dxa"/>
            <w:tcBorders>
              <w:top w:val="single" w:sz="4" w:space="0" w:color="auto"/>
              <w:left w:val="single" w:sz="4" w:space="0" w:color="auto"/>
              <w:bottom w:val="single" w:sz="4" w:space="0" w:color="auto"/>
              <w:right w:val="single" w:sz="4" w:space="0" w:color="auto"/>
            </w:tcBorders>
            <w:shd w:val="clear" w:color="000000" w:fill="F8696B"/>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3 500</w:t>
            </w:r>
          </w:p>
        </w:tc>
        <w:tc>
          <w:tcPr>
            <w:tcW w:w="2268" w:type="dxa"/>
            <w:tcBorders>
              <w:top w:val="single" w:sz="4" w:space="0" w:color="auto"/>
              <w:left w:val="single" w:sz="4" w:space="0" w:color="auto"/>
              <w:bottom w:val="single" w:sz="4" w:space="0" w:color="auto"/>
              <w:right w:val="single" w:sz="4" w:space="0" w:color="auto"/>
            </w:tcBorders>
            <w:shd w:val="clear" w:color="000000" w:fill="63BE7B"/>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9,74</w:t>
            </w:r>
          </w:p>
        </w:tc>
      </w:tr>
      <w:tr w:rsidR="003F2AA0" w:rsidRPr="003F2AA0" w:rsidTr="003F2AA0">
        <w:trPr>
          <w:trHeight w:val="20"/>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Ústecký</w:t>
            </w:r>
          </w:p>
        </w:tc>
        <w:tc>
          <w:tcPr>
            <w:tcW w:w="1134" w:type="dxa"/>
            <w:tcBorders>
              <w:top w:val="single" w:sz="4" w:space="0" w:color="auto"/>
              <w:left w:val="single" w:sz="4" w:space="0" w:color="auto"/>
              <w:bottom w:val="single" w:sz="4" w:space="0" w:color="auto"/>
              <w:right w:val="single" w:sz="4" w:space="0" w:color="auto"/>
            </w:tcBorders>
            <w:shd w:val="clear" w:color="000000" w:fill="FAB3B5"/>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6 000</w:t>
            </w:r>
          </w:p>
        </w:tc>
        <w:tc>
          <w:tcPr>
            <w:tcW w:w="1559" w:type="dxa"/>
            <w:tcBorders>
              <w:top w:val="single" w:sz="4" w:space="0" w:color="auto"/>
              <w:left w:val="single" w:sz="4" w:space="0" w:color="auto"/>
              <w:bottom w:val="single" w:sz="4" w:space="0" w:color="auto"/>
              <w:right w:val="single" w:sz="4" w:space="0" w:color="auto"/>
            </w:tcBorders>
            <w:shd w:val="clear" w:color="000000" w:fill="FBB7BA"/>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6 600</w:t>
            </w:r>
          </w:p>
        </w:tc>
        <w:tc>
          <w:tcPr>
            <w:tcW w:w="1984" w:type="dxa"/>
            <w:tcBorders>
              <w:top w:val="single" w:sz="4" w:space="0" w:color="auto"/>
              <w:left w:val="single" w:sz="4" w:space="0" w:color="auto"/>
              <w:bottom w:val="single" w:sz="4" w:space="0" w:color="auto"/>
              <w:right w:val="single" w:sz="4" w:space="0" w:color="auto"/>
            </w:tcBorders>
            <w:shd w:val="clear" w:color="000000" w:fill="FCE3E6"/>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600</w:t>
            </w:r>
          </w:p>
        </w:tc>
        <w:tc>
          <w:tcPr>
            <w:tcW w:w="2268" w:type="dxa"/>
            <w:tcBorders>
              <w:top w:val="single" w:sz="4" w:space="0" w:color="auto"/>
              <w:left w:val="single" w:sz="4" w:space="0" w:color="auto"/>
              <w:bottom w:val="single" w:sz="4" w:space="0" w:color="auto"/>
              <w:right w:val="single" w:sz="4" w:space="0" w:color="auto"/>
            </w:tcBorders>
            <w:shd w:val="clear" w:color="000000" w:fill="82CB96"/>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8,08</w:t>
            </w:r>
          </w:p>
        </w:tc>
      </w:tr>
      <w:tr w:rsidR="003F2AA0" w:rsidRPr="003F2AA0" w:rsidTr="003F2AA0">
        <w:trPr>
          <w:trHeight w:val="20"/>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Liberecký</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2 500</w:t>
            </w:r>
          </w:p>
        </w:tc>
        <w:tc>
          <w:tcPr>
            <w:tcW w:w="1559" w:type="dxa"/>
            <w:tcBorders>
              <w:top w:val="single" w:sz="4" w:space="0" w:color="auto"/>
              <w:left w:val="single" w:sz="4" w:space="0" w:color="auto"/>
              <w:bottom w:val="single" w:sz="4" w:space="0" w:color="auto"/>
              <w:right w:val="single" w:sz="4" w:space="0" w:color="auto"/>
            </w:tcBorders>
            <w:shd w:val="clear" w:color="000000" w:fill="FCEEF1"/>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2 100</w:t>
            </w:r>
          </w:p>
        </w:tc>
        <w:tc>
          <w:tcPr>
            <w:tcW w:w="1984" w:type="dxa"/>
            <w:tcBorders>
              <w:top w:val="single" w:sz="4" w:space="0" w:color="auto"/>
              <w:left w:val="single" w:sz="4" w:space="0" w:color="auto"/>
              <w:bottom w:val="single" w:sz="4" w:space="0" w:color="auto"/>
              <w:right w:val="single" w:sz="4" w:space="0" w:color="auto"/>
            </w:tcBorders>
            <w:shd w:val="clear" w:color="000000" w:fill="ABC3E2"/>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-400</w:t>
            </w:r>
          </w:p>
        </w:tc>
        <w:tc>
          <w:tcPr>
            <w:tcW w:w="2268" w:type="dxa"/>
            <w:tcBorders>
              <w:top w:val="single" w:sz="4" w:space="0" w:color="auto"/>
              <w:left w:val="single" w:sz="4" w:space="0" w:color="auto"/>
              <w:bottom w:val="single" w:sz="4" w:space="0" w:color="auto"/>
              <w:right w:val="single" w:sz="4" w:space="0" w:color="auto"/>
            </w:tcBorders>
            <w:shd w:val="clear" w:color="000000" w:fill="C1E4CC"/>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4,75</w:t>
            </w:r>
          </w:p>
        </w:tc>
      </w:tr>
      <w:tr w:rsidR="003F2AA0" w:rsidRPr="003F2AA0" w:rsidTr="003F2AA0">
        <w:trPr>
          <w:trHeight w:val="20"/>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Karlovarský</w:t>
            </w:r>
          </w:p>
        </w:tc>
        <w:tc>
          <w:tcPr>
            <w:tcW w:w="1134" w:type="dxa"/>
            <w:tcBorders>
              <w:top w:val="single" w:sz="4" w:space="0" w:color="auto"/>
              <w:left w:val="single" w:sz="4" w:space="0" w:color="auto"/>
              <w:bottom w:val="single" w:sz="4" w:space="0" w:color="auto"/>
              <w:right w:val="single" w:sz="4" w:space="0" w:color="auto"/>
            </w:tcBorders>
            <w:shd w:val="clear" w:color="000000" w:fill="96B4DB"/>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1 500</w:t>
            </w:r>
          </w:p>
        </w:tc>
        <w:tc>
          <w:tcPr>
            <w:tcW w:w="1559" w:type="dxa"/>
            <w:tcBorders>
              <w:top w:val="single" w:sz="4" w:space="0" w:color="auto"/>
              <w:left w:val="single" w:sz="4" w:space="0" w:color="auto"/>
              <w:bottom w:val="single" w:sz="4" w:space="0" w:color="auto"/>
              <w:right w:val="single" w:sz="4" w:space="0" w:color="auto"/>
            </w:tcBorders>
            <w:shd w:val="clear" w:color="000000" w:fill="FCF9FC"/>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1 200</w:t>
            </w:r>
          </w:p>
        </w:tc>
        <w:tc>
          <w:tcPr>
            <w:tcW w:w="1984" w:type="dxa"/>
            <w:tcBorders>
              <w:top w:val="single" w:sz="4" w:space="0" w:color="auto"/>
              <w:left w:val="single" w:sz="4" w:space="0" w:color="auto"/>
              <w:bottom w:val="single" w:sz="4" w:space="0" w:color="auto"/>
              <w:right w:val="single" w:sz="4" w:space="0" w:color="auto"/>
            </w:tcBorders>
            <w:shd w:val="clear" w:color="000000" w:fill="BFD1E9"/>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-300</w:t>
            </w:r>
          </w:p>
        </w:tc>
        <w:tc>
          <w:tcPr>
            <w:tcW w:w="2268" w:type="dxa"/>
            <w:tcBorders>
              <w:top w:val="single" w:sz="4" w:space="0" w:color="auto"/>
              <w:left w:val="single" w:sz="4" w:space="0" w:color="auto"/>
              <w:bottom w:val="single" w:sz="4" w:space="0" w:color="auto"/>
              <w:right w:val="single" w:sz="4" w:space="0" w:color="auto"/>
            </w:tcBorders>
            <w:shd w:val="clear" w:color="000000" w:fill="CDE9D6"/>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4,09</w:t>
            </w:r>
          </w:p>
        </w:tc>
      </w:tr>
      <w:tr w:rsidR="003F2AA0" w:rsidRPr="003F2AA0" w:rsidTr="003F2AA0">
        <w:trPr>
          <w:trHeight w:val="20"/>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Jihočeský</w:t>
            </w:r>
          </w:p>
        </w:tc>
        <w:tc>
          <w:tcPr>
            <w:tcW w:w="1134" w:type="dxa"/>
            <w:tcBorders>
              <w:top w:val="single" w:sz="4" w:space="0" w:color="auto"/>
              <w:left w:val="single" w:sz="4" w:space="0" w:color="auto"/>
              <w:bottom w:val="single" w:sz="4" w:space="0" w:color="auto"/>
              <w:right w:val="single" w:sz="4" w:space="0" w:color="auto"/>
            </w:tcBorders>
            <w:shd w:val="clear" w:color="000000" w:fill="FCF4F7"/>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2 900</w:t>
            </w:r>
          </w:p>
        </w:tc>
        <w:tc>
          <w:tcPr>
            <w:tcW w:w="1559" w:type="dxa"/>
            <w:tcBorders>
              <w:top w:val="single" w:sz="4" w:space="0" w:color="auto"/>
              <w:left w:val="single" w:sz="4" w:space="0" w:color="auto"/>
              <w:bottom w:val="single" w:sz="4" w:space="0" w:color="auto"/>
              <w:right w:val="single" w:sz="4" w:space="0" w:color="auto"/>
            </w:tcBorders>
            <w:shd w:val="clear" w:color="000000" w:fill="FCE9EC"/>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2 500</w:t>
            </w:r>
          </w:p>
        </w:tc>
        <w:tc>
          <w:tcPr>
            <w:tcW w:w="1984" w:type="dxa"/>
            <w:tcBorders>
              <w:top w:val="single" w:sz="4" w:space="0" w:color="auto"/>
              <w:left w:val="single" w:sz="4" w:space="0" w:color="auto"/>
              <w:bottom w:val="single" w:sz="4" w:space="0" w:color="auto"/>
              <w:right w:val="single" w:sz="4" w:space="0" w:color="auto"/>
            </w:tcBorders>
            <w:shd w:val="clear" w:color="000000" w:fill="ABC3E2"/>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-400</w:t>
            </w:r>
          </w:p>
        </w:tc>
        <w:tc>
          <w:tcPr>
            <w:tcW w:w="2268" w:type="dxa"/>
            <w:tcBorders>
              <w:top w:val="single" w:sz="4" w:space="0" w:color="auto"/>
              <w:left w:val="single" w:sz="4" w:space="0" w:color="auto"/>
              <w:bottom w:val="single" w:sz="4" w:space="0" w:color="auto"/>
              <w:right w:val="single" w:sz="4" w:space="0" w:color="auto"/>
            </w:tcBorders>
            <w:shd w:val="clear" w:color="000000" w:fill="D1EBDA"/>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3,88</w:t>
            </w:r>
          </w:p>
        </w:tc>
      </w:tr>
      <w:tr w:rsidR="003F2AA0" w:rsidRPr="003F2AA0" w:rsidTr="003F2AA0">
        <w:trPr>
          <w:trHeight w:val="20"/>
        </w:trPr>
        <w:tc>
          <w:tcPr>
            <w:tcW w:w="1555"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Plzeňský</w:t>
            </w:r>
          </w:p>
        </w:tc>
        <w:tc>
          <w:tcPr>
            <w:tcW w:w="1134" w:type="dxa"/>
            <w:tcBorders>
              <w:top w:val="single" w:sz="4" w:space="0" w:color="auto"/>
              <w:left w:val="single" w:sz="4" w:space="0" w:color="auto"/>
              <w:bottom w:val="single" w:sz="8" w:space="0" w:color="auto"/>
              <w:right w:val="single" w:sz="4" w:space="0" w:color="auto"/>
            </w:tcBorders>
            <w:shd w:val="clear" w:color="000000" w:fill="DDE6F4"/>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2 200</w:t>
            </w:r>
          </w:p>
        </w:tc>
        <w:tc>
          <w:tcPr>
            <w:tcW w:w="1559" w:type="dxa"/>
            <w:tcBorders>
              <w:top w:val="single" w:sz="4" w:space="0" w:color="auto"/>
              <w:left w:val="single" w:sz="4" w:space="0" w:color="auto"/>
              <w:bottom w:val="single" w:sz="8" w:space="0" w:color="auto"/>
              <w:right w:val="single" w:sz="4" w:space="0" w:color="auto"/>
            </w:tcBorders>
            <w:shd w:val="clear" w:color="000000" w:fill="FCEDF0"/>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2 200</w:t>
            </w:r>
          </w:p>
        </w:tc>
        <w:tc>
          <w:tcPr>
            <w:tcW w:w="1984" w:type="dxa"/>
            <w:tcBorders>
              <w:top w:val="single" w:sz="4" w:space="0" w:color="auto"/>
              <w:left w:val="single" w:sz="4" w:space="0" w:color="auto"/>
              <w:bottom w:val="single" w:sz="8" w:space="0" w:color="auto"/>
              <w:right w:val="single" w:sz="4" w:space="0" w:color="auto"/>
            </w:tcBorders>
            <w:shd w:val="clear" w:color="000000" w:fill="FCFCFF"/>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0</w:t>
            </w:r>
          </w:p>
        </w:tc>
        <w:tc>
          <w:tcPr>
            <w:tcW w:w="2268" w:type="dxa"/>
            <w:tcBorders>
              <w:top w:val="single" w:sz="4" w:space="0" w:color="auto"/>
              <w:left w:val="single" w:sz="4" w:space="0" w:color="auto"/>
              <w:bottom w:val="single" w:sz="8" w:space="0" w:color="auto"/>
              <w:right w:val="single" w:sz="4" w:space="0" w:color="auto"/>
            </w:tcBorders>
            <w:shd w:val="clear" w:color="000000" w:fill="D4ECDC"/>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3,72</w:t>
            </w:r>
          </w:p>
        </w:tc>
      </w:tr>
      <w:tr w:rsidR="003F2AA0" w:rsidRPr="003F2AA0" w:rsidTr="003F2AA0">
        <w:trPr>
          <w:trHeight w:val="20"/>
        </w:trPr>
        <w:tc>
          <w:tcPr>
            <w:tcW w:w="1555" w:type="dxa"/>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b/>
                <w:bCs/>
                <w:sz w:val="18"/>
                <w:szCs w:val="18"/>
              </w:rPr>
            </w:pPr>
            <w:r w:rsidRPr="003F2AA0">
              <w:rPr>
                <w:rFonts w:cs="Segoe UI"/>
                <w:b/>
                <w:bCs/>
                <w:sz w:val="18"/>
                <w:szCs w:val="18"/>
              </w:rPr>
              <w:t>Olomoucký</w:t>
            </w:r>
          </w:p>
        </w:tc>
        <w:tc>
          <w:tcPr>
            <w:tcW w:w="1134" w:type="dxa"/>
            <w:tcBorders>
              <w:top w:val="single" w:sz="8" w:space="0" w:color="auto"/>
              <w:left w:val="single" w:sz="4" w:space="0" w:color="auto"/>
              <w:bottom w:val="single" w:sz="8" w:space="0" w:color="auto"/>
              <w:right w:val="single" w:sz="4" w:space="0" w:color="auto"/>
            </w:tcBorders>
            <w:shd w:val="clear" w:color="000000" w:fill="FCFAFD"/>
            <w:noWrap/>
            <w:tcMar>
              <w:top w:w="15" w:type="dxa"/>
              <w:left w:w="15" w:type="dxa"/>
              <w:bottom w:w="0" w:type="dxa"/>
              <w:right w:w="15" w:type="dxa"/>
            </w:tcMar>
            <w:vAlign w:val="bottom"/>
            <w:hideMark/>
          </w:tcPr>
          <w:p w:rsidR="003F2AA0" w:rsidRPr="003F2AA0" w:rsidRDefault="003F2AA0" w:rsidP="003F2AA0">
            <w:pPr>
              <w:spacing w:before="0"/>
              <w:jc w:val="right"/>
              <w:rPr>
                <w:rFonts w:cs="Segoe UI"/>
                <w:b/>
                <w:bCs/>
                <w:sz w:val="18"/>
                <w:szCs w:val="18"/>
              </w:rPr>
            </w:pPr>
            <w:r w:rsidRPr="003F2AA0">
              <w:rPr>
                <w:rFonts w:cs="Segoe UI"/>
                <w:b/>
                <w:bCs/>
                <w:sz w:val="18"/>
                <w:szCs w:val="18"/>
              </w:rPr>
              <w:t>2 600</w:t>
            </w:r>
          </w:p>
        </w:tc>
        <w:tc>
          <w:tcPr>
            <w:tcW w:w="1559" w:type="dxa"/>
            <w:tcBorders>
              <w:top w:val="single" w:sz="8" w:space="0" w:color="auto"/>
              <w:left w:val="single" w:sz="4" w:space="0" w:color="auto"/>
              <w:bottom w:val="single" w:sz="8" w:space="0" w:color="auto"/>
              <w:right w:val="single" w:sz="4" w:space="0" w:color="auto"/>
            </w:tcBorders>
            <w:shd w:val="clear" w:color="000000" w:fill="FCEDF0"/>
            <w:noWrap/>
            <w:tcMar>
              <w:top w:w="15" w:type="dxa"/>
              <w:left w:w="15" w:type="dxa"/>
              <w:bottom w:w="0" w:type="dxa"/>
              <w:right w:w="15" w:type="dxa"/>
            </w:tcMar>
            <w:vAlign w:val="bottom"/>
            <w:hideMark/>
          </w:tcPr>
          <w:p w:rsidR="003F2AA0" w:rsidRPr="003F2AA0" w:rsidRDefault="003F2AA0" w:rsidP="003F2AA0">
            <w:pPr>
              <w:spacing w:before="0"/>
              <w:jc w:val="right"/>
              <w:rPr>
                <w:rFonts w:cs="Segoe UI"/>
                <w:b/>
                <w:bCs/>
                <w:sz w:val="18"/>
                <w:szCs w:val="18"/>
              </w:rPr>
            </w:pPr>
            <w:r w:rsidRPr="003F2AA0">
              <w:rPr>
                <w:rFonts w:cs="Segoe UI"/>
                <w:b/>
                <w:bCs/>
                <w:sz w:val="18"/>
                <w:szCs w:val="18"/>
              </w:rPr>
              <w:t>2 200</w:t>
            </w:r>
          </w:p>
        </w:tc>
        <w:tc>
          <w:tcPr>
            <w:tcW w:w="1984" w:type="dxa"/>
            <w:tcBorders>
              <w:top w:val="single" w:sz="8" w:space="0" w:color="auto"/>
              <w:left w:val="single" w:sz="4" w:space="0" w:color="auto"/>
              <w:bottom w:val="single" w:sz="8" w:space="0" w:color="auto"/>
              <w:right w:val="single" w:sz="4" w:space="0" w:color="auto"/>
            </w:tcBorders>
            <w:shd w:val="clear" w:color="000000" w:fill="ABC3E2"/>
            <w:noWrap/>
            <w:tcMar>
              <w:top w:w="15" w:type="dxa"/>
              <w:left w:w="15" w:type="dxa"/>
              <w:bottom w:w="0" w:type="dxa"/>
              <w:right w:w="15" w:type="dxa"/>
            </w:tcMar>
            <w:vAlign w:val="bottom"/>
            <w:hideMark/>
          </w:tcPr>
          <w:p w:rsidR="003F2AA0" w:rsidRPr="003F2AA0" w:rsidRDefault="003F2AA0" w:rsidP="003F2AA0">
            <w:pPr>
              <w:spacing w:before="0"/>
              <w:jc w:val="right"/>
              <w:rPr>
                <w:rFonts w:cs="Segoe UI"/>
                <w:b/>
                <w:bCs/>
                <w:sz w:val="18"/>
                <w:szCs w:val="18"/>
              </w:rPr>
            </w:pPr>
            <w:r w:rsidRPr="003F2AA0">
              <w:rPr>
                <w:rFonts w:cs="Segoe UI"/>
                <w:b/>
                <w:bCs/>
                <w:sz w:val="18"/>
                <w:szCs w:val="18"/>
              </w:rPr>
              <w:t>-400</w:t>
            </w:r>
          </w:p>
        </w:tc>
        <w:tc>
          <w:tcPr>
            <w:tcW w:w="2268" w:type="dxa"/>
            <w:tcBorders>
              <w:top w:val="single" w:sz="8" w:space="0" w:color="auto"/>
              <w:left w:val="single" w:sz="4" w:space="0" w:color="auto"/>
              <w:bottom w:val="single" w:sz="8" w:space="0" w:color="auto"/>
              <w:right w:val="single" w:sz="8" w:space="0" w:color="auto"/>
            </w:tcBorders>
            <w:shd w:val="clear" w:color="000000" w:fill="D8EEE0"/>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3,49</w:t>
            </w:r>
          </w:p>
        </w:tc>
      </w:tr>
      <w:tr w:rsidR="003F2AA0" w:rsidRPr="003F2AA0" w:rsidTr="003F2AA0">
        <w:trPr>
          <w:trHeight w:val="20"/>
        </w:trPr>
        <w:tc>
          <w:tcPr>
            <w:tcW w:w="1555" w:type="dxa"/>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Moravskoslezský</w:t>
            </w:r>
          </w:p>
        </w:tc>
        <w:tc>
          <w:tcPr>
            <w:tcW w:w="1134" w:type="dxa"/>
            <w:tcBorders>
              <w:top w:val="single" w:sz="8" w:space="0" w:color="auto"/>
              <w:left w:val="single" w:sz="4" w:space="0" w:color="auto"/>
              <w:bottom w:val="single" w:sz="4" w:space="0" w:color="auto"/>
              <w:right w:val="single" w:sz="4" w:space="0" w:color="auto"/>
            </w:tcBorders>
            <w:shd w:val="clear" w:color="000000" w:fill="FBCCCF"/>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4 800</w:t>
            </w:r>
          </w:p>
        </w:tc>
        <w:tc>
          <w:tcPr>
            <w:tcW w:w="1559" w:type="dxa"/>
            <w:tcBorders>
              <w:top w:val="single" w:sz="8" w:space="0" w:color="auto"/>
              <w:left w:val="single" w:sz="4" w:space="0" w:color="auto"/>
              <w:bottom w:val="single" w:sz="4" w:space="0" w:color="auto"/>
              <w:right w:val="single" w:sz="4" w:space="0" w:color="auto"/>
            </w:tcBorders>
            <w:shd w:val="clear" w:color="000000" w:fill="FBD7DA"/>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4 000</w:t>
            </w:r>
          </w:p>
        </w:tc>
        <w:tc>
          <w:tcPr>
            <w:tcW w:w="1984" w:type="dxa"/>
            <w:tcBorders>
              <w:top w:val="single" w:sz="8" w:space="0" w:color="auto"/>
              <w:left w:val="single" w:sz="4" w:space="0" w:color="auto"/>
              <w:bottom w:val="single" w:sz="4" w:space="0" w:color="auto"/>
              <w:right w:val="single" w:sz="4" w:space="0" w:color="auto"/>
            </w:tcBorders>
            <w:shd w:val="clear" w:color="000000" w:fill="5A8AC6"/>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-800</w:t>
            </w:r>
          </w:p>
        </w:tc>
        <w:tc>
          <w:tcPr>
            <w:tcW w:w="2268" w:type="dxa"/>
            <w:tcBorders>
              <w:top w:val="single" w:sz="8" w:space="0" w:color="auto"/>
              <w:left w:val="single" w:sz="4" w:space="0" w:color="auto"/>
              <w:bottom w:val="single" w:sz="4" w:space="0" w:color="auto"/>
              <w:right w:val="single" w:sz="4" w:space="0" w:color="auto"/>
            </w:tcBorders>
            <w:shd w:val="clear" w:color="000000" w:fill="DBEFE2"/>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3,35</w:t>
            </w:r>
          </w:p>
        </w:tc>
      </w:tr>
      <w:tr w:rsidR="003F2AA0" w:rsidRPr="003F2AA0" w:rsidTr="003F2AA0">
        <w:trPr>
          <w:trHeight w:val="20"/>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Zlínský</w:t>
            </w:r>
          </w:p>
        </w:tc>
        <w:tc>
          <w:tcPr>
            <w:tcW w:w="1134" w:type="dxa"/>
            <w:tcBorders>
              <w:top w:val="single" w:sz="4" w:space="0" w:color="auto"/>
              <w:left w:val="single" w:sz="4" w:space="0" w:color="auto"/>
              <w:bottom w:val="single" w:sz="4" w:space="0" w:color="auto"/>
              <w:right w:val="single" w:sz="4" w:space="0" w:color="auto"/>
            </w:tcBorders>
            <w:shd w:val="clear" w:color="000000" w:fill="BFD1E9"/>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1 900</w:t>
            </w:r>
          </w:p>
        </w:tc>
        <w:tc>
          <w:tcPr>
            <w:tcW w:w="1559" w:type="dxa"/>
            <w:tcBorders>
              <w:top w:val="single" w:sz="4" w:space="0" w:color="auto"/>
              <w:left w:val="single" w:sz="4" w:space="0" w:color="auto"/>
              <w:bottom w:val="single" w:sz="4" w:space="0" w:color="auto"/>
              <w:right w:val="single" w:sz="4" w:space="0" w:color="auto"/>
            </w:tcBorders>
            <w:shd w:val="clear" w:color="000000" w:fill="FCF2F4"/>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1 800</w:t>
            </w:r>
          </w:p>
        </w:tc>
        <w:tc>
          <w:tcPr>
            <w:tcW w:w="1984" w:type="dxa"/>
            <w:tcBorders>
              <w:top w:val="single" w:sz="4" w:space="0" w:color="auto"/>
              <w:left w:val="single" w:sz="4" w:space="0" w:color="auto"/>
              <w:bottom w:val="single" w:sz="4" w:space="0" w:color="auto"/>
              <w:right w:val="single" w:sz="4" w:space="0" w:color="auto"/>
            </w:tcBorders>
            <w:shd w:val="clear" w:color="000000" w:fill="E7EDF7"/>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-100</w:t>
            </w:r>
          </w:p>
        </w:tc>
        <w:tc>
          <w:tcPr>
            <w:tcW w:w="2268" w:type="dxa"/>
            <w:tcBorders>
              <w:top w:val="single" w:sz="4" w:space="0" w:color="auto"/>
              <w:left w:val="single" w:sz="4" w:space="0" w:color="auto"/>
              <w:bottom w:val="single" w:sz="4" w:space="0" w:color="auto"/>
              <w:right w:val="single" w:sz="4" w:space="0" w:color="auto"/>
            </w:tcBorders>
            <w:shd w:val="clear" w:color="000000" w:fill="DFF1E6"/>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3,10</w:t>
            </w:r>
          </w:p>
        </w:tc>
      </w:tr>
      <w:tr w:rsidR="003F2AA0" w:rsidRPr="003F2AA0" w:rsidTr="003F2AA0">
        <w:trPr>
          <w:trHeight w:val="20"/>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Jihomoravský</w:t>
            </w:r>
          </w:p>
        </w:tc>
        <w:tc>
          <w:tcPr>
            <w:tcW w:w="1134" w:type="dxa"/>
            <w:tcBorders>
              <w:top w:val="single" w:sz="4" w:space="0" w:color="auto"/>
              <w:left w:val="single" w:sz="4" w:space="0" w:color="auto"/>
              <w:bottom w:val="single" w:sz="4" w:space="0" w:color="auto"/>
              <w:right w:val="single" w:sz="4" w:space="0" w:color="auto"/>
            </w:tcBorders>
            <w:shd w:val="clear" w:color="000000" w:fill="FCECEF"/>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3 300</w:t>
            </w:r>
          </w:p>
        </w:tc>
        <w:tc>
          <w:tcPr>
            <w:tcW w:w="1559" w:type="dxa"/>
            <w:tcBorders>
              <w:top w:val="single" w:sz="4" w:space="0" w:color="auto"/>
              <w:left w:val="single" w:sz="4" w:space="0" w:color="auto"/>
              <w:bottom w:val="single" w:sz="4" w:space="0" w:color="auto"/>
              <w:right w:val="single" w:sz="4" w:space="0" w:color="auto"/>
            </w:tcBorders>
            <w:shd w:val="clear" w:color="000000" w:fill="FCDEE1"/>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3 400</w:t>
            </w:r>
          </w:p>
        </w:tc>
        <w:tc>
          <w:tcPr>
            <w:tcW w:w="1984" w:type="dxa"/>
            <w:tcBorders>
              <w:top w:val="single" w:sz="4" w:space="0" w:color="auto"/>
              <w:left w:val="single" w:sz="4" w:space="0" w:color="auto"/>
              <w:bottom w:val="single" w:sz="4" w:space="0" w:color="auto"/>
              <w:right w:val="single" w:sz="4" w:space="0" w:color="auto"/>
            </w:tcBorders>
            <w:shd w:val="clear" w:color="000000" w:fill="FCF8FB"/>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100</w:t>
            </w:r>
          </w:p>
        </w:tc>
        <w:tc>
          <w:tcPr>
            <w:tcW w:w="2268" w:type="dxa"/>
            <w:tcBorders>
              <w:top w:val="single" w:sz="4" w:space="0" w:color="auto"/>
              <w:left w:val="single" w:sz="4" w:space="0" w:color="auto"/>
              <w:bottom w:val="single" w:sz="4" w:space="0" w:color="auto"/>
              <w:right w:val="single" w:sz="4" w:space="0" w:color="auto"/>
            </w:tcBorders>
            <w:shd w:val="clear" w:color="000000" w:fill="E4F3EA"/>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2,84</w:t>
            </w:r>
          </w:p>
        </w:tc>
      </w:tr>
      <w:tr w:rsidR="003F2AA0" w:rsidRPr="003F2AA0" w:rsidTr="003F2AA0">
        <w:trPr>
          <w:trHeight w:val="20"/>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Královéhradecký</w:t>
            </w:r>
          </w:p>
        </w:tc>
        <w:tc>
          <w:tcPr>
            <w:tcW w:w="1134" w:type="dxa"/>
            <w:tcBorders>
              <w:top w:val="single" w:sz="4" w:space="0" w:color="auto"/>
              <w:left w:val="single" w:sz="4" w:space="0" w:color="auto"/>
              <w:bottom w:val="single" w:sz="4" w:space="0" w:color="auto"/>
              <w:right w:val="single" w:sz="4" w:space="0" w:color="auto"/>
            </w:tcBorders>
            <w:shd w:val="clear" w:color="000000" w:fill="789FD0"/>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1 200</w:t>
            </w:r>
          </w:p>
        </w:tc>
        <w:tc>
          <w:tcPr>
            <w:tcW w:w="1559" w:type="dxa"/>
            <w:tcBorders>
              <w:top w:val="single" w:sz="4" w:space="0" w:color="auto"/>
              <w:left w:val="single" w:sz="4" w:space="0" w:color="auto"/>
              <w:bottom w:val="single" w:sz="4" w:space="0" w:color="auto"/>
              <w:right w:val="single" w:sz="4" w:space="0" w:color="auto"/>
            </w:tcBorders>
            <w:shd w:val="clear" w:color="000000" w:fill="FCF9FC"/>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1 200</w:t>
            </w:r>
          </w:p>
        </w:tc>
        <w:tc>
          <w:tcPr>
            <w:tcW w:w="1984" w:type="dxa"/>
            <w:tcBorders>
              <w:top w:val="single" w:sz="4" w:space="0" w:color="auto"/>
              <w:left w:val="single" w:sz="4" w:space="0" w:color="auto"/>
              <w:bottom w:val="single" w:sz="4" w:space="0" w:color="auto"/>
              <w:right w:val="single" w:sz="4" w:space="0" w:color="auto"/>
            </w:tcBorders>
            <w:shd w:val="clear" w:color="000000" w:fill="FCFCFF"/>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0</w:t>
            </w:r>
          </w:p>
        </w:tc>
        <w:tc>
          <w:tcPr>
            <w:tcW w:w="2268" w:type="dxa"/>
            <w:tcBorders>
              <w:top w:val="single" w:sz="4" w:space="0" w:color="auto"/>
              <w:left w:val="single" w:sz="4" w:space="0" w:color="auto"/>
              <w:bottom w:val="single" w:sz="4" w:space="0" w:color="auto"/>
              <w:right w:val="single" w:sz="4" w:space="0" w:color="auto"/>
            </w:tcBorders>
            <w:shd w:val="clear" w:color="000000" w:fill="F0F8F5"/>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2,18</w:t>
            </w:r>
          </w:p>
        </w:tc>
      </w:tr>
      <w:tr w:rsidR="003F2AA0" w:rsidRPr="003F2AA0" w:rsidTr="003F2AA0">
        <w:trPr>
          <w:trHeight w:val="20"/>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Vysočina</w:t>
            </w:r>
          </w:p>
        </w:tc>
        <w:tc>
          <w:tcPr>
            <w:tcW w:w="1134" w:type="dxa"/>
            <w:tcBorders>
              <w:top w:val="single" w:sz="4" w:space="0" w:color="auto"/>
              <w:left w:val="single" w:sz="4" w:space="0" w:color="auto"/>
              <w:bottom w:val="single" w:sz="4" w:space="0" w:color="auto"/>
              <w:right w:val="single" w:sz="4" w:space="0" w:color="auto"/>
            </w:tcBorders>
            <w:shd w:val="clear" w:color="000000" w:fill="5A8AC6"/>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900</w:t>
            </w:r>
          </w:p>
        </w:tc>
        <w:tc>
          <w:tcPr>
            <w:tcW w:w="1559" w:type="dxa"/>
            <w:tcBorders>
              <w:top w:val="single" w:sz="4" w:space="0" w:color="auto"/>
              <w:left w:val="single" w:sz="4" w:space="0" w:color="auto"/>
              <w:bottom w:val="single" w:sz="4" w:space="0" w:color="auto"/>
              <w:right w:val="single" w:sz="4" w:space="0" w:color="auto"/>
            </w:tcBorders>
            <w:shd w:val="clear" w:color="000000" w:fill="FCFCFF"/>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900</w:t>
            </w:r>
          </w:p>
        </w:tc>
        <w:tc>
          <w:tcPr>
            <w:tcW w:w="1984" w:type="dxa"/>
            <w:tcBorders>
              <w:top w:val="single" w:sz="4" w:space="0" w:color="auto"/>
              <w:left w:val="single" w:sz="4" w:space="0" w:color="auto"/>
              <w:bottom w:val="single" w:sz="4" w:space="0" w:color="auto"/>
              <w:right w:val="single" w:sz="4" w:space="0" w:color="auto"/>
            </w:tcBorders>
            <w:shd w:val="clear" w:color="000000" w:fill="FCFCFF"/>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0</w:t>
            </w:r>
          </w:p>
        </w:tc>
        <w:tc>
          <w:tcPr>
            <w:tcW w:w="2268" w:type="dxa"/>
            <w:tcBorders>
              <w:top w:val="single" w:sz="4" w:space="0" w:color="auto"/>
              <w:left w:val="single" w:sz="4" w:space="0" w:color="auto"/>
              <w:bottom w:val="single" w:sz="4" w:space="0" w:color="auto"/>
              <w:right w:val="single" w:sz="4" w:space="0" w:color="auto"/>
            </w:tcBorders>
            <w:shd w:val="clear" w:color="000000" w:fill="F8FBFC"/>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1,77</w:t>
            </w:r>
          </w:p>
        </w:tc>
      </w:tr>
      <w:tr w:rsidR="003F2AA0" w:rsidRPr="003F2AA0" w:rsidTr="003F2AA0">
        <w:trPr>
          <w:trHeight w:val="20"/>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Středočeský</w:t>
            </w:r>
          </w:p>
        </w:tc>
        <w:tc>
          <w:tcPr>
            <w:tcW w:w="1134" w:type="dxa"/>
            <w:tcBorders>
              <w:top w:val="single" w:sz="4" w:space="0" w:color="auto"/>
              <w:left w:val="single" w:sz="4" w:space="0" w:color="auto"/>
              <w:bottom w:val="single" w:sz="4" w:space="0" w:color="auto"/>
              <w:right w:val="single" w:sz="4" w:space="0" w:color="auto"/>
            </w:tcBorders>
            <w:shd w:val="clear" w:color="000000" w:fill="FCFCFF"/>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2 500</w:t>
            </w:r>
          </w:p>
        </w:tc>
        <w:tc>
          <w:tcPr>
            <w:tcW w:w="1559" w:type="dxa"/>
            <w:tcBorders>
              <w:top w:val="single" w:sz="4" w:space="0" w:color="auto"/>
              <w:left w:val="single" w:sz="4" w:space="0" w:color="auto"/>
              <w:bottom w:val="single" w:sz="4" w:space="0" w:color="auto"/>
              <w:right w:val="single" w:sz="4" w:space="0" w:color="auto"/>
            </w:tcBorders>
            <w:shd w:val="clear" w:color="000000" w:fill="FCEBEE"/>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2 300</w:t>
            </w:r>
          </w:p>
        </w:tc>
        <w:tc>
          <w:tcPr>
            <w:tcW w:w="1984" w:type="dxa"/>
            <w:tcBorders>
              <w:top w:val="single" w:sz="4" w:space="0" w:color="auto"/>
              <w:left w:val="single" w:sz="4" w:space="0" w:color="auto"/>
              <w:bottom w:val="single" w:sz="4" w:space="0" w:color="auto"/>
              <w:right w:val="single" w:sz="4" w:space="0" w:color="auto"/>
            </w:tcBorders>
            <w:shd w:val="clear" w:color="000000" w:fill="D3DFF0"/>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-200</w:t>
            </w:r>
          </w:p>
        </w:tc>
        <w:tc>
          <w:tcPr>
            <w:tcW w:w="2268" w:type="dxa"/>
            <w:tcBorders>
              <w:top w:val="single" w:sz="4" w:space="0" w:color="auto"/>
              <w:left w:val="single" w:sz="4" w:space="0" w:color="auto"/>
              <w:bottom w:val="single" w:sz="4" w:space="0" w:color="auto"/>
              <w:right w:val="single" w:sz="4" w:space="0" w:color="auto"/>
            </w:tcBorders>
            <w:shd w:val="clear" w:color="000000" w:fill="FAFCFE"/>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1,65</w:t>
            </w:r>
          </w:p>
        </w:tc>
      </w:tr>
      <w:tr w:rsidR="003F2AA0" w:rsidRPr="003F2AA0" w:rsidTr="003F2AA0">
        <w:trPr>
          <w:trHeight w:val="20"/>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sz w:val="18"/>
                <w:szCs w:val="18"/>
              </w:rPr>
            </w:pPr>
            <w:r w:rsidRPr="003F2AA0">
              <w:rPr>
                <w:rFonts w:cs="Segoe UI"/>
                <w:sz w:val="18"/>
                <w:szCs w:val="18"/>
              </w:rPr>
              <w:t>Pardubický</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400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800</w:t>
            </w:r>
          </w:p>
        </w:tc>
        <w:tc>
          <w:tcPr>
            <w:tcW w:w="1984" w:type="dxa"/>
            <w:tcBorders>
              <w:top w:val="single" w:sz="4" w:space="0" w:color="auto"/>
              <w:left w:val="single" w:sz="4" w:space="0" w:color="auto"/>
              <w:bottom w:val="single" w:sz="4" w:space="0" w:color="auto"/>
              <w:right w:val="single" w:sz="4" w:space="0" w:color="auto"/>
            </w:tcBorders>
            <w:shd w:val="clear" w:color="000000" w:fill="FCECEF"/>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400</w:t>
            </w:r>
          </w:p>
        </w:tc>
        <w:tc>
          <w:tcPr>
            <w:tcW w:w="2268" w:type="dxa"/>
            <w:tcBorders>
              <w:top w:val="single" w:sz="4" w:space="0" w:color="auto"/>
              <w:left w:val="single" w:sz="4" w:space="0" w:color="auto"/>
              <w:bottom w:val="single" w:sz="4" w:space="0" w:color="auto"/>
              <w:right w:val="single" w:sz="4" w:space="0" w:color="auto"/>
            </w:tcBorders>
            <w:shd w:val="clear" w:color="000000" w:fill="FCFCFF"/>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1,53</w:t>
            </w:r>
          </w:p>
        </w:tc>
      </w:tr>
      <w:tr w:rsidR="003F2AA0" w:rsidRPr="003F2AA0" w:rsidTr="003F2AA0">
        <w:trPr>
          <w:trHeight w:val="20"/>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rPr>
                <w:rFonts w:cs="Segoe UI"/>
                <w:b/>
                <w:bCs/>
                <w:sz w:val="18"/>
                <w:szCs w:val="18"/>
              </w:rPr>
            </w:pPr>
            <w:r w:rsidRPr="003F2AA0">
              <w:rPr>
                <w:rFonts w:cs="Segoe UI"/>
                <w:b/>
                <w:bCs/>
                <w:sz w:val="18"/>
                <w:szCs w:val="18"/>
              </w:rPr>
              <w:t>Celkem v ČR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jc w:val="right"/>
              <w:rPr>
                <w:rFonts w:cs="Segoe UI"/>
                <w:b/>
                <w:bCs/>
                <w:sz w:val="18"/>
                <w:szCs w:val="18"/>
              </w:rPr>
            </w:pPr>
            <w:r w:rsidRPr="003F2AA0">
              <w:rPr>
                <w:rFonts w:cs="Segoe UI"/>
                <w:b/>
                <w:bCs/>
                <w:sz w:val="18"/>
                <w:szCs w:val="18"/>
              </w:rPr>
              <w:t>42 200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3F2AA0" w:rsidRPr="003F2AA0" w:rsidRDefault="003F2AA0" w:rsidP="003F2AA0">
            <w:pPr>
              <w:spacing w:before="0"/>
              <w:jc w:val="right"/>
              <w:rPr>
                <w:rFonts w:cs="Segoe UI"/>
                <w:b/>
                <w:bCs/>
                <w:sz w:val="18"/>
                <w:szCs w:val="18"/>
              </w:rPr>
            </w:pPr>
            <w:r w:rsidRPr="003F2AA0">
              <w:rPr>
                <w:rFonts w:cs="Segoe UI"/>
                <w:b/>
                <w:bCs/>
                <w:sz w:val="18"/>
                <w:szCs w:val="18"/>
              </w:rPr>
              <w:t>44 200</w:t>
            </w:r>
          </w:p>
        </w:tc>
        <w:tc>
          <w:tcPr>
            <w:tcW w:w="1984" w:type="dxa"/>
            <w:tcBorders>
              <w:top w:val="single" w:sz="4" w:space="0" w:color="auto"/>
              <w:left w:val="single" w:sz="4" w:space="0" w:color="auto"/>
              <w:bottom w:val="single" w:sz="4" w:space="0" w:color="auto"/>
              <w:right w:val="single" w:sz="4" w:space="0" w:color="auto"/>
            </w:tcBorders>
            <w:shd w:val="clear" w:color="000000" w:fill="FAA8AB"/>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2 000</w:t>
            </w:r>
          </w:p>
        </w:tc>
        <w:tc>
          <w:tcPr>
            <w:tcW w:w="2268" w:type="dxa"/>
            <w:tcBorders>
              <w:top w:val="single" w:sz="4" w:space="0" w:color="auto"/>
              <w:left w:val="single" w:sz="4" w:space="0" w:color="auto"/>
              <w:bottom w:val="single" w:sz="4" w:space="0" w:color="auto"/>
              <w:right w:val="single" w:sz="4" w:space="0" w:color="auto"/>
            </w:tcBorders>
            <w:shd w:val="clear" w:color="000000" w:fill="CCE9D6"/>
            <w:noWrap/>
            <w:tcMar>
              <w:top w:w="15" w:type="dxa"/>
              <w:left w:w="15" w:type="dxa"/>
              <w:bottom w:w="0" w:type="dxa"/>
              <w:right w:w="15" w:type="dxa"/>
            </w:tcMar>
            <w:vAlign w:val="bottom"/>
            <w:hideMark/>
          </w:tcPr>
          <w:p w:rsidR="003F2AA0" w:rsidRPr="003F2AA0" w:rsidRDefault="003F2AA0" w:rsidP="003F2AA0">
            <w:pPr>
              <w:spacing w:before="0"/>
              <w:jc w:val="right"/>
              <w:rPr>
                <w:rFonts w:cs="Segoe UI"/>
                <w:sz w:val="18"/>
                <w:szCs w:val="18"/>
              </w:rPr>
            </w:pPr>
            <w:r w:rsidRPr="003F2AA0">
              <w:rPr>
                <w:rFonts w:cs="Segoe UI"/>
                <w:sz w:val="18"/>
                <w:szCs w:val="18"/>
              </w:rPr>
              <w:t>4,13</w:t>
            </w:r>
          </w:p>
        </w:tc>
      </w:tr>
    </w:tbl>
    <w:p w:rsidR="00AF4350" w:rsidRPr="0039748C" w:rsidRDefault="00AF4350" w:rsidP="003F2AA0">
      <w:pPr>
        <w:pStyle w:val="Zdrojobjektu"/>
      </w:pPr>
      <w:r w:rsidRPr="00A24644">
        <w:t>Zdroj: Národní monitorovací středisko pro drogy a závislosti (2021a), zpracování ACCENDO (2022)</w:t>
      </w:r>
      <w:r>
        <w:t>.</w:t>
      </w:r>
    </w:p>
    <w:p w:rsidR="00AF4350" w:rsidRPr="0039748C" w:rsidRDefault="00AF4350" w:rsidP="00A34764">
      <w:r w:rsidRPr="0039748C">
        <w:t>Počet žadatelů o léčbu závislostí vzrostl mezi lety 2015–2018 v OK o 6 241 na hodnotu 13 815, nejvíce žadatelů (55,5 %) tvoří konzumenti alkoholu, následují uživatelé pervitinu (18,8 %), tabáku (10,7 %) a </w:t>
      </w:r>
      <w:proofErr w:type="spellStart"/>
      <w:r w:rsidRPr="0039748C">
        <w:t>kanabioidů</w:t>
      </w:r>
      <w:proofErr w:type="spellEnd"/>
      <w:r w:rsidRPr="0039748C">
        <w:t xml:space="preserve"> (7,5 %). Při srovnání počtu žadatelů z řad uživatelů nelegálních návykových látek (pervitinu, </w:t>
      </w:r>
      <w:proofErr w:type="spellStart"/>
      <w:r w:rsidRPr="0039748C">
        <w:t>opioidů</w:t>
      </w:r>
      <w:proofErr w:type="spellEnd"/>
      <w:r w:rsidRPr="0039748C">
        <w:t xml:space="preserve"> a </w:t>
      </w:r>
      <w:proofErr w:type="spellStart"/>
      <w:r w:rsidRPr="0039748C">
        <w:t>kanabioidů</w:t>
      </w:r>
      <w:proofErr w:type="spellEnd"/>
      <w:r w:rsidRPr="0039748C">
        <w:t>) na 100 rizikových uživatelů drog je OK s hodnotou 19,7 mírně nadprůměrný obdobně jako Jihomoravský kraj s hodnotou 20,4 (v ČR 15,8).</w:t>
      </w:r>
    </w:p>
    <w:p w:rsidR="00AF4350" w:rsidRPr="0039748C" w:rsidRDefault="00AF4350" w:rsidP="003F2AA0">
      <w:pPr>
        <w:pStyle w:val="popistabulkySPRSS2024"/>
      </w:pPr>
      <w:bookmarkStart w:id="117" w:name="_Toc117607085"/>
      <w:r w:rsidRPr="0039748C">
        <w:t xml:space="preserve">Tabulka </w:t>
      </w:r>
      <w:r w:rsidR="00412C70">
        <w:fldChar w:fldCharType="begin"/>
      </w:r>
      <w:r w:rsidR="00412C70">
        <w:instrText xml:space="preserve"> SEQ Tabulka \* ARABIC </w:instrText>
      </w:r>
      <w:r w:rsidR="00412C70">
        <w:fldChar w:fldCharType="separate"/>
      </w:r>
      <w:r w:rsidR="003A12AF">
        <w:rPr>
          <w:noProof/>
        </w:rPr>
        <w:t>25</w:t>
      </w:r>
      <w:r w:rsidR="00412C70">
        <w:rPr>
          <w:noProof/>
        </w:rPr>
        <w:fldChar w:fldCharType="end"/>
      </w:r>
      <w:r>
        <w:t>:</w:t>
      </w:r>
      <w:r w:rsidRPr="0039748C">
        <w:t xml:space="preserve"> Počet žadatelů o léčbu podle základních skupin užívaných drog (problém</w:t>
      </w:r>
      <w:r>
        <w:t>ů</w:t>
      </w:r>
      <w:r w:rsidRPr="0039748C">
        <w:t>) a kraje bydliště (všechna léčení)</w:t>
      </w:r>
      <w:bookmarkEnd w:id="117"/>
    </w:p>
    <w:tbl>
      <w:tblPr>
        <w:tblW w:w="9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663"/>
        <w:gridCol w:w="754"/>
        <w:gridCol w:w="709"/>
        <w:gridCol w:w="851"/>
        <w:gridCol w:w="708"/>
        <w:gridCol w:w="851"/>
        <w:gridCol w:w="850"/>
        <w:gridCol w:w="660"/>
        <w:gridCol w:w="900"/>
        <w:gridCol w:w="916"/>
      </w:tblGrid>
      <w:tr w:rsidR="003F2AA0" w:rsidRPr="003F2AA0" w:rsidTr="003F2AA0">
        <w:trPr>
          <w:trHeight w:val="20"/>
          <w:tblHeader/>
        </w:trPr>
        <w:tc>
          <w:tcPr>
            <w:tcW w:w="1418" w:type="dxa"/>
            <w:vMerge w:val="restart"/>
            <w:shd w:val="clear" w:color="000000" w:fill="F2F2F2"/>
            <w:vAlign w:val="center"/>
            <w:hideMark/>
          </w:tcPr>
          <w:p w:rsidR="003F2AA0" w:rsidRPr="003F2AA0" w:rsidRDefault="003F2AA0" w:rsidP="003F2AA0">
            <w:pPr>
              <w:spacing w:before="0"/>
              <w:jc w:val="center"/>
              <w:rPr>
                <w:b/>
                <w:bCs/>
                <w:sz w:val="16"/>
                <w:szCs w:val="16"/>
              </w:rPr>
            </w:pPr>
            <w:r w:rsidRPr="003F2AA0">
              <w:rPr>
                <w:b/>
                <w:bCs/>
                <w:sz w:val="16"/>
                <w:szCs w:val="16"/>
              </w:rPr>
              <w:t>Kraj</w:t>
            </w:r>
          </w:p>
        </w:tc>
        <w:tc>
          <w:tcPr>
            <w:tcW w:w="7862" w:type="dxa"/>
            <w:gridSpan w:val="10"/>
            <w:shd w:val="clear" w:color="000000" w:fill="F2F2F2"/>
            <w:noWrap/>
            <w:vAlign w:val="center"/>
            <w:hideMark/>
          </w:tcPr>
          <w:p w:rsidR="003F2AA0" w:rsidRPr="003F2AA0" w:rsidRDefault="003F2AA0" w:rsidP="003F2AA0">
            <w:pPr>
              <w:spacing w:before="0"/>
              <w:jc w:val="center"/>
              <w:rPr>
                <w:b/>
                <w:bCs/>
                <w:sz w:val="16"/>
                <w:szCs w:val="16"/>
              </w:rPr>
            </w:pPr>
            <w:r w:rsidRPr="003F2AA0">
              <w:rPr>
                <w:b/>
                <w:bCs/>
                <w:sz w:val="16"/>
                <w:szCs w:val="16"/>
              </w:rPr>
              <w:t>Počet žadatelů o léčbu</w:t>
            </w:r>
          </w:p>
        </w:tc>
      </w:tr>
      <w:tr w:rsidR="003F2AA0" w:rsidRPr="003F2AA0" w:rsidTr="003F2AA0">
        <w:trPr>
          <w:trHeight w:val="20"/>
          <w:tblHeader/>
        </w:trPr>
        <w:tc>
          <w:tcPr>
            <w:tcW w:w="1418" w:type="dxa"/>
            <w:vMerge/>
            <w:vAlign w:val="center"/>
            <w:hideMark/>
          </w:tcPr>
          <w:p w:rsidR="003F2AA0" w:rsidRPr="003F2AA0" w:rsidRDefault="003F2AA0" w:rsidP="003F2AA0">
            <w:pPr>
              <w:spacing w:before="0"/>
              <w:jc w:val="center"/>
              <w:rPr>
                <w:b/>
                <w:bCs/>
                <w:sz w:val="16"/>
                <w:szCs w:val="16"/>
              </w:rPr>
            </w:pPr>
          </w:p>
        </w:tc>
        <w:tc>
          <w:tcPr>
            <w:tcW w:w="663" w:type="dxa"/>
            <w:vMerge w:val="restart"/>
            <w:shd w:val="clear" w:color="000000" w:fill="F2F2F2"/>
            <w:vAlign w:val="center"/>
            <w:hideMark/>
          </w:tcPr>
          <w:p w:rsidR="003F2AA0" w:rsidRPr="003F2AA0" w:rsidRDefault="003F2AA0" w:rsidP="003F2AA0">
            <w:pPr>
              <w:spacing w:before="0"/>
              <w:jc w:val="center"/>
              <w:rPr>
                <w:b/>
                <w:bCs/>
                <w:sz w:val="16"/>
                <w:szCs w:val="16"/>
              </w:rPr>
            </w:pPr>
            <w:r w:rsidRPr="003F2AA0">
              <w:rPr>
                <w:b/>
                <w:bCs/>
                <w:sz w:val="16"/>
                <w:szCs w:val="16"/>
              </w:rPr>
              <w:t>2015</w:t>
            </w:r>
          </w:p>
        </w:tc>
        <w:tc>
          <w:tcPr>
            <w:tcW w:w="754" w:type="dxa"/>
            <w:vMerge w:val="restart"/>
            <w:shd w:val="clear" w:color="000000" w:fill="F2F2F2"/>
            <w:vAlign w:val="center"/>
            <w:hideMark/>
          </w:tcPr>
          <w:p w:rsidR="003F2AA0" w:rsidRPr="003F2AA0" w:rsidRDefault="003F2AA0" w:rsidP="003F2AA0">
            <w:pPr>
              <w:spacing w:before="0"/>
              <w:jc w:val="center"/>
              <w:rPr>
                <w:b/>
                <w:bCs/>
                <w:sz w:val="16"/>
                <w:szCs w:val="16"/>
              </w:rPr>
            </w:pPr>
            <w:r w:rsidRPr="003F2AA0">
              <w:rPr>
                <w:b/>
                <w:bCs/>
                <w:sz w:val="16"/>
                <w:szCs w:val="16"/>
              </w:rPr>
              <w:t>2018</w:t>
            </w:r>
          </w:p>
        </w:tc>
        <w:tc>
          <w:tcPr>
            <w:tcW w:w="709" w:type="dxa"/>
            <w:vMerge w:val="restart"/>
            <w:shd w:val="clear" w:color="000000" w:fill="F2F2F2"/>
            <w:vAlign w:val="center"/>
            <w:hideMark/>
          </w:tcPr>
          <w:p w:rsidR="003F2AA0" w:rsidRPr="003F2AA0" w:rsidRDefault="003F2AA0" w:rsidP="003F2AA0">
            <w:pPr>
              <w:spacing w:before="0"/>
              <w:jc w:val="center"/>
              <w:rPr>
                <w:b/>
                <w:bCs/>
                <w:sz w:val="16"/>
                <w:szCs w:val="16"/>
              </w:rPr>
            </w:pPr>
            <w:r w:rsidRPr="003F2AA0">
              <w:rPr>
                <w:b/>
                <w:bCs/>
                <w:sz w:val="16"/>
                <w:szCs w:val="16"/>
              </w:rPr>
              <w:t>Změna 2015–2018</w:t>
            </w:r>
          </w:p>
        </w:tc>
        <w:tc>
          <w:tcPr>
            <w:tcW w:w="5736" w:type="dxa"/>
            <w:gridSpan w:val="7"/>
            <w:shd w:val="clear" w:color="000000" w:fill="F2F2F2"/>
            <w:noWrap/>
            <w:vAlign w:val="center"/>
            <w:hideMark/>
          </w:tcPr>
          <w:p w:rsidR="003F2AA0" w:rsidRPr="003F2AA0" w:rsidRDefault="003F2AA0" w:rsidP="003F2AA0">
            <w:pPr>
              <w:spacing w:before="0"/>
              <w:jc w:val="center"/>
              <w:rPr>
                <w:b/>
                <w:bCs/>
                <w:sz w:val="16"/>
                <w:szCs w:val="16"/>
              </w:rPr>
            </w:pPr>
            <w:r w:rsidRPr="003F2AA0">
              <w:rPr>
                <w:b/>
                <w:bCs/>
                <w:sz w:val="16"/>
                <w:szCs w:val="16"/>
              </w:rPr>
              <w:t>Užívaná droga / problém</w:t>
            </w:r>
          </w:p>
        </w:tc>
      </w:tr>
      <w:tr w:rsidR="003F2AA0" w:rsidRPr="003F2AA0" w:rsidTr="003F2AA0">
        <w:trPr>
          <w:trHeight w:val="20"/>
          <w:tblHeader/>
        </w:trPr>
        <w:tc>
          <w:tcPr>
            <w:tcW w:w="1418" w:type="dxa"/>
            <w:vMerge/>
            <w:vAlign w:val="center"/>
            <w:hideMark/>
          </w:tcPr>
          <w:p w:rsidR="003F2AA0" w:rsidRPr="003F2AA0" w:rsidRDefault="003F2AA0" w:rsidP="003F2AA0">
            <w:pPr>
              <w:spacing w:before="0"/>
              <w:jc w:val="center"/>
              <w:rPr>
                <w:b/>
                <w:bCs/>
                <w:sz w:val="16"/>
                <w:szCs w:val="16"/>
              </w:rPr>
            </w:pPr>
          </w:p>
        </w:tc>
        <w:tc>
          <w:tcPr>
            <w:tcW w:w="663" w:type="dxa"/>
            <w:vMerge/>
            <w:vAlign w:val="center"/>
            <w:hideMark/>
          </w:tcPr>
          <w:p w:rsidR="003F2AA0" w:rsidRPr="003F2AA0" w:rsidRDefault="003F2AA0" w:rsidP="003F2AA0">
            <w:pPr>
              <w:spacing w:before="0"/>
              <w:jc w:val="center"/>
              <w:rPr>
                <w:b/>
                <w:bCs/>
                <w:sz w:val="16"/>
                <w:szCs w:val="16"/>
              </w:rPr>
            </w:pPr>
          </w:p>
        </w:tc>
        <w:tc>
          <w:tcPr>
            <w:tcW w:w="754" w:type="dxa"/>
            <w:vMerge/>
            <w:vAlign w:val="center"/>
            <w:hideMark/>
          </w:tcPr>
          <w:p w:rsidR="003F2AA0" w:rsidRPr="003F2AA0" w:rsidRDefault="003F2AA0" w:rsidP="003F2AA0">
            <w:pPr>
              <w:spacing w:before="0"/>
              <w:jc w:val="center"/>
              <w:rPr>
                <w:b/>
                <w:bCs/>
                <w:sz w:val="16"/>
                <w:szCs w:val="16"/>
              </w:rPr>
            </w:pPr>
          </w:p>
        </w:tc>
        <w:tc>
          <w:tcPr>
            <w:tcW w:w="709" w:type="dxa"/>
            <w:vMerge/>
            <w:vAlign w:val="center"/>
            <w:hideMark/>
          </w:tcPr>
          <w:p w:rsidR="003F2AA0" w:rsidRPr="003F2AA0" w:rsidRDefault="003F2AA0" w:rsidP="003F2AA0">
            <w:pPr>
              <w:spacing w:before="0"/>
              <w:jc w:val="center"/>
              <w:rPr>
                <w:b/>
                <w:bCs/>
                <w:sz w:val="16"/>
                <w:szCs w:val="16"/>
              </w:rPr>
            </w:pPr>
          </w:p>
        </w:tc>
        <w:tc>
          <w:tcPr>
            <w:tcW w:w="851" w:type="dxa"/>
            <w:shd w:val="clear" w:color="000000" w:fill="F2F2F2"/>
            <w:vAlign w:val="center"/>
            <w:hideMark/>
          </w:tcPr>
          <w:p w:rsidR="003F2AA0" w:rsidRPr="003F2AA0" w:rsidRDefault="003F2AA0" w:rsidP="003F2AA0">
            <w:pPr>
              <w:spacing w:before="0"/>
              <w:jc w:val="center"/>
              <w:rPr>
                <w:b/>
                <w:bCs/>
                <w:sz w:val="16"/>
                <w:szCs w:val="16"/>
              </w:rPr>
            </w:pPr>
            <w:r w:rsidRPr="003F2AA0">
              <w:rPr>
                <w:b/>
                <w:bCs/>
                <w:sz w:val="16"/>
                <w:szCs w:val="16"/>
              </w:rPr>
              <w:t>Alkohol</w:t>
            </w:r>
          </w:p>
        </w:tc>
        <w:tc>
          <w:tcPr>
            <w:tcW w:w="708" w:type="dxa"/>
            <w:shd w:val="clear" w:color="000000" w:fill="F2F2F2"/>
            <w:vAlign w:val="center"/>
            <w:hideMark/>
          </w:tcPr>
          <w:p w:rsidR="003F2AA0" w:rsidRPr="003F2AA0" w:rsidRDefault="003F2AA0" w:rsidP="003F2AA0">
            <w:pPr>
              <w:spacing w:before="0"/>
              <w:jc w:val="center"/>
              <w:rPr>
                <w:b/>
                <w:bCs/>
                <w:sz w:val="16"/>
                <w:szCs w:val="16"/>
              </w:rPr>
            </w:pPr>
            <w:r w:rsidRPr="003F2AA0">
              <w:rPr>
                <w:b/>
                <w:bCs/>
                <w:sz w:val="16"/>
                <w:szCs w:val="16"/>
              </w:rPr>
              <w:t>Tabák</w:t>
            </w:r>
          </w:p>
        </w:tc>
        <w:tc>
          <w:tcPr>
            <w:tcW w:w="851" w:type="dxa"/>
            <w:shd w:val="clear" w:color="000000" w:fill="F2F2F2"/>
            <w:vAlign w:val="center"/>
            <w:hideMark/>
          </w:tcPr>
          <w:p w:rsidR="003F2AA0" w:rsidRPr="003F2AA0" w:rsidRDefault="003F2AA0" w:rsidP="003F2AA0">
            <w:pPr>
              <w:spacing w:before="0"/>
              <w:jc w:val="center"/>
              <w:rPr>
                <w:b/>
                <w:bCs/>
                <w:sz w:val="16"/>
                <w:szCs w:val="16"/>
              </w:rPr>
            </w:pPr>
            <w:r w:rsidRPr="003F2AA0">
              <w:rPr>
                <w:b/>
                <w:bCs/>
                <w:sz w:val="16"/>
                <w:szCs w:val="16"/>
              </w:rPr>
              <w:t>Pervitin</w:t>
            </w:r>
          </w:p>
        </w:tc>
        <w:tc>
          <w:tcPr>
            <w:tcW w:w="850" w:type="dxa"/>
            <w:shd w:val="clear" w:color="000000" w:fill="F2F2F2"/>
            <w:vAlign w:val="center"/>
            <w:hideMark/>
          </w:tcPr>
          <w:p w:rsidR="003F2AA0" w:rsidRPr="003F2AA0" w:rsidRDefault="003F2AA0" w:rsidP="003F2AA0">
            <w:pPr>
              <w:spacing w:before="0"/>
              <w:jc w:val="center"/>
              <w:rPr>
                <w:b/>
                <w:bCs/>
                <w:sz w:val="16"/>
                <w:szCs w:val="16"/>
              </w:rPr>
            </w:pPr>
            <w:proofErr w:type="spellStart"/>
            <w:r w:rsidRPr="003F2AA0">
              <w:rPr>
                <w:b/>
                <w:bCs/>
                <w:sz w:val="16"/>
                <w:szCs w:val="16"/>
              </w:rPr>
              <w:t>Opioidy</w:t>
            </w:r>
            <w:proofErr w:type="spellEnd"/>
          </w:p>
        </w:tc>
        <w:tc>
          <w:tcPr>
            <w:tcW w:w="660" w:type="dxa"/>
            <w:shd w:val="clear" w:color="000000" w:fill="F2F2F2"/>
            <w:vAlign w:val="center"/>
            <w:hideMark/>
          </w:tcPr>
          <w:p w:rsidR="003F2AA0" w:rsidRPr="003F2AA0" w:rsidRDefault="003F2AA0" w:rsidP="003F2AA0">
            <w:pPr>
              <w:spacing w:before="0"/>
              <w:jc w:val="center"/>
              <w:rPr>
                <w:b/>
                <w:bCs/>
                <w:sz w:val="16"/>
                <w:szCs w:val="16"/>
              </w:rPr>
            </w:pPr>
            <w:proofErr w:type="spellStart"/>
            <w:r w:rsidRPr="003F2AA0">
              <w:rPr>
                <w:b/>
                <w:bCs/>
                <w:sz w:val="16"/>
                <w:szCs w:val="16"/>
              </w:rPr>
              <w:t>Kanabioidy</w:t>
            </w:r>
            <w:proofErr w:type="spellEnd"/>
          </w:p>
        </w:tc>
        <w:tc>
          <w:tcPr>
            <w:tcW w:w="900" w:type="dxa"/>
            <w:shd w:val="clear" w:color="000000" w:fill="F2F2F2"/>
            <w:vAlign w:val="center"/>
            <w:hideMark/>
          </w:tcPr>
          <w:p w:rsidR="003F2AA0" w:rsidRPr="003F2AA0" w:rsidRDefault="003F2AA0" w:rsidP="003F2AA0">
            <w:pPr>
              <w:spacing w:before="0"/>
              <w:jc w:val="center"/>
              <w:rPr>
                <w:b/>
                <w:bCs/>
                <w:sz w:val="16"/>
                <w:szCs w:val="16"/>
              </w:rPr>
            </w:pPr>
            <w:r w:rsidRPr="003F2AA0">
              <w:rPr>
                <w:b/>
                <w:bCs/>
                <w:sz w:val="16"/>
                <w:szCs w:val="16"/>
              </w:rPr>
              <w:t>Sedativa, hypnotika</w:t>
            </w:r>
          </w:p>
        </w:tc>
        <w:tc>
          <w:tcPr>
            <w:tcW w:w="916" w:type="dxa"/>
            <w:shd w:val="clear" w:color="000000" w:fill="F2F2F2"/>
            <w:vAlign w:val="center"/>
            <w:hideMark/>
          </w:tcPr>
          <w:p w:rsidR="003F2AA0" w:rsidRPr="003F2AA0" w:rsidRDefault="003F2AA0" w:rsidP="003F2AA0">
            <w:pPr>
              <w:spacing w:before="0"/>
              <w:jc w:val="center"/>
              <w:rPr>
                <w:b/>
                <w:bCs/>
                <w:sz w:val="16"/>
                <w:szCs w:val="16"/>
              </w:rPr>
            </w:pPr>
            <w:proofErr w:type="spellStart"/>
            <w:r w:rsidRPr="003F2AA0">
              <w:rPr>
                <w:b/>
                <w:bCs/>
                <w:sz w:val="16"/>
                <w:szCs w:val="16"/>
              </w:rPr>
              <w:t>Gambling</w:t>
            </w:r>
            <w:proofErr w:type="spellEnd"/>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sz w:val="16"/>
                <w:szCs w:val="16"/>
              </w:rPr>
            </w:pPr>
            <w:r w:rsidRPr="003F2AA0">
              <w:rPr>
                <w:sz w:val="16"/>
                <w:szCs w:val="16"/>
              </w:rPr>
              <w:t>Hl. m. Praha</w:t>
            </w:r>
          </w:p>
        </w:tc>
        <w:tc>
          <w:tcPr>
            <w:tcW w:w="663" w:type="dxa"/>
            <w:shd w:val="clear" w:color="000000" w:fill="F98385"/>
            <w:noWrap/>
            <w:vAlign w:val="bottom"/>
            <w:hideMark/>
          </w:tcPr>
          <w:p w:rsidR="003F2AA0" w:rsidRPr="003F2AA0" w:rsidRDefault="003F2AA0" w:rsidP="003F2AA0">
            <w:pPr>
              <w:spacing w:before="0"/>
              <w:jc w:val="right"/>
              <w:rPr>
                <w:sz w:val="16"/>
                <w:szCs w:val="16"/>
              </w:rPr>
            </w:pPr>
            <w:r w:rsidRPr="003F2AA0">
              <w:rPr>
                <w:sz w:val="16"/>
                <w:szCs w:val="16"/>
              </w:rPr>
              <w:t>1 636</w:t>
            </w:r>
          </w:p>
        </w:tc>
        <w:tc>
          <w:tcPr>
            <w:tcW w:w="754" w:type="dxa"/>
            <w:shd w:val="clear" w:color="000000" w:fill="F8696B"/>
            <w:noWrap/>
            <w:vAlign w:val="bottom"/>
            <w:hideMark/>
          </w:tcPr>
          <w:p w:rsidR="003F2AA0" w:rsidRPr="003F2AA0" w:rsidRDefault="003F2AA0" w:rsidP="003F2AA0">
            <w:pPr>
              <w:spacing w:before="0"/>
              <w:jc w:val="right"/>
              <w:rPr>
                <w:sz w:val="16"/>
                <w:szCs w:val="16"/>
              </w:rPr>
            </w:pPr>
            <w:r w:rsidRPr="003F2AA0">
              <w:rPr>
                <w:sz w:val="16"/>
                <w:szCs w:val="16"/>
              </w:rPr>
              <w:t>1 868</w:t>
            </w:r>
          </w:p>
        </w:tc>
        <w:tc>
          <w:tcPr>
            <w:tcW w:w="709" w:type="dxa"/>
            <w:shd w:val="clear" w:color="000000" w:fill="7BC78F"/>
            <w:noWrap/>
            <w:vAlign w:val="bottom"/>
            <w:hideMark/>
          </w:tcPr>
          <w:p w:rsidR="003F2AA0" w:rsidRPr="003F2AA0" w:rsidRDefault="003F2AA0" w:rsidP="003F2AA0">
            <w:pPr>
              <w:spacing w:before="0"/>
              <w:jc w:val="right"/>
              <w:rPr>
                <w:sz w:val="16"/>
                <w:szCs w:val="16"/>
              </w:rPr>
            </w:pPr>
            <w:r w:rsidRPr="003F2AA0">
              <w:rPr>
                <w:sz w:val="16"/>
                <w:szCs w:val="16"/>
              </w:rPr>
              <w:t>232</w:t>
            </w:r>
          </w:p>
        </w:tc>
        <w:tc>
          <w:tcPr>
            <w:tcW w:w="851" w:type="dxa"/>
            <w:shd w:val="clear" w:color="000000" w:fill="F9898B"/>
            <w:noWrap/>
            <w:vAlign w:val="bottom"/>
            <w:hideMark/>
          </w:tcPr>
          <w:p w:rsidR="003F2AA0" w:rsidRPr="003F2AA0" w:rsidRDefault="003F2AA0" w:rsidP="003F2AA0">
            <w:pPr>
              <w:spacing w:before="0"/>
              <w:jc w:val="right"/>
              <w:rPr>
                <w:sz w:val="16"/>
                <w:szCs w:val="16"/>
              </w:rPr>
            </w:pPr>
            <w:r w:rsidRPr="003F2AA0">
              <w:rPr>
                <w:sz w:val="16"/>
                <w:szCs w:val="16"/>
              </w:rPr>
              <w:t>656</w:t>
            </w:r>
          </w:p>
        </w:tc>
        <w:tc>
          <w:tcPr>
            <w:tcW w:w="708" w:type="dxa"/>
            <w:shd w:val="clear" w:color="000000" w:fill="FCEAED"/>
            <w:noWrap/>
            <w:vAlign w:val="bottom"/>
            <w:hideMark/>
          </w:tcPr>
          <w:p w:rsidR="003F2AA0" w:rsidRPr="003F2AA0" w:rsidRDefault="003F2AA0" w:rsidP="003F2AA0">
            <w:pPr>
              <w:spacing w:before="0"/>
              <w:jc w:val="right"/>
              <w:rPr>
                <w:sz w:val="16"/>
                <w:szCs w:val="16"/>
              </w:rPr>
            </w:pPr>
            <w:r w:rsidRPr="003F2AA0">
              <w:rPr>
                <w:sz w:val="16"/>
                <w:szCs w:val="16"/>
              </w:rPr>
              <w:t>41</w:t>
            </w:r>
          </w:p>
        </w:tc>
        <w:tc>
          <w:tcPr>
            <w:tcW w:w="851" w:type="dxa"/>
            <w:shd w:val="clear" w:color="000000" w:fill="FAA8AA"/>
            <w:noWrap/>
            <w:vAlign w:val="bottom"/>
            <w:hideMark/>
          </w:tcPr>
          <w:p w:rsidR="003F2AA0" w:rsidRPr="003F2AA0" w:rsidRDefault="003F2AA0" w:rsidP="003F2AA0">
            <w:pPr>
              <w:spacing w:before="0"/>
              <w:jc w:val="right"/>
              <w:rPr>
                <w:sz w:val="16"/>
                <w:szCs w:val="16"/>
              </w:rPr>
            </w:pPr>
            <w:r w:rsidRPr="003F2AA0">
              <w:rPr>
                <w:sz w:val="16"/>
                <w:szCs w:val="16"/>
              </w:rPr>
              <w:t>495</w:t>
            </w:r>
          </w:p>
        </w:tc>
        <w:tc>
          <w:tcPr>
            <w:tcW w:w="850" w:type="dxa"/>
            <w:shd w:val="clear" w:color="000000" w:fill="FBC1C3"/>
            <w:noWrap/>
            <w:vAlign w:val="bottom"/>
            <w:hideMark/>
          </w:tcPr>
          <w:p w:rsidR="003F2AA0" w:rsidRPr="003F2AA0" w:rsidRDefault="003F2AA0" w:rsidP="003F2AA0">
            <w:pPr>
              <w:spacing w:before="0"/>
              <w:jc w:val="right"/>
              <w:rPr>
                <w:sz w:val="16"/>
                <w:szCs w:val="16"/>
              </w:rPr>
            </w:pPr>
            <w:r w:rsidRPr="003F2AA0">
              <w:rPr>
                <w:sz w:val="16"/>
                <w:szCs w:val="16"/>
              </w:rPr>
              <w:t>363</w:t>
            </w:r>
          </w:p>
        </w:tc>
        <w:tc>
          <w:tcPr>
            <w:tcW w:w="660" w:type="dxa"/>
            <w:shd w:val="clear" w:color="000000" w:fill="FCDDE0"/>
            <w:noWrap/>
            <w:vAlign w:val="bottom"/>
            <w:hideMark/>
          </w:tcPr>
          <w:p w:rsidR="003F2AA0" w:rsidRPr="003F2AA0" w:rsidRDefault="003F2AA0" w:rsidP="003F2AA0">
            <w:pPr>
              <w:spacing w:before="0"/>
              <w:jc w:val="right"/>
              <w:rPr>
                <w:sz w:val="16"/>
                <w:szCs w:val="16"/>
              </w:rPr>
            </w:pPr>
            <w:r w:rsidRPr="003F2AA0">
              <w:rPr>
                <w:sz w:val="16"/>
                <w:szCs w:val="16"/>
              </w:rPr>
              <w:t>216</w:t>
            </w:r>
          </w:p>
        </w:tc>
        <w:tc>
          <w:tcPr>
            <w:tcW w:w="900" w:type="dxa"/>
            <w:shd w:val="clear" w:color="000000" w:fill="FCFAFD"/>
            <w:noWrap/>
            <w:vAlign w:val="bottom"/>
            <w:hideMark/>
          </w:tcPr>
          <w:p w:rsidR="003F2AA0" w:rsidRPr="003F2AA0" w:rsidRDefault="003F2AA0" w:rsidP="003F2AA0">
            <w:pPr>
              <w:spacing w:before="0"/>
              <w:jc w:val="right"/>
              <w:rPr>
                <w:sz w:val="16"/>
                <w:szCs w:val="16"/>
              </w:rPr>
            </w:pPr>
            <w:r w:rsidRPr="003F2AA0">
              <w:rPr>
                <w:sz w:val="16"/>
                <w:szCs w:val="16"/>
              </w:rPr>
              <w:t>64</w:t>
            </w:r>
          </w:p>
        </w:tc>
        <w:tc>
          <w:tcPr>
            <w:tcW w:w="916" w:type="dxa"/>
            <w:shd w:val="clear" w:color="000000" w:fill="C2D3EA"/>
            <w:noWrap/>
            <w:vAlign w:val="bottom"/>
            <w:hideMark/>
          </w:tcPr>
          <w:p w:rsidR="003F2AA0" w:rsidRPr="003F2AA0" w:rsidRDefault="003F2AA0" w:rsidP="003F2AA0">
            <w:pPr>
              <w:spacing w:before="0"/>
              <w:jc w:val="right"/>
              <w:rPr>
                <w:sz w:val="16"/>
                <w:szCs w:val="16"/>
              </w:rPr>
            </w:pPr>
            <w:r w:rsidRPr="003F2AA0">
              <w:rPr>
                <w:sz w:val="16"/>
                <w:szCs w:val="16"/>
              </w:rPr>
              <w:t>33</w:t>
            </w:r>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sz w:val="16"/>
                <w:szCs w:val="16"/>
              </w:rPr>
            </w:pPr>
            <w:r w:rsidRPr="003F2AA0">
              <w:rPr>
                <w:sz w:val="16"/>
                <w:szCs w:val="16"/>
              </w:rPr>
              <w:t>Středočeský</w:t>
            </w:r>
          </w:p>
        </w:tc>
        <w:tc>
          <w:tcPr>
            <w:tcW w:w="663" w:type="dxa"/>
            <w:shd w:val="clear" w:color="000000" w:fill="FBD1D4"/>
            <w:noWrap/>
            <w:vAlign w:val="bottom"/>
            <w:hideMark/>
          </w:tcPr>
          <w:p w:rsidR="003F2AA0" w:rsidRPr="003F2AA0" w:rsidRDefault="003F2AA0" w:rsidP="003F2AA0">
            <w:pPr>
              <w:spacing w:before="0"/>
              <w:jc w:val="right"/>
              <w:rPr>
                <w:sz w:val="16"/>
                <w:szCs w:val="16"/>
              </w:rPr>
            </w:pPr>
            <w:r w:rsidRPr="003F2AA0">
              <w:rPr>
                <w:sz w:val="16"/>
                <w:szCs w:val="16"/>
              </w:rPr>
              <w:t>932</w:t>
            </w:r>
          </w:p>
        </w:tc>
        <w:tc>
          <w:tcPr>
            <w:tcW w:w="754" w:type="dxa"/>
            <w:shd w:val="clear" w:color="000000" w:fill="FA9FA1"/>
            <w:noWrap/>
            <w:vAlign w:val="bottom"/>
            <w:hideMark/>
          </w:tcPr>
          <w:p w:rsidR="003F2AA0" w:rsidRPr="003F2AA0" w:rsidRDefault="003F2AA0" w:rsidP="003F2AA0">
            <w:pPr>
              <w:spacing w:before="0"/>
              <w:jc w:val="right"/>
              <w:rPr>
                <w:sz w:val="16"/>
                <w:szCs w:val="16"/>
              </w:rPr>
            </w:pPr>
            <w:r w:rsidRPr="003F2AA0">
              <w:rPr>
                <w:sz w:val="16"/>
                <w:szCs w:val="16"/>
              </w:rPr>
              <w:t>1 388</w:t>
            </w:r>
          </w:p>
        </w:tc>
        <w:tc>
          <w:tcPr>
            <w:tcW w:w="709" w:type="dxa"/>
            <w:shd w:val="clear" w:color="000000" w:fill="A3D8B2"/>
            <w:noWrap/>
            <w:vAlign w:val="bottom"/>
            <w:hideMark/>
          </w:tcPr>
          <w:p w:rsidR="003F2AA0" w:rsidRPr="003F2AA0" w:rsidRDefault="003F2AA0" w:rsidP="003F2AA0">
            <w:pPr>
              <w:spacing w:before="0"/>
              <w:jc w:val="right"/>
              <w:rPr>
                <w:sz w:val="16"/>
                <w:szCs w:val="16"/>
              </w:rPr>
            </w:pPr>
            <w:r w:rsidRPr="003F2AA0">
              <w:rPr>
                <w:sz w:val="16"/>
                <w:szCs w:val="16"/>
              </w:rPr>
              <w:t>456</w:t>
            </w:r>
          </w:p>
        </w:tc>
        <w:tc>
          <w:tcPr>
            <w:tcW w:w="851" w:type="dxa"/>
            <w:shd w:val="clear" w:color="000000" w:fill="FA9C9E"/>
            <w:noWrap/>
            <w:vAlign w:val="bottom"/>
            <w:hideMark/>
          </w:tcPr>
          <w:p w:rsidR="003F2AA0" w:rsidRPr="003F2AA0" w:rsidRDefault="003F2AA0" w:rsidP="003F2AA0">
            <w:pPr>
              <w:spacing w:before="0"/>
              <w:jc w:val="right"/>
              <w:rPr>
                <w:sz w:val="16"/>
                <w:szCs w:val="16"/>
              </w:rPr>
            </w:pPr>
            <w:r w:rsidRPr="003F2AA0">
              <w:rPr>
                <w:sz w:val="16"/>
                <w:szCs w:val="16"/>
              </w:rPr>
              <w:t>557</w:t>
            </w:r>
          </w:p>
        </w:tc>
        <w:tc>
          <w:tcPr>
            <w:tcW w:w="708" w:type="dxa"/>
            <w:shd w:val="clear" w:color="000000" w:fill="FCDFE1"/>
            <w:noWrap/>
            <w:vAlign w:val="bottom"/>
            <w:hideMark/>
          </w:tcPr>
          <w:p w:rsidR="003F2AA0" w:rsidRPr="003F2AA0" w:rsidRDefault="003F2AA0" w:rsidP="003F2AA0">
            <w:pPr>
              <w:spacing w:before="0"/>
              <w:jc w:val="right"/>
              <w:rPr>
                <w:sz w:val="16"/>
                <w:szCs w:val="16"/>
              </w:rPr>
            </w:pPr>
            <w:r w:rsidRPr="003F2AA0">
              <w:rPr>
                <w:sz w:val="16"/>
                <w:szCs w:val="16"/>
              </w:rPr>
              <w:t>50</w:t>
            </w:r>
          </w:p>
        </w:tc>
        <w:tc>
          <w:tcPr>
            <w:tcW w:w="851" w:type="dxa"/>
            <w:shd w:val="clear" w:color="000000" w:fill="FBCDD0"/>
            <w:noWrap/>
            <w:vAlign w:val="bottom"/>
            <w:hideMark/>
          </w:tcPr>
          <w:p w:rsidR="003F2AA0" w:rsidRPr="003F2AA0" w:rsidRDefault="003F2AA0" w:rsidP="003F2AA0">
            <w:pPr>
              <w:spacing w:before="0"/>
              <w:jc w:val="right"/>
              <w:rPr>
                <w:sz w:val="16"/>
                <w:szCs w:val="16"/>
              </w:rPr>
            </w:pPr>
            <w:r w:rsidRPr="003F2AA0">
              <w:rPr>
                <w:sz w:val="16"/>
                <w:szCs w:val="16"/>
              </w:rPr>
              <w:t>300</w:t>
            </w:r>
          </w:p>
        </w:tc>
        <w:tc>
          <w:tcPr>
            <w:tcW w:w="850" w:type="dxa"/>
            <w:shd w:val="clear" w:color="000000" w:fill="FCE2E5"/>
            <w:noWrap/>
            <w:vAlign w:val="bottom"/>
            <w:hideMark/>
          </w:tcPr>
          <w:p w:rsidR="003F2AA0" w:rsidRPr="003F2AA0" w:rsidRDefault="003F2AA0" w:rsidP="003F2AA0">
            <w:pPr>
              <w:spacing w:before="0"/>
              <w:jc w:val="right"/>
              <w:rPr>
                <w:sz w:val="16"/>
                <w:szCs w:val="16"/>
              </w:rPr>
            </w:pPr>
            <w:r w:rsidRPr="003F2AA0">
              <w:rPr>
                <w:sz w:val="16"/>
                <w:szCs w:val="16"/>
              </w:rPr>
              <w:t>188</w:t>
            </w:r>
          </w:p>
        </w:tc>
        <w:tc>
          <w:tcPr>
            <w:tcW w:w="660" w:type="dxa"/>
            <w:shd w:val="clear" w:color="000000" w:fill="FCDFE1"/>
            <w:noWrap/>
            <w:vAlign w:val="bottom"/>
            <w:hideMark/>
          </w:tcPr>
          <w:p w:rsidR="003F2AA0" w:rsidRPr="003F2AA0" w:rsidRDefault="003F2AA0" w:rsidP="003F2AA0">
            <w:pPr>
              <w:spacing w:before="0"/>
              <w:jc w:val="right"/>
              <w:rPr>
                <w:sz w:val="16"/>
                <w:szCs w:val="16"/>
              </w:rPr>
            </w:pPr>
            <w:r w:rsidRPr="003F2AA0">
              <w:rPr>
                <w:sz w:val="16"/>
                <w:szCs w:val="16"/>
              </w:rPr>
              <w:t>207</w:t>
            </w:r>
          </w:p>
        </w:tc>
        <w:tc>
          <w:tcPr>
            <w:tcW w:w="900" w:type="dxa"/>
            <w:shd w:val="clear" w:color="000000" w:fill="C9D8ED"/>
            <w:noWrap/>
            <w:vAlign w:val="bottom"/>
            <w:hideMark/>
          </w:tcPr>
          <w:p w:rsidR="003F2AA0" w:rsidRPr="003F2AA0" w:rsidRDefault="003F2AA0" w:rsidP="003F2AA0">
            <w:pPr>
              <w:spacing w:before="0"/>
              <w:jc w:val="right"/>
              <w:rPr>
                <w:sz w:val="16"/>
                <w:szCs w:val="16"/>
              </w:rPr>
            </w:pPr>
            <w:r w:rsidRPr="003F2AA0">
              <w:rPr>
                <w:sz w:val="16"/>
                <w:szCs w:val="16"/>
              </w:rPr>
              <w:t>35</w:t>
            </w:r>
          </w:p>
        </w:tc>
        <w:tc>
          <w:tcPr>
            <w:tcW w:w="916" w:type="dxa"/>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51</w:t>
            </w:r>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sz w:val="16"/>
                <w:szCs w:val="16"/>
              </w:rPr>
            </w:pPr>
            <w:r w:rsidRPr="003F2AA0">
              <w:rPr>
                <w:sz w:val="16"/>
                <w:szCs w:val="16"/>
              </w:rPr>
              <w:t>Jihočeský</w:t>
            </w:r>
          </w:p>
        </w:tc>
        <w:tc>
          <w:tcPr>
            <w:tcW w:w="663" w:type="dxa"/>
            <w:shd w:val="clear" w:color="000000" w:fill="B4C9E5"/>
            <w:noWrap/>
            <w:vAlign w:val="bottom"/>
            <w:hideMark/>
          </w:tcPr>
          <w:p w:rsidR="003F2AA0" w:rsidRPr="003F2AA0" w:rsidRDefault="003F2AA0" w:rsidP="003F2AA0">
            <w:pPr>
              <w:spacing w:before="0"/>
              <w:jc w:val="right"/>
              <w:rPr>
                <w:sz w:val="16"/>
                <w:szCs w:val="16"/>
              </w:rPr>
            </w:pPr>
            <w:r w:rsidRPr="003F2AA0">
              <w:rPr>
                <w:sz w:val="16"/>
                <w:szCs w:val="16"/>
              </w:rPr>
              <w:t>306</w:t>
            </w:r>
          </w:p>
        </w:tc>
        <w:tc>
          <w:tcPr>
            <w:tcW w:w="754" w:type="dxa"/>
            <w:shd w:val="clear" w:color="000000" w:fill="FCE3E6"/>
            <w:noWrap/>
            <w:vAlign w:val="bottom"/>
            <w:hideMark/>
          </w:tcPr>
          <w:p w:rsidR="003F2AA0" w:rsidRPr="003F2AA0" w:rsidRDefault="003F2AA0" w:rsidP="003F2AA0">
            <w:pPr>
              <w:spacing w:before="0"/>
              <w:jc w:val="right"/>
              <w:rPr>
                <w:sz w:val="16"/>
                <w:szCs w:val="16"/>
              </w:rPr>
            </w:pPr>
            <w:r w:rsidRPr="003F2AA0">
              <w:rPr>
                <w:sz w:val="16"/>
                <w:szCs w:val="16"/>
              </w:rPr>
              <w:t>767</w:t>
            </w:r>
          </w:p>
        </w:tc>
        <w:tc>
          <w:tcPr>
            <w:tcW w:w="709" w:type="dxa"/>
            <w:shd w:val="clear" w:color="000000" w:fill="A4D8B3"/>
            <w:noWrap/>
            <w:vAlign w:val="bottom"/>
            <w:hideMark/>
          </w:tcPr>
          <w:p w:rsidR="003F2AA0" w:rsidRPr="003F2AA0" w:rsidRDefault="003F2AA0" w:rsidP="003F2AA0">
            <w:pPr>
              <w:spacing w:before="0"/>
              <w:jc w:val="right"/>
              <w:rPr>
                <w:sz w:val="16"/>
                <w:szCs w:val="16"/>
              </w:rPr>
            </w:pPr>
            <w:r w:rsidRPr="003F2AA0">
              <w:rPr>
                <w:sz w:val="16"/>
                <w:szCs w:val="16"/>
              </w:rPr>
              <w:t>461</w:t>
            </w:r>
          </w:p>
        </w:tc>
        <w:tc>
          <w:tcPr>
            <w:tcW w:w="851" w:type="dxa"/>
            <w:shd w:val="clear" w:color="000000" w:fill="FBC6C9"/>
            <w:noWrap/>
            <w:vAlign w:val="bottom"/>
            <w:hideMark/>
          </w:tcPr>
          <w:p w:rsidR="003F2AA0" w:rsidRPr="003F2AA0" w:rsidRDefault="003F2AA0" w:rsidP="003F2AA0">
            <w:pPr>
              <w:spacing w:before="0"/>
              <w:jc w:val="right"/>
              <w:rPr>
                <w:sz w:val="16"/>
                <w:szCs w:val="16"/>
              </w:rPr>
            </w:pPr>
            <w:r w:rsidRPr="003F2AA0">
              <w:rPr>
                <w:sz w:val="16"/>
                <w:szCs w:val="16"/>
              </w:rPr>
              <w:t>336</w:t>
            </w:r>
          </w:p>
        </w:tc>
        <w:tc>
          <w:tcPr>
            <w:tcW w:w="708" w:type="dxa"/>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27</w:t>
            </w:r>
          </w:p>
        </w:tc>
        <w:tc>
          <w:tcPr>
            <w:tcW w:w="851" w:type="dxa"/>
            <w:shd w:val="clear" w:color="000000" w:fill="FCE1E4"/>
            <w:noWrap/>
            <w:vAlign w:val="bottom"/>
            <w:hideMark/>
          </w:tcPr>
          <w:p w:rsidR="003F2AA0" w:rsidRPr="003F2AA0" w:rsidRDefault="003F2AA0" w:rsidP="003F2AA0">
            <w:pPr>
              <w:spacing w:before="0"/>
              <w:jc w:val="right"/>
              <w:rPr>
                <w:sz w:val="16"/>
                <w:szCs w:val="16"/>
              </w:rPr>
            </w:pPr>
            <w:r w:rsidRPr="003F2AA0">
              <w:rPr>
                <w:sz w:val="16"/>
                <w:szCs w:val="16"/>
              </w:rPr>
              <w:t>194</w:t>
            </w:r>
          </w:p>
        </w:tc>
        <w:tc>
          <w:tcPr>
            <w:tcW w:w="850" w:type="dxa"/>
            <w:shd w:val="clear" w:color="000000" w:fill="FCFAFD"/>
            <w:noWrap/>
            <w:vAlign w:val="bottom"/>
            <w:hideMark/>
          </w:tcPr>
          <w:p w:rsidR="003F2AA0" w:rsidRPr="003F2AA0" w:rsidRDefault="003F2AA0" w:rsidP="003F2AA0">
            <w:pPr>
              <w:spacing w:before="0"/>
              <w:jc w:val="right"/>
              <w:rPr>
                <w:sz w:val="16"/>
                <w:szCs w:val="16"/>
              </w:rPr>
            </w:pPr>
            <w:r w:rsidRPr="003F2AA0">
              <w:rPr>
                <w:sz w:val="16"/>
                <w:szCs w:val="16"/>
              </w:rPr>
              <w:t>62</w:t>
            </w:r>
          </w:p>
        </w:tc>
        <w:tc>
          <w:tcPr>
            <w:tcW w:w="660" w:type="dxa"/>
            <w:shd w:val="clear" w:color="000000" w:fill="FCF0F3"/>
            <w:noWrap/>
            <w:vAlign w:val="bottom"/>
            <w:hideMark/>
          </w:tcPr>
          <w:p w:rsidR="003F2AA0" w:rsidRPr="003F2AA0" w:rsidRDefault="003F2AA0" w:rsidP="003F2AA0">
            <w:pPr>
              <w:spacing w:before="0"/>
              <w:jc w:val="right"/>
              <w:rPr>
                <w:sz w:val="16"/>
                <w:szCs w:val="16"/>
              </w:rPr>
            </w:pPr>
            <w:r w:rsidRPr="003F2AA0">
              <w:rPr>
                <w:sz w:val="16"/>
                <w:szCs w:val="16"/>
              </w:rPr>
              <w:t>114</w:t>
            </w:r>
          </w:p>
        </w:tc>
        <w:tc>
          <w:tcPr>
            <w:tcW w:w="900" w:type="dxa"/>
            <w:shd w:val="clear" w:color="000000" w:fill="89ABD6"/>
            <w:noWrap/>
            <w:vAlign w:val="bottom"/>
            <w:hideMark/>
          </w:tcPr>
          <w:p w:rsidR="003F2AA0" w:rsidRPr="003F2AA0" w:rsidRDefault="003F2AA0" w:rsidP="003F2AA0">
            <w:pPr>
              <w:spacing w:before="0"/>
              <w:jc w:val="right"/>
              <w:rPr>
                <w:sz w:val="16"/>
                <w:szCs w:val="16"/>
              </w:rPr>
            </w:pPr>
            <w:r w:rsidRPr="003F2AA0">
              <w:rPr>
                <w:sz w:val="16"/>
                <w:szCs w:val="16"/>
              </w:rPr>
              <w:t>15</w:t>
            </w:r>
          </w:p>
        </w:tc>
        <w:tc>
          <w:tcPr>
            <w:tcW w:w="916" w:type="dxa"/>
            <w:shd w:val="clear" w:color="000000" w:fill="96B4DB"/>
            <w:noWrap/>
            <w:vAlign w:val="bottom"/>
            <w:hideMark/>
          </w:tcPr>
          <w:p w:rsidR="003F2AA0" w:rsidRPr="003F2AA0" w:rsidRDefault="003F2AA0" w:rsidP="003F2AA0">
            <w:pPr>
              <w:spacing w:before="0"/>
              <w:jc w:val="right"/>
              <w:rPr>
                <w:sz w:val="16"/>
                <w:szCs w:val="16"/>
              </w:rPr>
            </w:pPr>
            <w:r w:rsidRPr="003F2AA0">
              <w:rPr>
                <w:sz w:val="16"/>
                <w:szCs w:val="16"/>
              </w:rPr>
              <w:t>19</w:t>
            </w:r>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sz w:val="16"/>
                <w:szCs w:val="16"/>
              </w:rPr>
            </w:pPr>
            <w:r w:rsidRPr="003F2AA0">
              <w:rPr>
                <w:sz w:val="16"/>
                <w:szCs w:val="16"/>
              </w:rPr>
              <w:t>Plzeňský</w:t>
            </w:r>
          </w:p>
        </w:tc>
        <w:tc>
          <w:tcPr>
            <w:tcW w:w="663" w:type="dxa"/>
            <w:shd w:val="clear" w:color="000000" w:fill="B1C7E4"/>
            <w:noWrap/>
            <w:vAlign w:val="bottom"/>
            <w:hideMark/>
          </w:tcPr>
          <w:p w:rsidR="003F2AA0" w:rsidRPr="003F2AA0" w:rsidRDefault="003F2AA0" w:rsidP="003F2AA0">
            <w:pPr>
              <w:spacing w:before="0"/>
              <w:jc w:val="right"/>
              <w:rPr>
                <w:sz w:val="16"/>
                <w:szCs w:val="16"/>
              </w:rPr>
            </w:pPr>
            <w:r w:rsidRPr="003F2AA0">
              <w:rPr>
                <w:sz w:val="16"/>
                <w:szCs w:val="16"/>
              </w:rPr>
              <w:t>295</w:t>
            </w:r>
          </w:p>
        </w:tc>
        <w:tc>
          <w:tcPr>
            <w:tcW w:w="754" w:type="dxa"/>
            <w:shd w:val="clear" w:color="000000" w:fill="FCEEF1"/>
            <w:noWrap/>
            <w:vAlign w:val="bottom"/>
            <w:hideMark/>
          </w:tcPr>
          <w:p w:rsidR="003F2AA0" w:rsidRPr="003F2AA0" w:rsidRDefault="003F2AA0" w:rsidP="003F2AA0">
            <w:pPr>
              <w:spacing w:before="0"/>
              <w:jc w:val="right"/>
              <w:rPr>
                <w:sz w:val="16"/>
                <w:szCs w:val="16"/>
              </w:rPr>
            </w:pPr>
            <w:r w:rsidRPr="003F2AA0">
              <w:rPr>
                <w:sz w:val="16"/>
                <w:szCs w:val="16"/>
              </w:rPr>
              <w:t>672</w:t>
            </w:r>
          </w:p>
        </w:tc>
        <w:tc>
          <w:tcPr>
            <w:tcW w:w="709" w:type="dxa"/>
            <w:shd w:val="clear" w:color="000000" w:fill="95D2A6"/>
            <w:noWrap/>
            <w:vAlign w:val="bottom"/>
            <w:hideMark/>
          </w:tcPr>
          <w:p w:rsidR="003F2AA0" w:rsidRPr="003F2AA0" w:rsidRDefault="003F2AA0" w:rsidP="003F2AA0">
            <w:pPr>
              <w:spacing w:before="0"/>
              <w:jc w:val="right"/>
              <w:rPr>
                <w:sz w:val="16"/>
                <w:szCs w:val="16"/>
              </w:rPr>
            </w:pPr>
            <w:r w:rsidRPr="003F2AA0">
              <w:rPr>
                <w:sz w:val="16"/>
                <w:szCs w:val="16"/>
              </w:rPr>
              <w:t>377</w:t>
            </w:r>
          </w:p>
        </w:tc>
        <w:tc>
          <w:tcPr>
            <w:tcW w:w="851" w:type="dxa"/>
            <w:shd w:val="clear" w:color="000000" w:fill="FBCBCE"/>
            <w:noWrap/>
            <w:vAlign w:val="bottom"/>
            <w:hideMark/>
          </w:tcPr>
          <w:p w:rsidR="003F2AA0" w:rsidRPr="003F2AA0" w:rsidRDefault="003F2AA0" w:rsidP="003F2AA0">
            <w:pPr>
              <w:spacing w:before="0"/>
              <w:jc w:val="right"/>
              <w:rPr>
                <w:sz w:val="16"/>
                <w:szCs w:val="16"/>
              </w:rPr>
            </w:pPr>
            <w:r w:rsidRPr="003F2AA0">
              <w:rPr>
                <w:sz w:val="16"/>
                <w:szCs w:val="16"/>
              </w:rPr>
              <w:t>308</w:t>
            </w:r>
          </w:p>
        </w:tc>
        <w:tc>
          <w:tcPr>
            <w:tcW w:w="708" w:type="dxa"/>
            <w:shd w:val="clear" w:color="000000" w:fill="DDE6F4"/>
            <w:noWrap/>
            <w:vAlign w:val="bottom"/>
            <w:hideMark/>
          </w:tcPr>
          <w:p w:rsidR="003F2AA0" w:rsidRPr="003F2AA0" w:rsidRDefault="003F2AA0" w:rsidP="003F2AA0">
            <w:pPr>
              <w:spacing w:before="0"/>
              <w:jc w:val="right"/>
              <w:rPr>
                <w:sz w:val="16"/>
                <w:szCs w:val="16"/>
              </w:rPr>
            </w:pPr>
            <w:r w:rsidRPr="003F2AA0">
              <w:rPr>
                <w:sz w:val="16"/>
                <w:szCs w:val="16"/>
              </w:rPr>
              <w:t>23</w:t>
            </w:r>
          </w:p>
        </w:tc>
        <w:tc>
          <w:tcPr>
            <w:tcW w:w="851" w:type="dxa"/>
            <w:shd w:val="clear" w:color="000000" w:fill="FCE6E9"/>
            <w:noWrap/>
            <w:vAlign w:val="bottom"/>
            <w:hideMark/>
          </w:tcPr>
          <w:p w:rsidR="003F2AA0" w:rsidRPr="003F2AA0" w:rsidRDefault="003F2AA0" w:rsidP="003F2AA0">
            <w:pPr>
              <w:spacing w:before="0"/>
              <w:jc w:val="right"/>
              <w:rPr>
                <w:sz w:val="16"/>
                <w:szCs w:val="16"/>
              </w:rPr>
            </w:pPr>
            <w:r w:rsidRPr="003F2AA0">
              <w:rPr>
                <w:sz w:val="16"/>
                <w:szCs w:val="16"/>
              </w:rPr>
              <w:t>168</w:t>
            </w:r>
          </w:p>
        </w:tc>
        <w:tc>
          <w:tcPr>
            <w:tcW w:w="850" w:type="dxa"/>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52</w:t>
            </w:r>
          </w:p>
        </w:tc>
        <w:tc>
          <w:tcPr>
            <w:tcW w:w="660" w:type="dxa"/>
            <w:shd w:val="clear" w:color="000000" w:fill="FCF5F8"/>
            <w:noWrap/>
            <w:vAlign w:val="bottom"/>
            <w:hideMark/>
          </w:tcPr>
          <w:p w:rsidR="003F2AA0" w:rsidRPr="003F2AA0" w:rsidRDefault="003F2AA0" w:rsidP="003F2AA0">
            <w:pPr>
              <w:spacing w:before="0"/>
              <w:jc w:val="right"/>
              <w:rPr>
                <w:sz w:val="16"/>
                <w:szCs w:val="16"/>
              </w:rPr>
            </w:pPr>
            <w:r w:rsidRPr="003F2AA0">
              <w:rPr>
                <w:sz w:val="16"/>
                <w:szCs w:val="16"/>
              </w:rPr>
              <w:t>90</w:t>
            </w:r>
          </w:p>
        </w:tc>
        <w:tc>
          <w:tcPr>
            <w:tcW w:w="900" w:type="dxa"/>
            <w:shd w:val="clear" w:color="000000" w:fill="86A9D5"/>
            <w:noWrap/>
            <w:vAlign w:val="bottom"/>
            <w:hideMark/>
          </w:tcPr>
          <w:p w:rsidR="003F2AA0" w:rsidRPr="003F2AA0" w:rsidRDefault="003F2AA0" w:rsidP="003F2AA0">
            <w:pPr>
              <w:spacing w:before="0"/>
              <w:jc w:val="right"/>
              <w:rPr>
                <w:sz w:val="16"/>
                <w:szCs w:val="16"/>
              </w:rPr>
            </w:pPr>
            <w:r w:rsidRPr="003F2AA0">
              <w:rPr>
                <w:sz w:val="16"/>
                <w:szCs w:val="16"/>
              </w:rPr>
              <w:t>14</w:t>
            </w:r>
          </w:p>
        </w:tc>
        <w:tc>
          <w:tcPr>
            <w:tcW w:w="916" w:type="dxa"/>
            <w:shd w:val="clear" w:color="000000" w:fill="8FAFD8"/>
            <w:noWrap/>
            <w:vAlign w:val="bottom"/>
            <w:hideMark/>
          </w:tcPr>
          <w:p w:rsidR="003F2AA0" w:rsidRPr="003F2AA0" w:rsidRDefault="003F2AA0" w:rsidP="003F2AA0">
            <w:pPr>
              <w:spacing w:before="0"/>
              <w:jc w:val="right"/>
              <w:rPr>
                <w:sz w:val="16"/>
                <w:szCs w:val="16"/>
              </w:rPr>
            </w:pPr>
            <w:r w:rsidRPr="003F2AA0">
              <w:rPr>
                <w:sz w:val="16"/>
                <w:szCs w:val="16"/>
              </w:rPr>
              <w:t>17</w:t>
            </w:r>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sz w:val="16"/>
                <w:szCs w:val="16"/>
              </w:rPr>
            </w:pPr>
            <w:r w:rsidRPr="003F2AA0">
              <w:rPr>
                <w:sz w:val="16"/>
                <w:szCs w:val="16"/>
              </w:rPr>
              <w:t>Karlovarský</w:t>
            </w:r>
          </w:p>
        </w:tc>
        <w:tc>
          <w:tcPr>
            <w:tcW w:w="663" w:type="dxa"/>
            <w:shd w:val="clear" w:color="000000" w:fill="7CA2D2"/>
            <w:noWrap/>
            <w:vAlign w:val="bottom"/>
            <w:hideMark/>
          </w:tcPr>
          <w:p w:rsidR="003F2AA0" w:rsidRPr="003F2AA0" w:rsidRDefault="003F2AA0" w:rsidP="003F2AA0">
            <w:pPr>
              <w:spacing w:before="0"/>
              <w:jc w:val="right"/>
              <w:rPr>
                <w:sz w:val="16"/>
                <w:szCs w:val="16"/>
              </w:rPr>
            </w:pPr>
            <w:r w:rsidRPr="003F2AA0">
              <w:rPr>
                <w:sz w:val="16"/>
                <w:szCs w:val="16"/>
              </w:rPr>
              <w:t>124</w:t>
            </w:r>
          </w:p>
        </w:tc>
        <w:tc>
          <w:tcPr>
            <w:tcW w:w="754" w:type="dxa"/>
            <w:shd w:val="clear" w:color="000000" w:fill="A3BEE0"/>
            <w:noWrap/>
            <w:vAlign w:val="bottom"/>
            <w:hideMark/>
          </w:tcPr>
          <w:p w:rsidR="003F2AA0" w:rsidRPr="003F2AA0" w:rsidRDefault="003F2AA0" w:rsidP="003F2AA0">
            <w:pPr>
              <w:spacing w:before="0"/>
              <w:jc w:val="right"/>
              <w:rPr>
                <w:sz w:val="16"/>
                <w:szCs w:val="16"/>
              </w:rPr>
            </w:pPr>
            <w:r w:rsidRPr="003F2AA0">
              <w:rPr>
                <w:sz w:val="16"/>
                <w:szCs w:val="16"/>
              </w:rPr>
              <w:t>252</w:t>
            </w:r>
          </w:p>
        </w:tc>
        <w:tc>
          <w:tcPr>
            <w:tcW w:w="709" w:type="dxa"/>
            <w:shd w:val="clear" w:color="000000" w:fill="68C07F"/>
            <w:noWrap/>
            <w:vAlign w:val="bottom"/>
            <w:hideMark/>
          </w:tcPr>
          <w:p w:rsidR="003F2AA0" w:rsidRPr="003F2AA0" w:rsidRDefault="003F2AA0" w:rsidP="003F2AA0">
            <w:pPr>
              <w:spacing w:before="0"/>
              <w:jc w:val="right"/>
              <w:rPr>
                <w:sz w:val="16"/>
                <w:szCs w:val="16"/>
              </w:rPr>
            </w:pPr>
            <w:r w:rsidRPr="003F2AA0">
              <w:rPr>
                <w:sz w:val="16"/>
                <w:szCs w:val="16"/>
              </w:rPr>
              <w:t>128</w:t>
            </w:r>
          </w:p>
        </w:tc>
        <w:tc>
          <w:tcPr>
            <w:tcW w:w="851" w:type="dxa"/>
            <w:shd w:val="clear" w:color="000000" w:fill="FCF0F3"/>
            <w:noWrap/>
            <w:vAlign w:val="bottom"/>
            <w:hideMark/>
          </w:tcPr>
          <w:p w:rsidR="003F2AA0" w:rsidRPr="003F2AA0" w:rsidRDefault="003F2AA0" w:rsidP="003F2AA0">
            <w:pPr>
              <w:spacing w:before="0"/>
              <w:jc w:val="right"/>
              <w:rPr>
                <w:sz w:val="16"/>
                <w:szCs w:val="16"/>
              </w:rPr>
            </w:pPr>
            <w:r w:rsidRPr="003F2AA0">
              <w:rPr>
                <w:sz w:val="16"/>
                <w:szCs w:val="16"/>
              </w:rPr>
              <w:t>115</w:t>
            </w:r>
          </w:p>
        </w:tc>
        <w:tc>
          <w:tcPr>
            <w:tcW w:w="708" w:type="dxa"/>
            <w:shd w:val="clear" w:color="000000" w:fill="5A8AC6"/>
            <w:noWrap/>
            <w:vAlign w:val="bottom"/>
            <w:hideMark/>
          </w:tcPr>
          <w:p w:rsidR="003F2AA0" w:rsidRPr="003F2AA0" w:rsidRDefault="003F2AA0" w:rsidP="003F2AA0">
            <w:pPr>
              <w:spacing w:before="0"/>
              <w:jc w:val="right"/>
              <w:rPr>
                <w:sz w:val="16"/>
                <w:szCs w:val="16"/>
              </w:rPr>
            </w:pPr>
            <w:r w:rsidRPr="003F2AA0">
              <w:rPr>
                <w:sz w:val="16"/>
                <w:szCs w:val="16"/>
              </w:rPr>
              <w:t>8</w:t>
            </w:r>
          </w:p>
        </w:tc>
        <w:tc>
          <w:tcPr>
            <w:tcW w:w="851" w:type="dxa"/>
            <w:shd w:val="clear" w:color="000000" w:fill="FCFAFD"/>
            <w:noWrap/>
            <w:vAlign w:val="bottom"/>
            <w:hideMark/>
          </w:tcPr>
          <w:p w:rsidR="003F2AA0" w:rsidRPr="003F2AA0" w:rsidRDefault="003F2AA0" w:rsidP="003F2AA0">
            <w:pPr>
              <w:spacing w:before="0"/>
              <w:jc w:val="right"/>
              <w:rPr>
                <w:sz w:val="16"/>
                <w:szCs w:val="16"/>
              </w:rPr>
            </w:pPr>
            <w:r w:rsidRPr="003F2AA0">
              <w:rPr>
                <w:sz w:val="16"/>
                <w:szCs w:val="16"/>
              </w:rPr>
              <w:t>63</w:t>
            </w:r>
          </w:p>
        </w:tc>
        <w:tc>
          <w:tcPr>
            <w:tcW w:w="850" w:type="dxa"/>
            <w:shd w:val="clear" w:color="000000" w:fill="8FAFD8"/>
            <w:noWrap/>
            <w:vAlign w:val="bottom"/>
            <w:hideMark/>
          </w:tcPr>
          <w:p w:rsidR="003F2AA0" w:rsidRPr="003F2AA0" w:rsidRDefault="003F2AA0" w:rsidP="003F2AA0">
            <w:pPr>
              <w:spacing w:before="0"/>
              <w:jc w:val="right"/>
              <w:rPr>
                <w:sz w:val="16"/>
                <w:szCs w:val="16"/>
              </w:rPr>
            </w:pPr>
            <w:r w:rsidRPr="003F2AA0">
              <w:rPr>
                <w:sz w:val="16"/>
                <w:szCs w:val="16"/>
              </w:rPr>
              <w:t>17</w:t>
            </w:r>
          </w:p>
        </w:tc>
        <w:tc>
          <w:tcPr>
            <w:tcW w:w="660" w:type="dxa"/>
            <w:shd w:val="clear" w:color="000000" w:fill="C9D8ED"/>
            <w:noWrap/>
            <w:vAlign w:val="bottom"/>
            <w:hideMark/>
          </w:tcPr>
          <w:p w:rsidR="003F2AA0" w:rsidRPr="003F2AA0" w:rsidRDefault="003F2AA0" w:rsidP="003F2AA0">
            <w:pPr>
              <w:spacing w:before="0"/>
              <w:jc w:val="right"/>
              <w:rPr>
                <w:sz w:val="16"/>
                <w:szCs w:val="16"/>
              </w:rPr>
            </w:pPr>
            <w:r w:rsidRPr="003F2AA0">
              <w:rPr>
                <w:sz w:val="16"/>
                <w:szCs w:val="16"/>
              </w:rPr>
              <w:t>35</w:t>
            </w:r>
          </w:p>
        </w:tc>
        <w:tc>
          <w:tcPr>
            <w:tcW w:w="900" w:type="dxa"/>
            <w:shd w:val="clear" w:color="000000" w:fill="7099CD"/>
            <w:noWrap/>
            <w:vAlign w:val="bottom"/>
            <w:hideMark/>
          </w:tcPr>
          <w:p w:rsidR="003F2AA0" w:rsidRPr="003F2AA0" w:rsidRDefault="003F2AA0" w:rsidP="003F2AA0">
            <w:pPr>
              <w:spacing w:before="0"/>
              <w:jc w:val="right"/>
              <w:rPr>
                <w:sz w:val="16"/>
                <w:szCs w:val="16"/>
              </w:rPr>
            </w:pPr>
            <w:r w:rsidRPr="003F2AA0">
              <w:rPr>
                <w:sz w:val="16"/>
                <w:szCs w:val="16"/>
              </w:rPr>
              <w:t>7</w:t>
            </w:r>
          </w:p>
        </w:tc>
        <w:tc>
          <w:tcPr>
            <w:tcW w:w="916" w:type="dxa"/>
            <w:shd w:val="clear" w:color="000000" w:fill="7099CD"/>
            <w:noWrap/>
            <w:vAlign w:val="bottom"/>
            <w:hideMark/>
          </w:tcPr>
          <w:p w:rsidR="003F2AA0" w:rsidRPr="003F2AA0" w:rsidRDefault="003F2AA0" w:rsidP="003F2AA0">
            <w:pPr>
              <w:spacing w:before="0"/>
              <w:jc w:val="right"/>
              <w:rPr>
                <w:sz w:val="16"/>
                <w:szCs w:val="16"/>
              </w:rPr>
            </w:pPr>
            <w:r w:rsidRPr="003F2AA0">
              <w:rPr>
                <w:sz w:val="16"/>
                <w:szCs w:val="16"/>
              </w:rPr>
              <w:t>7</w:t>
            </w:r>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sz w:val="16"/>
                <w:szCs w:val="16"/>
              </w:rPr>
            </w:pPr>
            <w:r w:rsidRPr="003F2AA0">
              <w:rPr>
                <w:sz w:val="16"/>
                <w:szCs w:val="16"/>
              </w:rPr>
              <w:t>Ústecký</w:t>
            </w:r>
          </w:p>
        </w:tc>
        <w:tc>
          <w:tcPr>
            <w:tcW w:w="663" w:type="dxa"/>
            <w:shd w:val="clear" w:color="000000" w:fill="FA9DA0"/>
            <w:noWrap/>
            <w:vAlign w:val="bottom"/>
            <w:hideMark/>
          </w:tcPr>
          <w:p w:rsidR="003F2AA0" w:rsidRPr="003F2AA0" w:rsidRDefault="003F2AA0" w:rsidP="003F2AA0">
            <w:pPr>
              <w:spacing w:before="0"/>
              <w:jc w:val="right"/>
              <w:rPr>
                <w:sz w:val="16"/>
                <w:szCs w:val="16"/>
              </w:rPr>
            </w:pPr>
            <w:r w:rsidRPr="003F2AA0">
              <w:rPr>
                <w:sz w:val="16"/>
                <w:szCs w:val="16"/>
              </w:rPr>
              <w:t>1 398</w:t>
            </w:r>
          </w:p>
        </w:tc>
        <w:tc>
          <w:tcPr>
            <w:tcW w:w="754" w:type="dxa"/>
            <w:shd w:val="clear" w:color="000000" w:fill="F97476"/>
            <w:noWrap/>
            <w:vAlign w:val="bottom"/>
            <w:hideMark/>
          </w:tcPr>
          <w:p w:rsidR="003F2AA0" w:rsidRPr="003F2AA0" w:rsidRDefault="003F2AA0" w:rsidP="003F2AA0">
            <w:pPr>
              <w:spacing w:before="0"/>
              <w:jc w:val="right"/>
              <w:rPr>
                <w:sz w:val="16"/>
                <w:szCs w:val="16"/>
              </w:rPr>
            </w:pPr>
            <w:r w:rsidRPr="003F2AA0">
              <w:rPr>
                <w:sz w:val="16"/>
                <w:szCs w:val="16"/>
              </w:rPr>
              <w:t>1 776</w:t>
            </w:r>
          </w:p>
        </w:tc>
        <w:tc>
          <w:tcPr>
            <w:tcW w:w="709" w:type="dxa"/>
            <w:shd w:val="clear" w:color="000000" w:fill="95D2A6"/>
            <w:noWrap/>
            <w:vAlign w:val="bottom"/>
            <w:hideMark/>
          </w:tcPr>
          <w:p w:rsidR="003F2AA0" w:rsidRPr="003F2AA0" w:rsidRDefault="003F2AA0" w:rsidP="003F2AA0">
            <w:pPr>
              <w:spacing w:before="0"/>
              <w:jc w:val="right"/>
              <w:rPr>
                <w:sz w:val="16"/>
                <w:szCs w:val="16"/>
              </w:rPr>
            </w:pPr>
            <w:r w:rsidRPr="003F2AA0">
              <w:rPr>
                <w:sz w:val="16"/>
                <w:szCs w:val="16"/>
              </w:rPr>
              <w:t>378</w:t>
            </w:r>
          </w:p>
        </w:tc>
        <w:tc>
          <w:tcPr>
            <w:tcW w:w="851" w:type="dxa"/>
            <w:shd w:val="clear" w:color="000000" w:fill="FBD5D7"/>
            <w:noWrap/>
            <w:vAlign w:val="bottom"/>
            <w:hideMark/>
          </w:tcPr>
          <w:p w:rsidR="003F2AA0" w:rsidRPr="003F2AA0" w:rsidRDefault="003F2AA0" w:rsidP="003F2AA0">
            <w:pPr>
              <w:spacing w:before="0"/>
              <w:jc w:val="right"/>
              <w:rPr>
                <w:sz w:val="16"/>
                <w:szCs w:val="16"/>
              </w:rPr>
            </w:pPr>
            <w:r w:rsidRPr="003F2AA0">
              <w:rPr>
                <w:sz w:val="16"/>
                <w:szCs w:val="16"/>
              </w:rPr>
              <w:t>259</w:t>
            </w:r>
          </w:p>
        </w:tc>
        <w:tc>
          <w:tcPr>
            <w:tcW w:w="708" w:type="dxa"/>
            <w:shd w:val="clear" w:color="000000" w:fill="FCFBFE"/>
            <w:noWrap/>
            <w:vAlign w:val="bottom"/>
            <w:hideMark/>
          </w:tcPr>
          <w:p w:rsidR="003F2AA0" w:rsidRPr="003F2AA0" w:rsidRDefault="003F2AA0" w:rsidP="003F2AA0">
            <w:pPr>
              <w:spacing w:before="0"/>
              <w:jc w:val="right"/>
              <w:rPr>
                <w:sz w:val="16"/>
                <w:szCs w:val="16"/>
              </w:rPr>
            </w:pPr>
            <w:r w:rsidRPr="003F2AA0">
              <w:rPr>
                <w:sz w:val="16"/>
                <w:szCs w:val="16"/>
              </w:rPr>
              <w:t>28</w:t>
            </w:r>
          </w:p>
        </w:tc>
        <w:tc>
          <w:tcPr>
            <w:tcW w:w="851" w:type="dxa"/>
            <w:shd w:val="clear" w:color="000000" w:fill="F8696B"/>
            <w:noWrap/>
            <w:vAlign w:val="bottom"/>
            <w:hideMark/>
          </w:tcPr>
          <w:p w:rsidR="003F2AA0" w:rsidRPr="003F2AA0" w:rsidRDefault="003F2AA0" w:rsidP="003F2AA0">
            <w:pPr>
              <w:spacing w:before="0"/>
              <w:jc w:val="right"/>
              <w:rPr>
                <w:sz w:val="16"/>
                <w:szCs w:val="16"/>
              </w:rPr>
            </w:pPr>
            <w:r w:rsidRPr="003F2AA0">
              <w:rPr>
                <w:sz w:val="16"/>
                <w:szCs w:val="16"/>
              </w:rPr>
              <w:t>820</w:t>
            </w:r>
          </w:p>
        </w:tc>
        <w:tc>
          <w:tcPr>
            <w:tcW w:w="850" w:type="dxa"/>
            <w:shd w:val="clear" w:color="000000" w:fill="FBD6D9"/>
            <w:noWrap/>
            <w:vAlign w:val="bottom"/>
            <w:hideMark/>
          </w:tcPr>
          <w:p w:rsidR="003F2AA0" w:rsidRPr="003F2AA0" w:rsidRDefault="003F2AA0" w:rsidP="003F2AA0">
            <w:pPr>
              <w:spacing w:before="0"/>
              <w:jc w:val="right"/>
              <w:rPr>
                <w:sz w:val="16"/>
                <w:szCs w:val="16"/>
              </w:rPr>
            </w:pPr>
            <w:r w:rsidRPr="003F2AA0">
              <w:rPr>
                <w:sz w:val="16"/>
                <w:szCs w:val="16"/>
              </w:rPr>
              <w:t>253</w:t>
            </w:r>
          </w:p>
        </w:tc>
        <w:tc>
          <w:tcPr>
            <w:tcW w:w="660" w:type="dxa"/>
            <w:shd w:val="clear" w:color="000000" w:fill="FBC7CA"/>
            <w:noWrap/>
            <w:vAlign w:val="bottom"/>
            <w:hideMark/>
          </w:tcPr>
          <w:p w:rsidR="003F2AA0" w:rsidRPr="003F2AA0" w:rsidRDefault="003F2AA0" w:rsidP="003F2AA0">
            <w:pPr>
              <w:spacing w:before="0"/>
              <w:jc w:val="right"/>
              <w:rPr>
                <w:sz w:val="16"/>
                <w:szCs w:val="16"/>
              </w:rPr>
            </w:pPr>
            <w:r w:rsidRPr="003F2AA0">
              <w:rPr>
                <w:sz w:val="16"/>
                <w:szCs w:val="16"/>
              </w:rPr>
              <w:t>329</w:t>
            </w:r>
          </w:p>
        </w:tc>
        <w:tc>
          <w:tcPr>
            <w:tcW w:w="900" w:type="dxa"/>
            <w:shd w:val="clear" w:color="000000" w:fill="8FAFD8"/>
            <w:noWrap/>
            <w:vAlign w:val="bottom"/>
            <w:hideMark/>
          </w:tcPr>
          <w:p w:rsidR="003F2AA0" w:rsidRPr="003F2AA0" w:rsidRDefault="003F2AA0" w:rsidP="003F2AA0">
            <w:pPr>
              <w:spacing w:before="0"/>
              <w:jc w:val="right"/>
              <w:rPr>
                <w:sz w:val="16"/>
                <w:szCs w:val="16"/>
              </w:rPr>
            </w:pPr>
            <w:r w:rsidRPr="003F2AA0">
              <w:rPr>
                <w:sz w:val="16"/>
                <w:szCs w:val="16"/>
              </w:rPr>
              <w:t>17</w:t>
            </w:r>
          </w:p>
        </w:tc>
        <w:tc>
          <w:tcPr>
            <w:tcW w:w="916" w:type="dxa"/>
            <w:shd w:val="clear" w:color="000000" w:fill="FCF9FC"/>
            <w:noWrap/>
            <w:vAlign w:val="bottom"/>
            <w:hideMark/>
          </w:tcPr>
          <w:p w:rsidR="003F2AA0" w:rsidRPr="003F2AA0" w:rsidRDefault="003F2AA0" w:rsidP="003F2AA0">
            <w:pPr>
              <w:spacing w:before="0"/>
              <w:jc w:val="right"/>
              <w:rPr>
                <w:sz w:val="16"/>
                <w:szCs w:val="16"/>
              </w:rPr>
            </w:pPr>
            <w:r w:rsidRPr="003F2AA0">
              <w:rPr>
                <w:sz w:val="16"/>
                <w:szCs w:val="16"/>
              </w:rPr>
              <w:t>70</w:t>
            </w:r>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sz w:val="16"/>
                <w:szCs w:val="16"/>
              </w:rPr>
            </w:pPr>
            <w:r w:rsidRPr="003F2AA0">
              <w:rPr>
                <w:sz w:val="16"/>
                <w:szCs w:val="16"/>
              </w:rPr>
              <w:t>Liberecký</w:t>
            </w:r>
          </w:p>
        </w:tc>
        <w:tc>
          <w:tcPr>
            <w:tcW w:w="663" w:type="dxa"/>
            <w:shd w:val="clear" w:color="000000" w:fill="B4C9E5"/>
            <w:noWrap/>
            <w:vAlign w:val="bottom"/>
            <w:hideMark/>
          </w:tcPr>
          <w:p w:rsidR="003F2AA0" w:rsidRPr="003F2AA0" w:rsidRDefault="003F2AA0" w:rsidP="003F2AA0">
            <w:pPr>
              <w:spacing w:before="0"/>
              <w:jc w:val="right"/>
              <w:rPr>
                <w:sz w:val="16"/>
                <w:szCs w:val="16"/>
              </w:rPr>
            </w:pPr>
            <w:r w:rsidRPr="003F2AA0">
              <w:rPr>
                <w:sz w:val="16"/>
                <w:szCs w:val="16"/>
              </w:rPr>
              <w:t>305</w:t>
            </w:r>
          </w:p>
        </w:tc>
        <w:tc>
          <w:tcPr>
            <w:tcW w:w="754" w:type="dxa"/>
            <w:shd w:val="clear" w:color="000000" w:fill="E5ECF7"/>
            <w:noWrap/>
            <w:vAlign w:val="bottom"/>
            <w:hideMark/>
          </w:tcPr>
          <w:p w:rsidR="003F2AA0" w:rsidRPr="003F2AA0" w:rsidRDefault="003F2AA0" w:rsidP="003F2AA0">
            <w:pPr>
              <w:spacing w:before="0"/>
              <w:jc w:val="right"/>
              <w:rPr>
                <w:sz w:val="16"/>
                <w:szCs w:val="16"/>
              </w:rPr>
            </w:pPr>
            <w:r w:rsidRPr="003F2AA0">
              <w:rPr>
                <w:sz w:val="16"/>
                <w:szCs w:val="16"/>
              </w:rPr>
              <w:t>466</w:t>
            </w:r>
          </w:p>
        </w:tc>
        <w:tc>
          <w:tcPr>
            <w:tcW w:w="709" w:type="dxa"/>
            <w:shd w:val="clear" w:color="000000" w:fill="6EC284"/>
            <w:noWrap/>
            <w:vAlign w:val="bottom"/>
            <w:hideMark/>
          </w:tcPr>
          <w:p w:rsidR="003F2AA0" w:rsidRPr="003F2AA0" w:rsidRDefault="003F2AA0" w:rsidP="003F2AA0">
            <w:pPr>
              <w:spacing w:before="0"/>
              <w:jc w:val="right"/>
              <w:rPr>
                <w:sz w:val="16"/>
                <w:szCs w:val="16"/>
              </w:rPr>
            </w:pPr>
            <w:r w:rsidRPr="003F2AA0">
              <w:rPr>
                <w:sz w:val="16"/>
                <w:szCs w:val="16"/>
              </w:rPr>
              <w:t>161</w:t>
            </w:r>
          </w:p>
        </w:tc>
        <w:tc>
          <w:tcPr>
            <w:tcW w:w="851" w:type="dxa"/>
            <w:shd w:val="clear" w:color="000000" w:fill="FCE5E8"/>
            <w:noWrap/>
            <w:vAlign w:val="bottom"/>
            <w:hideMark/>
          </w:tcPr>
          <w:p w:rsidR="003F2AA0" w:rsidRPr="003F2AA0" w:rsidRDefault="003F2AA0" w:rsidP="003F2AA0">
            <w:pPr>
              <w:spacing w:before="0"/>
              <w:jc w:val="right"/>
              <w:rPr>
                <w:sz w:val="16"/>
                <w:szCs w:val="16"/>
              </w:rPr>
            </w:pPr>
            <w:r w:rsidRPr="003F2AA0">
              <w:rPr>
                <w:sz w:val="16"/>
                <w:szCs w:val="16"/>
              </w:rPr>
              <w:t>172</w:t>
            </w:r>
          </w:p>
        </w:tc>
        <w:tc>
          <w:tcPr>
            <w:tcW w:w="708" w:type="dxa"/>
            <w:shd w:val="clear" w:color="000000" w:fill="FCF8FB"/>
            <w:noWrap/>
            <w:vAlign w:val="bottom"/>
            <w:hideMark/>
          </w:tcPr>
          <w:p w:rsidR="003F2AA0" w:rsidRPr="003F2AA0" w:rsidRDefault="003F2AA0" w:rsidP="003F2AA0">
            <w:pPr>
              <w:spacing w:before="0"/>
              <w:jc w:val="right"/>
              <w:rPr>
                <w:sz w:val="16"/>
                <w:szCs w:val="16"/>
              </w:rPr>
            </w:pPr>
            <w:r w:rsidRPr="003F2AA0">
              <w:rPr>
                <w:sz w:val="16"/>
                <w:szCs w:val="16"/>
              </w:rPr>
              <w:t>30</w:t>
            </w:r>
          </w:p>
        </w:tc>
        <w:tc>
          <w:tcPr>
            <w:tcW w:w="851" w:type="dxa"/>
            <w:shd w:val="clear" w:color="000000" w:fill="FCEAED"/>
            <w:noWrap/>
            <w:vAlign w:val="bottom"/>
            <w:hideMark/>
          </w:tcPr>
          <w:p w:rsidR="003F2AA0" w:rsidRPr="003F2AA0" w:rsidRDefault="003F2AA0" w:rsidP="003F2AA0">
            <w:pPr>
              <w:spacing w:before="0"/>
              <w:jc w:val="right"/>
              <w:rPr>
                <w:sz w:val="16"/>
                <w:szCs w:val="16"/>
              </w:rPr>
            </w:pPr>
            <w:r w:rsidRPr="003F2AA0">
              <w:rPr>
                <w:sz w:val="16"/>
                <w:szCs w:val="16"/>
              </w:rPr>
              <w:t>147</w:t>
            </w:r>
          </w:p>
        </w:tc>
        <w:tc>
          <w:tcPr>
            <w:tcW w:w="850" w:type="dxa"/>
            <w:shd w:val="clear" w:color="000000" w:fill="89ABD6"/>
            <w:noWrap/>
            <w:vAlign w:val="bottom"/>
            <w:hideMark/>
          </w:tcPr>
          <w:p w:rsidR="003F2AA0" w:rsidRPr="003F2AA0" w:rsidRDefault="003F2AA0" w:rsidP="003F2AA0">
            <w:pPr>
              <w:spacing w:before="0"/>
              <w:jc w:val="right"/>
              <w:rPr>
                <w:sz w:val="16"/>
                <w:szCs w:val="16"/>
              </w:rPr>
            </w:pPr>
            <w:r w:rsidRPr="003F2AA0">
              <w:rPr>
                <w:sz w:val="16"/>
                <w:szCs w:val="16"/>
              </w:rPr>
              <w:t>15</w:t>
            </w:r>
          </w:p>
        </w:tc>
        <w:tc>
          <w:tcPr>
            <w:tcW w:w="660" w:type="dxa"/>
            <w:shd w:val="clear" w:color="000000" w:fill="FCFBFE"/>
            <w:noWrap/>
            <w:vAlign w:val="bottom"/>
            <w:hideMark/>
          </w:tcPr>
          <w:p w:rsidR="003F2AA0" w:rsidRPr="003F2AA0" w:rsidRDefault="003F2AA0" w:rsidP="003F2AA0">
            <w:pPr>
              <w:spacing w:before="0"/>
              <w:jc w:val="right"/>
              <w:rPr>
                <w:sz w:val="16"/>
                <w:szCs w:val="16"/>
              </w:rPr>
            </w:pPr>
            <w:r w:rsidRPr="003F2AA0">
              <w:rPr>
                <w:sz w:val="16"/>
                <w:szCs w:val="16"/>
              </w:rPr>
              <w:t>61</w:t>
            </w:r>
          </w:p>
        </w:tc>
        <w:tc>
          <w:tcPr>
            <w:tcW w:w="900" w:type="dxa"/>
            <w:shd w:val="clear" w:color="000000" w:fill="6995CB"/>
            <w:noWrap/>
            <w:vAlign w:val="bottom"/>
            <w:hideMark/>
          </w:tcPr>
          <w:p w:rsidR="003F2AA0" w:rsidRPr="003F2AA0" w:rsidRDefault="003F2AA0" w:rsidP="003F2AA0">
            <w:pPr>
              <w:spacing w:before="0"/>
              <w:jc w:val="right"/>
              <w:rPr>
                <w:sz w:val="16"/>
                <w:szCs w:val="16"/>
              </w:rPr>
            </w:pPr>
            <w:r w:rsidRPr="003F2AA0">
              <w:rPr>
                <w:sz w:val="16"/>
                <w:szCs w:val="16"/>
              </w:rPr>
              <w:t>5</w:t>
            </w:r>
          </w:p>
        </w:tc>
        <w:tc>
          <w:tcPr>
            <w:tcW w:w="916" w:type="dxa"/>
            <w:shd w:val="clear" w:color="000000" w:fill="CCDAEE"/>
            <w:noWrap/>
            <w:vAlign w:val="bottom"/>
            <w:hideMark/>
          </w:tcPr>
          <w:p w:rsidR="003F2AA0" w:rsidRPr="003F2AA0" w:rsidRDefault="003F2AA0" w:rsidP="003F2AA0">
            <w:pPr>
              <w:spacing w:before="0"/>
              <w:jc w:val="right"/>
              <w:rPr>
                <w:sz w:val="16"/>
                <w:szCs w:val="16"/>
              </w:rPr>
            </w:pPr>
            <w:r w:rsidRPr="003F2AA0">
              <w:rPr>
                <w:sz w:val="16"/>
                <w:szCs w:val="16"/>
              </w:rPr>
              <w:t>36</w:t>
            </w:r>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sz w:val="16"/>
                <w:szCs w:val="16"/>
              </w:rPr>
            </w:pPr>
            <w:r w:rsidRPr="003F2AA0">
              <w:rPr>
                <w:sz w:val="16"/>
                <w:szCs w:val="16"/>
              </w:rPr>
              <w:t>Královéhradecký</w:t>
            </w:r>
          </w:p>
        </w:tc>
        <w:tc>
          <w:tcPr>
            <w:tcW w:w="663" w:type="dxa"/>
            <w:shd w:val="clear" w:color="000000" w:fill="B1C7E4"/>
            <w:noWrap/>
            <w:vAlign w:val="bottom"/>
            <w:hideMark/>
          </w:tcPr>
          <w:p w:rsidR="003F2AA0" w:rsidRPr="003F2AA0" w:rsidRDefault="003F2AA0" w:rsidP="003F2AA0">
            <w:pPr>
              <w:spacing w:before="0"/>
              <w:jc w:val="right"/>
              <w:rPr>
                <w:sz w:val="16"/>
                <w:szCs w:val="16"/>
              </w:rPr>
            </w:pPr>
            <w:r w:rsidRPr="003F2AA0">
              <w:rPr>
                <w:sz w:val="16"/>
                <w:szCs w:val="16"/>
              </w:rPr>
              <w:t>297</w:t>
            </w:r>
          </w:p>
        </w:tc>
        <w:tc>
          <w:tcPr>
            <w:tcW w:w="754" w:type="dxa"/>
            <w:shd w:val="clear" w:color="000000" w:fill="FCE8EB"/>
            <w:noWrap/>
            <w:vAlign w:val="bottom"/>
            <w:hideMark/>
          </w:tcPr>
          <w:p w:rsidR="003F2AA0" w:rsidRPr="003F2AA0" w:rsidRDefault="003F2AA0" w:rsidP="003F2AA0">
            <w:pPr>
              <w:spacing w:before="0"/>
              <w:jc w:val="right"/>
              <w:rPr>
                <w:sz w:val="16"/>
                <w:szCs w:val="16"/>
              </w:rPr>
            </w:pPr>
            <w:r w:rsidRPr="003F2AA0">
              <w:rPr>
                <w:sz w:val="16"/>
                <w:szCs w:val="16"/>
              </w:rPr>
              <w:t>723</w:t>
            </w:r>
          </w:p>
        </w:tc>
        <w:tc>
          <w:tcPr>
            <w:tcW w:w="709" w:type="dxa"/>
            <w:shd w:val="clear" w:color="000000" w:fill="9ED6AE"/>
            <w:noWrap/>
            <w:vAlign w:val="bottom"/>
            <w:hideMark/>
          </w:tcPr>
          <w:p w:rsidR="003F2AA0" w:rsidRPr="003F2AA0" w:rsidRDefault="003F2AA0" w:rsidP="003F2AA0">
            <w:pPr>
              <w:spacing w:before="0"/>
              <w:jc w:val="right"/>
              <w:rPr>
                <w:sz w:val="16"/>
                <w:szCs w:val="16"/>
              </w:rPr>
            </w:pPr>
            <w:r w:rsidRPr="003F2AA0">
              <w:rPr>
                <w:sz w:val="16"/>
                <w:szCs w:val="16"/>
              </w:rPr>
              <w:t>426</w:t>
            </w:r>
          </w:p>
        </w:tc>
        <w:tc>
          <w:tcPr>
            <w:tcW w:w="851" w:type="dxa"/>
            <w:shd w:val="clear" w:color="000000" w:fill="FBCBCE"/>
            <w:noWrap/>
            <w:vAlign w:val="bottom"/>
            <w:hideMark/>
          </w:tcPr>
          <w:p w:rsidR="003F2AA0" w:rsidRPr="003F2AA0" w:rsidRDefault="003F2AA0" w:rsidP="003F2AA0">
            <w:pPr>
              <w:spacing w:before="0"/>
              <w:jc w:val="right"/>
              <w:rPr>
                <w:sz w:val="16"/>
                <w:szCs w:val="16"/>
              </w:rPr>
            </w:pPr>
            <w:r w:rsidRPr="003F2AA0">
              <w:rPr>
                <w:sz w:val="16"/>
                <w:szCs w:val="16"/>
              </w:rPr>
              <w:t>309</w:t>
            </w:r>
          </w:p>
        </w:tc>
        <w:tc>
          <w:tcPr>
            <w:tcW w:w="708" w:type="dxa"/>
            <w:shd w:val="clear" w:color="000000" w:fill="E6ECF7"/>
            <w:noWrap/>
            <w:vAlign w:val="bottom"/>
            <w:hideMark/>
          </w:tcPr>
          <w:p w:rsidR="003F2AA0" w:rsidRPr="003F2AA0" w:rsidRDefault="003F2AA0" w:rsidP="003F2AA0">
            <w:pPr>
              <w:spacing w:before="0"/>
              <w:jc w:val="right"/>
              <w:rPr>
                <w:sz w:val="16"/>
                <w:szCs w:val="16"/>
              </w:rPr>
            </w:pPr>
            <w:r w:rsidRPr="003F2AA0">
              <w:rPr>
                <w:sz w:val="16"/>
                <w:szCs w:val="16"/>
              </w:rPr>
              <w:t>24</w:t>
            </w:r>
          </w:p>
        </w:tc>
        <w:tc>
          <w:tcPr>
            <w:tcW w:w="851" w:type="dxa"/>
            <w:shd w:val="clear" w:color="000000" w:fill="FCE3E6"/>
            <w:noWrap/>
            <w:vAlign w:val="bottom"/>
            <w:hideMark/>
          </w:tcPr>
          <w:p w:rsidR="003F2AA0" w:rsidRPr="003F2AA0" w:rsidRDefault="003F2AA0" w:rsidP="003F2AA0">
            <w:pPr>
              <w:spacing w:before="0"/>
              <w:jc w:val="right"/>
              <w:rPr>
                <w:sz w:val="16"/>
                <w:szCs w:val="16"/>
              </w:rPr>
            </w:pPr>
            <w:r w:rsidRPr="003F2AA0">
              <w:rPr>
                <w:sz w:val="16"/>
                <w:szCs w:val="16"/>
              </w:rPr>
              <w:t>183</w:t>
            </w:r>
          </w:p>
        </w:tc>
        <w:tc>
          <w:tcPr>
            <w:tcW w:w="850" w:type="dxa"/>
            <w:shd w:val="clear" w:color="000000" w:fill="D9E3F2"/>
            <w:noWrap/>
            <w:vAlign w:val="bottom"/>
            <w:hideMark/>
          </w:tcPr>
          <w:p w:rsidR="003F2AA0" w:rsidRPr="003F2AA0" w:rsidRDefault="003F2AA0" w:rsidP="003F2AA0">
            <w:pPr>
              <w:spacing w:before="0"/>
              <w:jc w:val="right"/>
              <w:rPr>
                <w:sz w:val="16"/>
                <w:szCs w:val="16"/>
              </w:rPr>
            </w:pPr>
            <w:r w:rsidRPr="003F2AA0">
              <w:rPr>
                <w:sz w:val="16"/>
                <w:szCs w:val="16"/>
              </w:rPr>
              <w:t>40</w:t>
            </w:r>
          </w:p>
        </w:tc>
        <w:tc>
          <w:tcPr>
            <w:tcW w:w="660" w:type="dxa"/>
            <w:shd w:val="clear" w:color="000000" w:fill="FCF4F7"/>
            <w:noWrap/>
            <w:vAlign w:val="bottom"/>
            <w:hideMark/>
          </w:tcPr>
          <w:p w:rsidR="003F2AA0" w:rsidRPr="003F2AA0" w:rsidRDefault="003F2AA0" w:rsidP="003F2AA0">
            <w:pPr>
              <w:spacing w:before="0"/>
              <w:jc w:val="right"/>
              <w:rPr>
                <w:sz w:val="16"/>
                <w:szCs w:val="16"/>
              </w:rPr>
            </w:pPr>
            <w:r w:rsidRPr="003F2AA0">
              <w:rPr>
                <w:sz w:val="16"/>
                <w:szCs w:val="16"/>
              </w:rPr>
              <w:t>95</w:t>
            </w:r>
          </w:p>
        </w:tc>
        <w:tc>
          <w:tcPr>
            <w:tcW w:w="900" w:type="dxa"/>
            <w:shd w:val="clear" w:color="000000" w:fill="8FAFD8"/>
            <w:noWrap/>
            <w:vAlign w:val="bottom"/>
            <w:hideMark/>
          </w:tcPr>
          <w:p w:rsidR="003F2AA0" w:rsidRPr="003F2AA0" w:rsidRDefault="003F2AA0" w:rsidP="003F2AA0">
            <w:pPr>
              <w:spacing w:before="0"/>
              <w:jc w:val="right"/>
              <w:rPr>
                <w:sz w:val="16"/>
                <w:szCs w:val="16"/>
              </w:rPr>
            </w:pPr>
            <w:r w:rsidRPr="003F2AA0">
              <w:rPr>
                <w:sz w:val="16"/>
                <w:szCs w:val="16"/>
              </w:rPr>
              <w:t>17</w:t>
            </w:r>
          </w:p>
        </w:tc>
        <w:tc>
          <w:tcPr>
            <w:tcW w:w="916" w:type="dxa"/>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55</w:t>
            </w:r>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sz w:val="16"/>
                <w:szCs w:val="16"/>
              </w:rPr>
            </w:pPr>
            <w:r w:rsidRPr="003F2AA0">
              <w:rPr>
                <w:sz w:val="16"/>
                <w:szCs w:val="16"/>
              </w:rPr>
              <w:t xml:space="preserve">Pardubický </w:t>
            </w:r>
          </w:p>
        </w:tc>
        <w:tc>
          <w:tcPr>
            <w:tcW w:w="663" w:type="dxa"/>
            <w:shd w:val="clear" w:color="000000" w:fill="92B1D9"/>
            <w:noWrap/>
            <w:vAlign w:val="bottom"/>
            <w:hideMark/>
          </w:tcPr>
          <w:p w:rsidR="003F2AA0" w:rsidRPr="003F2AA0" w:rsidRDefault="003F2AA0" w:rsidP="003F2AA0">
            <w:pPr>
              <w:spacing w:before="0"/>
              <w:jc w:val="right"/>
              <w:rPr>
                <w:sz w:val="16"/>
                <w:szCs w:val="16"/>
              </w:rPr>
            </w:pPr>
            <w:r w:rsidRPr="003F2AA0">
              <w:rPr>
                <w:sz w:val="16"/>
                <w:szCs w:val="16"/>
              </w:rPr>
              <w:t>196</w:t>
            </w:r>
          </w:p>
        </w:tc>
        <w:tc>
          <w:tcPr>
            <w:tcW w:w="754" w:type="dxa"/>
            <w:shd w:val="clear" w:color="000000" w:fill="FCFAFD"/>
            <w:noWrap/>
            <w:vAlign w:val="bottom"/>
            <w:hideMark/>
          </w:tcPr>
          <w:p w:rsidR="003F2AA0" w:rsidRPr="003F2AA0" w:rsidRDefault="003F2AA0" w:rsidP="003F2AA0">
            <w:pPr>
              <w:spacing w:before="0"/>
              <w:jc w:val="right"/>
              <w:rPr>
                <w:sz w:val="16"/>
                <w:szCs w:val="16"/>
              </w:rPr>
            </w:pPr>
            <w:r w:rsidRPr="003F2AA0">
              <w:rPr>
                <w:sz w:val="16"/>
                <w:szCs w:val="16"/>
              </w:rPr>
              <w:t>560</w:t>
            </w:r>
          </w:p>
        </w:tc>
        <w:tc>
          <w:tcPr>
            <w:tcW w:w="709" w:type="dxa"/>
            <w:shd w:val="clear" w:color="000000" w:fill="93D1A4"/>
            <w:noWrap/>
            <w:vAlign w:val="bottom"/>
            <w:hideMark/>
          </w:tcPr>
          <w:p w:rsidR="003F2AA0" w:rsidRPr="003F2AA0" w:rsidRDefault="003F2AA0" w:rsidP="003F2AA0">
            <w:pPr>
              <w:spacing w:before="0"/>
              <w:jc w:val="right"/>
              <w:rPr>
                <w:sz w:val="16"/>
                <w:szCs w:val="16"/>
              </w:rPr>
            </w:pPr>
            <w:r w:rsidRPr="003F2AA0">
              <w:rPr>
                <w:sz w:val="16"/>
                <w:szCs w:val="16"/>
              </w:rPr>
              <w:t>364</w:t>
            </w:r>
          </w:p>
        </w:tc>
        <w:tc>
          <w:tcPr>
            <w:tcW w:w="851" w:type="dxa"/>
            <w:shd w:val="clear" w:color="000000" w:fill="FBD0D3"/>
            <w:noWrap/>
            <w:vAlign w:val="bottom"/>
            <w:hideMark/>
          </w:tcPr>
          <w:p w:rsidR="003F2AA0" w:rsidRPr="003F2AA0" w:rsidRDefault="003F2AA0" w:rsidP="003F2AA0">
            <w:pPr>
              <w:spacing w:before="0"/>
              <w:jc w:val="right"/>
              <w:rPr>
                <w:sz w:val="16"/>
                <w:szCs w:val="16"/>
              </w:rPr>
            </w:pPr>
            <w:r w:rsidRPr="003F2AA0">
              <w:rPr>
                <w:sz w:val="16"/>
                <w:szCs w:val="16"/>
              </w:rPr>
              <w:t>284</w:t>
            </w:r>
          </w:p>
        </w:tc>
        <w:tc>
          <w:tcPr>
            <w:tcW w:w="708" w:type="dxa"/>
            <w:shd w:val="clear" w:color="000000" w:fill="CBDAEE"/>
            <w:noWrap/>
            <w:vAlign w:val="bottom"/>
            <w:hideMark/>
          </w:tcPr>
          <w:p w:rsidR="003F2AA0" w:rsidRPr="003F2AA0" w:rsidRDefault="003F2AA0" w:rsidP="003F2AA0">
            <w:pPr>
              <w:spacing w:before="0"/>
              <w:jc w:val="right"/>
              <w:rPr>
                <w:sz w:val="16"/>
                <w:szCs w:val="16"/>
              </w:rPr>
            </w:pPr>
            <w:r w:rsidRPr="003F2AA0">
              <w:rPr>
                <w:sz w:val="16"/>
                <w:szCs w:val="16"/>
              </w:rPr>
              <w:t>21</w:t>
            </w:r>
          </w:p>
        </w:tc>
        <w:tc>
          <w:tcPr>
            <w:tcW w:w="851" w:type="dxa"/>
            <w:shd w:val="clear" w:color="000000" w:fill="FCEDF0"/>
            <w:noWrap/>
            <w:vAlign w:val="bottom"/>
            <w:hideMark/>
          </w:tcPr>
          <w:p w:rsidR="003F2AA0" w:rsidRPr="003F2AA0" w:rsidRDefault="003F2AA0" w:rsidP="003F2AA0">
            <w:pPr>
              <w:spacing w:before="0"/>
              <w:jc w:val="right"/>
              <w:rPr>
                <w:sz w:val="16"/>
                <w:szCs w:val="16"/>
              </w:rPr>
            </w:pPr>
            <w:r w:rsidRPr="003F2AA0">
              <w:rPr>
                <w:sz w:val="16"/>
                <w:szCs w:val="16"/>
              </w:rPr>
              <w:t>132</w:t>
            </w:r>
          </w:p>
        </w:tc>
        <w:tc>
          <w:tcPr>
            <w:tcW w:w="850" w:type="dxa"/>
            <w:shd w:val="clear" w:color="000000" w:fill="93B2DA"/>
            <w:noWrap/>
            <w:vAlign w:val="bottom"/>
            <w:hideMark/>
          </w:tcPr>
          <w:p w:rsidR="003F2AA0" w:rsidRPr="003F2AA0" w:rsidRDefault="003F2AA0" w:rsidP="003F2AA0">
            <w:pPr>
              <w:spacing w:before="0"/>
              <w:jc w:val="right"/>
              <w:rPr>
                <w:sz w:val="16"/>
                <w:szCs w:val="16"/>
              </w:rPr>
            </w:pPr>
            <w:r w:rsidRPr="003F2AA0">
              <w:rPr>
                <w:sz w:val="16"/>
                <w:szCs w:val="16"/>
              </w:rPr>
              <w:t>18</w:t>
            </w:r>
          </w:p>
        </w:tc>
        <w:tc>
          <w:tcPr>
            <w:tcW w:w="660" w:type="dxa"/>
            <w:shd w:val="clear" w:color="000000" w:fill="FCFBFE"/>
            <w:noWrap/>
            <w:vAlign w:val="bottom"/>
            <w:hideMark/>
          </w:tcPr>
          <w:p w:rsidR="003F2AA0" w:rsidRPr="003F2AA0" w:rsidRDefault="003F2AA0" w:rsidP="003F2AA0">
            <w:pPr>
              <w:spacing w:before="0"/>
              <w:jc w:val="right"/>
              <w:rPr>
                <w:sz w:val="16"/>
                <w:szCs w:val="16"/>
              </w:rPr>
            </w:pPr>
            <w:r w:rsidRPr="003F2AA0">
              <w:rPr>
                <w:sz w:val="16"/>
                <w:szCs w:val="16"/>
              </w:rPr>
              <w:t>60</w:t>
            </w:r>
          </w:p>
        </w:tc>
        <w:tc>
          <w:tcPr>
            <w:tcW w:w="900" w:type="dxa"/>
            <w:shd w:val="clear" w:color="000000" w:fill="739BCE"/>
            <w:noWrap/>
            <w:vAlign w:val="bottom"/>
            <w:hideMark/>
          </w:tcPr>
          <w:p w:rsidR="003F2AA0" w:rsidRPr="003F2AA0" w:rsidRDefault="003F2AA0" w:rsidP="003F2AA0">
            <w:pPr>
              <w:spacing w:before="0"/>
              <w:jc w:val="right"/>
              <w:rPr>
                <w:sz w:val="16"/>
                <w:szCs w:val="16"/>
              </w:rPr>
            </w:pPr>
            <w:r w:rsidRPr="003F2AA0">
              <w:rPr>
                <w:sz w:val="16"/>
                <w:szCs w:val="16"/>
              </w:rPr>
              <w:t>8</w:t>
            </w:r>
          </w:p>
        </w:tc>
        <w:tc>
          <w:tcPr>
            <w:tcW w:w="916" w:type="dxa"/>
            <w:shd w:val="clear" w:color="000000" w:fill="CFDCEF"/>
            <w:noWrap/>
            <w:vAlign w:val="bottom"/>
            <w:hideMark/>
          </w:tcPr>
          <w:p w:rsidR="003F2AA0" w:rsidRPr="003F2AA0" w:rsidRDefault="003F2AA0" w:rsidP="003F2AA0">
            <w:pPr>
              <w:spacing w:before="0"/>
              <w:jc w:val="right"/>
              <w:rPr>
                <w:sz w:val="16"/>
                <w:szCs w:val="16"/>
              </w:rPr>
            </w:pPr>
            <w:r w:rsidRPr="003F2AA0">
              <w:rPr>
                <w:sz w:val="16"/>
                <w:szCs w:val="16"/>
              </w:rPr>
              <w:t>37</w:t>
            </w:r>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sz w:val="16"/>
                <w:szCs w:val="16"/>
              </w:rPr>
            </w:pPr>
            <w:r w:rsidRPr="003F2AA0">
              <w:rPr>
                <w:sz w:val="16"/>
                <w:szCs w:val="16"/>
              </w:rPr>
              <w:t>Vysočina</w:t>
            </w:r>
          </w:p>
        </w:tc>
        <w:tc>
          <w:tcPr>
            <w:tcW w:w="663" w:type="dxa"/>
            <w:shd w:val="clear" w:color="000000" w:fill="D1DEF0"/>
            <w:noWrap/>
            <w:vAlign w:val="bottom"/>
            <w:hideMark/>
          </w:tcPr>
          <w:p w:rsidR="003F2AA0" w:rsidRPr="003F2AA0" w:rsidRDefault="003F2AA0" w:rsidP="003F2AA0">
            <w:pPr>
              <w:spacing w:before="0"/>
              <w:jc w:val="right"/>
              <w:rPr>
                <w:sz w:val="16"/>
                <w:szCs w:val="16"/>
              </w:rPr>
            </w:pPr>
            <w:r w:rsidRPr="003F2AA0">
              <w:rPr>
                <w:sz w:val="16"/>
                <w:szCs w:val="16"/>
              </w:rPr>
              <w:t>401</w:t>
            </w:r>
          </w:p>
        </w:tc>
        <w:tc>
          <w:tcPr>
            <w:tcW w:w="754" w:type="dxa"/>
            <w:shd w:val="clear" w:color="000000" w:fill="FBC3C6"/>
            <w:noWrap/>
            <w:vAlign w:val="bottom"/>
            <w:hideMark/>
          </w:tcPr>
          <w:p w:rsidR="003F2AA0" w:rsidRPr="003F2AA0" w:rsidRDefault="003F2AA0" w:rsidP="003F2AA0">
            <w:pPr>
              <w:spacing w:before="0"/>
              <w:jc w:val="right"/>
              <w:rPr>
                <w:sz w:val="16"/>
                <w:szCs w:val="16"/>
              </w:rPr>
            </w:pPr>
            <w:r w:rsidRPr="003F2AA0">
              <w:rPr>
                <w:sz w:val="16"/>
                <w:szCs w:val="16"/>
              </w:rPr>
              <w:t>1 057</w:t>
            </w:r>
          </w:p>
        </w:tc>
        <w:tc>
          <w:tcPr>
            <w:tcW w:w="709" w:type="dxa"/>
            <w:shd w:val="clear" w:color="000000" w:fill="C8E6D2"/>
            <w:noWrap/>
            <w:vAlign w:val="bottom"/>
            <w:hideMark/>
          </w:tcPr>
          <w:p w:rsidR="003F2AA0" w:rsidRPr="003F2AA0" w:rsidRDefault="003F2AA0" w:rsidP="003F2AA0">
            <w:pPr>
              <w:spacing w:before="0"/>
              <w:jc w:val="right"/>
              <w:rPr>
                <w:sz w:val="16"/>
                <w:szCs w:val="16"/>
              </w:rPr>
            </w:pPr>
            <w:r w:rsidRPr="003F2AA0">
              <w:rPr>
                <w:sz w:val="16"/>
                <w:szCs w:val="16"/>
              </w:rPr>
              <w:t>656</w:t>
            </w:r>
          </w:p>
        </w:tc>
        <w:tc>
          <w:tcPr>
            <w:tcW w:w="851" w:type="dxa"/>
            <w:shd w:val="clear" w:color="000000" w:fill="FA9EA0"/>
            <w:noWrap/>
            <w:vAlign w:val="bottom"/>
            <w:hideMark/>
          </w:tcPr>
          <w:p w:rsidR="003F2AA0" w:rsidRPr="003F2AA0" w:rsidRDefault="003F2AA0" w:rsidP="003F2AA0">
            <w:pPr>
              <w:spacing w:before="0"/>
              <w:jc w:val="right"/>
              <w:rPr>
                <w:sz w:val="16"/>
                <w:szCs w:val="16"/>
              </w:rPr>
            </w:pPr>
            <w:r w:rsidRPr="003F2AA0">
              <w:rPr>
                <w:sz w:val="16"/>
                <w:szCs w:val="16"/>
              </w:rPr>
              <w:t>546</w:t>
            </w:r>
          </w:p>
        </w:tc>
        <w:tc>
          <w:tcPr>
            <w:tcW w:w="708" w:type="dxa"/>
            <w:shd w:val="clear" w:color="000000" w:fill="EEF2FA"/>
            <w:noWrap/>
            <w:vAlign w:val="bottom"/>
            <w:hideMark/>
          </w:tcPr>
          <w:p w:rsidR="003F2AA0" w:rsidRPr="003F2AA0" w:rsidRDefault="003F2AA0" w:rsidP="003F2AA0">
            <w:pPr>
              <w:spacing w:before="0"/>
              <w:jc w:val="right"/>
              <w:rPr>
                <w:sz w:val="16"/>
                <w:szCs w:val="16"/>
              </w:rPr>
            </w:pPr>
            <w:r w:rsidRPr="003F2AA0">
              <w:rPr>
                <w:sz w:val="16"/>
                <w:szCs w:val="16"/>
              </w:rPr>
              <w:t>25</w:t>
            </w:r>
          </w:p>
        </w:tc>
        <w:tc>
          <w:tcPr>
            <w:tcW w:w="851" w:type="dxa"/>
            <w:shd w:val="clear" w:color="000000" w:fill="FCE0E3"/>
            <w:noWrap/>
            <w:vAlign w:val="bottom"/>
            <w:hideMark/>
          </w:tcPr>
          <w:p w:rsidR="003F2AA0" w:rsidRPr="003F2AA0" w:rsidRDefault="003F2AA0" w:rsidP="003F2AA0">
            <w:pPr>
              <w:spacing w:before="0"/>
              <w:jc w:val="right"/>
              <w:rPr>
                <w:sz w:val="16"/>
                <w:szCs w:val="16"/>
              </w:rPr>
            </w:pPr>
            <w:r w:rsidRPr="003F2AA0">
              <w:rPr>
                <w:sz w:val="16"/>
                <w:szCs w:val="16"/>
              </w:rPr>
              <w:t>199</w:t>
            </w:r>
          </w:p>
        </w:tc>
        <w:tc>
          <w:tcPr>
            <w:tcW w:w="850" w:type="dxa"/>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53</w:t>
            </w:r>
          </w:p>
        </w:tc>
        <w:tc>
          <w:tcPr>
            <w:tcW w:w="660" w:type="dxa"/>
            <w:shd w:val="clear" w:color="000000" w:fill="FCEBEE"/>
            <w:noWrap/>
            <w:vAlign w:val="bottom"/>
            <w:hideMark/>
          </w:tcPr>
          <w:p w:rsidR="003F2AA0" w:rsidRPr="003F2AA0" w:rsidRDefault="003F2AA0" w:rsidP="003F2AA0">
            <w:pPr>
              <w:spacing w:before="0"/>
              <w:jc w:val="right"/>
              <w:rPr>
                <w:sz w:val="16"/>
                <w:szCs w:val="16"/>
              </w:rPr>
            </w:pPr>
            <w:r w:rsidRPr="003F2AA0">
              <w:rPr>
                <w:sz w:val="16"/>
                <w:szCs w:val="16"/>
              </w:rPr>
              <w:t>142</w:t>
            </w:r>
          </w:p>
        </w:tc>
        <w:tc>
          <w:tcPr>
            <w:tcW w:w="900" w:type="dxa"/>
            <w:shd w:val="clear" w:color="000000" w:fill="ECF0F9"/>
            <w:noWrap/>
            <w:vAlign w:val="bottom"/>
            <w:hideMark/>
          </w:tcPr>
          <w:p w:rsidR="003F2AA0" w:rsidRPr="003F2AA0" w:rsidRDefault="003F2AA0" w:rsidP="003F2AA0">
            <w:pPr>
              <w:spacing w:before="0"/>
              <w:jc w:val="right"/>
              <w:rPr>
                <w:sz w:val="16"/>
                <w:szCs w:val="16"/>
              </w:rPr>
            </w:pPr>
            <w:r w:rsidRPr="003F2AA0">
              <w:rPr>
                <w:sz w:val="16"/>
                <w:szCs w:val="16"/>
              </w:rPr>
              <w:t>46</w:t>
            </w:r>
          </w:p>
        </w:tc>
        <w:tc>
          <w:tcPr>
            <w:tcW w:w="916" w:type="dxa"/>
            <w:shd w:val="clear" w:color="000000" w:fill="ECF0F9"/>
            <w:noWrap/>
            <w:vAlign w:val="bottom"/>
            <w:hideMark/>
          </w:tcPr>
          <w:p w:rsidR="003F2AA0" w:rsidRPr="003F2AA0" w:rsidRDefault="003F2AA0" w:rsidP="003F2AA0">
            <w:pPr>
              <w:spacing w:before="0"/>
              <w:jc w:val="right"/>
              <w:rPr>
                <w:sz w:val="16"/>
                <w:szCs w:val="16"/>
              </w:rPr>
            </w:pPr>
            <w:r w:rsidRPr="003F2AA0">
              <w:rPr>
                <w:sz w:val="16"/>
                <w:szCs w:val="16"/>
              </w:rPr>
              <w:t>46</w:t>
            </w:r>
          </w:p>
        </w:tc>
      </w:tr>
      <w:tr w:rsidR="003F2AA0" w:rsidRPr="003F2AA0" w:rsidTr="003F2AA0">
        <w:trPr>
          <w:trHeight w:val="20"/>
        </w:trPr>
        <w:tc>
          <w:tcPr>
            <w:tcW w:w="1418" w:type="dxa"/>
            <w:tcBorders>
              <w:bottom w:val="single" w:sz="8" w:space="0" w:color="auto"/>
            </w:tcBorders>
            <w:shd w:val="clear" w:color="auto" w:fill="auto"/>
            <w:noWrap/>
            <w:vAlign w:val="bottom"/>
            <w:hideMark/>
          </w:tcPr>
          <w:p w:rsidR="003F2AA0" w:rsidRPr="003F2AA0" w:rsidRDefault="003F2AA0" w:rsidP="003F2AA0">
            <w:pPr>
              <w:spacing w:before="0"/>
              <w:rPr>
                <w:sz w:val="16"/>
                <w:szCs w:val="16"/>
              </w:rPr>
            </w:pPr>
            <w:r w:rsidRPr="003F2AA0">
              <w:rPr>
                <w:sz w:val="16"/>
                <w:szCs w:val="16"/>
              </w:rPr>
              <w:t>Jihomoravský</w:t>
            </w:r>
          </w:p>
        </w:tc>
        <w:tc>
          <w:tcPr>
            <w:tcW w:w="663" w:type="dxa"/>
            <w:tcBorders>
              <w:bottom w:val="single" w:sz="8" w:space="0" w:color="auto"/>
            </w:tcBorders>
            <w:shd w:val="clear" w:color="000000" w:fill="E3EAF6"/>
            <w:noWrap/>
            <w:vAlign w:val="bottom"/>
            <w:hideMark/>
          </w:tcPr>
          <w:p w:rsidR="003F2AA0" w:rsidRPr="003F2AA0" w:rsidRDefault="003F2AA0" w:rsidP="003F2AA0">
            <w:pPr>
              <w:spacing w:before="0"/>
              <w:jc w:val="right"/>
              <w:rPr>
                <w:sz w:val="16"/>
                <w:szCs w:val="16"/>
              </w:rPr>
            </w:pPr>
            <w:r w:rsidRPr="003F2AA0">
              <w:rPr>
                <w:sz w:val="16"/>
                <w:szCs w:val="16"/>
              </w:rPr>
              <w:t>459</w:t>
            </w:r>
          </w:p>
        </w:tc>
        <w:tc>
          <w:tcPr>
            <w:tcW w:w="754" w:type="dxa"/>
            <w:tcBorders>
              <w:bottom w:val="single" w:sz="8" w:space="0" w:color="auto"/>
            </w:tcBorders>
            <w:shd w:val="clear" w:color="000000" w:fill="FA9DA0"/>
            <w:noWrap/>
            <w:vAlign w:val="bottom"/>
            <w:hideMark/>
          </w:tcPr>
          <w:p w:rsidR="003F2AA0" w:rsidRPr="003F2AA0" w:rsidRDefault="003F2AA0" w:rsidP="003F2AA0">
            <w:pPr>
              <w:spacing w:before="0"/>
              <w:jc w:val="right"/>
              <w:rPr>
                <w:sz w:val="16"/>
                <w:szCs w:val="16"/>
              </w:rPr>
            </w:pPr>
            <w:r w:rsidRPr="003F2AA0">
              <w:rPr>
                <w:sz w:val="16"/>
                <w:szCs w:val="16"/>
              </w:rPr>
              <w:t>1 401</w:t>
            </w:r>
          </w:p>
        </w:tc>
        <w:tc>
          <w:tcPr>
            <w:tcW w:w="709" w:type="dxa"/>
            <w:tcBorders>
              <w:bottom w:val="single" w:sz="8" w:space="0" w:color="auto"/>
            </w:tcBorders>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942</w:t>
            </w:r>
          </w:p>
        </w:tc>
        <w:tc>
          <w:tcPr>
            <w:tcW w:w="851" w:type="dxa"/>
            <w:tcBorders>
              <w:bottom w:val="single" w:sz="8" w:space="0" w:color="auto"/>
            </w:tcBorders>
            <w:shd w:val="clear" w:color="000000" w:fill="F97D7F"/>
            <w:noWrap/>
            <w:vAlign w:val="bottom"/>
            <w:hideMark/>
          </w:tcPr>
          <w:p w:rsidR="003F2AA0" w:rsidRPr="003F2AA0" w:rsidRDefault="003F2AA0" w:rsidP="003F2AA0">
            <w:pPr>
              <w:spacing w:before="0"/>
              <w:jc w:val="right"/>
              <w:rPr>
                <w:sz w:val="16"/>
                <w:szCs w:val="16"/>
              </w:rPr>
            </w:pPr>
            <w:r w:rsidRPr="003F2AA0">
              <w:rPr>
                <w:sz w:val="16"/>
                <w:szCs w:val="16"/>
              </w:rPr>
              <w:t>720</w:t>
            </w:r>
          </w:p>
        </w:tc>
        <w:tc>
          <w:tcPr>
            <w:tcW w:w="708" w:type="dxa"/>
            <w:tcBorders>
              <w:bottom w:val="single" w:sz="8" w:space="0" w:color="auto"/>
            </w:tcBorders>
            <w:shd w:val="clear" w:color="000000" w:fill="F7F8FD"/>
            <w:noWrap/>
            <w:vAlign w:val="bottom"/>
            <w:hideMark/>
          </w:tcPr>
          <w:p w:rsidR="003F2AA0" w:rsidRPr="003F2AA0" w:rsidRDefault="003F2AA0" w:rsidP="003F2AA0">
            <w:pPr>
              <w:spacing w:before="0"/>
              <w:jc w:val="right"/>
              <w:rPr>
                <w:sz w:val="16"/>
                <w:szCs w:val="16"/>
              </w:rPr>
            </w:pPr>
            <w:r w:rsidRPr="003F2AA0">
              <w:rPr>
                <w:sz w:val="16"/>
                <w:szCs w:val="16"/>
              </w:rPr>
              <w:t>26</w:t>
            </w:r>
          </w:p>
        </w:tc>
        <w:tc>
          <w:tcPr>
            <w:tcW w:w="851" w:type="dxa"/>
            <w:tcBorders>
              <w:bottom w:val="single" w:sz="8" w:space="0" w:color="auto"/>
            </w:tcBorders>
            <w:shd w:val="clear" w:color="000000" w:fill="FBC9CB"/>
            <w:noWrap/>
            <w:vAlign w:val="bottom"/>
            <w:hideMark/>
          </w:tcPr>
          <w:p w:rsidR="003F2AA0" w:rsidRPr="003F2AA0" w:rsidRDefault="003F2AA0" w:rsidP="003F2AA0">
            <w:pPr>
              <w:spacing w:before="0"/>
              <w:jc w:val="right"/>
              <w:rPr>
                <w:sz w:val="16"/>
                <w:szCs w:val="16"/>
              </w:rPr>
            </w:pPr>
            <w:r w:rsidRPr="003F2AA0">
              <w:rPr>
                <w:sz w:val="16"/>
                <w:szCs w:val="16"/>
              </w:rPr>
              <w:t>322</w:t>
            </w:r>
          </w:p>
        </w:tc>
        <w:tc>
          <w:tcPr>
            <w:tcW w:w="850" w:type="dxa"/>
            <w:tcBorders>
              <w:bottom w:val="single" w:sz="8" w:space="0" w:color="auto"/>
            </w:tcBorders>
            <w:shd w:val="clear" w:color="000000" w:fill="FCE6E9"/>
            <w:noWrap/>
            <w:vAlign w:val="bottom"/>
            <w:hideMark/>
          </w:tcPr>
          <w:p w:rsidR="003F2AA0" w:rsidRPr="003F2AA0" w:rsidRDefault="003F2AA0" w:rsidP="003F2AA0">
            <w:pPr>
              <w:spacing w:before="0"/>
              <w:jc w:val="right"/>
              <w:rPr>
                <w:sz w:val="16"/>
                <w:szCs w:val="16"/>
              </w:rPr>
            </w:pPr>
            <w:r w:rsidRPr="003F2AA0">
              <w:rPr>
                <w:sz w:val="16"/>
                <w:szCs w:val="16"/>
              </w:rPr>
              <w:t>170</w:t>
            </w:r>
          </w:p>
        </w:tc>
        <w:tc>
          <w:tcPr>
            <w:tcW w:w="660" w:type="dxa"/>
            <w:tcBorders>
              <w:bottom w:val="single" w:sz="8" w:space="0" w:color="auto"/>
            </w:tcBorders>
            <w:shd w:val="clear" w:color="000000" w:fill="FCECEF"/>
            <w:noWrap/>
            <w:vAlign w:val="bottom"/>
            <w:hideMark/>
          </w:tcPr>
          <w:p w:rsidR="003F2AA0" w:rsidRPr="003F2AA0" w:rsidRDefault="003F2AA0" w:rsidP="003F2AA0">
            <w:pPr>
              <w:spacing w:before="0"/>
              <w:jc w:val="right"/>
              <w:rPr>
                <w:sz w:val="16"/>
                <w:szCs w:val="16"/>
              </w:rPr>
            </w:pPr>
            <w:r w:rsidRPr="003F2AA0">
              <w:rPr>
                <w:sz w:val="16"/>
                <w:szCs w:val="16"/>
              </w:rPr>
              <w:t>139</w:t>
            </w:r>
          </w:p>
        </w:tc>
        <w:tc>
          <w:tcPr>
            <w:tcW w:w="900" w:type="dxa"/>
            <w:tcBorders>
              <w:bottom w:val="single" w:sz="8" w:space="0" w:color="auto"/>
            </w:tcBorders>
            <w:shd w:val="clear" w:color="000000" w:fill="8FAFD8"/>
            <w:noWrap/>
            <w:vAlign w:val="bottom"/>
            <w:hideMark/>
          </w:tcPr>
          <w:p w:rsidR="003F2AA0" w:rsidRPr="003F2AA0" w:rsidRDefault="003F2AA0" w:rsidP="003F2AA0">
            <w:pPr>
              <w:spacing w:before="0"/>
              <w:jc w:val="right"/>
              <w:rPr>
                <w:sz w:val="16"/>
                <w:szCs w:val="16"/>
              </w:rPr>
            </w:pPr>
            <w:r w:rsidRPr="003F2AA0">
              <w:rPr>
                <w:sz w:val="16"/>
                <w:szCs w:val="16"/>
              </w:rPr>
              <w:t>17</w:t>
            </w:r>
          </w:p>
        </w:tc>
        <w:tc>
          <w:tcPr>
            <w:tcW w:w="916" w:type="dxa"/>
            <w:tcBorders>
              <w:bottom w:val="single" w:sz="8" w:space="0" w:color="auto"/>
            </w:tcBorders>
            <w:shd w:val="clear" w:color="000000" w:fill="7099CD"/>
            <w:noWrap/>
            <w:vAlign w:val="bottom"/>
            <w:hideMark/>
          </w:tcPr>
          <w:p w:rsidR="003F2AA0" w:rsidRPr="003F2AA0" w:rsidRDefault="003F2AA0" w:rsidP="003F2AA0">
            <w:pPr>
              <w:spacing w:before="0"/>
              <w:jc w:val="right"/>
              <w:rPr>
                <w:sz w:val="16"/>
                <w:szCs w:val="16"/>
              </w:rPr>
            </w:pPr>
            <w:r w:rsidRPr="003F2AA0">
              <w:rPr>
                <w:sz w:val="16"/>
                <w:szCs w:val="16"/>
              </w:rPr>
              <w:t>7</w:t>
            </w:r>
          </w:p>
        </w:tc>
      </w:tr>
      <w:tr w:rsidR="003F2AA0" w:rsidRPr="003F2AA0" w:rsidTr="003F2AA0">
        <w:trPr>
          <w:trHeight w:val="20"/>
        </w:trPr>
        <w:tc>
          <w:tcPr>
            <w:tcW w:w="1418" w:type="dxa"/>
            <w:tcBorders>
              <w:top w:val="single" w:sz="8" w:space="0" w:color="auto"/>
              <w:left w:val="single" w:sz="8" w:space="0" w:color="auto"/>
              <w:bottom w:val="single" w:sz="8" w:space="0" w:color="auto"/>
            </w:tcBorders>
            <w:shd w:val="clear" w:color="auto" w:fill="auto"/>
            <w:noWrap/>
            <w:vAlign w:val="bottom"/>
            <w:hideMark/>
          </w:tcPr>
          <w:p w:rsidR="003F2AA0" w:rsidRPr="003F2AA0" w:rsidRDefault="003F2AA0" w:rsidP="003F2AA0">
            <w:pPr>
              <w:spacing w:before="0"/>
              <w:rPr>
                <w:b/>
                <w:bCs/>
                <w:sz w:val="16"/>
                <w:szCs w:val="16"/>
              </w:rPr>
            </w:pPr>
            <w:r w:rsidRPr="003F2AA0">
              <w:rPr>
                <w:b/>
                <w:bCs/>
                <w:sz w:val="16"/>
                <w:szCs w:val="16"/>
              </w:rPr>
              <w:t>Olomoucký</w:t>
            </w:r>
          </w:p>
        </w:tc>
        <w:tc>
          <w:tcPr>
            <w:tcW w:w="663" w:type="dxa"/>
            <w:tcBorders>
              <w:top w:val="single" w:sz="8" w:space="0" w:color="auto"/>
              <w:bottom w:val="single" w:sz="8" w:space="0" w:color="auto"/>
            </w:tcBorders>
            <w:shd w:val="clear" w:color="000000" w:fill="F5F7FC"/>
            <w:noWrap/>
            <w:vAlign w:val="bottom"/>
            <w:hideMark/>
          </w:tcPr>
          <w:p w:rsidR="003F2AA0" w:rsidRPr="003F2AA0" w:rsidRDefault="003F2AA0" w:rsidP="003F2AA0">
            <w:pPr>
              <w:spacing w:before="0"/>
              <w:jc w:val="right"/>
              <w:rPr>
                <w:sz w:val="16"/>
                <w:szCs w:val="16"/>
              </w:rPr>
            </w:pPr>
            <w:r w:rsidRPr="003F2AA0">
              <w:rPr>
                <w:sz w:val="16"/>
                <w:szCs w:val="16"/>
              </w:rPr>
              <w:t>518</w:t>
            </w:r>
          </w:p>
        </w:tc>
        <w:tc>
          <w:tcPr>
            <w:tcW w:w="754" w:type="dxa"/>
            <w:tcBorders>
              <w:top w:val="single" w:sz="8" w:space="0" w:color="auto"/>
              <w:bottom w:val="single" w:sz="8" w:space="0" w:color="auto"/>
            </w:tcBorders>
            <w:shd w:val="clear" w:color="000000" w:fill="FAA5A8"/>
            <w:noWrap/>
            <w:vAlign w:val="bottom"/>
            <w:hideMark/>
          </w:tcPr>
          <w:p w:rsidR="003F2AA0" w:rsidRPr="003F2AA0" w:rsidRDefault="003F2AA0" w:rsidP="003F2AA0">
            <w:pPr>
              <w:spacing w:before="0"/>
              <w:jc w:val="right"/>
              <w:rPr>
                <w:sz w:val="16"/>
                <w:szCs w:val="16"/>
              </w:rPr>
            </w:pPr>
            <w:r w:rsidRPr="003F2AA0">
              <w:rPr>
                <w:sz w:val="16"/>
                <w:szCs w:val="16"/>
              </w:rPr>
              <w:t>1 327</w:t>
            </w:r>
          </w:p>
        </w:tc>
        <w:tc>
          <w:tcPr>
            <w:tcW w:w="709" w:type="dxa"/>
            <w:tcBorders>
              <w:top w:val="single" w:sz="8" w:space="0" w:color="auto"/>
              <w:bottom w:val="single" w:sz="8" w:space="0" w:color="auto"/>
            </w:tcBorders>
            <w:shd w:val="clear" w:color="000000" w:fill="E3F2EA"/>
            <w:noWrap/>
            <w:vAlign w:val="bottom"/>
            <w:hideMark/>
          </w:tcPr>
          <w:p w:rsidR="003F2AA0" w:rsidRPr="003F2AA0" w:rsidRDefault="003F2AA0" w:rsidP="003F2AA0">
            <w:pPr>
              <w:spacing w:before="0"/>
              <w:jc w:val="right"/>
              <w:rPr>
                <w:sz w:val="16"/>
                <w:szCs w:val="16"/>
              </w:rPr>
            </w:pPr>
            <w:r w:rsidRPr="003F2AA0">
              <w:rPr>
                <w:sz w:val="16"/>
                <w:szCs w:val="16"/>
              </w:rPr>
              <w:t>809</w:t>
            </w:r>
          </w:p>
        </w:tc>
        <w:tc>
          <w:tcPr>
            <w:tcW w:w="851" w:type="dxa"/>
            <w:tcBorders>
              <w:top w:val="single" w:sz="8" w:space="0" w:color="auto"/>
              <w:bottom w:val="single" w:sz="8" w:space="0" w:color="auto"/>
            </w:tcBorders>
            <w:shd w:val="clear" w:color="000000" w:fill="F9797B"/>
            <w:noWrap/>
            <w:vAlign w:val="bottom"/>
            <w:hideMark/>
          </w:tcPr>
          <w:p w:rsidR="003F2AA0" w:rsidRPr="003F2AA0" w:rsidRDefault="003F2AA0" w:rsidP="003F2AA0">
            <w:pPr>
              <w:spacing w:before="0"/>
              <w:jc w:val="right"/>
              <w:rPr>
                <w:sz w:val="16"/>
                <w:szCs w:val="16"/>
              </w:rPr>
            </w:pPr>
            <w:r w:rsidRPr="003F2AA0">
              <w:rPr>
                <w:sz w:val="16"/>
                <w:szCs w:val="16"/>
              </w:rPr>
              <w:t>737</w:t>
            </w:r>
          </w:p>
        </w:tc>
        <w:tc>
          <w:tcPr>
            <w:tcW w:w="708" w:type="dxa"/>
            <w:tcBorders>
              <w:top w:val="single" w:sz="8" w:space="0" w:color="auto"/>
              <w:bottom w:val="single" w:sz="8" w:space="0" w:color="auto"/>
            </w:tcBorders>
            <w:shd w:val="clear" w:color="000000" w:fill="F8696B"/>
            <w:noWrap/>
            <w:vAlign w:val="bottom"/>
            <w:hideMark/>
          </w:tcPr>
          <w:p w:rsidR="003F2AA0" w:rsidRPr="003F2AA0" w:rsidRDefault="003F2AA0" w:rsidP="003F2AA0">
            <w:pPr>
              <w:spacing w:before="0"/>
              <w:jc w:val="right"/>
              <w:rPr>
                <w:sz w:val="16"/>
                <w:szCs w:val="16"/>
              </w:rPr>
            </w:pPr>
            <w:r w:rsidRPr="003F2AA0">
              <w:rPr>
                <w:sz w:val="16"/>
                <w:szCs w:val="16"/>
              </w:rPr>
              <w:t>142</w:t>
            </w:r>
          </w:p>
        </w:tc>
        <w:tc>
          <w:tcPr>
            <w:tcW w:w="851" w:type="dxa"/>
            <w:tcBorders>
              <w:top w:val="single" w:sz="8" w:space="0" w:color="auto"/>
              <w:bottom w:val="single" w:sz="8" w:space="0" w:color="auto"/>
            </w:tcBorders>
            <w:shd w:val="clear" w:color="000000" w:fill="FBD7D9"/>
            <w:noWrap/>
            <w:vAlign w:val="bottom"/>
            <w:hideMark/>
          </w:tcPr>
          <w:p w:rsidR="003F2AA0" w:rsidRPr="003F2AA0" w:rsidRDefault="003F2AA0" w:rsidP="003F2AA0">
            <w:pPr>
              <w:spacing w:before="0"/>
              <w:jc w:val="right"/>
              <w:rPr>
                <w:sz w:val="16"/>
                <w:szCs w:val="16"/>
              </w:rPr>
            </w:pPr>
            <w:r w:rsidRPr="003F2AA0">
              <w:rPr>
                <w:sz w:val="16"/>
                <w:szCs w:val="16"/>
              </w:rPr>
              <w:t>249</w:t>
            </w:r>
          </w:p>
        </w:tc>
        <w:tc>
          <w:tcPr>
            <w:tcW w:w="850" w:type="dxa"/>
            <w:tcBorders>
              <w:top w:val="single" w:sz="8" w:space="0" w:color="auto"/>
              <w:bottom w:val="single" w:sz="8" w:space="0" w:color="auto"/>
            </w:tcBorders>
            <w:shd w:val="clear" w:color="000000" w:fill="ECF0F9"/>
            <w:noWrap/>
            <w:vAlign w:val="bottom"/>
            <w:hideMark/>
          </w:tcPr>
          <w:p w:rsidR="003F2AA0" w:rsidRPr="003F2AA0" w:rsidRDefault="003F2AA0" w:rsidP="003F2AA0">
            <w:pPr>
              <w:spacing w:before="0"/>
              <w:jc w:val="right"/>
              <w:rPr>
                <w:sz w:val="16"/>
                <w:szCs w:val="16"/>
              </w:rPr>
            </w:pPr>
            <w:r w:rsidRPr="003F2AA0">
              <w:rPr>
                <w:sz w:val="16"/>
                <w:szCs w:val="16"/>
              </w:rPr>
              <w:t>46</w:t>
            </w:r>
          </w:p>
        </w:tc>
        <w:tc>
          <w:tcPr>
            <w:tcW w:w="660" w:type="dxa"/>
            <w:tcBorders>
              <w:top w:val="single" w:sz="8" w:space="0" w:color="auto"/>
              <w:bottom w:val="single" w:sz="8" w:space="0" w:color="auto"/>
            </w:tcBorders>
            <w:shd w:val="clear" w:color="000000" w:fill="FCF3F6"/>
            <w:noWrap/>
            <w:vAlign w:val="bottom"/>
            <w:hideMark/>
          </w:tcPr>
          <w:p w:rsidR="003F2AA0" w:rsidRPr="003F2AA0" w:rsidRDefault="003F2AA0" w:rsidP="003F2AA0">
            <w:pPr>
              <w:spacing w:before="0"/>
              <w:jc w:val="right"/>
              <w:rPr>
                <w:sz w:val="16"/>
                <w:szCs w:val="16"/>
              </w:rPr>
            </w:pPr>
            <w:r w:rsidRPr="003F2AA0">
              <w:rPr>
                <w:sz w:val="16"/>
                <w:szCs w:val="16"/>
              </w:rPr>
              <w:t>99</w:t>
            </w:r>
          </w:p>
        </w:tc>
        <w:tc>
          <w:tcPr>
            <w:tcW w:w="900" w:type="dxa"/>
            <w:tcBorders>
              <w:top w:val="single" w:sz="8" w:space="0" w:color="auto"/>
              <w:bottom w:val="single" w:sz="8" w:space="0" w:color="auto"/>
            </w:tcBorders>
            <w:shd w:val="clear" w:color="000000" w:fill="99B6DC"/>
            <w:noWrap/>
            <w:vAlign w:val="bottom"/>
            <w:hideMark/>
          </w:tcPr>
          <w:p w:rsidR="003F2AA0" w:rsidRPr="003F2AA0" w:rsidRDefault="003F2AA0" w:rsidP="003F2AA0">
            <w:pPr>
              <w:spacing w:before="0"/>
              <w:jc w:val="right"/>
              <w:rPr>
                <w:sz w:val="16"/>
                <w:szCs w:val="16"/>
              </w:rPr>
            </w:pPr>
            <w:r w:rsidRPr="003F2AA0">
              <w:rPr>
                <w:sz w:val="16"/>
                <w:szCs w:val="16"/>
              </w:rPr>
              <w:t>20</w:t>
            </w:r>
          </w:p>
        </w:tc>
        <w:tc>
          <w:tcPr>
            <w:tcW w:w="916" w:type="dxa"/>
            <w:tcBorders>
              <w:top w:val="single" w:sz="8" w:space="0" w:color="auto"/>
              <w:bottom w:val="single" w:sz="8" w:space="0" w:color="auto"/>
              <w:right w:val="single" w:sz="8" w:space="0" w:color="auto"/>
            </w:tcBorders>
            <w:shd w:val="clear" w:color="000000" w:fill="C5D5EB"/>
            <w:noWrap/>
            <w:vAlign w:val="bottom"/>
            <w:hideMark/>
          </w:tcPr>
          <w:p w:rsidR="003F2AA0" w:rsidRPr="003F2AA0" w:rsidRDefault="003F2AA0" w:rsidP="003F2AA0">
            <w:pPr>
              <w:spacing w:before="0"/>
              <w:jc w:val="right"/>
              <w:rPr>
                <w:sz w:val="16"/>
                <w:szCs w:val="16"/>
              </w:rPr>
            </w:pPr>
            <w:r w:rsidRPr="003F2AA0">
              <w:rPr>
                <w:sz w:val="16"/>
                <w:szCs w:val="16"/>
              </w:rPr>
              <w:t>34</w:t>
            </w:r>
          </w:p>
        </w:tc>
      </w:tr>
      <w:tr w:rsidR="003F2AA0" w:rsidRPr="003F2AA0" w:rsidTr="003F2AA0">
        <w:trPr>
          <w:trHeight w:val="20"/>
        </w:trPr>
        <w:tc>
          <w:tcPr>
            <w:tcW w:w="1418" w:type="dxa"/>
            <w:tcBorders>
              <w:top w:val="single" w:sz="8" w:space="0" w:color="auto"/>
            </w:tcBorders>
            <w:shd w:val="clear" w:color="auto" w:fill="auto"/>
            <w:noWrap/>
            <w:vAlign w:val="bottom"/>
            <w:hideMark/>
          </w:tcPr>
          <w:p w:rsidR="003F2AA0" w:rsidRPr="003F2AA0" w:rsidRDefault="003F2AA0" w:rsidP="003F2AA0">
            <w:pPr>
              <w:spacing w:before="0"/>
              <w:rPr>
                <w:sz w:val="16"/>
                <w:szCs w:val="16"/>
              </w:rPr>
            </w:pPr>
            <w:r w:rsidRPr="003F2AA0">
              <w:rPr>
                <w:sz w:val="16"/>
                <w:szCs w:val="16"/>
              </w:rPr>
              <w:lastRenderedPageBreak/>
              <w:t>Zlínský</w:t>
            </w:r>
          </w:p>
        </w:tc>
        <w:tc>
          <w:tcPr>
            <w:tcW w:w="663" w:type="dxa"/>
            <w:tcBorders>
              <w:top w:val="single" w:sz="8" w:space="0" w:color="auto"/>
            </w:tcBorders>
            <w:shd w:val="clear" w:color="000000" w:fill="BDCFE8"/>
            <w:noWrap/>
            <w:vAlign w:val="bottom"/>
            <w:hideMark/>
          </w:tcPr>
          <w:p w:rsidR="003F2AA0" w:rsidRPr="003F2AA0" w:rsidRDefault="003F2AA0" w:rsidP="003F2AA0">
            <w:pPr>
              <w:spacing w:before="0"/>
              <w:jc w:val="right"/>
              <w:rPr>
                <w:sz w:val="16"/>
                <w:szCs w:val="16"/>
              </w:rPr>
            </w:pPr>
            <w:r w:rsidRPr="003F2AA0">
              <w:rPr>
                <w:sz w:val="16"/>
                <w:szCs w:val="16"/>
              </w:rPr>
              <w:t>334</w:t>
            </w:r>
          </w:p>
        </w:tc>
        <w:tc>
          <w:tcPr>
            <w:tcW w:w="754" w:type="dxa"/>
            <w:tcBorders>
              <w:top w:val="single" w:sz="8" w:space="0" w:color="auto"/>
            </w:tcBorders>
            <w:shd w:val="clear" w:color="000000" w:fill="FCEEF1"/>
            <w:noWrap/>
            <w:vAlign w:val="bottom"/>
            <w:hideMark/>
          </w:tcPr>
          <w:p w:rsidR="003F2AA0" w:rsidRPr="003F2AA0" w:rsidRDefault="003F2AA0" w:rsidP="003F2AA0">
            <w:pPr>
              <w:spacing w:before="0"/>
              <w:jc w:val="right"/>
              <w:rPr>
                <w:sz w:val="16"/>
                <w:szCs w:val="16"/>
              </w:rPr>
            </w:pPr>
            <w:r w:rsidRPr="003F2AA0">
              <w:rPr>
                <w:sz w:val="16"/>
                <w:szCs w:val="16"/>
              </w:rPr>
              <w:t>668</w:t>
            </w:r>
          </w:p>
        </w:tc>
        <w:tc>
          <w:tcPr>
            <w:tcW w:w="709" w:type="dxa"/>
            <w:tcBorders>
              <w:top w:val="single" w:sz="8" w:space="0" w:color="auto"/>
            </w:tcBorders>
            <w:shd w:val="clear" w:color="000000" w:fill="8DCF9F"/>
            <w:noWrap/>
            <w:vAlign w:val="bottom"/>
            <w:hideMark/>
          </w:tcPr>
          <w:p w:rsidR="003F2AA0" w:rsidRPr="003F2AA0" w:rsidRDefault="003F2AA0" w:rsidP="003F2AA0">
            <w:pPr>
              <w:spacing w:before="0"/>
              <w:jc w:val="right"/>
              <w:rPr>
                <w:sz w:val="16"/>
                <w:szCs w:val="16"/>
              </w:rPr>
            </w:pPr>
            <w:r w:rsidRPr="003F2AA0">
              <w:rPr>
                <w:sz w:val="16"/>
                <w:szCs w:val="16"/>
              </w:rPr>
              <w:t>334</w:t>
            </w:r>
          </w:p>
        </w:tc>
        <w:tc>
          <w:tcPr>
            <w:tcW w:w="851" w:type="dxa"/>
            <w:tcBorders>
              <w:top w:val="single" w:sz="8" w:space="0" w:color="auto"/>
            </w:tcBorders>
            <w:shd w:val="clear" w:color="000000" w:fill="FAB1B4"/>
            <w:noWrap/>
            <w:vAlign w:val="bottom"/>
            <w:hideMark/>
          </w:tcPr>
          <w:p w:rsidR="003F2AA0" w:rsidRPr="003F2AA0" w:rsidRDefault="003F2AA0" w:rsidP="003F2AA0">
            <w:pPr>
              <w:spacing w:before="0"/>
              <w:jc w:val="right"/>
              <w:rPr>
                <w:sz w:val="16"/>
                <w:szCs w:val="16"/>
              </w:rPr>
            </w:pPr>
            <w:r w:rsidRPr="003F2AA0">
              <w:rPr>
                <w:sz w:val="16"/>
                <w:szCs w:val="16"/>
              </w:rPr>
              <w:t>445</w:t>
            </w:r>
          </w:p>
        </w:tc>
        <w:tc>
          <w:tcPr>
            <w:tcW w:w="708" w:type="dxa"/>
            <w:tcBorders>
              <w:top w:val="single" w:sz="8" w:space="0" w:color="auto"/>
            </w:tcBorders>
            <w:shd w:val="clear" w:color="000000" w:fill="FCE8EA"/>
            <w:noWrap/>
            <w:vAlign w:val="bottom"/>
            <w:hideMark/>
          </w:tcPr>
          <w:p w:rsidR="003F2AA0" w:rsidRPr="003F2AA0" w:rsidRDefault="003F2AA0" w:rsidP="003F2AA0">
            <w:pPr>
              <w:spacing w:before="0"/>
              <w:jc w:val="right"/>
              <w:rPr>
                <w:sz w:val="16"/>
                <w:szCs w:val="16"/>
              </w:rPr>
            </w:pPr>
            <w:r w:rsidRPr="003F2AA0">
              <w:rPr>
                <w:sz w:val="16"/>
                <w:szCs w:val="16"/>
              </w:rPr>
              <w:t>43</w:t>
            </w:r>
          </w:p>
        </w:tc>
        <w:tc>
          <w:tcPr>
            <w:tcW w:w="851" w:type="dxa"/>
            <w:tcBorders>
              <w:top w:val="single" w:sz="8" w:space="0" w:color="auto"/>
            </w:tcBorders>
            <w:shd w:val="clear" w:color="000000" w:fill="FCF4F7"/>
            <w:noWrap/>
            <w:vAlign w:val="bottom"/>
            <w:hideMark/>
          </w:tcPr>
          <w:p w:rsidR="003F2AA0" w:rsidRPr="003F2AA0" w:rsidRDefault="003F2AA0" w:rsidP="003F2AA0">
            <w:pPr>
              <w:spacing w:before="0"/>
              <w:jc w:val="right"/>
              <w:rPr>
                <w:sz w:val="16"/>
                <w:szCs w:val="16"/>
              </w:rPr>
            </w:pPr>
            <w:r w:rsidRPr="003F2AA0">
              <w:rPr>
                <w:sz w:val="16"/>
                <w:szCs w:val="16"/>
              </w:rPr>
              <w:t>97</w:t>
            </w:r>
          </w:p>
        </w:tc>
        <w:tc>
          <w:tcPr>
            <w:tcW w:w="850" w:type="dxa"/>
            <w:tcBorders>
              <w:top w:val="single" w:sz="8" w:space="0" w:color="auto"/>
            </w:tcBorders>
            <w:shd w:val="clear" w:color="000000" w:fill="89ABD6"/>
            <w:noWrap/>
            <w:vAlign w:val="bottom"/>
            <w:hideMark/>
          </w:tcPr>
          <w:p w:rsidR="003F2AA0" w:rsidRPr="003F2AA0" w:rsidRDefault="003F2AA0" w:rsidP="003F2AA0">
            <w:pPr>
              <w:spacing w:before="0"/>
              <w:jc w:val="right"/>
              <w:rPr>
                <w:sz w:val="16"/>
                <w:szCs w:val="16"/>
              </w:rPr>
            </w:pPr>
            <w:r w:rsidRPr="003F2AA0">
              <w:rPr>
                <w:sz w:val="16"/>
                <w:szCs w:val="16"/>
              </w:rPr>
              <w:t>15</w:t>
            </w:r>
          </w:p>
        </w:tc>
        <w:tc>
          <w:tcPr>
            <w:tcW w:w="660" w:type="dxa"/>
            <w:tcBorders>
              <w:top w:val="single" w:sz="8" w:space="0" w:color="auto"/>
            </w:tcBorders>
            <w:shd w:val="clear" w:color="000000" w:fill="CFDCEF"/>
            <w:noWrap/>
            <w:vAlign w:val="bottom"/>
            <w:hideMark/>
          </w:tcPr>
          <w:p w:rsidR="003F2AA0" w:rsidRPr="003F2AA0" w:rsidRDefault="003F2AA0" w:rsidP="003F2AA0">
            <w:pPr>
              <w:spacing w:before="0"/>
              <w:jc w:val="right"/>
              <w:rPr>
                <w:sz w:val="16"/>
                <w:szCs w:val="16"/>
              </w:rPr>
            </w:pPr>
            <w:r w:rsidRPr="003F2AA0">
              <w:rPr>
                <w:sz w:val="16"/>
                <w:szCs w:val="16"/>
              </w:rPr>
              <w:t>37</w:t>
            </w:r>
          </w:p>
        </w:tc>
        <w:tc>
          <w:tcPr>
            <w:tcW w:w="900" w:type="dxa"/>
            <w:tcBorders>
              <w:top w:val="single" w:sz="8" w:space="0" w:color="auto"/>
            </w:tcBorders>
            <w:shd w:val="clear" w:color="000000" w:fill="9FBBDE"/>
            <w:noWrap/>
            <w:vAlign w:val="bottom"/>
            <w:hideMark/>
          </w:tcPr>
          <w:p w:rsidR="003F2AA0" w:rsidRPr="003F2AA0" w:rsidRDefault="003F2AA0" w:rsidP="003F2AA0">
            <w:pPr>
              <w:spacing w:before="0"/>
              <w:jc w:val="right"/>
              <w:rPr>
                <w:sz w:val="16"/>
                <w:szCs w:val="16"/>
              </w:rPr>
            </w:pPr>
            <w:r w:rsidRPr="003F2AA0">
              <w:rPr>
                <w:sz w:val="16"/>
                <w:szCs w:val="16"/>
              </w:rPr>
              <w:t>22</w:t>
            </w:r>
          </w:p>
        </w:tc>
        <w:tc>
          <w:tcPr>
            <w:tcW w:w="916" w:type="dxa"/>
            <w:tcBorders>
              <w:top w:val="single" w:sz="8" w:space="0" w:color="auto"/>
            </w:tcBorders>
            <w:shd w:val="clear" w:color="000000" w:fill="769ED0"/>
            <w:noWrap/>
            <w:vAlign w:val="bottom"/>
            <w:hideMark/>
          </w:tcPr>
          <w:p w:rsidR="003F2AA0" w:rsidRPr="003F2AA0" w:rsidRDefault="003F2AA0" w:rsidP="003F2AA0">
            <w:pPr>
              <w:spacing w:before="0"/>
              <w:jc w:val="right"/>
              <w:rPr>
                <w:sz w:val="16"/>
                <w:szCs w:val="16"/>
              </w:rPr>
            </w:pPr>
            <w:r w:rsidRPr="003F2AA0">
              <w:rPr>
                <w:sz w:val="16"/>
                <w:szCs w:val="16"/>
              </w:rPr>
              <w:t>9</w:t>
            </w:r>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sz w:val="16"/>
                <w:szCs w:val="16"/>
              </w:rPr>
            </w:pPr>
            <w:r w:rsidRPr="003F2AA0">
              <w:rPr>
                <w:sz w:val="16"/>
                <w:szCs w:val="16"/>
              </w:rPr>
              <w:t>Moravskoslezský</w:t>
            </w:r>
          </w:p>
        </w:tc>
        <w:tc>
          <w:tcPr>
            <w:tcW w:w="663" w:type="dxa"/>
            <w:shd w:val="clear" w:color="000000" w:fill="C5D5EB"/>
            <w:noWrap/>
            <w:vAlign w:val="bottom"/>
            <w:hideMark/>
          </w:tcPr>
          <w:p w:rsidR="003F2AA0" w:rsidRPr="003F2AA0" w:rsidRDefault="003F2AA0" w:rsidP="003F2AA0">
            <w:pPr>
              <w:spacing w:before="0"/>
              <w:jc w:val="right"/>
              <w:rPr>
                <w:sz w:val="16"/>
                <w:szCs w:val="16"/>
              </w:rPr>
            </w:pPr>
            <w:r w:rsidRPr="003F2AA0">
              <w:rPr>
                <w:sz w:val="16"/>
                <w:szCs w:val="16"/>
              </w:rPr>
              <w:t>362</w:t>
            </w:r>
          </w:p>
        </w:tc>
        <w:tc>
          <w:tcPr>
            <w:tcW w:w="754" w:type="dxa"/>
            <w:shd w:val="clear" w:color="000000" w:fill="FCDEE0"/>
            <w:noWrap/>
            <w:vAlign w:val="bottom"/>
            <w:hideMark/>
          </w:tcPr>
          <w:p w:rsidR="003F2AA0" w:rsidRPr="003F2AA0" w:rsidRDefault="003F2AA0" w:rsidP="003F2AA0">
            <w:pPr>
              <w:spacing w:before="0"/>
              <w:jc w:val="right"/>
              <w:rPr>
                <w:sz w:val="16"/>
                <w:szCs w:val="16"/>
              </w:rPr>
            </w:pPr>
            <w:r w:rsidRPr="003F2AA0">
              <w:rPr>
                <w:sz w:val="16"/>
                <w:szCs w:val="16"/>
              </w:rPr>
              <w:t>818</w:t>
            </w:r>
          </w:p>
        </w:tc>
        <w:tc>
          <w:tcPr>
            <w:tcW w:w="709" w:type="dxa"/>
            <w:shd w:val="clear" w:color="000000" w:fill="A3D8B2"/>
            <w:noWrap/>
            <w:vAlign w:val="bottom"/>
            <w:hideMark/>
          </w:tcPr>
          <w:p w:rsidR="003F2AA0" w:rsidRPr="003F2AA0" w:rsidRDefault="003F2AA0" w:rsidP="003F2AA0">
            <w:pPr>
              <w:spacing w:before="0"/>
              <w:jc w:val="right"/>
              <w:rPr>
                <w:sz w:val="16"/>
                <w:szCs w:val="16"/>
              </w:rPr>
            </w:pPr>
            <w:r w:rsidRPr="003F2AA0">
              <w:rPr>
                <w:sz w:val="16"/>
                <w:szCs w:val="16"/>
              </w:rPr>
              <w:t>456</w:t>
            </w:r>
          </w:p>
        </w:tc>
        <w:tc>
          <w:tcPr>
            <w:tcW w:w="851" w:type="dxa"/>
            <w:shd w:val="clear" w:color="000000" w:fill="FCDCDF"/>
            <w:noWrap/>
            <w:vAlign w:val="bottom"/>
            <w:hideMark/>
          </w:tcPr>
          <w:p w:rsidR="003F2AA0" w:rsidRPr="003F2AA0" w:rsidRDefault="003F2AA0" w:rsidP="003F2AA0">
            <w:pPr>
              <w:spacing w:before="0"/>
              <w:jc w:val="right"/>
              <w:rPr>
                <w:sz w:val="16"/>
                <w:szCs w:val="16"/>
              </w:rPr>
            </w:pPr>
            <w:r w:rsidRPr="003F2AA0">
              <w:rPr>
                <w:sz w:val="16"/>
                <w:szCs w:val="16"/>
              </w:rPr>
              <w:t>219</w:t>
            </w:r>
          </w:p>
        </w:tc>
        <w:tc>
          <w:tcPr>
            <w:tcW w:w="708" w:type="dxa"/>
            <w:shd w:val="clear" w:color="000000" w:fill="F7F8FD"/>
            <w:noWrap/>
            <w:vAlign w:val="bottom"/>
            <w:hideMark/>
          </w:tcPr>
          <w:p w:rsidR="003F2AA0" w:rsidRPr="003F2AA0" w:rsidRDefault="003F2AA0" w:rsidP="003F2AA0">
            <w:pPr>
              <w:spacing w:before="0"/>
              <w:jc w:val="right"/>
              <w:rPr>
                <w:sz w:val="16"/>
                <w:szCs w:val="16"/>
              </w:rPr>
            </w:pPr>
            <w:r w:rsidRPr="003F2AA0">
              <w:rPr>
                <w:sz w:val="16"/>
                <w:szCs w:val="16"/>
              </w:rPr>
              <w:t>26</w:t>
            </w:r>
          </w:p>
        </w:tc>
        <w:tc>
          <w:tcPr>
            <w:tcW w:w="851" w:type="dxa"/>
            <w:shd w:val="clear" w:color="000000" w:fill="FBCCCF"/>
            <w:noWrap/>
            <w:vAlign w:val="bottom"/>
            <w:hideMark/>
          </w:tcPr>
          <w:p w:rsidR="003F2AA0" w:rsidRPr="003F2AA0" w:rsidRDefault="003F2AA0" w:rsidP="003F2AA0">
            <w:pPr>
              <w:spacing w:before="0"/>
              <w:jc w:val="right"/>
              <w:rPr>
                <w:sz w:val="16"/>
                <w:szCs w:val="16"/>
              </w:rPr>
            </w:pPr>
            <w:r w:rsidRPr="003F2AA0">
              <w:rPr>
                <w:sz w:val="16"/>
                <w:szCs w:val="16"/>
              </w:rPr>
              <w:t>303</w:t>
            </w:r>
          </w:p>
        </w:tc>
        <w:tc>
          <w:tcPr>
            <w:tcW w:w="850" w:type="dxa"/>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51</w:t>
            </w:r>
          </w:p>
        </w:tc>
        <w:tc>
          <w:tcPr>
            <w:tcW w:w="660" w:type="dxa"/>
            <w:shd w:val="clear" w:color="000000" w:fill="FCE3E6"/>
            <w:noWrap/>
            <w:vAlign w:val="bottom"/>
            <w:hideMark/>
          </w:tcPr>
          <w:p w:rsidR="003F2AA0" w:rsidRPr="003F2AA0" w:rsidRDefault="003F2AA0" w:rsidP="003F2AA0">
            <w:pPr>
              <w:spacing w:before="0"/>
              <w:jc w:val="right"/>
              <w:rPr>
                <w:sz w:val="16"/>
                <w:szCs w:val="16"/>
              </w:rPr>
            </w:pPr>
            <w:r w:rsidRPr="003F2AA0">
              <w:rPr>
                <w:sz w:val="16"/>
                <w:szCs w:val="16"/>
              </w:rPr>
              <w:t>183</w:t>
            </w:r>
          </w:p>
        </w:tc>
        <w:tc>
          <w:tcPr>
            <w:tcW w:w="900" w:type="dxa"/>
            <w:shd w:val="clear" w:color="000000" w:fill="9CB8DD"/>
            <w:noWrap/>
            <w:vAlign w:val="bottom"/>
            <w:hideMark/>
          </w:tcPr>
          <w:p w:rsidR="003F2AA0" w:rsidRPr="003F2AA0" w:rsidRDefault="003F2AA0" w:rsidP="003F2AA0">
            <w:pPr>
              <w:spacing w:before="0"/>
              <w:jc w:val="right"/>
              <w:rPr>
                <w:sz w:val="16"/>
                <w:szCs w:val="16"/>
              </w:rPr>
            </w:pPr>
            <w:r w:rsidRPr="003F2AA0">
              <w:rPr>
                <w:sz w:val="16"/>
                <w:szCs w:val="16"/>
              </w:rPr>
              <w:t>21</w:t>
            </w:r>
          </w:p>
        </w:tc>
        <w:tc>
          <w:tcPr>
            <w:tcW w:w="916" w:type="dxa"/>
            <w:shd w:val="clear" w:color="000000" w:fill="89ABD6"/>
            <w:noWrap/>
            <w:vAlign w:val="bottom"/>
            <w:hideMark/>
          </w:tcPr>
          <w:p w:rsidR="003F2AA0" w:rsidRPr="003F2AA0" w:rsidRDefault="003F2AA0" w:rsidP="003F2AA0">
            <w:pPr>
              <w:spacing w:before="0"/>
              <w:jc w:val="right"/>
              <w:rPr>
                <w:sz w:val="16"/>
                <w:szCs w:val="16"/>
              </w:rPr>
            </w:pPr>
            <w:r w:rsidRPr="003F2AA0">
              <w:rPr>
                <w:sz w:val="16"/>
                <w:szCs w:val="16"/>
              </w:rPr>
              <w:t>15</w:t>
            </w:r>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sz w:val="16"/>
                <w:szCs w:val="16"/>
              </w:rPr>
            </w:pPr>
            <w:r w:rsidRPr="003F2AA0">
              <w:rPr>
                <w:sz w:val="16"/>
                <w:szCs w:val="16"/>
              </w:rPr>
              <w:t>Cizinci a bezdomovci</w:t>
            </w:r>
          </w:p>
        </w:tc>
        <w:tc>
          <w:tcPr>
            <w:tcW w:w="663" w:type="dxa"/>
            <w:shd w:val="clear" w:color="000000" w:fill="5A8AC6"/>
            <w:noWrap/>
            <w:vAlign w:val="bottom"/>
            <w:hideMark/>
          </w:tcPr>
          <w:p w:rsidR="003F2AA0" w:rsidRPr="003F2AA0" w:rsidRDefault="003F2AA0" w:rsidP="003F2AA0">
            <w:pPr>
              <w:spacing w:before="0"/>
              <w:jc w:val="right"/>
              <w:rPr>
                <w:sz w:val="16"/>
                <w:szCs w:val="16"/>
              </w:rPr>
            </w:pPr>
            <w:r w:rsidRPr="003F2AA0">
              <w:rPr>
                <w:sz w:val="16"/>
                <w:szCs w:val="16"/>
              </w:rPr>
              <w:t>11</w:t>
            </w:r>
          </w:p>
        </w:tc>
        <w:tc>
          <w:tcPr>
            <w:tcW w:w="754" w:type="dxa"/>
            <w:shd w:val="clear" w:color="000000" w:fill="789FD0"/>
            <w:noWrap/>
            <w:vAlign w:val="bottom"/>
            <w:hideMark/>
          </w:tcPr>
          <w:p w:rsidR="003F2AA0" w:rsidRPr="003F2AA0" w:rsidRDefault="003F2AA0" w:rsidP="003F2AA0">
            <w:pPr>
              <w:spacing w:before="0"/>
              <w:jc w:val="right"/>
              <w:rPr>
                <w:sz w:val="16"/>
                <w:szCs w:val="16"/>
              </w:rPr>
            </w:pPr>
            <w:r w:rsidRPr="003F2AA0">
              <w:rPr>
                <w:sz w:val="16"/>
                <w:szCs w:val="16"/>
              </w:rPr>
              <w:t>110</w:t>
            </w:r>
          </w:p>
        </w:tc>
        <w:tc>
          <w:tcPr>
            <w:tcW w:w="709" w:type="dxa"/>
            <w:shd w:val="clear" w:color="000000" w:fill="63BE7B"/>
            <w:noWrap/>
            <w:vAlign w:val="bottom"/>
            <w:hideMark/>
          </w:tcPr>
          <w:p w:rsidR="003F2AA0" w:rsidRPr="003F2AA0" w:rsidRDefault="003F2AA0" w:rsidP="003F2AA0">
            <w:pPr>
              <w:spacing w:before="0"/>
              <w:jc w:val="right"/>
              <w:rPr>
                <w:sz w:val="16"/>
                <w:szCs w:val="16"/>
              </w:rPr>
            </w:pPr>
            <w:r w:rsidRPr="003F2AA0">
              <w:rPr>
                <w:sz w:val="16"/>
                <w:szCs w:val="16"/>
              </w:rPr>
              <w:t>99</w:t>
            </w:r>
          </w:p>
        </w:tc>
        <w:tc>
          <w:tcPr>
            <w:tcW w:w="851" w:type="dxa"/>
            <w:shd w:val="clear" w:color="000000" w:fill="DCE5F3"/>
            <w:noWrap/>
            <w:vAlign w:val="bottom"/>
            <w:hideMark/>
          </w:tcPr>
          <w:p w:rsidR="003F2AA0" w:rsidRPr="003F2AA0" w:rsidRDefault="003F2AA0" w:rsidP="003F2AA0">
            <w:pPr>
              <w:spacing w:before="0"/>
              <w:jc w:val="right"/>
              <w:rPr>
                <w:sz w:val="16"/>
                <w:szCs w:val="16"/>
              </w:rPr>
            </w:pPr>
            <w:r w:rsidRPr="003F2AA0">
              <w:rPr>
                <w:sz w:val="16"/>
                <w:szCs w:val="16"/>
              </w:rPr>
              <w:t>41</w:t>
            </w:r>
          </w:p>
        </w:tc>
        <w:tc>
          <w:tcPr>
            <w:tcW w:w="708" w:type="dxa"/>
            <w:shd w:val="clear" w:color="000000" w:fill="6390C9"/>
            <w:noWrap/>
            <w:vAlign w:val="bottom"/>
            <w:hideMark/>
          </w:tcPr>
          <w:p w:rsidR="003F2AA0" w:rsidRPr="003F2AA0" w:rsidRDefault="003F2AA0" w:rsidP="003F2AA0">
            <w:pPr>
              <w:spacing w:before="0"/>
              <w:jc w:val="right"/>
              <w:rPr>
                <w:sz w:val="16"/>
                <w:szCs w:val="16"/>
              </w:rPr>
            </w:pPr>
            <w:r w:rsidRPr="003F2AA0">
              <w:rPr>
                <w:sz w:val="16"/>
                <w:szCs w:val="16"/>
              </w:rPr>
              <w:t>3</w:t>
            </w:r>
          </w:p>
        </w:tc>
        <w:tc>
          <w:tcPr>
            <w:tcW w:w="851" w:type="dxa"/>
            <w:shd w:val="clear" w:color="000000" w:fill="BCCFE8"/>
            <w:noWrap/>
            <w:vAlign w:val="bottom"/>
            <w:hideMark/>
          </w:tcPr>
          <w:p w:rsidR="003F2AA0" w:rsidRPr="003F2AA0" w:rsidRDefault="003F2AA0" w:rsidP="003F2AA0">
            <w:pPr>
              <w:spacing w:before="0"/>
              <w:jc w:val="right"/>
              <w:rPr>
                <w:sz w:val="16"/>
                <w:szCs w:val="16"/>
              </w:rPr>
            </w:pPr>
            <w:r w:rsidRPr="003F2AA0">
              <w:rPr>
                <w:sz w:val="16"/>
                <w:szCs w:val="16"/>
              </w:rPr>
              <w:t>31</w:t>
            </w:r>
          </w:p>
        </w:tc>
        <w:tc>
          <w:tcPr>
            <w:tcW w:w="850" w:type="dxa"/>
            <w:shd w:val="clear" w:color="000000" w:fill="8FAFD8"/>
            <w:noWrap/>
            <w:vAlign w:val="bottom"/>
            <w:hideMark/>
          </w:tcPr>
          <w:p w:rsidR="003F2AA0" w:rsidRPr="003F2AA0" w:rsidRDefault="003F2AA0" w:rsidP="003F2AA0">
            <w:pPr>
              <w:spacing w:before="0"/>
              <w:jc w:val="right"/>
              <w:rPr>
                <w:sz w:val="16"/>
                <w:szCs w:val="16"/>
              </w:rPr>
            </w:pPr>
            <w:r w:rsidRPr="003F2AA0">
              <w:rPr>
                <w:sz w:val="16"/>
                <w:szCs w:val="16"/>
              </w:rPr>
              <w:t>17</w:t>
            </w:r>
          </w:p>
        </w:tc>
        <w:tc>
          <w:tcPr>
            <w:tcW w:w="660" w:type="dxa"/>
            <w:shd w:val="clear" w:color="000000" w:fill="8CADD7"/>
            <w:noWrap/>
            <w:vAlign w:val="bottom"/>
            <w:hideMark/>
          </w:tcPr>
          <w:p w:rsidR="003F2AA0" w:rsidRPr="003F2AA0" w:rsidRDefault="003F2AA0" w:rsidP="003F2AA0">
            <w:pPr>
              <w:spacing w:before="0"/>
              <w:jc w:val="right"/>
              <w:rPr>
                <w:sz w:val="16"/>
                <w:szCs w:val="16"/>
              </w:rPr>
            </w:pPr>
            <w:r w:rsidRPr="003F2AA0">
              <w:rPr>
                <w:sz w:val="16"/>
                <w:szCs w:val="16"/>
              </w:rPr>
              <w:t>16</w:t>
            </w:r>
          </w:p>
        </w:tc>
        <w:tc>
          <w:tcPr>
            <w:tcW w:w="900" w:type="dxa"/>
            <w:shd w:val="clear" w:color="000000" w:fill="608EC8"/>
            <w:noWrap/>
            <w:vAlign w:val="bottom"/>
            <w:hideMark/>
          </w:tcPr>
          <w:p w:rsidR="003F2AA0" w:rsidRPr="003F2AA0" w:rsidRDefault="003F2AA0" w:rsidP="003F2AA0">
            <w:pPr>
              <w:spacing w:before="0"/>
              <w:jc w:val="right"/>
              <w:rPr>
                <w:sz w:val="16"/>
                <w:szCs w:val="16"/>
              </w:rPr>
            </w:pPr>
            <w:r w:rsidRPr="003F2AA0">
              <w:rPr>
                <w:sz w:val="16"/>
                <w:szCs w:val="16"/>
              </w:rPr>
              <w:t>2</w:t>
            </w:r>
          </w:p>
        </w:tc>
        <w:tc>
          <w:tcPr>
            <w:tcW w:w="916" w:type="dxa"/>
            <w:shd w:val="clear" w:color="000000" w:fill="5A8AC6"/>
            <w:noWrap/>
            <w:vAlign w:val="bottom"/>
            <w:hideMark/>
          </w:tcPr>
          <w:p w:rsidR="003F2AA0" w:rsidRPr="003F2AA0" w:rsidRDefault="003F2AA0" w:rsidP="003F2AA0">
            <w:pPr>
              <w:spacing w:before="0"/>
              <w:jc w:val="right"/>
              <w:rPr>
                <w:sz w:val="16"/>
                <w:szCs w:val="16"/>
              </w:rPr>
            </w:pPr>
            <w:r w:rsidRPr="003F2AA0">
              <w:rPr>
                <w:sz w:val="16"/>
                <w:szCs w:val="16"/>
              </w:rPr>
              <w:t>0,01</w:t>
            </w:r>
          </w:p>
        </w:tc>
      </w:tr>
      <w:tr w:rsidR="003F2AA0" w:rsidRPr="003F2AA0" w:rsidTr="003F2AA0">
        <w:trPr>
          <w:trHeight w:val="20"/>
        </w:trPr>
        <w:tc>
          <w:tcPr>
            <w:tcW w:w="1418" w:type="dxa"/>
            <w:shd w:val="clear" w:color="auto" w:fill="auto"/>
            <w:noWrap/>
            <w:vAlign w:val="bottom"/>
            <w:hideMark/>
          </w:tcPr>
          <w:p w:rsidR="003F2AA0" w:rsidRPr="003F2AA0" w:rsidRDefault="003F2AA0" w:rsidP="003F2AA0">
            <w:pPr>
              <w:spacing w:before="0"/>
              <w:rPr>
                <w:b/>
                <w:bCs/>
                <w:sz w:val="16"/>
                <w:szCs w:val="16"/>
              </w:rPr>
            </w:pPr>
            <w:r w:rsidRPr="003F2AA0">
              <w:rPr>
                <w:b/>
                <w:bCs/>
                <w:sz w:val="16"/>
                <w:szCs w:val="16"/>
              </w:rPr>
              <w:t>Celkem v ČR</w:t>
            </w:r>
          </w:p>
        </w:tc>
        <w:tc>
          <w:tcPr>
            <w:tcW w:w="663" w:type="dxa"/>
            <w:shd w:val="clear" w:color="auto" w:fill="auto"/>
            <w:noWrap/>
            <w:vAlign w:val="bottom"/>
            <w:hideMark/>
          </w:tcPr>
          <w:p w:rsidR="003F2AA0" w:rsidRPr="003F2AA0" w:rsidRDefault="003F2AA0" w:rsidP="003F2AA0">
            <w:pPr>
              <w:spacing w:before="0"/>
              <w:jc w:val="right"/>
              <w:rPr>
                <w:b/>
                <w:bCs/>
                <w:sz w:val="16"/>
                <w:szCs w:val="16"/>
              </w:rPr>
            </w:pPr>
            <w:r w:rsidRPr="003F2AA0">
              <w:rPr>
                <w:b/>
                <w:bCs/>
                <w:sz w:val="16"/>
                <w:szCs w:val="16"/>
              </w:rPr>
              <w:t>7 574</w:t>
            </w:r>
          </w:p>
        </w:tc>
        <w:tc>
          <w:tcPr>
            <w:tcW w:w="754" w:type="dxa"/>
            <w:shd w:val="clear" w:color="auto" w:fill="auto"/>
            <w:noWrap/>
            <w:vAlign w:val="bottom"/>
            <w:hideMark/>
          </w:tcPr>
          <w:p w:rsidR="003F2AA0" w:rsidRPr="003F2AA0" w:rsidRDefault="003F2AA0" w:rsidP="003F2AA0">
            <w:pPr>
              <w:spacing w:before="0"/>
              <w:jc w:val="right"/>
              <w:rPr>
                <w:b/>
                <w:bCs/>
                <w:sz w:val="16"/>
                <w:szCs w:val="16"/>
              </w:rPr>
            </w:pPr>
            <w:r w:rsidRPr="003F2AA0">
              <w:rPr>
                <w:b/>
                <w:bCs/>
                <w:sz w:val="16"/>
                <w:szCs w:val="16"/>
              </w:rPr>
              <w:t>13 815</w:t>
            </w:r>
          </w:p>
        </w:tc>
        <w:tc>
          <w:tcPr>
            <w:tcW w:w="709" w:type="dxa"/>
            <w:shd w:val="clear" w:color="auto" w:fill="auto"/>
            <w:noWrap/>
            <w:vAlign w:val="bottom"/>
            <w:hideMark/>
          </w:tcPr>
          <w:p w:rsidR="003F2AA0" w:rsidRPr="003F2AA0" w:rsidRDefault="003F2AA0" w:rsidP="003F2AA0">
            <w:pPr>
              <w:spacing w:before="0"/>
              <w:jc w:val="right"/>
              <w:rPr>
                <w:b/>
                <w:bCs/>
                <w:sz w:val="16"/>
                <w:szCs w:val="16"/>
              </w:rPr>
            </w:pPr>
            <w:r w:rsidRPr="003F2AA0">
              <w:rPr>
                <w:b/>
                <w:bCs/>
                <w:sz w:val="16"/>
                <w:szCs w:val="16"/>
              </w:rPr>
              <w:t>6 241</w:t>
            </w:r>
          </w:p>
        </w:tc>
        <w:tc>
          <w:tcPr>
            <w:tcW w:w="851" w:type="dxa"/>
            <w:shd w:val="clear" w:color="auto" w:fill="auto"/>
            <w:noWrap/>
            <w:vAlign w:val="bottom"/>
            <w:hideMark/>
          </w:tcPr>
          <w:p w:rsidR="003F2AA0" w:rsidRPr="003F2AA0" w:rsidRDefault="003F2AA0" w:rsidP="003F2AA0">
            <w:pPr>
              <w:spacing w:before="0"/>
              <w:jc w:val="right"/>
              <w:rPr>
                <w:b/>
                <w:bCs/>
                <w:sz w:val="16"/>
                <w:szCs w:val="16"/>
              </w:rPr>
            </w:pPr>
            <w:r w:rsidRPr="003F2AA0">
              <w:rPr>
                <w:b/>
                <w:bCs/>
                <w:sz w:val="16"/>
                <w:szCs w:val="16"/>
              </w:rPr>
              <w:t>5 663</w:t>
            </w:r>
          </w:p>
        </w:tc>
        <w:tc>
          <w:tcPr>
            <w:tcW w:w="708" w:type="dxa"/>
            <w:shd w:val="clear" w:color="auto" w:fill="auto"/>
            <w:noWrap/>
            <w:vAlign w:val="bottom"/>
            <w:hideMark/>
          </w:tcPr>
          <w:p w:rsidR="003F2AA0" w:rsidRPr="003F2AA0" w:rsidRDefault="003F2AA0" w:rsidP="003F2AA0">
            <w:pPr>
              <w:spacing w:before="0"/>
              <w:jc w:val="right"/>
              <w:rPr>
                <w:b/>
                <w:bCs/>
                <w:sz w:val="16"/>
                <w:szCs w:val="16"/>
              </w:rPr>
            </w:pPr>
            <w:r w:rsidRPr="003F2AA0">
              <w:rPr>
                <w:b/>
                <w:bCs/>
                <w:sz w:val="16"/>
                <w:szCs w:val="16"/>
              </w:rPr>
              <w:t>517</w:t>
            </w:r>
          </w:p>
        </w:tc>
        <w:tc>
          <w:tcPr>
            <w:tcW w:w="851" w:type="dxa"/>
            <w:shd w:val="clear" w:color="auto" w:fill="auto"/>
            <w:noWrap/>
            <w:vAlign w:val="bottom"/>
            <w:hideMark/>
          </w:tcPr>
          <w:p w:rsidR="003F2AA0" w:rsidRPr="003F2AA0" w:rsidRDefault="003F2AA0" w:rsidP="003F2AA0">
            <w:pPr>
              <w:spacing w:before="0"/>
              <w:jc w:val="right"/>
              <w:rPr>
                <w:b/>
                <w:bCs/>
                <w:sz w:val="16"/>
                <w:szCs w:val="16"/>
              </w:rPr>
            </w:pPr>
            <w:r w:rsidRPr="003F2AA0">
              <w:rPr>
                <w:b/>
                <w:bCs/>
                <w:sz w:val="16"/>
                <w:szCs w:val="16"/>
              </w:rPr>
              <w:t>3 703</w:t>
            </w:r>
          </w:p>
        </w:tc>
        <w:tc>
          <w:tcPr>
            <w:tcW w:w="850" w:type="dxa"/>
            <w:shd w:val="clear" w:color="auto" w:fill="auto"/>
            <w:noWrap/>
            <w:vAlign w:val="bottom"/>
            <w:hideMark/>
          </w:tcPr>
          <w:p w:rsidR="003F2AA0" w:rsidRPr="003F2AA0" w:rsidRDefault="003F2AA0" w:rsidP="003F2AA0">
            <w:pPr>
              <w:spacing w:before="0"/>
              <w:jc w:val="right"/>
              <w:rPr>
                <w:b/>
                <w:bCs/>
                <w:sz w:val="16"/>
                <w:szCs w:val="16"/>
              </w:rPr>
            </w:pPr>
            <w:r w:rsidRPr="003F2AA0">
              <w:rPr>
                <w:b/>
                <w:bCs/>
                <w:sz w:val="16"/>
                <w:szCs w:val="16"/>
              </w:rPr>
              <w:t>1 360</w:t>
            </w:r>
          </w:p>
        </w:tc>
        <w:tc>
          <w:tcPr>
            <w:tcW w:w="660" w:type="dxa"/>
            <w:shd w:val="clear" w:color="auto" w:fill="auto"/>
            <w:noWrap/>
            <w:vAlign w:val="bottom"/>
            <w:hideMark/>
          </w:tcPr>
          <w:p w:rsidR="003F2AA0" w:rsidRPr="003F2AA0" w:rsidRDefault="003F2AA0" w:rsidP="003F2AA0">
            <w:pPr>
              <w:spacing w:before="0"/>
              <w:jc w:val="right"/>
              <w:rPr>
                <w:b/>
                <w:bCs/>
                <w:sz w:val="16"/>
                <w:szCs w:val="16"/>
              </w:rPr>
            </w:pPr>
            <w:r w:rsidRPr="003F2AA0">
              <w:rPr>
                <w:b/>
                <w:bCs/>
                <w:sz w:val="16"/>
                <w:szCs w:val="16"/>
              </w:rPr>
              <w:t>1 826</w:t>
            </w:r>
          </w:p>
        </w:tc>
        <w:tc>
          <w:tcPr>
            <w:tcW w:w="900" w:type="dxa"/>
            <w:shd w:val="clear" w:color="auto" w:fill="auto"/>
            <w:noWrap/>
            <w:vAlign w:val="bottom"/>
            <w:hideMark/>
          </w:tcPr>
          <w:p w:rsidR="003F2AA0" w:rsidRPr="003F2AA0" w:rsidRDefault="003F2AA0" w:rsidP="003F2AA0">
            <w:pPr>
              <w:spacing w:before="0"/>
              <w:jc w:val="right"/>
              <w:rPr>
                <w:b/>
                <w:bCs/>
                <w:sz w:val="16"/>
                <w:szCs w:val="16"/>
              </w:rPr>
            </w:pPr>
            <w:r w:rsidRPr="003F2AA0">
              <w:rPr>
                <w:b/>
                <w:bCs/>
                <w:sz w:val="16"/>
                <w:szCs w:val="16"/>
              </w:rPr>
              <w:t>310</w:t>
            </w:r>
          </w:p>
        </w:tc>
        <w:tc>
          <w:tcPr>
            <w:tcW w:w="916" w:type="dxa"/>
            <w:shd w:val="clear" w:color="auto" w:fill="auto"/>
            <w:noWrap/>
            <w:vAlign w:val="bottom"/>
            <w:hideMark/>
          </w:tcPr>
          <w:p w:rsidR="003F2AA0" w:rsidRPr="003F2AA0" w:rsidRDefault="003F2AA0" w:rsidP="003F2AA0">
            <w:pPr>
              <w:spacing w:before="0"/>
              <w:jc w:val="right"/>
              <w:rPr>
                <w:b/>
                <w:bCs/>
                <w:sz w:val="16"/>
                <w:szCs w:val="16"/>
              </w:rPr>
            </w:pPr>
            <w:r w:rsidRPr="003F2AA0">
              <w:rPr>
                <w:b/>
                <w:bCs/>
                <w:sz w:val="16"/>
                <w:szCs w:val="16"/>
              </w:rPr>
              <w:t>436</w:t>
            </w:r>
          </w:p>
        </w:tc>
      </w:tr>
    </w:tbl>
    <w:p w:rsidR="00AF4350" w:rsidRPr="008722F3" w:rsidRDefault="00AF4350" w:rsidP="003F2AA0">
      <w:pPr>
        <w:pStyle w:val="Zdrojobjektu"/>
      </w:pPr>
      <w:r w:rsidRPr="008722F3">
        <w:t>Zdroj: Ústav zdravotnických informací a statisticky ČR, zpracování ACCENDO (2022)</w:t>
      </w:r>
      <w:r>
        <w:t>.</w:t>
      </w:r>
    </w:p>
    <w:p w:rsidR="00AF4350" w:rsidRPr="0039748C" w:rsidRDefault="00AF4350" w:rsidP="00A34764">
      <w:r w:rsidRPr="0039748C">
        <w:t>Celkový počet kontaktů nízkoprahových programů poklesl mezi lety 2015–2020 v OK z 25 tis. na 23,5 tis. Podíl prvních kontaktů (tj. nových klientů) je ve srovnání s ostatními kraji poměrně vysoký (3,2 % všech kontaktů). Vzhledem k vysokému podílu injekčních uživatelů mezi lidmi užívajícími drogy rizikově, je nejčastěji poskytovanou službou výměnný program injekčních setů, který ve stejném období vzrostl o</w:t>
      </w:r>
      <w:r>
        <w:t> </w:t>
      </w:r>
      <w:r w:rsidRPr="0039748C">
        <w:t>4</w:t>
      </w:r>
      <w:r>
        <w:t> </w:t>
      </w:r>
      <w:r w:rsidRPr="0039748C">
        <w:t>tis. na 13 tis. výkonů. Individuálního poradenství využilo v OK 3 tis. osob (pokles o 550), krizové intervence 105 osob (pokles o 44). Zdravotního ošetření využilo 3,4 tis. osob (nárůst o 1,5 tis.). Uvedené hodnoty byly do značné míry ovlivněny pandemií COVID-19.</w:t>
      </w:r>
    </w:p>
    <w:p w:rsidR="00AF4350" w:rsidRPr="0039748C" w:rsidRDefault="00AF4350" w:rsidP="003F2AA0">
      <w:pPr>
        <w:pStyle w:val="popistabulkySPRSS2024"/>
      </w:pPr>
      <w:bookmarkStart w:id="118" w:name="_Toc117607086"/>
      <w:r w:rsidRPr="0039748C">
        <w:t xml:space="preserve">Tabulka </w:t>
      </w:r>
      <w:r w:rsidR="00412C70">
        <w:fldChar w:fldCharType="begin"/>
      </w:r>
      <w:r w:rsidR="00412C70">
        <w:instrText xml:space="preserve"> SEQ Tabulka \* ARABIC </w:instrText>
      </w:r>
      <w:r w:rsidR="00412C70">
        <w:fldChar w:fldCharType="separate"/>
      </w:r>
      <w:r w:rsidR="003A12AF">
        <w:rPr>
          <w:noProof/>
        </w:rPr>
        <w:t>26</w:t>
      </w:r>
      <w:r w:rsidR="00412C70">
        <w:rPr>
          <w:noProof/>
        </w:rPr>
        <w:fldChar w:fldCharType="end"/>
      </w:r>
      <w:r>
        <w:t>:</w:t>
      </w:r>
      <w:r w:rsidRPr="0039748C">
        <w:t xml:space="preserve"> Vybrané výkony nízkoprahových programů v r. 2020 podle krajů</w:t>
      </w:r>
      <w:bookmarkEnd w:id="118"/>
    </w:p>
    <w:tbl>
      <w:tblPr>
        <w:tblW w:w="0" w:type="auto"/>
        <w:tblInd w:w="-5" w:type="dxa"/>
        <w:tblCellMar>
          <w:left w:w="70" w:type="dxa"/>
          <w:right w:w="70" w:type="dxa"/>
        </w:tblCellMar>
        <w:tblLook w:val="04A0" w:firstRow="1" w:lastRow="0" w:firstColumn="1" w:lastColumn="0" w:noHBand="0" w:noVBand="1"/>
      </w:tblPr>
      <w:tblGrid>
        <w:gridCol w:w="1468"/>
        <w:gridCol w:w="1108"/>
        <w:gridCol w:w="1044"/>
        <w:gridCol w:w="1554"/>
        <w:gridCol w:w="1468"/>
        <w:gridCol w:w="1234"/>
        <w:gridCol w:w="1191"/>
      </w:tblGrid>
      <w:tr w:rsidR="003F2AA0" w:rsidRPr="003F2AA0" w:rsidTr="003F2AA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F2AA0" w:rsidRPr="003F2AA0" w:rsidRDefault="003F2AA0" w:rsidP="003F2AA0">
            <w:pPr>
              <w:keepNext/>
              <w:spacing w:before="0"/>
              <w:jc w:val="center"/>
              <w:rPr>
                <w:b/>
                <w:bCs/>
                <w:sz w:val="18"/>
                <w:szCs w:val="18"/>
              </w:rPr>
            </w:pPr>
            <w:r w:rsidRPr="003F2AA0">
              <w:rPr>
                <w:b/>
                <w:bCs/>
                <w:sz w:val="18"/>
                <w:szCs w:val="18"/>
              </w:rPr>
              <w:t>Kraj</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3F2AA0" w:rsidRPr="003F2AA0" w:rsidRDefault="003F2AA0" w:rsidP="003F2AA0">
            <w:pPr>
              <w:keepNext/>
              <w:spacing w:before="0"/>
              <w:jc w:val="center"/>
              <w:rPr>
                <w:b/>
                <w:bCs/>
                <w:sz w:val="18"/>
                <w:szCs w:val="18"/>
              </w:rPr>
            </w:pPr>
            <w:r w:rsidRPr="003F2AA0">
              <w:rPr>
                <w:b/>
                <w:bCs/>
                <w:sz w:val="18"/>
                <w:szCs w:val="18"/>
              </w:rPr>
              <w:t>Kontakty celkem</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3F2AA0" w:rsidRPr="003F2AA0" w:rsidRDefault="003F2AA0" w:rsidP="003F2AA0">
            <w:pPr>
              <w:keepNext/>
              <w:spacing w:before="0"/>
              <w:jc w:val="center"/>
              <w:rPr>
                <w:b/>
                <w:bCs/>
                <w:sz w:val="18"/>
                <w:szCs w:val="18"/>
              </w:rPr>
            </w:pPr>
            <w:r w:rsidRPr="003F2AA0">
              <w:rPr>
                <w:b/>
                <w:bCs/>
                <w:sz w:val="18"/>
                <w:szCs w:val="18"/>
              </w:rPr>
              <w:t>První kontakty</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3F2AA0" w:rsidRPr="003F2AA0" w:rsidRDefault="003F2AA0" w:rsidP="003F2AA0">
            <w:pPr>
              <w:keepNext/>
              <w:spacing w:before="0"/>
              <w:jc w:val="center"/>
              <w:rPr>
                <w:b/>
                <w:bCs/>
                <w:sz w:val="18"/>
                <w:szCs w:val="18"/>
              </w:rPr>
            </w:pPr>
            <w:r w:rsidRPr="003F2AA0">
              <w:rPr>
                <w:b/>
                <w:bCs/>
                <w:sz w:val="18"/>
                <w:szCs w:val="18"/>
              </w:rPr>
              <w:t>Distribuce injekčního materiálu</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3F2AA0" w:rsidRPr="003F2AA0" w:rsidRDefault="003F2AA0" w:rsidP="003F2AA0">
            <w:pPr>
              <w:keepNext/>
              <w:spacing w:before="0"/>
              <w:jc w:val="center"/>
              <w:rPr>
                <w:b/>
                <w:bCs/>
                <w:sz w:val="18"/>
                <w:szCs w:val="18"/>
              </w:rPr>
            </w:pPr>
            <w:r w:rsidRPr="003F2AA0">
              <w:rPr>
                <w:b/>
                <w:bCs/>
                <w:sz w:val="18"/>
                <w:szCs w:val="18"/>
              </w:rPr>
              <w:t>Individuální poradenství</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3F2AA0" w:rsidRPr="003F2AA0" w:rsidRDefault="003F2AA0" w:rsidP="003F2AA0">
            <w:pPr>
              <w:keepNext/>
              <w:spacing w:before="0"/>
              <w:jc w:val="center"/>
              <w:rPr>
                <w:b/>
                <w:bCs/>
                <w:sz w:val="18"/>
                <w:szCs w:val="18"/>
              </w:rPr>
            </w:pPr>
            <w:r w:rsidRPr="003F2AA0">
              <w:rPr>
                <w:b/>
                <w:bCs/>
                <w:sz w:val="18"/>
                <w:szCs w:val="18"/>
              </w:rPr>
              <w:t>Krizová intervence</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3F2AA0" w:rsidRPr="003F2AA0" w:rsidRDefault="003F2AA0" w:rsidP="003F2AA0">
            <w:pPr>
              <w:keepNext/>
              <w:spacing w:before="0"/>
              <w:jc w:val="center"/>
              <w:rPr>
                <w:b/>
                <w:bCs/>
                <w:sz w:val="18"/>
                <w:szCs w:val="18"/>
              </w:rPr>
            </w:pPr>
            <w:r w:rsidRPr="003F2AA0">
              <w:rPr>
                <w:b/>
                <w:bCs/>
                <w:sz w:val="18"/>
                <w:szCs w:val="18"/>
              </w:rPr>
              <w:t>Zdravotní ošetření</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keepNext/>
              <w:spacing w:before="0"/>
              <w:rPr>
                <w:sz w:val="18"/>
                <w:szCs w:val="18"/>
              </w:rPr>
            </w:pPr>
            <w:r w:rsidRPr="003F2AA0">
              <w:rPr>
                <w:sz w:val="18"/>
                <w:szCs w:val="18"/>
              </w:rPr>
              <w:t>Praha</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F2AA0" w:rsidRPr="003F2AA0" w:rsidRDefault="003F2AA0" w:rsidP="003F2AA0">
            <w:pPr>
              <w:keepNext/>
              <w:spacing w:before="0"/>
              <w:jc w:val="right"/>
              <w:rPr>
                <w:sz w:val="18"/>
                <w:szCs w:val="18"/>
              </w:rPr>
            </w:pPr>
            <w:r w:rsidRPr="003F2AA0">
              <w:rPr>
                <w:sz w:val="18"/>
                <w:szCs w:val="18"/>
              </w:rPr>
              <w:t>135 585</w:t>
            </w:r>
          </w:p>
        </w:tc>
        <w:tc>
          <w:tcPr>
            <w:tcW w:w="0" w:type="auto"/>
            <w:tcBorders>
              <w:top w:val="single" w:sz="4" w:space="0" w:color="auto"/>
              <w:left w:val="single" w:sz="4" w:space="0" w:color="auto"/>
              <w:bottom w:val="single" w:sz="4" w:space="0" w:color="auto"/>
              <w:right w:val="single" w:sz="4" w:space="0" w:color="auto"/>
            </w:tcBorders>
            <w:shd w:val="clear" w:color="000000" w:fill="FBCACC"/>
            <w:noWrap/>
            <w:vAlign w:val="bottom"/>
            <w:hideMark/>
          </w:tcPr>
          <w:p w:rsidR="003F2AA0" w:rsidRPr="003F2AA0" w:rsidRDefault="003F2AA0" w:rsidP="003F2AA0">
            <w:pPr>
              <w:keepNext/>
              <w:spacing w:before="0"/>
              <w:jc w:val="right"/>
              <w:rPr>
                <w:sz w:val="18"/>
                <w:szCs w:val="18"/>
              </w:rPr>
            </w:pPr>
            <w:r w:rsidRPr="003F2AA0">
              <w:rPr>
                <w:sz w:val="18"/>
                <w:szCs w:val="18"/>
              </w:rPr>
              <w:t>785</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F2AA0" w:rsidRPr="003F2AA0" w:rsidRDefault="003F2AA0" w:rsidP="003F2AA0">
            <w:pPr>
              <w:keepNext/>
              <w:spacing w:before="0"/>
              <w:jc w:val="right"/>
              <w:rPr>
                <w:sz w:val="18"/>
                <w:szCs w:val="18"/>
              </w:rPr>
            </w:pPr>
            <w:r w:rsidRPr="003F2AA0">
              <w:rPr>
                <w:sz w:val="18"/>
                <w:szCs w:val="18"/>
              </w:rPr>
              <w:t>96 062</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F2AA0" w:rsidRPr="003F2AA0" w:rsidRDefault="003F2AA0" w:rsidP="003F2AA0">
            <w:pPr>
              <w:keepNext/>
              <w:spacing w:before="0"/>
              <w:jc w:val="right"/>
              <w:rPr>
                <w:sz w:val="18"/>
                <w:szCs w:val="18"/>
              </w:rPr>
            </w:pPr>
            <w:r w:rsidRPr="003F2AA0">
              <w:rPr>
                <w:sz w:val="18"/>
                <w:szCs w:val="18"/>
              </w:rPr>
              <w:t>10 089</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F2AA0" w:rsidRPr="003F2AA0" w:rsidRDefault="003F2AA0" w:rsidP="003F2AA0">
            <w:pPr>
              <w:keepNext/>
              <w:spacing w:before="0"/>
              <w:jc w:val="right"/>
              <w:rPr>
                <w:sz w:val="18"/>
                <w:szCs w:val="18"/>
              </w:rPr>
            </w:pPr>
            <w:r w:rsidRPr="003F2AA0">
              <w:rPr>
                <w:sz w:val="18"/>
                <w:szCs w:val="18"/>
              </w:rPr>
              <w:t>356</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F2AA0" w:rsidRPr="003F2AA0" w:rsidRDefault="003F2AA0" w:rsidP="003F2AA0">
            <w:pPr>
              <w:keepNext/>
              <w:spacing w:before="0"/>
              <w:jc w:val="right"/>
              <w:rPr>
                <w:sz w:val="18"/>
                <w:szCs w:val="18"/>
              </w:rPr>
            </w:pPr>
            <w:r w:rsidRPr="003F2AA0">
              <w:rPr>
                <w:sz w:val="18"/>
                <w:szCs w:val="18"/>
              </w:rPr>
              <w:t>6 757</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keepNext/>
              <w:spacing w:before="0"/>
              <w:rPr>
                <w:sz w:val="18"/>
                <w:szCs w:val="18"/>
              </w:rPr>
            </w:pPr>
            <w:r w:rsidRPr="003F2AA0">
              <w:rPr>
                <w:sz w:val="18"/>
                <w:szCs w:val="18"/>
              </w:rPr>
              <w:t>Středočeský</w:t>
            </w:r>
          </w:p>
        </w:tc>
        <w:tc>
          <w:tcPr>
            <w:tcW w:w="0" w:type="auto"/>
            <w:tcBorders>
              <w:top w:val="single" w:sz="4" w:space="0" w:color="auto"/>
              <w:left w:val="single" w:sz="4" w:space="0" w:color="auto"/>
              <w:bottom w:val="single" w:sz="4" w:space="0" w:color="auto"/>
              <w:right w:val="single" w:sz="4" w:space="0" w:color="auto"/>
            </w:tcBorders>
            <w:shd w:val="clear" w:color="000000" w:fill="D5E0F1"/>
            <w:noWrap/>
            <w:vAlign w:val="bottom"/>
            <w:hideMark/>
          </w:tcPr>
          <w:p w:rsidR="003F2AA0" w:rsidRPr="003F2AA0" w:rsidRDefault="003F2AA0" w:rsidP="003F2AA0">
            <w:pPr>
              <w:keepNext/>
              <w:spacing w:before="0"/>
              <w:jc w:val="right"/>
              <w:rPr>
                <w:sz w:val="18"/>
                <w:szCs w:val="18"/>
              </w:rPr>
            </w:pPr>
            <w:r w:rsidRPr="003F2AA0">
              <w:rPr>
                <w:sz w:val="18"/>
                <w:szCs w:val="18"/>
              </w:rPr>
              <w:t>19 661</w:t>
            </w:r>
          </w:p>
        </w:tc>
        <w:tc>
          <w:tcPr>
            <w:tcW w:w="0" w:type="auto"/>
            <w:tcBorders>
              <w:top w:val="single" w:sz="4" w:space="0" w:color="auto"/>
              <w:left w:val="single" w:sz="4" w:space="0" w:color="auto"/>
              <w:bottom w:val="single" w:sz="4" w:space="0" w:color="auto"/>
              <w:right w:val="single" w:sz="4" w:space="0" w:color="auto"/>
            </w:tcBorders>
            <w:shd w:val="clear" w:color="000000" w:fill="FCDCDF"/>
            <w:noWrap/>
            <w:vAlign w:val="bottom"/>
            <w:hideMark/>
          </w:tcPr>
          <w:p w:rsidR="003F2AA0" w:rsidRPr="003F2AA0" w:rsidRDefault="003F2AA0" w:rsidP="003F2AA0">
            <w:pPr>
              <w:keepNext/>
              <w:spacing w:before="0"/>
              <w:jc w:val="right"/>
              <w:rPr>
                <w:sz w:val="18"/>
                <w:szCs w:val="18"/>
              </w:rPr>
            </w:pPr>
            <w:r w:rsidRPr="003F2AA0">
              <w:rPr>
                <w:sz w:val="18"/>
                <w:szCs w:val="18"/>
              </w:rPr>
              <w:t>681</w:t>
            </w:r>
          </w:p>
        </w:tc>
        <w:tc>
          <w:tcPr>
            <w:tcW w:w="0" w:type="auto"/>
            <w:tcBorders>
              <w:top w:val="single" w:sz="4" w:space="0" w:color="auto"/>
              <w:left w:val="single" w:sz="4" w:space="0" w:color="auto"/>
              <w:bottom w:val="single" w:sz="4" w:space="0" w:color="auto"/>
              <w:right w:val="single" w:sz="4" w:space="0" w:color="auto"/>
            </w:tcBorders>
            <w:shd w:val="clear" w:color="000000" w:fill="FCFBFE"/>
            <w:noWrap/>
            <w:vAlign w:val="bottom"/>
            <w:hideMark/>
          </w:tcPr>
          <w:p w:rsidR="003F2AA0" w:rsidRPr="003F2AA0" w:rsidRDefault="003F2AA0" w:rsidP="003F2AA0">
            <w:pPr>
              <w:keepNext/>
              <w:spacing w:before="0"/>
              <w:jc w:val="right"/>
              <w:rPr>
                <w:sz w:val="18"/>
                <w:szCs w:val="18"/>
              </w:rPr>
            </w:pPr>
            <w:r w:rsidRPr="003F2AA0">
              <w:rPr>
                <w:sz w:val="18"/>
                <w:szCs w:val="18"/>
              </w:rPr>
              <w:t>10 751</w:t>
            </w:r>
          </w:p>
        </w:tc>
        <w:tc>
          <w:tcPr>
            <w:tcW w:w="0" w:type="auto"/>
            <w:tcBorders>
              <w:top w:val="single" w:sz="4" w:space="0" w:color="auto"/>
              <w:left w:val="single" w:sz="4" w:space="0" w:color="auto"/>
              <w:bottom w:val="single" w:sz="4" w:space="0" w:color="auto"/>
              <w:right w:val="single" w:sz="4" w:space="0" w:color="auto"/>
            </w:tcBorders>
            <w:shd w:val="clear" w:color="000000" w:fill="F7F8FD"/>
            <w:noWrap/>
            <w:vAlign w:val="bottom"/>
            <w:hideMark/>
          </w:tcPr>
          <w:p w:rsidR="003F2AA0" w:rsidRPr="003F2AA0" w:rsidRDefault="003F2AA0" w:rsidP="003F2AA0">
            <w:pPr>
              <w:keepNext/>
              <w:spacing w:before="0"/>
              <w:jc w:val="right"/>
              <w:rPr>
                <w:sz w:val="18"/>
                <w:szCs w:val="18"/>
              </w:rPr>
            </w:pPr>
            <w:r w:rsidRPr="003F2AA0">
              <w:rPr>
                <w:sz w:val="18"/>
                <w:szCs w:val="18"/>
              </w:rPr>
              <w:t>939</w:t>
            </w:r>
          </w:p>
        </w:tc>
        <w:tc>
          <w:tcPr>
            <w:tcW w:w="0" w:type="auto"/>
            <w:tcBorders>
              <w:top w:val="single" w:sz="4" w:space="0" w:color="auto"/>
              <w:left w:val="single" w:sz="4" w:space="0" w:color="auto"/>
              <w:bottom w:val="single" w:sz="4" w:space="0" w:color="auto"/>
              <w:right w:val="single" w:sz="4" w:space="0" w:color="auto"/>
            </w:tcBorders>
            <w:shd w:val="clear" w:color="000000" w:fill="FCF4F7"/>
            <w:noWrap/>
            <w:vAlign w:val="bottom"/>
            <w:hideMark/>
          </w:tcPr>
          <w:p w:rsidR="003F2AA0" w:rsidRPr="003F2AA0" w:rsidRDefault="003F2AA0" w:rsidP="003F2AA0">
            <w:pPr>
              <w:keepNext/>
              <w:spacing w:before="0"/>
              <w:jc w:val="right"/>
              <w:rPr>
                <w:sz w:val="18"/>
                <w:szCs w:val="18"/>
              </w:rPr>
            </w:pPr>
            <w:r w:rsidRPr="003F2AA0">
              <w:rPr>
                <w:sz w:val="18"/>
                <w:szCs w:val="18"/>
              </w:rPr>
              <w:t>115</w:t>
            </w: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keepNext/>
              <w:spacing w:before="0"/>
              <w:jc w:val="right"/>
              <w:rPr>
                <w:sz w:val="18"/>
                <w:szCs w:val="18"/>
              </w:rPr>
            </w:pPr>
            <w:r w:rsidRPr="003F2AA0">
              <w:rPr>
                <w:sz w:val="18"/>
                <w:szCs w:val="18"/>
              </w:rPr>
              <w:t>229</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keepNext/>
              <w:spacing w:before="0"/>
              <w:rPr>
                <w:sz w:val="18"/>
                <w:szCs w:val="18"/>
              </w:rPr>
            </w:pPr>
            <w:r w:rsidRPr="003F2AA0">
              <w:rPr>
                <w:sz w:val="18"/>
                <w:szCs w:val="18"/>
              </w:rPr>
              <w:t>Jihočeský</w:t>
            </w:r>
          </w:p>
        </w:tc>
        <w:tc>
          <w:tcPr>
            <w:tcW w:w="0" w:type="auto"/>
            <w:tcBorders>
              <w:top w:val="single" w:sz="4" w:space="0" w:color="auto"/>
              <w:left w:val="single" w:sz="4" w:space="0" w:color="auto"/>
              <w:bottom w:val="single" w:sz="4" w:space="0" w:color="auto"/>
              <w:right w:val="single" w:sz="4" w:space="0" w:color="auto"/>
            </w:tcBorders>
            <w:shd w:val="clear" w:color="000000" w:fill="FCFBFE"/>
            <w:noWrap/>
            <w:vAlign w:val="bottom"/>
            <w:hideMark/>
          </w:tcPr>
          <w:p w:rsidR="003F2AA0" w:rsidRPr="003F2AA0" w:rsidRDefault="003F2AA0" w:rsidP="003F2AA0">
            <w:pPr>
              <w:keepNext/>
              <w:spacing w:before="0"/>
              <w:jc w:val="right"/>
              <w:rPr>
                <w:sz w:val="18"/>
                <w:szCs w:val="18"/>
              </w:rPr>
            </w:pPr>
            <w:r w:rsidRPr="003F2AA0">
              <w:rPr>
                <w:sz w:val="18"/>
                <w:szCs w:val="18"/>
              </w:rPr>
              <w:t>25 675</w:t>
            </w:r>
          </w:p>
        </w:tc>
        <w:tc>
          <w:tcPr>
            <w:tcW w:w="0" w:type="auto"/>
            <w:tcBorders>
              <w:top w:val="single" w:sz="4" w:space="0" w:color="auto"/>
              <w:left w:val="single" w:sz="4" w:space="0" w:color="auto"/>
              <w:bottom w:val="single" w:sz="4" w:space="0" w:color="auto"/>
              <w:right w:val="single" w:sz="4" w:space="0" w:color="auto"/>
            </w:tcBorders>
            <w:shd w:val="clear" w:color="000000" w:fill="FCFAFD"/>
            <w:noWrap/>
            <w:vAlign w:val="bottom"/>
            <w:hideMark/>
          </w:tcPr>
          <w:p w:rsidR="003F2AA0" w:rsidRPr="003F2AA0" w:rsidRDefault="003F2AA0" w:rsidP="003F2AA0">
            <w:pPr>
              <w:keepNext/>
              <w:spacing w:before="0"/>
              <w:jc w:val="right"/>
              <w:rPr>
                <w:sz w:val="18"/>
                <w:szCs w:val="18"/>
              </w:rPr>
            </w:pPr>
            <w:r w:rsidRPr="003F2AA0">
              <w:rPr>
                <w:sz w:val="18"/>
                <w:szCs w:val="18"/>
              </w:rPr>
              <w:t>514</w:t>
            </w:r>
          </w:p>
        </w:tc>
        <w:tc>
          <w:tcPr>
            <w:tcW w:w="0" w:type="auto"/>
            <w:tcBorders>
              <w:top w:val="single" w:sz="4" w:space="0" w:color="auto"/>
              <w:left w:val="single" w:sz="4" w:space="0" w:color="auto"/>
              <w:bottom w:val="single" w:sz="4" w:space="0" w:color="auto"/>
              <w:right w:val="single" w:sz="4" w:space="0" w:color="auto"/>
            </w:tcBorders>
            <w:shd w:val="clear" w:color="000000" w:fill="F4F6FC"/>
            <w:noWrap/>
            <w:vAlign w:val="bottom"/>
            <w:hideMark/>
          </w:tcPr>
          <w:p w:rsidR="003F2AA0" w:rsidRPr="003F2AA0" w:rsidRDefault="003F2AA0" w:rsidP="003F2AA0">
            <w:pPr>
              <w:keepNext/>
              <w:spacing w:before="0"/>
              <w:jc w:val="right"/>
              <w:rPr>
                <w:sz w:val="18"/>
                <w:szCs w:val="18"/>
              </w:rPr>
            </w:pPr>
            <w:r w:rsidRPr="003F2AA0">
              <w:rPr>
                <w:sz w:val="18"/>
                <w:szCs w:val="18"/>
              </w:rPr>
              <w:t>9 684</w:t>
            </w:r>
          </w:p>
        </w:tc>
        <w:tc>
          <w:tcPr>
            <w:tcW w:w="0" w:type="auto"/>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3F2AA0" w:rsidRPr="003F2AA0" w:rsidRDefault="003F2AA0" w:rsidP="003F2AA0">
            <w:pPr>
              <w:keepNext/>
              <w:spacing w:before="0"/>
              <w:jc w:val="right"/>
              <w:rPr>
                <w:sz w:val="18"/>
                <w:szCs w:val="18"/>
              </w:rPr>
            </w:pPr>
            <w:r w:rsidRPr="003F2AA0">
              <w:rPr>
                <w:sz w:val="18"/>
                <w:szCs w:val="18"/>
              </w:rPr>
              <w:t>2 093</w:t>
            </w:r>
          </w:p>
        </w:tc>
        <w:tc>
          <w:tcPr>
            <w:tcW w:w="0" w:type="auto"/>
            <w:tcBorders>
              <w:top w:val="single" w:sz="4" w:space="0" w:color="auto"/>
              <w:left w:val="single" w:sz="4" w:space="0" w:color="auto"/>
              <w:bottom w:val="single" w:sz="4" w:space="0" w:color="auto"/>
              <w:right w:val="single" w:sz="4" w:space="0" w:color="auto"/>
            </w:tcBorders>
            <w:shd w:val="clear" w:color="000000" w:fill="F5F7FC"/>
            <w:noWrap/>
            <w:vAlign w:val="bottom"/>
            <w:hideMark/>
          </w:tcPr>
          <w:p w:rsidR="003F2AA0" w:rsidRPr="003F2AA0" w:rsidRDefault="003F2AA0" w:rsidP="003F2AA0">
            <w:pPr>
              <w:keepNext/>
              <w:spacing w:before="0"/>
              <w:jc w:val="right"/>
              <w:rPr>
                <w:sz w:val="18"/>
                <w:szCs w:val="18"/>
              </w:rPr>
            </w:pPr>
            <w:r w:rsidRPr="003F2AA0">
              <w:rPr>
                <w:sz w:val="18"/>
                <w:szCs w:val="18"/>
              </w:rPr>
              <w:t>97</w:t>
            </w:r>
          </w:p>
        </w:tc>
        <w:tc>
          <w:tcPr>
            <w:tcW w:w="0" w:type="auto"/>
            <w:tcBorders>
              <w:top w:val="single" w:sz="4" w:space="0" w:color="auto"/>
              <w:left w:val="single" w:sz="4" w:space="0" w:color="auto"/>
              <w:bottom w:val="single" w:sz="4" w:space="0" w:color="auto"/>
              <w:right w:val="single" w:sz="4" w:space="0" w:color="auto"/>
            </w:tcBorders>
            <w:shd w:val="clear" w:color="000000" w:fill="FCF6F8"/>
            <w:noWrap/>
            <w:vAlign w:val="bottom"/>
            <w:hideMark/>
          </w:tcPr>
          <w:p w:rsidR="003F2AA0" w:rsidRPr="003F2AA0" w:rsidRDefault="003F2AA0" w:rsidP="003F2AA0">
            <w:pPr>
              <w:keepNext/>
              <w:spacing w:before="0"/>
              <w:jc w:val="right"/>
              <w:rPr>
                <w:sz w:val="18"/>
                <w:szCs w:val="18"/>
              </w:rPr>
            </w:pPr>
            <w:r w:rsidRPr="003F2AA0">
              <w:rPr>
                <w:sz w:val="18"/>
                <w:szCs w:val="18"/>
              </w:rPr>
              <w:t>537</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Plzeňský</w:t>
            </w:r>
          </w:p>
        </w:tc>
        <w:tc>
          <w:tcPr>
            <w:tcW w:w="0" w:type="auto"/>
            <w:tcBorders>
              <w:top w:val="single" w:sz="4" w:space="0" w:color="auto"/>
              <w:left w:val="single" w:sz="4" w:space="0" w:color="auto"/>
              <w:bottom w:val="single" w:sz="4" w:space="0" w:color="auto"/>
              <w:right w:val="single" w:sz="4" w:space="0" w:color="auto"/>
            </w:tcBorders>
            <w:shd w:val="clear" w:color="000000" w:fill="D6E1F1"/>
            <w:noWrap/>
            <w:vAlign w:val="bottom"/>
            <w:hideMark/>
          </w:tcPr>
          <w:p w:rsidR="003F2AA0" w:rsidRPr="003F2AA0" w:rsidRDefault="003F2AA0" w:rsidP="003F2AA0">
            <w:pPr>
              <w:spacing w:before="0"/>
              <w:jc w:val="right"/>
              <w:rPr>
                <w:sz w:val="18"/>
                <w:szCs w:val="18"/>
              </w:rPr>
            </w:pPr>
            <w:r w:rsidRPr="003F2AA0">
              <w:rPr>
                <w:sz w:val="18"/>
                <w:szCs w:val="18"/>
              </w:rPr>
              <w:t>19 817</w:t>
            </w:r>
          </w:p>
        </w:tc>
        <w:tc>
          <w:tcPr>
            <w:tcW w:w="0" w:type="auto"/>
            <w:tcBorders>
              <w:top w:val="single" w:sz="4" w:space="0" w:color="auto"/>
              <w:left w:val="single" w:sz="4" w:space="0" w:color="auto"/>
              <w:bottom w:val="single" w:sz="4" w:space="0" w:color="auto"/>
              <w:right w:val="single" w:sz="4" w:space="0" w:color="auto"/>
            </w:tcBorders>
            <w:shd w:val="clear" w:color="000000" w:fill="F1F4FB"/>
            <w:noWrap/>
            <w:vAlign w:val="bottom"/>
            <w:hideMark/>
          </w:tcPr>
          <w:p w:rsidR="003F2AA0" w:rsidRPr="003F2AA0" w:rsidRDefault="003F2AA0" w:rsidP="003F2AA0">
            <w:pPr>
              <w:spacing w:before="0"/>
              <w:jc w:val="right"/>
              <w:rPr>
                <w:sz w:val="18"/>
                <w:szCs w:val="18"/>
              </w:rPr>
            </w:pPr>
            <w:r w:rsidRPr="003F2AA0">
              <w:rPr>
                <w:sz w:val="18"/>
                <w:szCs w:val="18"/>
              </w:rPr>
              <w:t>479</w:t>
            </w: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8"/>
                <w:szCs w:val="18"/>
              </w:rPr>
            </w:pPr>
            <w:r w:rsidRPr="003F2AA0">
              <w:rPr>
                <w:sz w:val="18"/>
                <w:szCs w:val="18"/>
              </w:rPr>
              <w:t>10 330</w:t>
            </w: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8"/>
                <w:szCs w:val="18"/>
              </w:rPr>
            </w:pPr>
            <w:r w:rsidRPr="003F2AA0">
              <w:rPr>
                <w:sz w:val="18"/>
                <w:szCs w:val="18"/>
              </w:rPr>
              <w:t>966</w:t>
            </w:r>
          </w:p>
        </w:tc>
        <w:tc>
          <w:tcPr>
            <w:tcW w:w="0" w:type="auto"/>
            <w:tcBorders>
              <w:top w:val="single" w:sz="4" w:space="0" w:color="auto"/>
              <w:left w:val="single" w:sz="4" w:space="0" w:color="auto"/>
              <w:bottom w:val="single" w:sz="4" w:space="0" w:color="auto"/>
              <w:right w:val="single" w:sz="4" w:space="0" w:color="auto"/>
            </w:tcBorders>
            <w:shd w:val="clear" w:color="000000" w:fill="FCEBEE"/>
            <w:noWrap/>
            <w:vAlign w:val="bottom"/>
            <w:hideMark/>
          </w:tcPr>
          <w:p w:rsidR="003F2AA0" w:rsidRPr="003F2AA0" w:rsidRDefault="003F2AA0" w:rsidP="003F2AA0">
            <w:pPr>
              <w:spacing w:before="0"/>
              <w:jc w:val="right"/>
              <w:rPr>
                <w:sz w:val="18"/>
                <w:szCs w:val="18"/>
              </w:rPr>
            </w:pPr>
            <w:r w:rsidRPr="003F2AA0">
              <w:rPr>
                <w:sz w:val="18"/>
                <w:szCs w:val="18"/>
              </w:rPr>
              <w:t>131</w:t>
            </w:r>
          </w:p>
        </w:tc>
        <w:tc>
          <w:tcPr>
            <w:tcW w:w="0" w:type="auto"/>
            <w:tcBorders>
              <w:top w:val="single" w:sz="4" w:space="0" w:color="auto"/>
              <w:left w:val="single" w:sz="4" w:space="0" w:color="auto"/>
              <w:bottom w:val="single" w:sz="4" w:space="0" w:color="auto"/>
              <w:right w:val="single" w:sz="4" w:space="0" w:color="auto"/>
            </w:tcBorders>
            <w:shd w:val="clear" w:color="000000" w:fill="E7EDF7"/>
            <w:noWrap/>
            <w:vAlign w:val="bottom"/>
            <w:hideMark/>
          </w:tcPr>
          <w:p w:rsidR="003F2AA0" w:rsidRPr="003F2AA0" w:rsidRDefault="003F2AA0" w:rsidP="003F2AA0">
            <w:pPr>
              <w:spacing w:before="0"/>
              <w:jc w:val="right"/>
              <w:rPr>
                <w:sz w:val="18"/>
                <w:szCs w:val="18"/>
              </w:rPr>
            </w:pPr>
            <w:r w:rsidRPr="003F2AA0">
              <w:rPr>
                <w:sz w:val="18"/>
                <w:szCs w:val="18"/>
              </w:rPr>
              <w:t>200</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Karlovarský</w:t>
            </w:r>
          </w:p>
        </w:tc>
        <w:tc>
          <w:tcPr>
            <w:tcW w:w="0" w:type="auto"/>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3F2AA0" w:rsidRPr="003F2AA0" w:rsidRDefault="003F2AA0" w:rsidP="003F2AA0">
            <w:pPr>
              <w:spacing w:before="0"/>
              <w:jc w:val="right"/>
              <w:rPr>
                <w:sz w:val="18"/>
                <w:szCs w:val="18"/>
              </w:rPr>
            </w:pPr>
            <w:r w:rsidRPr="003F2AA0">
              <w:rPr>
                <w:sz w:val="18"/>
                <w:szCs w:val="18"/>
              </w:rPr>
              <w:t>32 176</w:t>
            </w:r>
          </w:p>
        </w:tc>
        <w:tc>
          <w:tcPr>
            <w:tcW w:w="0" w:type="auto"/>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3F2AA0" w:rsidRPr="003F2AA0" w:rsidRDefault="003F2AA0" w:rsidP="003F2AA0">
            <w:pPr>
              <w:spacing w:before="0"/>
              <w:jc w:val="right"/>
              <w:rPr>
                <w:sz w:val="18"/>
                <w:szCs w:val="18"/>
              </w:rPr>
            </w:pPr>
            <w:r w:rsidRPr="003F2AA0">
              <w:rPr>
                <w:sz w:val="18"/>
                <w:szCs w:val="18"/>
              </w:rPr>
              <w:t>521</w:t>
            </w:r>
          </w:p>
        </w:tc>
        <w:tc>
          <w:tcPr>
            <w:tcW w:w="0" w:type="auto"/>
            <w:tcBorders>
              <w:top w:val="single" w:sz="4" w:space="0" w:color="auto"/>
              <w:left w:val="single" w:sz="4" w:space="0" w:color="auto"/>
              <w:bottom w:val="single" w:sz="4" w:space="0" w:color="auto"/>
              <w:right w:val="single" w:sz="4" w:space="0" w:color="auto"/>
            </w:tcBorders>
            <w:shd w:val="clear" w:color="000000" w:fill="F4F6FC"/>
            <w:noWrap/>
            <w:vAlign w:val="bottom"/>
            <w:hideMark/>
          </w:tcPr>
          <w:p w:rsidR="003F2AA0" w:rsidRPr="003F2AA0" w:rsidRDefault="003F2AA0" w:rsidP="003F2AA0">
            <w:pPr>
              <w:spacing w:before="0"/>
              <w:jc w:val="right"/>
              <w:rPr>
                <w:sz w:val="18"/>
                <w:szCs w:val="18"/>
              </w:rPr>
            </w:pPr>
            <w:r w:rsidRPr="003F2AA0">
              <w:rPr>
                <w:sz w:val="18"/>
                <w:szCs w:val="18"/>
              </w:rPr>
              <w:t>9 697</w:t>
            </w:r>
          </w:p>
        </w:tc>
        <w:tc>
          <w:tcPr>
            <w:tcW w:w="0" w:type="auto"/>
            <w:tcBorders>
              <w:top w:val="single" w:sz="4" w:space="0" w:color="auto"/>
              <w:left w:val="single" w:sz="4" w:space="0" w:color="auto"/>
              <w:bottom w:val="single" w:sz="4" w:space="0" w:color="auto"/>
              <w:right w:val="single" w:sz="4" w:space="0" w:color="auto"/>
            </w:tcBorders>
            <w:shd w:val="clear" w:color="000000" w:fill="B6CBE6"/>
            <w:noWrap/>
            <w:vAlign w:val="bottom"/>
            <w:hideMark/>
          </w:tcPr>
          <w:p w:rsidR="003F2AA0" w:rsidRPr="003F2AA0" w:rsidRDefault="003F2AA0" w:rsidP="003F2AA0">
            <w:pPr>
              <w:spacing w:before="0"/>
              <w:jc w:val="right"/>
              <w:rPr>
                <w:sz w:val="18"/>
                <w:szCs w:val="18"/>
              </w:rPr>
            </w:pPr>
            <w:r w:rsidRPr="003F2AA0">
              <w:rPr>
                <w:sz w:val="18"/>
                <w:szCs w:val="18"/>
              </w:rPr>
              <w:t>582</w:t>
            </w:r>
          </w:p>
        </w:tc>
        <w:tc>
          <w:tcPr>
            <w:tcW w:w="0" w:type="auto"/>
            <w:tcBorders>
              <w:top w:val="single" w:sz="4" w:space="0" w:color="auto"/>
              <w:left w:val="single" w:sz="4" w:space="0" w:color="auto"/>
              <w:bottom w:val="single" w:sz="4" w:space="0" w:color="auto"/>
              <w:right w:val="single" w:sz="4" w:space="0" w:color="auto"/>
            </w:tcBorders>
            <w:shd w:val="clear" w:color="000000" w:fill="6491C9"/>
            <w:noWrap/>
            <w:vAlign w:val="bottom"/>
            <w:hideMark/>
          </w:tcPr>
          <w:p w:rsidR="003F2AA0" w:rsidRPr="003F2AA0" w:rsidRDefault="003F2AA0" w:rsidP="003F2AA0">
            <w:pPr>
              <w:spacing w:before="0"/>
              <w:jc w:val="right"/>
              <w:rPr>
                <w:sz w:val="18"/>
                <w:szCs w:val="18"/>
              </w:rPr>
            </w:pPr>
            <w:r w:rsidRPr="003F2AA0">
              <w:rPr>
                <w:sz w:val="18"/>
                <w:szCs w:val="18"/>
              </w:rPr>
              <w:t>12</w:t>
            </w:r>
          </w:p>
        </w:tc>
        <w:tc>
          <w:tcPr>
            <w:tcW w:w="0" w:type="auto"/>
            <w:tcBorders>
              <w:top w:val="single" w:sz="4" w:space="0" w:color="auto"/>
              <w:left w:val="single" w:sz="4" w:space="0" w:color="auto"/>
              <w:bottom w:val="single" w:sz="4" w:space="0" w:color="auto"/>
              <w:right w:val="single" w:sz="4" w:space="0" w:color="auto"/>
            </w:tcBorders>
            <w:shd w:val="clear" w:color="000000" w:fill="80A5D3"/>
            <w:noWrap/>
            <w:vAlign w:val="bottom"/>
            <w:hideMark/>
          </w:tcPr>
          <w:p w:rsidR="003F2AA0" w:rsidRPr="003F2AA0" w:rsidRDefault="003F2AA0" w:rsidP="003F2AA0">
            <w:pPr>
              <w:spacing w:before="0"/>
              <w:jc w:val="right"/>
              <w:rPr>
                <w:sz w:val="18"/>
                <w:szCs w:val="18"/>
              </w:rPr>
            </w:pPr>
            <w:r w:rsidRPr="003F2AA0">
              <w:rPr>
                <w:sz w:val="18"/>
                <w:szCs w:val="18"/>
              </w:rPr>
              <w:t>64</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Ústecký</w:t>
            </w:r>
          </w:p>
        </w:tc>
        <w:tc>
          <w:tcPr>
            <w:tcW w:w="0" w:type="auto"/>
            <w:tcBorders>
              <w:top w:val="single" w:sz="4" w:space="0" w:color="auto"/>
              <w:left w:val="single" w:sz="4" w:space="0" w:color="auto"/>
              <w:bottom w:val="single" w:sz="4" w:space="0" w:color="auto"/>
              <w:right w:val="single" w:sz="4" w:space="0" w:color="auto"/>
            </w:tcBorders>
            <w:shd w:val="clear" w:color="000000" w:fill="FAA4A7"/>
            <w:noWrap/>
            <w:vAlign w:val="bottom"/>
            <w:hideMark/>
          </w:tcPr>
          <w:p w:rsidR="003F2AA0" w:rsidRPr="003F2AA0" w:rsidRDefault="003F2AA0" w:rsidP="003F2AA0">
            <w:pPr>
              <w:spacing w:before="0"/>
              <w:jc w:val="right"/>
              <w:rPr>
                <w:sz w:val="18"/>
                <w:szCs w:val="18"/>
              </w:rPr>
            </w:pPr>
            <w:r w:rsidRPr="003F2AA0">
              <w:rPr>
                <w:sz w:val="18"/>
                <w:szCs w:val="18"/>
              </w:rPr>
              <w:t>91 313</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F2AA0" w:rsidRPr="003F2AA0" w:rsidRDefault="003F2AA0" w:rsidP="003F2AA0">
            <w:pPr>
              <w:spacing w:before="0"/>
              <w:jc w:val="right"/>
              <w:rPr>
                <w:sz w:val="18"/>
                <w:szCs w:val="18"/>
              </w:rPr>
            </w:pPr>
            <w:r w:rsidRPr="003F2AA0">
              <w:rPr>
                <w:sz w:val="18"/>
                <w:szCs w:val="18"/>
              </w:rPr>
              <w:t>1 321</w:t>
            </w:r>
          </w:p>
        </w:tc>
        <w:tc>
          <w:tcPr>
            <w:tcW w:w="0" w:type="auto"/>
            <w:tcBorders>
              <w:top w:val="single" w:sz="4" w:space="0" w:color="auto"/>
              <w:left w:val="single" w:sz="4" w:space="0" w:color="auto"/>
              <w:bottom w:val="single" w:sz="4" w:space="0" w:color="auto"/>
              <w:right w:val="single" w:sz="4" w:space="0" w:color="auto"/>
            </w:tcBorders>
            <w:shd w:val="clear" w:color="000000" w:fill="FAA5A8"/>
            <w:noWrap/>
            <w:vAlign w:val="bottom"/>
            <w:hideMark/>
          </w:tcPr>
          <w:p w:rsidR="003F2AA0" w:rsidRPr="003F2AA0" w:rsidRDefault="003F2AA0" w:rsidP="003F2AA0">
            <w:pPr>
              <w:spacing w:before="0"/>
              <w:jc w:val="right"/>
              <w:rPr>
                <w:sz w:val="18"/>
                <w:szCs w:val="18"/>
              </w:rPr>
            </w:pPr>
            <w:r w:rsidRPr="003F2AA0">
              <w:rPr>
                <w:sz w:val="18"/>
                <w:szCs w:val="18"/>
              </w:rPr>
              <w:t>61 097</w:t>
            </w:r>
          </w:p>
        </w:tc>
        <w:tc>
          <w:tcPr>
            <w:tcW w:w="0" w:type="auto"/>
            <w:tcBorders>
              <w:top w:val="single" w:sz="4" w:space="0" w:color="auto"/>
              <w:left w:val="single" w:sz="4" w:space="0" w:color="auto"/>
              <w:bottom w:val="single" w:sz="4" w:space="0" w:color="auto"/>
              <w:right w:val="single" w:sz="4" w:space="0" w:color="auto"/>
            </w:tcBorders>
            <w:shd w:val="clear" w:color="000000" w:fill="FCE3E6"/>
            <w:noWrap/>
            <w:vAlign w:val="bottom"/>
            <w:hideMark/>
          </w:tcPr>
          <w:p w:rsidR="003F2AA0" w:rsidRPr="003F2AA0" w:rsidRDefault="003F2AA0" w:rsidP="003F2AA0">
            <w:pPr>
              <w:spacing w:before="0"/>
              <w:jc w:val="right"/>
              <w:rPr>
                <w:sz w:val="18"/>
                <w:szCs w:val="18"/>
              </w:rPr>
            </w:pPr>
            <w:r w:rsidRPr="003F2AA0">
              <w:rPr>
                <w:sz w:val="18"/>
                <w:szCs w:val="18"/>
              </w:rPr>
              <w:t>2 527</w:t>
            </w:r>
          </w:p>
        </w:tc>
        <w:tc>
          <w:tcPr>
            <w:tcW w:w="0" w:type="auto"/>
            <w:tcBorders>
              <w:top w:val="single" w:sz="4" w:space="0" w:color="auto"/>
              <w:left w:val="single" w:sz="4" w:space="0" w:color="auto"/>
              <w:bottom w:val="single" w:sz="4" w:space="0" w:color="auto"/>
              <w:right w:val="single" w:sz="4" w:space="0" w:color="auto"/>
            </w:tcBorders>
            <w:shd w:val="clear" w:color="000000" w:fill="FCE7EA"/>
            <w:noWrap/>
            <w:vAlign w:val="bottom"/>
            <w:hideMark/>
          </w:tcPr>
          <w:p w:rsidR="003F2AA0" w:rsidRPr="003F2AA0" w:rsidRDefault="003F2AA0" w:rsidP="003F2AA0">
            <w:pPr>
              <w:spacing w:before="0"/>
              <w:jc w:val="right"/>
              <w:rPr>
                <w:sz w:val="18"/>
                <w:szCs w:val="18"/>
              </w:rPr>
            </w:pPr>
            <w:r w:rsidRPr="003F2AA0">
              <w:rPr>
                <w:sz w:val="18"/>
                <w:szCs w:val="18"/>
              </w:rPr>
              <w:t>138</w:t>
            </w:r>
          </w:p>
        </w:tc>
        <w:tc>
          <w:tcPr>
            <w:tcW w:w="0" w:type="auto"/>
            <w:tcBorders>
              <w:top w:val="single" w:sz="4" w:space="0" w:color="auto"/>
              <w:left w:val="single" w:sz="4" w:space="0" w:color="auto"/>
              <w:bottom w:val="single" w:sz="4" w:space="0" w:color="auto"/>
              <w:right w:val="single" w:sz="4" w:space="0" w:color="auto"/>
            </w:tcBorders>
            <w:shd w:val="clear" w:color="000000" w:fill="FBB9BC"/>
            <w:noWrap/>
            <w:vAlign w:val="bottom"/>
            <w:hideMark/>
          </w:tcPr>
          <w:p w:rsidR="003F2AA0" w:rsidRPr="003F2AA0" w:rsidRDefault="003F2AA0" w:rsidP="003F2AA0">
            <w:pPr>
              <w:spacing w:before="0"/>
              <w:jc w:val="right"/>
              <w:rPr>
                <w:sz w:val="18"/>
                <w:szCs w:val="18"/>
              </w:rPr>
            </w:pPr>
            <w:r w:rsidRPr="003F2AA0">
              <w:rPr>
                <w:sz w:val="18"/>
                <w:szCs w:val="18"/>
              </w:rPr>
              <w:t>3 205</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Liberecký</w:t>
            </w:r>
          </w:p>
        </w:tc>
        <w:tc>
          <w:tcPr>
            <w:tcW w:w="0" w:type="auto"/>
            <w:tcBorders>
              <w:top w:val="single" w:sz="4" w:space="0" w:color="auto"/>
              <w:left w:val="single" w:sz="4" w:space="0" w:color="auto"/>
              <w:bottom w:val="single" w:sz="4" w:space="0" w:color="auto"/>
              <w:right w:val="single" w:sz="4" w:space="0" w:color="auto"/>
            </w:tcBorders>
            <w:shd w:val="clear" w:color="000000" w:fill="FCE9EC"/>
            <w:noWrap/>
            <w:vAlign w:val="bottom"/>
            <w:hideMark/>
          </w:tcPr>
          <w:p w:rsidR="003F2AA0" w:rsidRPr="003F2AA0" w:rsidRDefault="003F2AA0" w:rsidP="003F2AA0">
            <w:pPr>
              <w:spacing w:before="0"/>
              <w:jc w:val="right"/>
              <w:rPr>
                <w:sz w:val="18"/>
                <w:szCs w:val="18"/>
              </w:rPr>
            </w:pPr>
            <w:r w:rsidRPr="003F2AA0">
              <w:rPr>
                <w:sz w:val="18"/>
                <w:szCs w:val="18"/>
              </w:rPr>
              <w:t>39 146</w:t>
            </w:r>
          </w:p>
        </w:tc>
        <w:tc>
          <w:tcPr>
            <w:tcW w:w="0" w:type="auto"/>
            <w:tcBorders>
              <w:top w:val="single" w:sz="4" w:space="0" w:color="auto"/>
              <w:left w:val="single" w:sz="4" w:space="0" w:color="auto"/>
              <w:bottom w:val="single" w:sz="4" w:space="0" w:color="auto"/>
              <w:right w:val="single" w:sz="4" w:space="0" w:color="auto"/>
            </w:tcBorders>
            <w:shd w:val="clear" w:color="000000" w:fill="F6F8FD"/>
            <w:noWrap/>
            <w:vAlign w:val="bottom"/>
            <w:hideMark/>
          </w:tcPr>
          <w:p w:rsidR="003F2AA0" w:rsidRPr="003F2AA0" w:rsidRDefault="003F2AA0" w:rsidP="003F2AA0">
            <w:pPr>
              <w:spacing w:before="0"/>
              <w:jc w:val="right"/>
              <w:rPr>
                <w:sz w:val="18"/>
                <w:szCs w:val="18"/>
              </w:rPr>
            </w:pPr>
            <w:r w:rsidRPr="003F2AA0">
              <w:rPr>
                <w:sz w:val="18"/>
                <w:szCs w:val="18"/>
              </w:rPr>
              <w:t>489</w:t>
            </w:r>
          </w:p>
        </w:tc>
        <w:tc>
          <w:tcPr>
            <w:tcW w:w="0" w:type="auto"/>
            <w:tcBorders>
              <w:top w:val="single" w:sz="4" w:space="0" w:color="auto"/>
              <w:left w:val="single" w:sz="4" w:space="0" w:color="auto"/>
              <w:bottom w:val="single" w:sz="4" w:space="0" w:color="auto"/>
              <w:right w:val="single" w:sz="4" w:space="0" w:color="auto"/>
            </w:tcBorders>
            <w:shd w:val="clear" w:color="000000" w:fill="F6F8FD"/>
            <w:noWrap/>
            <w:vAlign w:val="bottom"/>
            <w:hideMark/>
          </w:tcPr>
          <w:p w:rsidR="003F2AA0" w:rsidRPr="003F2AA0" w:rsidRDefault="003F2AA0" w:rsidP="003F2AA0">
            <w:pPr>
              <w:spacing w:before="0"/>
              <w:jc w:val="right"/>
              <w:rPr>
                <w:sz w:val="18"/>
                <w:szCs w:val="18"/>
              </w:rPr>
            </w:pPr>
            <w:r w:rsidRPr="003F2AA0">
              <w:rPr>
                <w:sz w:val="18"/>
                <w:szCs w:val="18"/>
              </w:rPr>
              <w:t>9 790</w:t>
            </w:r>
          </w:p>
        </w:tc>
        <w:tc>
          <w:tcPr>
            <w:tcW w:w="0" w:type="auto"/>
            <w:tcBorders>
              <w:top w:val="single" w:sz="4" w:space="0" w:color="auto"/>
              <w:left w:val="single" w:sz="4" w:space="0" w:color="auto"/>
              <w:bottom w:val="single" w:sz="4" w:space="0" w:color="auto"/>
              <w:right w:val="single" w:sz="4" w:space="0" w:color="auto"/>
            </w:tcBorders>
            <w:shd w:val="clear" w:color="000000" w:fill="C3D4EB"/>
            <w:noWrap/>
            <w:vAlign w:val="bottom"/>
            <w:hideMark/>
          </w:tcPr>
          <w:p w:rsidR="003F2AA0" w:rsidRPr="003F2AA0" w:rsidRDefault="003F2AA0" w:rsidP="003F2AA0">
            <w:pPr>
              <w:spacing w:before="0"/>
              <w:jc w:val="right"/>
              <w:rPr>
                <w:sz w:val="18"/>
                <w:szCs w:val="18"/>
              </w:rPr>
            </w:pPr>
            <w:r w:rsidRPr="003F2AA0">
              <w:rPr>
                <w:sz w:val="18"/>
                <w:szCs w:val="18"/>
              </w:rPr>
              <w:t>656</w:t>
            </w:r>
          </w:p>
        </w:tc>
        <w:tc>
          <w:tcPr>
            <w:tcW w:w="0" w:type="auto"/>
            <w:tcBorders>
              <w:top w:val="single" w:sz="4" w:space="0" w:color="auto"/>
              <w:left w:val="single" w:sz="4" w:space="0" w:color="auto"/>
              <w:bottom w:val="single" w:sz="4" w:space="0" w:color="auto"/>
              <w:right w:val="single" w:sz="4" w:space="0" w:color="auto"/>
            </w:tcBorders>
            <w:shd w:val="clear" w:color="000000" w:fill="90B0D9"/>
            <w:noWrap/>
            <w:vAlign w:val="bottom"/>
            <w:hideMark/>
          </w:tcPr>
          <w:p w:rsidR="003F2AA0" w:rsidRPr="003F2AA0" w:rsidRDefault="003F2AA0" w:rsidP="003F2AA0">
            <w:pPr>
              <w:spacing w:before="0"/>
              <w:jc w:val="right"/>
              <w:rPr>
                <w:sz w:val="18"/>
                <w:szCs w:val="18"/>
              </w:rPr>
            </w:pPr>
            <w:r w:rsidRPr="003F2AA0">
              <w:rPr>
                <w:sz w:val="18"/>
                <w:szCs w:val="18"/>
              </w:rPr>
              <w:t>38</w:t>
            </w:r>
          </w:p>
        </w:tc>
        <w:tc>
          <w:tcPr>
            <w:tcW w:w="0" w:type="auto"/>
            <w:tcBorders>
              <w:top w:val="single" w:sz="4" w:space="0" w:color="auto"/>
              <w:left w:val="single" w:sz="4" w:space="0" w:color="auto"/>
              <w:bottom w:val="single" w:sz="4" w:space="0" w:color="auto"/>
              <w:right w:val="single" w:sz="4" w:space="0" w:color="auto"/>
            </w:tcBorders>
            <w:shd w:val="clear" w:color="000000" w:fill="B1C7E4"/>
            <w:noWrap/>
            <w:vAlign w:val="bottom"/>
            <w:hideMark/>
          </w:tcPr>
          <w:p w:rsidR="003F2AA0" w:rsidRPr="003F2AA0" w:rsidRDefault="003F2AA0" w:rsidP="003F2AA0">
            <w:pPr>
              <w:spacing w:before="0"/>
              <w:jc w:val="right"/>
              <w:rPr>
                <w:sz w:val="18"/>
                <w:szCs w:val="18"/>
              </w:rPr>
            </w:pPr>
            <w:r w:rsidRPr="003F2AA0">
              <w:rPr>
                <w:sz w:val="18"/>
                <w:szCs w:val="18"/>
              </w:rPr>
              <w:t>129</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Královéhradecký</w:t>
            </w:r>
          </w:p>
        </w:tc>
        <w:tc>
          <w:tcPr>
            <w:tcW w:w="0" w:type="auto"/>
            <w:tcBorders>
              <w:top w:val="single" w:sz="4" w:space="0" w:color="auto"/>
              <w:left w:val="single" w:sz="4" w:space="0" w:color="auto"/>
              <w:bottom w:val="single" w:sz="4" w:space="0" w:color="auto"/>
              <w:right w:val="single" w:sz="4" w:space="0" w:color="auto"/>
            </w:tcBorders>
            <w:shd w:val="clear" w:color="000000" w:fill="7DA3D2"/>
            <w:noWrap/>
            <w:vAlign w:val="bottom"/>
            <w:hideMark/>
          </w:tcPr>
          <w:p w:rsidR="003F2AA0" w:rsidRPr="003F2AA0" w:rsidRDefault="003F2AA0" w:rsidP="003F2AA0">
            <w:pPr>
              <w:spacing w:before="0"/>
              <w:jc w:val="right"/>
              <w:rPr>
                <w:sz w:val="18"/>
                <w:szCs w:val="18"/>
              </w:rPr>
            </w:pPr>
            <w:r w:rsidRPr="003F2AA0">
              <w:rPr>
                <w:sz w:val="18"/>
                <w:szCs w:val="18"/>
              </w:rPr>
              <w:t>8 343</w:t>
            </w:r>
          </w:p>
        </w:tc>
        <w:tc>
          <w:tcPr>
            <w:tcW w:w="0" w:type="auto"/>
            <w:tcBorders>
              <w:top w:val="single" w:sz="4" w:space="0" w:color="auto"/>
              <w:left w:val="single" w:sz="4" w:space="0" w:color="auto"/>
              <w:bottom w:val="single" w:sz="4" w:space="0" w:color="auto"/>
              <w:right w:val="single" w:sz="4" w:space="0" w:color="auto"/>
            </w:tcBorders>
            <w:shd w:val="clear" w:color="000000" w:fill="A3BDDF"/>
            <w:noWrap/>
            <w:vAlign w:val="bottom"/>
            <w:hideMark/>
          </w:tcPr>
          <w:p w:rsidR="003F2AA0" w:rsidRPr="003F2AA0" w:rsidRDefault="003F2AA0" w:rsidP="003F2AA0">
            <w:pPr>
              <w:spacing w:before="0"/>
              <w:jc w:val="right"/>
              <w:rPr>
                <w:sz w:val="18"/>
                <w:szCs w:val="18"/>
              </w:rPr>
            </w:pPr>
            <w:r w:rsidRPr="003F2AA0">
              <w:rPr>
                <w:sz w:val="18"/>
                <w:szCs w:val="18"/>
              </w:rPr>
              <w:t>305</w:t>
            </w:r>
          </w:p>
        </w:tc>
        <w:tc>
          <w:tcPr>
            <w:tcW w:w="0" w:type="auto"/>
            <w:tcBorders>
              <w:top w:val="single" w:sz="4" w:space="0" w:color="auto"/>
              <w:left w:val="single" w:sz="4" w:space="0" w:color="auto"/>
              <w:bottom w:val="single" w:sz="4" w:space="0" w:color="auto"/>
              <w:right w:val="single" w:sz="4" w:space="0" w:color="auto"/>
            </w:tcBorders>
            <w:shd w:val="clear" w:color="000000" w:fill="8BACD7"/>
            <w:noWrap/>
            <w:vAlign w:val="bottom"/>
            <w:hideMark/>
          </w:tcPr>
          <w:p w:rsidR="003F2AA0" w:rsidRPr="003F2AA0" w:rsidRDefault="003F2AA0" w:rsidP="003F2AA0">
            <w:pPr>
              <w:spacing w:before="0"/>
              <w:jc w:val="right"/>
              <w:rPr>
                <w:sz w:val="18"/>
                <w:szCs w:val="18"/>
              </w:rPr>
            </w:pPr>
            <w:r w:rsidRPr="003F2AA0">
              <w:rPr>
                <w:sz w:val="18"/>
                <w:szCs w:val="18"/>
              </w:rPr>
              <w:t>4 387</w:t>
            </w:r>
          </w:p>
        </w:tc>
        <w:tc>
          <w:tcPr>
            <w:tcW w:w="0" w:type="auto"/>
            <w:tcBorders>
              <w:top w:val="single" w:sz="4" w:space="0" w:color="auto"/>
              <w:left w:val="single" w:sz="4" w:space="0" w:color="auto"/>
              <w:bottom w:val="single" w:sz="4" w:space="0" w:color="auto"/>
              <w:right w:val="single" w:sz="4" w:space="0" w:color="auto"/>
            </w:tcBorders>
            <w:shd w:val="clear" w:color="000000" w:fill="A7C0E1"/>
            <w:noWrap/>
            <w:vAlign w:val="bottom"/>
            <w:hideMark/>
          </w:tcPr>
          <w:p w:rsidR="003F2AA0" w:rsidRPr="003F2AA0" w:rsidRDefault="003F2AA0" w:rsidP="003F2AA0">
            <w:pPr>
              <w:spacing w:before="0"/>
              <w:jc w:val="right"/>
              <w:rPr>
                <w:sz w:val="18"/>
                <w:szCs w:val="18"/>
              </w:rPr>
            </w:pPr>
            <w:r w:rsidRPr="003F2AA0">
              <w:rPr>
                <w:sz w:val="18"/>
                <w:szCs w:val="18"/>
              </w:rPr>
              <w:t>496</w:t>
            </w:r>
          </w:p>
        </w:tc>
        <w:tc>
          <w:tcPr>
            <w:tcW w:w="0" w:type="auto"/>
            <w:tcBorders>
              <w:top w:val="single" w:sz="4" w:space="0" w:color="auto"/>
              <w:left w:val="single" w:sz="4" w:space="0" w:color="auto"/>
              <w:bottom w:val="single" w:sz="4" w:space="0" w:color="auto"/>
              <w:right w:val="single" w:sz="4" w:space="0" w:color="auto"/>
            </w:tcBorders>
            <w:shd w:val="clear" w:color="000000" w:fill="86A9D5"/>
            <w:noWrap/>
            <w:vAlign w:val="bottom"/>
            <w:hideMark/>
          </w:tcPr>
          <w:p w:rsidR="003F2AA0" w:rsidRPr="003F2AA0" w:rsidRDefault="003F2AA0" w:rsidP="003F2AA0">
            <w:pPr>
              <w:spacing w:before="0"/>
              <w:jc w:val="right"/>
              <w:rPr>
                <w:sz w:val="18"/>
                <w:szCs w:val="18"/>
              </w:rPr>
            </w:pPr>
            <w:r w:rsidRPr="003F2AA0">
              <w:rPr>
                <w:sz w:val="18"/>
                <w:szCs w:val="18"/>
              </w:rPr>
              <w:t>32</w:t>
            </w:r>
          </w:p>
        </w:tc>
        <w:tc>
          <w:tcPr>
            <w:tcW w:w="0" w:type="auto"/>
            <w:tcBorders>
              <w:top w:val="single" w:sz="4" w:space="0" w:color="auto"/>
              <w:left w:val="single" w:sz="4" w:space="0" w:color="auto"/>
              <w:bottom w:val="single" w:sz="4" w:space="0" w:color="auto"/>
              <w:right w:val="single" w:sz="4" w:space="0" w:color="auto"/>
            </w:tcBorders>
            <w:shd w:val="clear" w:color="000000" w:fill="6894CB"/>
            <w:noWrap/>
            <w:vAlign w:val="bottom"/>
            <w:hideMark/>
          </w:tcPr>
          <w:p w:rsidR="003F2AA0" w:rsidRPr="003F2AA0" w:rsidRDefault="003F2AA0" w:rsidP="003F2AA0">
            <w:pPr>
              <w:spacing w:before="0"/>
              <w:jc w:val="right"/>
              <w:rPr>
                <w:sz w:val="18"/>
                <w:szCs w:val="18"/>
              </w:rPr>
            </w:pPr>
            <w:r w:rsidRPr="003F2AA0">
              <w:rPr>
                <w:sz w:val="18"/>
                <w:szCs w:val="18"/>
              </w:rPr>
              <w:t>32</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Pardubický</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3F2AA0" w:rsidRPr="003F2AA0" w:rsidRDefault="003F2AA0" w:rsidP="003F2AA0">
            <w:pPr>
              <w:spacing w:before="0"/>
              <w:jc w:val="right"/>
              <w:rPr>
                <w:sz w:val="18"/>
                <w:szCs w:val="18"/>
              </w:rPr>
            </w:pPr>
            <w:r w:rsidRPr="003F2AA0">
              <w:rPr>
                <w:sz w:val="18"/>
                <w:szCs w:val="18"/>
              </w:rPr>
              <w:t>3 735</w:t>
            </w:r>
          </w:p>
        </w:tc>
        <w:tc>
          <w:tcPr>
            <w:tcW w:w="0" w:type="auto"/>
            <w:tcBorders>
              <w:top w:val="single" w:sz="4" w:space="0" w:color="auto"/>
              <w:left w:val="single" w:sz="4" w:space="0" w:color="auto"/>
              <w:bottom w:val="single" w:sz="4" w:space="0" w:color="auto"/>
              <w:right w:val="single" w:sz="4" w:space="0" w:color="auto"/>
            </w:tcBorders>
            <w:shd w:val="clear" w:color="000000" w:fill="6C97CC"/>
            <w:noWrap/>
            <w:vAlign w:val="bottom"/>
            <w:hideMark/>
          </w:tcPr>
          <w:p w:rsidR="003F2AA0" w:rsidRPr="003F2AA0" w:rsidRDefault="003F2AA0" w:rsidP="003F2AA0">
            <w:pPr>
              <w:spacing w:before="0"/>
              <w:jc w:val="right"/>
              <w:rPr>
                <w:sz w:val="18"/>
                <w:szCs w:val="18"/>
              </w:rPr>
            </w:pPr>
            <w:r w:rsidRPr="003F2AA0">
              <w:rPr>
                <w:sz w:val="18"/>
                <w:szCs w:val="18"/>
              </w:rPr>
              <w:t>184</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3F2AA0" w:rsidRPr="003F2AA0" w:rsidRDefault="003F2AA0" w:rsidP="003F2AA0">
            <w:pPr>
              <w:spacing w:before="0"/>
              <w:jc w:val="right"/>
              <w:rPr>
                <w:sz w:val="18"/>
                <w:szCs w:val="18"/>
              </w:rPr>
            </w:pPr>
            <w:r w:rsidRPr="003F2AA0">
              <w:rPr>
                <w:sz w:val="18"/>
                <w:szCs w:val="18"/>
              </w:rPr>
              <w:t>1 919</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3F2AA0" w:rsidRPr="003F2AA0" w:rsidRDefault="003F2AA0" w:rsidP="003F2AA0">
            <w:pPr>
              <w:spacing w:before="0"/>
              <w:jc w:val="right"/>
              <w:rPr>
                <w:sz w:val="18"/>
                <w:szCs w:val="18"/>
              </w:rPr>
            </w:pPr>
            <w:r w:rsidRPr="003F2AA0">
              <w:rPr>
                <w:sz w:val="18"/>
                <w:szCs w:val="18"/>
              </w:rPr>
              <w:t>70</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3F2AA0" w:rsidRPr="003F2AA0" w:rsidRDefault="003F2AA0" w:rsidP="003F2AA0">
            <w:pPr>
              <w:spacing w:before="0"/>
              <w:jc w:val="right"/>
              <w:rPr>
                <w:sz w:val="18"/>
                <w:szCs w:val="18"/>
              </w:rPr>
            </w:pPr>
            <w:r w:rsidRPr="003F2AA0">
              <w:rPr>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3F2AA0" w:rsidRPr="003F2AA0" w:rsidRDefault="003F2AA0" w:rsidP="003F2AA0">
            <w:pPr>
              <w:spacing w:before="0"/>
              <w:jc w:val="right"/>
              <w:rPr>
                <w:sz w:val="18"/>
                <w:szCs w:val="18"/>
              </w:rPr>
            </w:pPr>
            <w:r w:rsidRPr="003F2AA0">
              <w:rPr>
                <w:sz w:val="18"/>
                <w:szCs w:val="18"/>
              </w:rPr>
              <w:t>13</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Vysočina</w:t>
            </w:r>
          </w:p>
        </w:tc>
        <w:tc>
          <w:tcPr>
            <w:tcW w:w="0" w:type="auto"/>
            <w:tcBorders>
              <w:top w:val="single" w:sz="4" w:space="0" w:color="auto"/>
              <w:left w:val="single" w:sz="4" w:space="0" w:color="auto"/>
              <w:bottom w:val="single" w:sz="4" w:space="0" w:color="auto"/>
              <w:right w:val="single" w:sz="4" w:space="0" w:color="auto"/>
            </w:tcBorders>
            <w:shd w:val="clear" w:color="000000" w:fill="81A5D3"/>
            <w:noWrap/>
            <w:vAlign w:val="bottom"/>
            <w:hideMark/>
          </w:tcPr>
          <w:p w:rsidR="003F2AA0" w:rsidRPr="003F2AA0" w:rsidRDefault="003F2AA0" w:rsidP="003F2AA0">
            <w:pPr>
              <w:spacing w:before="0"/>
              <w:jc w:val="right"/>
              <w:rPr>
                <w:sz w:val="18"/>
                <w:szCs w:val="18"/>
              </w:rPr>
            </w:pPr>
            <w:r w:rsidRPr="003F2AA0">
              <w:rPr>
                <w:sz w:val="18"/>
                <w:szCs w:val="18"/>
              </w:rPr>
              <w:t>8 794</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3F2AA0" w:rsidRPr="003F2AA0" w:rsidRDefault="003F2AA0" w:rsidP="003F2AA0">
            <w:pPr>
              <w:spacing w:before="0"/>
              <w:jc w:val="right"/>
              <w:rPr>
                <w:sz w:val="18"/>
                <w:szCs w:val="18"/>
              </w:rPr>
            </w:pPr>
            <w:r w:rsidRPr="003F2AA0">
              <w:rPr>
                <w:sz w:val="18"/>
                <w:szCs w:val="18"/>
              </w:rPr>
              <w:t>142</w:t>
            </w:r>
          </w:p>
        </w:tc>
        <w:tc>
          <w:tcPr>
            <w:tcW w:w="0" w:type="auto"/>
            <w:tcBorders>
              <w:top w:val="single" w:sz="4" w:space="0" w:color="auto"/>
              <w:left w:val="single" w:sz="4" w:space="0" w:color="auto"/>
              <w:bottom w:val="single" w:sz="4" w:space="0" w:color="auto"/>
              <w:right w:val="single" w:sz="4" w:space="0" w:color="auto"/>
            </w:tcBorders>
            <w:shd w:val="clear" w:color="000000" w:fill="6A95CB"/>
            <w:noWrap/>
            <w:vAlign w:val="bottom"/>
            <w:hideMark/>
          </w:tcPr>
          <w:p w:rsidR="003F2AA0" w:rsidRPr="003F2AA0" w:rsidRDefault="003F2AA0" w:rsidP="003F2AA0">
            <w:pPr>
              <w:spacing w:before="0"/>
              <w:jc w:val="right"/>
              <w:rPr>
                <w:sz w:val="18"/>
                <w:szCs w:val="18"/>
              </w:rPr>
            </w:pPr>
            <w:r w:rsidRPr="003F2AA0">
              <w:rPr>
                <w:sz w:val="18"/>
                <w:szCs w:val="18"/>
              </w:rPr>
              <w:t>2 732</w:t>
            </w:r>
          </w:p>
        </w:tc>
        <w:tc>
          <w:tcPr>
            <w:tcW w:w="0" w:type="auto"/>
            <w:tcBorders>
              <w:top w:val="single" w:sz="4" w:space="0" w:color="auto"/>
              <w:left w:val="single" w:sz="4" w:space="0" w:color="auto"/>
              <w:bottom w:val="single" w:sz="4" w:space="0" w:color="auto"/>
              <w:right w:val="single" w:sz="4" w:space="0" w:color="auto"/>
            </w:tcBorders>
            <w:shd w:val="clear" w:color="000000" w:fill="AAC2E2"/>
            <w:noWrap/>
            <w:vAlign w:val="bottom"/>
            <w:hideMark/>
          </w:tcPr>
          <w:p w:rsidR="003F2AA0" w:rsidRPr="003F2AA0" w:rsidRDefault="003F2AA0" w:rsidP="003F2AA0">
            <w:pPr>
              <w:spacing w:before="0"/>
              <w:jc w:val="right"/>
              <w:rPr>
                <w:sz w:val="18"/>
                <w:szCs w:val="18"/>
              </w:rPr>
            </w:pPr>
            <w:r w:rsidRPr="003F2AA0">
              <w:rPr>
                <w:sz w:val="18"/>
                <w:szCs w:val="18"/>
              </w:rPr>
              <w:t>516</w:t>
            </w:r>
          </w:p>
        </w:tc>
        <w:tc>
          <w:tcPr>
            <w:tcW w:w="0" w:type="auto"/>
            <w:tcBorders>
              <w:top w:val="single" w:sz="4" w:space="0" w:color="auto"/>
              <w:left w:val="single" w:sz="4" w:space="0" w:color="auto"/>
              <w:bottom w:val="single" w:sz="4" w:space="0" w:color="auto"/>
              <w:right w:val="single" w:sz="4" w:space="0" w:color="auto"/>
            </w:tcBorders>
            <w:shd w:val="clear" w:color="000000" w:fill="789FD0"/>
            <w:noWrap/>
            <w:vAlign w:val="bottom"/>
            <w:hideMark/>
          </w:tcPr>
          <w:p w:rsidR="003F2AA0" w:rsidRPr="003F2AA0" w:rsidRDefault="003F2AA0" w:rsidP="003F2AA0">
            <w:pPr>
              <w:spacing w:before="0"/>
              <w:jc w:val="right"/>
              <w:rPr>
                <w:sz w:val="18"/>
                <w:szCs w:val="18"/>
              </w:rPr>
            </w:pPr>
            <w:r w:rsidRPr="003F2AA0">
              <w:rPr>
                <w:sz w:val="18"/>
                <w:szCs w:val="18"/>
              </w:rPr>
              <w:t>24</w:t>
            </w:r>
          </w:p>
        </w:tc>
        <w:tc>
          <w:tcPr>
            <w:tcW w:w="0" w:type="auto"/>
            <w:tcBorders>
              <w:top w:val="single" w:sz="4" w:space="0" w:color="auto"/>
              <w:left w:val="single" w:sz="4" w:space="0" w:color="auto"/>
              <w:bottom w:val="single" w:sz="4" w:space="0" w:color="auto"/>
              <w:right w:val="single" w:sz="4" w:space="0" w:color="auto"/>
            </w:tcBorders>
            <w:shd w:val="clear" w:color="000000" w:fill="789FD0"/>
            <w:noWrap/>
            <w:vAlign w:val="bottom"/>
            <w:hideMark/>
          </w:tcPr>
          <w:p w:rsidR="003F2AA0" w:rsidRPr="003F2AA0" w:rsidRDefault="003F2AA0" w:rsidP="003F2AA0">
            <w:pPr>
              <w:spacing w:before="0"/>
              <w:jc w:val="right"/>
              <w:rPr>
                <w:sz w:val="18"/>
                <w:szCs w:val="18"/>
              </w:rPr>
            </w:pPr>
            <w:r w:rsidRPr="003F2AA0">
              <w:rPr>
                <w:sz w:val="18"/>
                <w:szCs w:val="18"/>
              </w:rPr>
              <w:t>54</w:t>
            </w:r>
          </w:p>
        </w:tc>
      </w:tr>
      <w:tr w:rsidR="003F2AA0" w:rsidRPr="003F2AA0" w:rsidTr="003F2AA0">
        <w:trPr>
          <w:trHeight w:val="20"/>
        </w:trPr>
        <w:tc>
          <w:tcPr>
            <w:tcW w:w="0" w:type="auto"/>
            <w:tcBorders>
              <w:top w:val="nil"/>
              <w:left w:val="single" w:sz="4" w:space="0" w:color="auto"/>
              <w:bottom w:val="single" w:sz="12"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Jihomoravský</w:t>
            </w:r>
          </w:p>
        </w:tc>
        <w:tc>
          <w:tcPr>
            <w:tcW w:w="0" w:type="auto"/>
            <w:tcBorders>
              <w:top w:val="single" w:sz="4" w:space="0" w:color="auto"/>
              <w:left w:val="single" w:sz="4" w:space="0" w:color="auto"/>
              <w:bottom w:val="single" w:sz="12" w:space="0" w:color="auto"/>
              <w:right w:val="single" w:sz="4" w:space="0" w:color="auto"/>
            </w:tcBorders>
            <w:shd w:val="clear" w:color="000000" w:fill="FBC7CA"/>
            <w:noWrap/>
            <w:vAlign w:val="bottom"/>
            <w:hideMark/>
          </w:tcPr>
          <w:p w:rsidR="003F2AA0" w:rsidRPr="003F2AA0" w:rsidRDefault="003F2AA0" w:rsidP="003F2AA0">
            <w:pPr>
              <w:spacing w:before="0"/>
              <w:jc w:val="right"/>
              <w:rPr>
                <w:sz w:val="18"/>
                <w:szCs w:val="18"/>
              </w:rPr>
            </w:pPr>
            <w:r w:rsidRPr="003F2AA0">
              <w:rPr>
                <w:sz w:val="18"/>
                <w:szCs w:val="18"/>
              </w:rPr>
              <w:t>65 050</w:t>
            </w:r>
          </w:p>
        </w:tc>
        <w:tc>
          <w:tcPr>
            <w:tcW w:w="0" w:type="auto"/>
            <w:tcBorders>
              <w:top w:val="single" w:sz="4" w:space="0" w:color="auto"/>
              <w:left w:val="single" w:sz="4" w:space="0" w:color="auto"/>
              <w:bottom w:val="single" w:sz="12" w:space="0" w:color="auto"/>
              <w:right w:val="single" w:sz="4" w:space="0" w:color="auto"/>
            </w:tcBorders>
            <w:shd w:val="clear" w:color="000000" w:fill="FAA8AB"/>
            <w:noWrap/>
            <w:vAlign w:val="bottom"/>
            <w:hideMark/>
          </w:tcPr>
          <w:p w:rsidR="003F2AA0" w:rsidRPr="003F2AA0" w:rsidRDefault="003F2AA0" w:rsidP="003F2AA0">
            <w:pPr>
              <w:spacing w:before="0"/>
              <w:jc w:val="right"/>
              <w:rPr>
                <w:sz w:val="18"/>
                <w:szCs w:val="18"/>
              </w:rPr>
            </w:pPr>
            <w:r w:rsidRPr="003F2AA0">
              <w:rPr>
                <w:sz w:val="18"/>
                <w:szCs w:val="18"/>
              </w:rPr>
              <w:t>970</w:t>
            </w:r>
          </w:p>
        </w:tc>
        <w:tc>
          <w:tcPr>
            <w:tcW w:w="0" w:type="auto"/>
            <w:tcBorders>
              <w:top w:val="single" w:sz="4" w:space="0" w:color="auto"/>
              <w:left w:val="single" w:sz="4" w:space="0" w:color="auto"/>
              <w:bottom w:val="single" w:sz="12" w:space="0" w:color="auto"/>
              <w:right w:val="single" w:sz="4" w:space="0" w:color="auto"/>
            </w:tcBorders>
            <w:shd w:val="clear" w:color="000000" w:fill="FCE4E6"/>
            <w:noWrap/>
            <w:vAlign w:val="bottom"/>
            <w:hideMark/>
          </w:tcPr>
          <w:p w:rsidR="003F2AA0" w:rsidRPr="003F2AA0" w:rsidRDefault="003F2AA0" w:rsidP="003F2AA0">
            <w:pPr>
              <w:spacing w:before="0"/>
              <w:jc w:val="right"/>
              <w:rPr>
                <w:sz w:val="18"/>
                <w:szCs w:val="18"/>
              </w:rPr>
            </w:pPr>
            <w:r w:rsidRPr="003F2AA0">
              <w:rPr>
                <w:sz w:val="18"/>
                <w:szCs w:val="18"/>
              </w:rPr>
              <w:t>24 645</w:t>
            </w:r>
          </w:p>
        </w:tc>
        <w:tc>
          <w:tcPr>
            <w:tcW w:w="0" w:type="auto"/>
            <w:tcBorders>
              <w:top w:val="single" w:sz="4" w:space="0" w:color="auto"/>
              <w:left w:val="single" w:sz="4" w:space="0" w:color="auto"/>
              <w:bottom w:val="single" w:sz="12" w:space="0" w:color="auto"/>
              <w:right w:val="single" w:sz="4" w:space="0" w:color="auto"/>
            </w:tcBorders>
            <w:shd w:val="clear" w:color="000000" w:fill="FBCDD0"/>
            <w:noWrap/>
            <w:vAlign w:val="bottom"/>
            <w:hideMark/>
          </w:tcPr>
          <w:p w:rsidR="003F2AA0" w:rsidRPr="003F2AA0" w:rsidRDefault="003F2AA0" w:rsidP="003F2AA0">
            <w:pPr>
              <w:spacing w:before="0"/>
              <w:jc w:val="right"/>
              <w:rPr>
                <w:sz w:val="18"/>
                <w:szCs w:val="18"/>
              </w:rPr>
            </w:pPr>
            <w:r w:rsidRPr="003F2AA0">
              <w:rPr>
                <w:sz w:val="18"/>
                <w:szCs w:val="18"/>
              </w:rPr>
              <w:t>3 905</w:t>
            </w:r>
          </w:p>
        </w:tc>
        <w:tc>
          <w:tcPr>
            <w:tcW w:w="0" w:type="auto"/>
            <w:tcBorders>
              <w:top w:val="single" w:sz="4" w:space="0" w:color="auto"/>
              <w:left w:val="single" w:sz="4" w:space="0" w:color="auto"/>
              <w:bottom w:val="single" w:sz="12" w:space="0" w:color="auto"/>
              <w:right w:val="single" w:sz="4" w:space="0" w:color="auto"/>
            </w:tcBorders>
            <w:shd w:val="clear" w:color="000000" w:fill="FA9A9C"/>
            <w:noWrap/>
            <w:vAlign w:val="bottom"/>
            <w:hideMark/>
          </w:tcPr>
          <w:p w:rsidR="003F2AA0" w:rsidRPr="003F2AA0" w:rsidRDefault="003F2AA0" w:rsidP="003F2AA0">
            <w:pPr>
              <w:spacing w:before="0"/>
              <w:jc w:val="right"/>
              <w:rPr>
                <w:sz w:val="18"/>
                <w:szCs w:val="18"/>
              </w:rPr>
            </w:pPr>
            <w:r w:rsidRPr="003F2AA0">
              <w:rPr>
                <w:sz w:val="18"/>
                <w:szCs w:val="18"/>
              </w:rPr>
              <w:t>272</w:t>
            </w:r>
          </w:p>
        </w:tc>
        <w:tc>
          <w:tcPr>
            <w:tcW w:w="0" w:type="auto"/>
            <w:tcBorders>
              <w:top w:val="single" w:sz="4" w:space="0" w:color="auto"/>
              <w:left w:val="single" w:sz="4" w:space="0" w:color="auto"/>
              <w:bottom w:val="single" w:sz="12" w:space="0" w:color="auto"/>
              <w:right w:val="single" w:sz="4" w:space="0" w:color="auto"/>
            </w:tcBorders>
            <w:shd w:val="clear" w:color="000000" w:fill="FCDDE0"/>
            <w:noWrap/>
            <w:vAlign w:val="bottom"/>
            <w:hideMark/>
          </w:tcPr>
          <w:p w:rsidR="003F2AA0" w:rsidRPr="003F2AA0" w:rsidRDefault="003F2AA0" w:rsidP="003F2AA0">
            <w:pPr>
              <w:spacing w:before="0"/>
              <w:jc w:val="right"/>
              <w:rPr>
                <w:sz w:val="18"/>
                <w:szCs w:val="18"/>
              </w:rPr>
            </w:pPr>
            <w:r w:rsidRPr="003F2AA0">
              <w:rPr>
                <w:sz w:val="18"/>
                <w:szCs w:val="18"/>
              </w:rPr>
              <w:t>1 638</w:t>
            </w:r>
          </w:p>
        </w:tc>
      </w:tr>
      <w:tr w:rsidR="003F2AA0" w:rsidRPr="003F2AA0" w:rsidTr="003F2AA0">
        <w:trPr>
          <w:trHeight w:val="20"/>
        </w:trPr>
        <w:tc>
          <w:tcPr>
            <w:tcW w:w="0" w:type="auto"/>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3F2AA0" w:rsidRPr="003F2AA0" w:rsidRDefault="003F2AA0" w:rsidP="003F2AA0">
            <w:pPr>
              <w:spacing w:before="0"/>
              <w:rPr>
                <w:b/>
                <w:bCs/>
                <w:sz w:val="18"/>
                <w:szCs w:val="18"/>
              </w:rPr>
            </w:pPr>
            <w:r w:rsidRPr="003F2AA0">
              <w:rPr>
                <w:b/>
                <w:bCs/>
                <w:sz w:val="18"/>
                <w:szCs w:val="18"/>
              </w:rPr>
              <w:t>Olomoucký</w:t>
            </w:r>
          </w:p>
        </w:tc>
        <w:tc>
          <w:tcPr>
            <w:tcW w:w="0" w:type="auto"/>
            <w:tcBorders>
              <w:top w:val="single" w:sz="12" w:space="0" w:color="auto"/>
              <w:left w:val="single" w:sz="4" w:space="0" w:color="auto"/>
              <w:bottom w:val="single" w:sz="12" w:space="0" w:color="auto"/>
              <w:right w:val="single" w:sz="4" w:space="0" w:color="auto"/>
            </w:tcBorders>
            <w:shd w:val="clear" w:color="000000" w:fill="F3F6FC"/>
            <w:noWrap/>
            <w:vAlign w:val="bottom"/>
            <w:hideMark/>
          </w:tcPr>
          <w:p w:rsidR="003F2AA0" w:rsidRPr="003F2AA0" w:rsidRDefault="003F2AA0" w:rsidP="003F2AA0">
            <w:pPr>
              <w:spacing w:before="0"/>
              <w:jc w:val="right"/>
              <w:rPr>
                <w:b/>
                <w:bCs/>
                <w:sz w:val="18"/>
                <w:szCs w:val="18"/>
              </w:rPr>
            </w:pPr>
            <w:r w:rsidRPr="003F2AA0">
              <w:rPr>
                <w:b/>
                <w:bCs/>
                <w:sz w:val="18"/>
                <w:szCs w:val="18"/>
              </w:rPr>
              <w:t>23 536</w:t>
            </w:r>
          </w:p>
        </w:tc>
        <w:tc>
          <w:tcPr>
            <w:tcW w:w="0" w:type="auto"/>
            <w:tcBorders>
              <w:top w:val="single" w:sz="12" w:space="0" w:color="auto"/>
              <w:left w:val="single" w:sz="4" w:space="0" w:color="auto"/>
              <w:bottom w:val="single" w:sz="12" w:space="0" w:color="auto"/>
              <w:right w:val="single" w:sz="4" w:space="0" w:color="auto"/>
            </w:tcBorders>
            <w:shd w:val="clear" w:color="000000" w:fill="FBCFD2"/>
            <w:noWrap/>
            <w:vAlign w:val="bottom"/>
            <w:hideMark/>
          </w:tcPr>
          <w:p w:rsidR="003F2AA0" w:rsidRPr="003F2AA0" w:rsidRDefault="003F2AA0" w:rsidP="003F2AA0">
            <w:pPr>
              <w:spacing w:before="0"/>
              <w:jc w:val="right"/>
              <w:rPr>
                <w:b/>
                <w:bCs/>
                <w:sz w:val="18"/>
                <w:szCs w:val="18"/>
              </w:rPr>
            </w:pPr>
            <w:r w:rsidRPr="003F2AA0">
              <w:rPr>
                <w:b/>
                <w:bCs/>
                <w:sz w:val="18"/>
                <w:szCs w:val="18"/>
              </w:rPr>
              <w:t>756</w:t>
            </w:r>
          </w:p>
        </w:tc>
        <w:tc>
          <w:tcPr>
            <w:tcW w:w="0" w:type="auto"/>
            <w:tcBorders>
              <w:top w:val="single" w:sz="12" w:space="0" w:color="auto"/>
              <w:left w:val="single" w:sz="4" w:space="0" w:color="auto"/>
              <w:bottom w:val="single" w:sz="12" w:space="0" w:color="auto"/>
              <w:right w:val="single" w:sz="4" w:space="0" w:color="auto"/>
            </w:tcBorders>
            <w:shd w:val="clear" w:color="000000" w:fill="FCF7FA"/>
            <w:noWrap/>
            <w:vAlign w:val="bottom"/>
            <w:hideMark/>
          </w:tcPr>
          <w:p w:rsidR="003F2AA0" w:rsidRPr="003F2AA0" w:rsidRDefault="003F2AA0" w:rsidP="003F2AA0">
            <w:pPr>
              <w:spacing w:before="0"/>
              <w:jc w:val="right"/>
              <w:rPr>
                <w:b/>
                <w:bCs/>
                <w:sz w:val="18"/>
                <w:szCs w:val="18"/>
              </w:rPr>
            </w:pPr>
            <w:r w:rsidRPr="003F2AA0">
              <w:rPr>
                <w:b/>
                <w:bCs/>
                <w:sz w:val="18"/>
                <w:szCs w:val="18"/>
              </w:rPr>
              <w:t>13 507</w:t>
            </w:r>
          </w:p>
        </w:tc>
        <w:tc>
          <w:tcPr>
            <w:tcW w:w="0" w:type="auto"/>
            <w:tcBorders>
              <w:top w:val="single" w:sz="12" w:space="0" w:color="auto"/>
              <w:left w:val="single" w:sz="4" w:space="0" w:color="auto"/>
              <w:bottom w:val="single" w:sz="12" w:space="0" w:color="auto"/>
              <w:right w:val="single" w:sz="4" w:space="0" w:color="auto"/>
            </w:tcBorders>
            <w:shd w:val="clear" w:color="000000" w:fill="FCD9DC"/>
            <w:noWrap/>
            <w:vAlign w:val="bottom"/>
            <w:hideMark/>
          </w:tcPr>
          <w:p w:rsidR="003F2AA0" w:rsidRPr="003F2AA0" w:rsidRDefault="003F2AA0" w:rsidP="003F2AA0">
            <w:pPr>
              <w:spacing w:before="0"/>
              <w:jc w:val="right"/>
              <w:rPr>
                <w:b/>
                <w:bCs/>
                <w:sz w:val="18"/>
                <w:szCs w:val="18"/>
              </w:rPr>
            </w:pPr>
            <w:r w:rsidRPr="003F2AA0">
              <w:rPr>
                <w:b/>
                <w:bCs/>
                <w:sz w:val="18"/>
                <w:szCs w:val="18"/>
              </w:rPr>
              <w:t>3 173</w:t>
            </w:r>
          </w:p>
        </w:tc>
        <w:tc>
          <w:tcPr>
            <w:tcW w:w="0" w:type="auto"/>
            <w:tcBorders>
              <w:top w:val="single" w:sz="12" w:space="0" w:color="auto"/>
              <w:left w:val="single" w:sz="4" w:space="0" w:color="auto"/>
              <w:bottom w:val="single" w:sz="12" w:space="0" w:color="auto"/>
              <w:right w:val="single" w:sz="4" w:space="0" w:color="auto"/>
            </w:tcBorders>
            <w:shd w:val="clear" w:color="000000" w:fill="FCFAFD"/>
            <w:noWrap/>
            <w:vAlign w:val="bottom"/>
            <w:hideMark/>
          </w:tcPr>
          <w:p w:rsidR="003F2AA0" w:rsidRPr="003F2AA0" w:rsidRDefault="003F2AA0" w:rsidP="003F2AA0">
            <w:pPr>
              <w:spacing w:before="0"/>
              <w:jc w:val="right"/>
              <w:rPr>
                <w:b/>
                <w:bCs/>
                <w:sz w:val="18"/>
                <w:szCs w:val="18"/>
              </w:rPr>
            </w:pPr>
            <w:r w:rsidRPr="003F2AA0">
              <w:rPr>
                <w:b/>
                <w:bCs/>
                <w:sz w:val="18"/>
                <w:szCs w:val="18"/>
              </w:rPr>
              <w:t>105</w:t>
            </w:r>
          </w:p>
        </w:tc>
        <w:tc>
          <w:tcPr>
            <w:tcW w:w="0" w:type="auto"/>
            <w:tcBorders>
              <w:top w:val="single" w:sz="12" w:space="0" w:color="auto"/>
              <w:left w:val="single" w:sz="4" w:space="0" w:color="auto"/>
              <w:bottom w:val="single" w:sz="12" w:space="0" w:color="auto"/>
              <w:right w:val="single" w:sz="12" w:space="0" w:color="auto"/>
            </w:tcBorders>
            <w:shd w:val="clear" w:color="000000" w:fill="FBB5B8"/>
            <w:noWrap/>
            <w:vAlign w:val="bottom"/>
            <w:hideMark/>
          </w:tcPr>
          <w:p w:rsidR="003F2AA0" w:rsidRPr="003F2AA0" w:rsidRDefault="003F2AA0" w:rsidP="003F2AA0">
            <w:pPr>
              <w:spacing w:before="0"/>
              <w:jc w:val="right"/>
              <w:rPr>
                <w:b/>
                <w:bCs/>
                <w:sz w:val="18"/>
                <w:szCs w:val="18"/>
              </w:rPr>
            </w:pPr>
            <w:r w:rsidRPr="003F2AA0">
              <w:rPr>
                <w:b/>
                <w:bCs/>
                <w:sz w:val="18"/>
                <w:szCs w:val="18"/>
              </w:rPr>
              <w:t>3 402</w:t>
            </w:r>
          </w:p>
        </w:tc>
      </w:tr>
      <w:tr w:rsidR="003F2AA0" w:rsidRPr="003F2AA0" w:rsidTr="003F2AA0">
        <w:trPr>
          <w:trHeight w:val="20"/>
        </w:trPr>
        <w:tc>
          <w:tcPr>
            <w:tcW w:w="0" w:type="auto"/>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Zlínský</w:t>
            </w:r>
          </w:p>
        </w:tc>
        <w:tc>
          <w:tcPr>
            <w:tcW w:w="0" w:type="auto"/>
            <w:tcBorders>
              <w:top w:val="single" w:sz="12" w:space="0" w:color="auto"/>
              <w:left w:val="single" w:sz="4" w:space="0" w:color="auto"/>
              <w:bottom w:val="single" w:sz="4" w:space="0" w:color="auto"/>
              <w:right w:val="single" w:sz="4" w:space="0" w:color="auto"/>
            </w:tcBorders>
            <w:shd w:val="clear" w:color="000000" w:fill="F1F4FB"/>
            <w:noWrap/>
            <w:vAlign w:val="bottom"/>
            <w:hideMark/>
          </w:tcPr>
          <w:p w:rsidR="003F2AA0" w:rsidRPr="003F2AA0" w:rsidRDefault="003F2AA0" w:rsidP="003F2AA0">
            <w:pPr>
              <w:spacing w:before="0"/>
              <w:jc w:val="right"/>
              <w:rPr>
                <w:sz w:val="18"/>
                <w:szCs w:val="18"/>
              </w:rPr>
            </w:pPr>
            <w:r w:rsidRPr="003F2AA0">
              <w:rPr>
                <w:sz w:val="18"/>
                <w:szCs w:val="18"/>
              </w:rPr>
              <w:t>23 240</w:t>
            </w:r>
          </w:p>
        </w:tc>
        <w:tc>
          <w:tcPr>
            <w:tcW w:w="0" w:type="auto"/>
            <w:tcBorders>
              <w:top w:val="single" w:sz="12" w:space="0" w:color="auto"/>
              <w:left w:val="single" w:sz="4" w:space="0" w:color="auto"/>
              <w:bottom w:val="single" w:sz="4" w:space="0" w:color="auto"/>
              <w:right w:val="single" w:sz="4" w:space="0" w:color="auto"/>
            </w:tcBorders>
            <w:shd w:val="clear" w:color="000000" w:fill="90B0D9"/>
            <w:noWrap/>
            <w:vAlign w:val="bottom"/>
            <w:hideMark/>
          </w:tcPr>
          <w:p w:rsidR="003F2AA0" w:rsidRPr="003F2AA0" w:rsidRDefault="003F2AA0" w:rsidP="003F2AA0">
            <w:pPr>
              <w:spacing w:before="0"/>
              <w:jc w:val="right"/>
              <w:rPr>
                <w:sz w:val="18"/>
                <w:szCs w:val="18"/>
              </w:rPr>
            </w:pPr>
            <w:r w:rsidRPr="003F2AA0">
              <w:rPr>
                <w:sz w:val="18"/>
                <w:szCs w:val="18"/>
              </w:rPr>
              <w:t>263</w:t>
            </w:r>
          </w:p>
        </w:tc>
        <w:tc>
          <w:tcPr>
            <w:tcW w:w="0" w:type="auto"/>
            <w:tcBorders>
              <w:top w:val="single" w:sz="12" w:space="0" w:color="auto"/>
              <w:left w:val="single" w:sz="4" w:space="0" w:color="auto"/>
              <w:bottom w:val="single" w:sz="4" w:space="0" w:color="auto"/>
              <w:right w:val="single" w:sz="4" w:space="0" w:color="auto"/>
            </w:tcBorders>
            <w:shd w:val="clear" w:color="000000" w:fill="A4BEE0"/>
            <w:noWrap/>
            <w:vAlign w:val="bottom"/>
            <w:hideMark/>
          </w:tcPr>
          <w:p w:rsidR="003F2AA0" w:rsidRPr="003F2AA0" w:rsidRDefault="003F2AA0" w:rsidP="003F2AA0">
            <w:pPr>
              <w:spacing w:before="0"/>
              <w:jc w:val="right"/>
              <w:rPr>
                <w:sz w:val="18"/>
                <w:szCs w:val="18"/>
              </w:rPr>
            </w:pPr>
            <w:r w:rsidRPr="003F2AA0">
              <w:rPr>
                <w:sz w:val="18"/>
                <w:szCs w:val="18"/>
              </w:rPr>
              <w:t>5 641</w:t>
            </w:r>
          </w:p>
        </w:tc>
        <w:tc>
          <w:tcPr>
            <w:tcW w:w="0" w:type="auto"/>
            <w:tcBorders>
              <w:top w:val="single" w:sz="12"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8"/>
                <w:szCs w:val="18"/>
              </w:rPr>
            </w:pPr>
            <w:r w:rsidRPr="003F2AA0">
              <w:rPr>
                <w:sz w:val="18"/>
                <w:szCs w:val="18"/>
              </w:rPr>
              <w:t>966</w:t>
            </w:r>
          </w:p>
        </w:tc>
        <w:tc>
          <w:tcPr>
            <w:tcW w:w="0" w:type="auto"/>
            <w:tcBorders>
              <w:top w:val="single" w:sz="12" w:space="0" w:color="auto"/>
              <w:left w:val="single" w:sz="4" w:space="0" w:color="auto"/>
              <w:bottom w:val="single" w:sz="4" w:space="0" w:color="auto"/>
              <w:right w:val="single" w:sz="4" w:space="0" w:color="auto"/>
            </w:tcBorders>
            <w:shd w:val="clear" w:color="000000" w:fill="DBE5F3"/>
            <w:noWrap/>
            <w:vAlign w:val="bottom"/>
            <w:hideMark/>
          </w:tcPr>
          <w:p w:rsidR="003F2AA0" w:rsidRPr="003F2AA0" w:rsidRDefault="003F2AA0" w:rsidP="003F2AA0">
            <w:pPr>
              <w:spacing w:before="0"/>
              <w:jc w:val="right"/>
              <w:rPr>
                <w:sz w:val="18"/>
                <w:szCs w:val="18"/>
              </w:rPr>
            </w:pPr>
            <w:r w:rsidRPr="003F2AA0">
              <w:rPr>
                <w:sz w:val="18"/>
                <w:szCs w:val="18"/>
              </w:rPr>
              <w:t>82</w:t>
            </w:r>
          </w:p>
        </w:tc>
        <w:tc>
          <w:tcPr>
            <w:tcW w:w="0" w:type="auto"/>
            <w:tcBorders>
              <w:top w:val="single" w:sz="12" w:space="0" w:color="auto"/>
              <w:left w:val="single" w:sz="4" w:space="0" w:color="auto"/>
              <w:bottom w:val="single" w:sz="4" w:space="0" w:color="auto"/>
              <w:right w:val="single" w:sz="4" w:space="0" w:color="auto"/>
            </w:tcBorders>
            <w:shd w:val="clear" w:color="000000" w:fill="FAFBFE"/>
            <w:noWrap/>
            <w:vAlign w:val="bottom"/>
            <w:hideMark/>
          </w:tcPr>
          <w:p w:rsidR="003F2AA0" w:rsidRPr="003F2AA0" w:rsidRDefault="003F2AA0" w:rsidP="003F2AA0">
            <w:pPr>
              <w:spacing w:before="0"/>
              <w:jc w:val="right"/>
              <w:rPr>
                <w:sz w:val="18"/>
                <w:szCs w:val="18"/>
              </w:rPr>
            </w:pPr>
            <w:r w:rsidRPr="003F2AA0">
              <w:rPr>
                <w:sz w:val="18"/>
                <w:szCs w:val="18"/>
              </w:rPr>
              <w:t>226</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Moravskoslezský</w:t>
            </w:r>
          </w:p>
        </w:tc>
        <w:tc>
          <w:tcPr>
            <w:tcW w:w="0" w:type="auto"/>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3F2AA0" w:rsidRPr="003F2AA0" w:rsidRDefault="003F2AA0" w:rsidP="003F2AA0">
            <w:pPr>
              <w:spacing w:before="0"/>
              <w:jc w:val="right"/>
              <w:rPr>
                <w:sz w:val="18"/>
                <w:szCs w:val="18"/>
              </w:rPr>
            </w:pPr>
            <w:r w:rsidRPr="003F2AA0">
              <w:rPr>
                <w:sz w:val="18"/>
                <w:szCs w:val="18"/>
              </w:rPr>
              <w:t>34 191</w:t>
            </w:r>
          </w:p>
        </w:tc>
        <w:tc>
          <w:tcPr>
            <w:tcW w:w="0" w:type="auto"/>
            <w:tcBorders>
              <w:top w:val="single" w:sz="4" w:space="0" w:color="auto"/>
              <w:left w:val="single" w:sz="4" w:space="0" w:color="auto"/>
              <w:bottom w:val="single" w:sz="4" w:space="0" w:color="auto"/>
              <w:right w:val="single" w:sz="4" w:space="0" w:color="auto"/>
            </w:tcBorders>
            <w:shd w:val="clear" w:color="000000" w:fill="CFDCEF"/>
            <w:noWrap/>
            <w:vAlign w:val="bottom"/>
            <w:hideMark/>
          </w:tcPr>
          <w:p w:rsidR="003F2AA0" w:rsidRPr="003F2AA0" w:rsidRDefault="003F2AA0" w:rsidP="003F2AA0">
            <w:pPr>
              <w:spacing w:before="0"/>
              <w:jc w:val="right"/>
              <w:rPr>
                <w:sz w:val="18"/>
                <w:szCs w:val="18"/>
              </w:rPr>
            </w:pPr>
            <w:r w:rsidRPr="003F2AA0">
              <w:rPr>
                <w:sz w:val="18"/>
                <w:szCs w:val="18"/>
              </w:rPr>
              <w:t>403</w:t>
            </w:r>
          </w:p>
        </w:tc>
        <w:tc>
          <w:tcPr>
            <w:tcW w:w="0" w:type="auto"/>
            <w:tcBorders>
              <w:top w:val="single" w:sz="4" w:space="0" w:color="auto"/>
              <w:left w:val="single" w:sz="4" w:space="0" w:color="auto"/>
              <w:bottom w:val="single" w:sz="4" w:space="0" w:color="auto"/>
              <w:right w:val="single" w:sz="4" w:space="0" w:color="auto"/>
            </w:tcBorders>
            <w:shd w:val="clear" w:color="000000" w:fill="FCE4E7"/>
            <w:noWrap/>
            <w:vAlign w:val="bottom"/>
            <w:hideMark/>
          </w:tcPr>
          <w:p w:rsidR="003F2AA0" w:rsidRPr="003F2AA0" w:rsidRDefault="003F2AA0" w:rsidP="003F2AA0">
            <w:pPr>
              <w:spacing w:before="0"/>
              <w:jc w:val="right"/>
              <w:rPr>
                <w:sz w:val="18"/>
                <w:szCs w:val="18"/>
              </w:rPr>
            </w:pPr>
            <w:r w:rsidRPr="003F2AA0">
              <w:rPr>
                <w:sz w:val="18"/>
                <w:szCs w:val="18"/>
              </w:rPr>
              <w:t>24 326</w:t>
            </w:r>
          </w:p>
        </w:tc>
        <w:tc>
          <w:tcPr>
            <w:tcW w:w="0" w:type="auto"/>
            <w:tcBorders>
              <w:top w:val="single" w:sz="4" w:space="0" w:color="auto"/>
              <w:left w:val="single" w:sz="4" w:space="0" w:color="auto"/>
              <w:bottom w:val="single" w:sz="4" w:space="0" w:color="auto"/>
              <w:right w:val="single" w:sz="4" w:space="0" w:color="auto"/>
            </w:tcBorders>
            <w:shd w:val="clear" w:color="000000" w:fill="FCE4E7"/>
            <w:noWrap/>
            <w:vAlign w:val="bottom"/>
            <w:hideMark/>
          </w:tcPr>
          <w:p w:rsidR="003F2AA0" w:rsidRPr="003F2AA0" w:rsidRDefault="003F2AA0" w:rsidP="003F2AA0">
            <w:pPr>
              <w:spacing w:before="0"/>
              <w:jc w:val="right"/>
              <w:rPr>
                <w:sz w:val="18"/>
                <w:szCs w:val="18"/>
              </w:rPr>
            </w:pPr>
            <w:r w:rsidRPr="003F2AA0">
              <w:rPr>
                <w:sz w:val="18"/>
                <w:szCs w:val="18"/>
              </w:rPr>
              <w:t>2 458</w:t>
            </w:r>
          </w:p>
        </w:tc>
        <w:tc>
          <w:tcPr>
            <w:tcW w:w="0" w:type="auto"/>
            <w:tcBorders>
              <w:top w:val="single" w:sz="4" w:space="0" w:color="auto"/>
              <w:left w:val="single" w:sz="4" w:space="0" w:color="auto"/>
              <w:bottom w:val="single" w:sz="4" w:space="0" w:color="auto"/>
              <w:right w:val="single" w:sz="4" w:space="0" w:color="auto"/>
            </w:tcBorders>
            <w:shd w:val="clear" w:color="000000" w:fill="FBD4D6"/>
            <w:noWrap/>
            <w:vAlign w:val="bottom"/>
            <w:hideMark/>
          </w:tcPr>
          <w:p w:rsidR="003F2AA0" w:rsidRPr="003F2AA0" w:rsidRDefault="003F2AA0" w:rsidP="003F2AA0">
            <w:pPr>
              <w:spacing w:before="0"/>
              <w:jc w:val="right"/>
              <w:rPr>
                <w:sz w:val="18"/>
                <w:szCs w:val="18"/>
              </w:rPr>
            </w:pPr>
            <w:r w:rsidRPr="003F2AA0">
              <w:rPr>
                <w:sz w:val="18"/>
                <w:szCs w:val="18"/>
              </w:rPr>
              <w:t>172</w:t>
            </w:r>
          </w:p>
        </w:tc>
        <w:tc>
          <w:tcPr>
            <w:tcW w:w="0" w:type="auto"/>
            <w:tcBorders>
              <w:top w:val="single" w:sz="4" w:space="0" w:color="auto"/>
              <w:left w:val="single" w:sz="4" w:space="0" w:color="auto"/>
              <w:bottom w:val="single" w:sz="4" w:space="0" w:color="auto"/>
              <w:right w:val="single" w:sz="4" w:space="0" w:color="auto"/>
            </w:tcBorders>
            <w:shd w:val="clear" w:color="000000" w:fill="FCF1F4"/>
            <w:noWrap/>
            <w:vAlign w:val="bottom"/>
            <w:hideMark/>
          </w:tcPr>
          <w:p w:rsidR="003F2AA0" w:rsidRPr="003F2AA0" w:rsidRDefault="003F2AA0" w:rsidP="003F2AA0">
            <w:pPr>
              <w:spacing w:before="0"/>
              <w:jc w:val="right"/>
              <w:rPr>
                <w:sz w:val="18"/>
                <w:szCs w:val="18"/>
              </w:rPr>
            </w:pPr>
            <w:r w:rsidRPr="003F2AA0">
              <w:rPr>
                <w:sz w:val="18"/>
                <w:szCs w:val="18"/>
              </w:rPr>
              <w:t>748</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b/>
                <w:bCs/>
                <w:sz w:val="18"/>
                <w:szCs w:val="18"/>
              </w:rPr>
            </w:pPr>
            <w:r w:rsidRPr="003F2AA0">
              <w:rPr>
                <w:b/>
                <w:bCs/>
                <w:sz w:val="18"/>
                <w:szCs w:val="18"/>
              </w:rPr>
              <w:t>Celkem</w:t>
            </w:r>
          </w:p>
        </w:tc>
        <w:tc>
          <w:tcPr>
            <w:tcW w:w="0" w:type="auto"/>
            <w:tcBorders>
              <w:top w:val="nil"/>
              <w:left w:val="nil"/>
              <w:bottom w:val="single" w:sz="4" w:space="0" w:color="auto"/>
              <w:right w:val="single" w:sz="4" w:space="0" w:color="auto"/>
            </w:tcBorders>
            <w:shd w:val="clear" w:color="auto" w:fill="auto"/>
            <w:noWrap/>
            <w:vAlign w:val="bottom"/>
            <w:hideMark/>
          </w:tcPr>
          <w:p w:rsidR="003F2AA0" w:rsidRPr="003F2AA0" w:rsidRDefault="003F2AA0" w:rsidP="003F2AA0">
            <w:pPr>
              <w:spacing w:before="0"/>
              <w:jc w:val="right"/>
              <w:rPr>
                <w:b/>
                <w:bCs/>
                <w:sz w:val="18"/>
                <w:szCs w:val="18"/>
              </w:rPr>
            </w:pPr>
            <w:r w:rsidRPr="003F2AA0">
              <w:rPr>
                <w:b/>
                <w:bCs/>
                <w:sz w:val="18"/>
                <w:szCs w:val="18"/>
              </w:rPr>
              <w:t>530 262</w:t>
            </w:r>
          </w:p>
        </w:tc>
        <w:tc>
          <w:tcPr>
            <w:tcW w:w="0" w:type="auto"/>
            <w:tcBorders>
              <w:top w:val="nil"/>
              <w:left w:val="nil"/>
              <w:bottom w:val="single" w:sz="4" w:space="0" w:color="auto"/>
              <w:right w:val="single" w:sz="4" w:space="0" w:color="auto"/>
            </w:tcBorders>
            <w:shd w:val="clear" w:color="auto" w:fill="auto"/>
            <w:noWrap/>
            <w:vAlign w:val="bottom"/>
            <w:hideMark/>
          </w:tcPr>
          <w:p w:rsidR="003F2AA0" w:rsidRPr="003F2AA0" w:rsidRDefault="003F2AA0" w:rsidP="003F2AA0">
            <w:pPr>
              <w:spacing w:before="0"/>
              <w:jc w:val="right"/>
              <w:rPr>
                <w:b/>
                <w:bCs/>
                <w:sz w:val="18"/>
                <w:szCs w:val="18"/>
              </w:rPr>
            </w:pPr>
            <w:r w:rsidRPr="003F2AA0">
              <w:rPr>
                <w:b/>
                <w:bCs/>
                <w:sz w:val="18"/>
                <w:szCs w:val="18"/>
              </w:rPr>
              <w:t>7 813</w:t>
            </w:r>
          </w:p>
        </w:tc>
        <w:tc>
          <w:tcPr>
            <w:tcW w:w="0" w:type="auto"/>
            <w:tcBorders>
              <w:top w:val="nil"/>
              <w:left w:val="nil"/>
              <w:bottom w:val="single" w:sz="4" w:space="0" w:color="auto"/>
              <w:right w:val="single" w:sz="4" w:space="0" w:color="auto"/>
            </w:tcBorders>
            <w:shd w:val="clear" w:color="auto" w:fill="auto"/>
            <w:noWrap/>
            <w:vAlign w:val="bottom"/>
            <w:hideMark/>
          </w:tcPr>
          <w:p w:rsidR="003F2AA0" w:rsidRPr="003F2AA0" w:rsidRDefault="003F2AA0" w:rsidP="003F2AA0">
            <w:pPr>
              <w:spacing w:before="0"/>
              <w:jc w:val="right"/>
              <w:rPr>
                <w:b/>
                <w:bCs/>
                <w:sz w:val="18"/>
                <w:szCs w:val="18"/>
              </w:rPr>
            </w:pPr>
            <w:r w:rsidRPr="003F2AA0">
              <w:rPr>
                <w:b/>
                <w:bCs/>
                <w:sz w:val="18"/>
                <w:szCs w:val="18"/>
              </w:rPr>
              <w:t>284 568</w:t>
            </w:r>
          </w:p>
        </w:tc>
        <w:tc>
          <w:tcPr>
            <w:tcW w:w="0" w:type="auto"/>
            <w:tcBorders>
              <w:top w:val="nil"/>
              <w:left w:val="nil"/>
              <w:bottom w:val="single" w:sz="4" w:space="0" w:color="auto"/>
              <w:right w:val="single" w:sz="4" w:space="0" w:color="auto"/>
            </w:tcBorders>
            <w:shd w:val="clear" w:color="auto" w:fill="auto"/>
            <w:noWrap/>
            <w:vAlign w:val="bottom"/>
            <w:hideMark/>
          </w:tcPr>
          <w:p w:rsidR="003F2AA0" w:rsidRPr="003F2AA0" w:rsidRDefault="003F2AA0" w:rsidP="003F2AA0">
            <w:pPr>
              <w:spacing w:before="0"/>
              <w:jc w:val="right"/>
              <w:rPr>
                <w:b/>
                <w:bCs/>
                <w:sz w:val="18"/>
                <w:szCs w:val="18"/>
              </w:rPr>
            </w:pPr>
            <w:r w:rsidRPr="003F2AA0">
              <w:rPr>
                <w:b/>
                <w:bCs/>
                <w:sz w:val="18"/>
                <w:szCs w:val="18"/>
              </w:rPr>
              <w:t>29 436</w:t>
            </w:r>
          </w:p>
        </w:tc>
        <w:tc>
          <w:tcPr>
            <w:tcW w:w="0" w:type="auto"/>
            <w:tcBorders>
              <w:top w:val="nil"/>
              <w:left w:val="nil"/>
              <w:bottom w:val="single" w:sz="4" w:space="0" w:color="auto"/>
              <w:right w:val="single" w:sz="4" w:space="0" w:color="auto"/>
            </w:tcBorders>
            <w:shd w:val="clear" w:color="auto" w:fill="auto"/>
            <w:noWrap/>
            <w:vAlign w:val="bottom"/>
            <w:hideMark/>
          </w:tcPr>
          <w:p w:rsidR="003F2AA0" w:rsidRPr="003F2AA0" w:rsidRDefault="003F2AA0" w:rsidP="003F2AA0">
            <w:pPr>
              <w:spacing w:before="0"/>
              <w:jc w:val="right"/>
              <w:rPr>
                <w:b/>
                <w:bCs/>
                <w:sz w:val="18"/>
                <w:szCs w:val="18"/>
              </w:rPr>
            </w:pPr>
            <w:r w:rsidRPr="003F2AA0">
              <w:rPr>
                <w:b/>
                <w:bCs/>
                <w:sz w:val="18"/>
                <w:szCs w:val="18"/>
              </w:rPr>
              <w:t>1 580</w:t>
            </w:r>
          </w:p>
        </w:tc>
        <w:tc>
          <w:tcPr>
            <w:tcW w:w="0" w:type="auto"/>
            <w:tcBorders>
              <w:top w:val="nil"/>
              <w:left w:val="nil"/>
              <w:bottom w:val="single" w:sz="4" w:space="0" w:color="auto"/>
              <w:right w:val="single" w:sz="4" w:space="0" w:color="auto"/>
            </w:tcBorders>
            <w:shd w:val="clear" w:color="auto" w:fill="auto"/>
            <w:noWrap/>
            <w:vAlign w:val="bottom"/>
            <w:hideMark/>
          </w:tcPr>
          <w:p w:rsidR="003F2AA0" w:rsidRPr="003F2AA0" w:rsidRDefault="003F2AA0" w:rsidP="003F2AA0">
            <w:pPr>
              <w:spacing w:before="0"/>
              <w:jc w:val="right"/>
              <w:rPr>
                <w:b/>
                <w:bCs/>
                <w:sz w:val="18"/>
                <w:szCs w:val="18"/>
              </w:rPr>
            </w:pPr>
            <w:r w:rsidRPr="003F2AA0">
              <w:rPr>
                <w:b/>
                <w:bCs/>
                <w:sz w:val="18"/>
                <w:szCs w:val="18"/>
              </w:rPr>
              <w:t>17 234</w:t>
            </w:r>
          </w:p>
        </w:tc>
      </w:tr>
    </w:tbl>
    <w:p w:rsidR="00AF4350" w:rsidRPr="008722F3" w:rsidRDefault="00AF4350" w:rsidP="003F2AA0">
      <w:pPr>
        <w:pStyle w:val="Zdrojobjektu"/>
      </w:pPr>
      <w:r w:rsidRPr="008722F3">
        <w:t>Zdroj: Národní monitorovací středisko pro drogy a závislosti (2021e), zpracování ACCENDO (2022)</w:t>
      </w:r>
      <w:r>
        <w:t>.</w:t>
      </w:r>
    </w:p>
    <w:p w:rsidR="00AF4350" w:rsidRPr="0039748C" w:rsidRDefault="00AF4350" w:rsidP="00A34764">
      <w:r w:rsidRPr="0039748C">
        <w:t>Počet přímých drogových úmrtí v OK v roce 2019 byl 13 osob, což představuje přibližně stejný počet jako v předešlém roce, v letech předchozích bylo těchto úmrtí méně. Nárůst byl z části ovlivněn větším počtem úmrtí vlivem psychoaktivních léků, mezi nelegálními drogami jsou z hlediska úmrtnosti nejčastější opiáty, např. heroin, buprenorfin (využívaný k substituční léčbě).</w:t>
      </w:r>
    </w:p>
    <w:p w:rsidR="00AF4350" w:rsidRPr="0039748C" w:rsidRDefault="00AF4350" w:rsidP="003F2AA0">
      <w:pPr>
        <w:pStyle w:val="popistabulkySPRSS2024"/>
      </w:pPr>
      <w:bookmarkStart w:id="119" w:name="_Toc117607087"/>
      <w:r w:rsidRPr="0039748C">
        <w:t xml:space="preserve">Tabulka </w:t>
      </w:r>
      <w:r w:rsidR="00412C70">
        <w:fldChar w:fldCharType="begin"/>
      </w:r>
      <w:r w:rsidR="00412C70">
        <w:instrText xml:space="preserve"> SEQ Tabulka \* ARABIC </w:instrText>
      </w:r>
      <w:r w:rsidR="00412C70">
        <w:fldChar w:fldCharType="separate"/>
      </w:r>
      <w:r w:rsidR="003A12AF">
        <w:rPr>
          <w:noProof/>
        </w:rPr>
        <w:t>27</w:t>
      </w:r>
      <w:r w:rsidR="00412C70">
        <w:rPr>
          <w:noProof/>
        </w:rPr>
        <w:fldChar w:fldCharType="end"/>
      </w:r>
      <w:r>
        <w:t>:</w:t>
      </w:r>
      <w:r w:rsidRPr="0039748C">
        <w:t xml:space="preserve"> Vývoj počtu přímých drogových úmrtí v OK mezi lety 2016–2019</w:t>
      </w:r>
      <w:bookmarkEnd w:id="119"/>
    </w:p>
    <w:tbl>
      <w:tblPr>
        <w:tblW w:w="5000" w:type="pct"/>
        <w:tblCellMar>
          <w:left w:w="70" w:type="dxa"/>
          <w:right w:w="70" w:type="dxa"/>
        </w:tblCellMar>
        <w:tblLook w:val="04A0" w:firstRow="1" w:lastRow="0" w:firstColumn="1" w:lastColumn="0" w:noHBand="0" w:noVBand="1"/>
      </w:tblPr>
      <w:tblGrid>
        <w:gridCol w:w="2406"/>
        <w:gridCol w:w="1416"/>
        <w:gridCol w:w="1048"/>
        <w:gridCol w:w="1048"/>
        <w:gridCol w:w="1048"/>
        <w:gridCol w:w="1048"/>
        <w:gridCol w:w="1048"/>
      </w:tblGrid>
      <w:tr w:rsidR="003F2AA0" w:rsidRPr="003F2AA0" w:rsidTr="003F2AA0">
        <w:trPr>
          <w:trHeight w:val="20"/>
        </w:trPr>
        <w:tc>
          <w:tcPr>
            <w:tcW w:w="21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F2AA0" w:rsidRPr="003F2AA0" w:rsidRDefault="003F2AA0" w:rsidP="003F2AA0">
            <w:pPr>
              <w:spacing w:before="0"/>
              <w:rPr>
                <w:b/>
                <w:bCs/>
                <w:sz w:val="18"/>
                <w:szCs w:val="18"/>
              </w:rPr>
            </w:pPr>
            <w:r w:rsidRPr="003F2AA0">
              <w:rPr>
                <w:b/>
                <w:bCs/>
                <w:sz w:val="18"/>
                <w:szCs w:val="18"/>
              </w:rPr>
              <w:t>Přímá drogová úmrtí</w:t>
            </w:r>
          </w:p>
        </w:tc>
        <w:tc>
          <w:tcPr>
            <w:tcW w:w="578"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rPr>
                <w:b/>
                <w:bCs/>
                <w:sz w:val="18"/>
                <w:szCs w:val="18"/>
              </w:rPr>
            </w:pPr>
            <w:r w:rsidRPr="003F2AA0">
              <w:rPr>
                <w:b/>
                <w:bCs/>
                <w:sz w:val="18"/>
                <w:szCs w:val="18"/>
              </w:rPr>
              <w:t>2015</w:t>
            </w:r>
          </w:p>
        </w:tc>
        <w:tc>
          <w:tcPr>
            <w:tcW w:w="578"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rPr>
                <w:b/>
                <w:bCs/>
                <w:sz w:val="18"/>
                <w:szCs w:val="18"/>
              </w:rPr>
            </w:pPr>
            <w:r w:rsidRPr="003F2AA0">
              <w:rPr>
                <w:b/>
                <w:bCs/>
                <w:sz w:val="18"/>
                <w:szCs w:val="18"/>
              </w:rPr>
              <w:t>2016</w:t>
            </w:r>
          </w:p>
        </w:tc>
        <w:tc>
          <w:tcPr>
            <w:tcW w:w="578"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rPr>
                <w:b/>
                <w:bCs/>
                <w:sz w:val="18"/>
                <w:szCs w:val="18"/>
              </w:rPr>
            </w:pPr>
            <w:r w:rsidRPr="003F2AA0">
              <w:rPr>
                <w:b/>
                <w:bCs/>
                <w:sz w:val="18"/>
                <w:szCs w:val="18"/>
              </w:rPr>
              <w:t>2017</w:t>
            </w:r>
          </w:p>
        </w:tc>
        <w:tc>
          <w:tcPr>
            <w:tcW w:w="578"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rPr>
                <w:b/>
                <w:bCs/>
                <w:sz w:val="18"/>
                <w:szCs w:val="18"/>
              </w:rPr>
            </w:pPr>
            <w:r w:rsidRPr="003F2AA0">
              <w:rPr>
                <w:b/>
                <w:bCs/>
                <w:sz w:val="18"/>
                <w:szCs w:val="18"/>
              </w:rPr>
              <w:t>2018</w:t>
            </w:r>
          </w:p>
        </w:tc>
        <w:tc>
          <w:tcPr>
            <w:tcW w:w="578"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rPr>
                <w:b/>
                <w:bCs/>
                <w:sz w:val="18"/>
                <w:szCs w:val="18"/>
              </w:rPr>
            </w:pPr>
            <w:r w:rsidRPr="003F2AA0">
              <w:rPr>
                <w:b/>
                <w:bCs/>
                <w:sz w:val="18"/>
                <w:szCs w:val="18"/>
              </w:rPr>
              <w:t>2019</w:t>
            </w:r>
          </w:p>
        </w:tc>
      </w:tr>
      <w:tr w:rsidR="003F2AA0" w:rsidRPr="003F2AA0" w:rsidTr="003F2AA0">
        <w:trPr>
          <w:trHeight w:val="20"/>
        </w:trPr>
        <w:tc>
          <w:tcPr>
            <w:tcW w:w="1328" w:type="pct"/>
            <w:vMerge w:val="restart"/>
            <w:tcBorders>
              <w:top w:val="nil"/>
              <w:left w:val="single" w:sz="4" w:space="0" w:color="auto"/>
              <w:bottom w:val="single" w:sz="4" w:space="0" w:color="auto"/>
              <w:right w:val="single" w:sz="4" w:space="0" w:color="auto"/>
            </w:tcBorders>
            <w:shd w:val="clear" w:color="auto" w:fill="auto"/>
            <w:hideMark/>
          </w:tcPr>
          <w:p w:rsidR="003F2AA0" w:rsidRPr="003F2AA0" w:rsidRDefault="003F2AA0" w:rsidP="003F2AA0">
            <w:pPr>
              <w:spacing w:before="0"/>
              <w:jc w:val="left"/>
              <w:rPr>
                <w:sz w:val="18"/>
                <w:szCs w:val="18"/>
              </w:rPr>
            </w:pPr>
            <w:r w:rsidRPr="003F2AA0">
              <w:rPr>
                <w:sz w:val="18"/>
                <w:szCs w:val="18"/>
              </w:rPr>
              <w:t>Nelegální drogy a těkavé látky</w:t>
            </w:r>
          </w:p>
        </w:tc>
        <w:tc>
          <w:tcPr>
            <w:tcW w:w="782" w:type="pct"/>
            <w:tcBorders>
              <w:top w:val="nil"/>
              <w:left w:val="nil"/>
              <w:bottom w:val="single" w:sz="4" w:space="0" w:color="auto"/>
              <w:right w:val="single" w:sz="4" w:space="0" w:color="auto"/>
            </w:tcBorders>
            <w:shd w:val="clear" w:color="auto" w:fill="auto"/>
            <w:vAlign w:val="center"/>
            <w:hideMark/>
          </w:tcPr>
          <w:p w:rsidR="003F2AA0" w:rsidRPr="003F2AA0" w:rsidRDefault="003F2AA0" w:rsidP="003F2AA0">
            <w:pPr>
              <w:spacing w:before="0"/>
              <w:rPr>
                <w:sz w:val="18"/>
                <w:szCs w:val="18"/>
              </w:rPr>
            </w:pPr>
            <w:r w:rsidRPr="003F2AA0">
              <w:rPr>
                <w:sz w:val="18"/>
                <w:szCs w:val="18"/>
              </w:rPr>
              <w:t>opiáty/</w:t>
            </w:r>
            <w:proofErr w:type="spellStart"/>
            <w:r w:rsidRPr="003F2AA0">
              <w:rPr>
                <w:sz w:val="18"/>
                <w:szCs w:val="18"/>
              </w:rPr>
              <w:t>opioidy</w:t>
            </w:r>
            <w:proofErr w:type="spellEnd"/>
          </w:p>
        </w:tc>
        <w:tc>
          <w:tcPr>
            <w:tcW w:w="57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8"/>
                <w:szCs w:val="18"/>
              </w:rPr>
            </w:pPr>
            <w:r w:rsidRPr="003F2AA0">
              <w:rPr>
                <w:sz w:val="18"/>
                <w:szCs w:val="18"/>
              </w:rPr>
              <w:t>0</w:t>
            </w:r>
          </w:p>
        </w:tc>
        <w:tc>
          <w:tcPr>
            <w:tcW w:w="578" w:type="pct"/>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3F2AA0" w:rsidRPr="003F2AA0" w:rsidRDefault="003F2AA0" w:rsidP="003F2AA0">
            <w:pPr>
              <w:spacing w:before="0"/>
              <w:jc w:val="right"/>
              <w:rPr>
                <w:sz w:val="18"/>
                <w:szCs w:val="18"/>
              </w:rPr>
            </w:pPr>
            <w:r w:rsidRPr="003F2AA0">
              <w:rPr>
                <w:sz w:val="18"/>
                <w:szCs w:val="18"/>
              </w:rPr>
              <w:t>1</w:t>
            </w:r>
          </w:p>
        </w:tc>
        <w:tc>
          <w:tcPr>
            <w:tcW w:w="578" w:type="pct"/>
            <w:tcBorders>
              <w:top w:val="single" w:sz="4" w:space="0" w:color="auto"/>
              <w:left w:val="single" w:sz="4" w:space="0" w:color="auto"/>
              <w:bottom w:val="single" w:sz="4" w:space="0" w:color="auto"/>
              <w:right w:val="single" w:sz="4" w:space="0" w:color="auto"/>
            </w:tcBorders>
            <w:shd w:val="clear" w:color="000000" w:fill="F97C7E"/>
            <w:noWrap/>
            <w:vAlign w:val="bottom"/>
            <w:hideMark/>
          </w:tcPr>
          <w:p w:rsidR="003F2AA0" w:rsidRPr="003F2AA0" w:rsidRDefault="003F2AA0" w:rsidP="003F2AA0">
            <w:pPr>
              <w:spacing w:before="0"/>
              <w:jc w:val="right"/>
              <w:rPr>
                <w:sz w:val="18"/>
                <w:szCs w:val="18"/>
              </w:rPr>
            </w:pPr>
            <w:r w:rsidRPr="003F2AA0">
              <w:rPr>
                <w:sz w:val="18"/>
                <w:szCs w:val="18"/>
              </w:rPr>
              <w:t>7</w:t>
            </w:r>
          </w:p>
        </w:tc>
        <w:tc>
          <w:tcPr>
            <w:tcW w:w="578" w:type="pct"/>
            <w:tcBorders>
              <w:top w:val="single" w:sz="4" w:space="0" w:color="auto"/>
              <w:left w:val="single" w:sz="4" w:space="0" w:color="auto"/>
              <w:bottom w:val="single" w:sz="4" w:space="0" w:color="auto"/>
              <w:right w:val="single" w:sz="4" w:space="0" w:color="auto"/>
            </w:tcBorders>
            <w:shd w:val="clear" w:color="000000" w:fill="FBD8DA"/>
            <w:noWrap/>
            <w:vAlign w:val="bottom"/>
            <w:hideMark/>
          </w:tcPr>
          <w:p w:rsidR="003F2AA0" w:rsidRPr="003F2AA0" w:rsidRDefault="003F2AA0" w:rsidP="003F2AA0">
            <w:pPr>
              <w:spacing w:before="0"/>
              <w:jc w:val="right"/>
              <w:rPr>
                <w:sz w:val="18"/>
                <w:szCs w:val="18"/>
              </w:rPr>
            </w:pPr>
            <w:r w:rsidRPr="003F2AA0">
              <w:rPr>
                <w:sz w:val="18"/>
                <w:szCs w:val="18"/>
              </w:rPr>
              <w:t>2</w:t>
            </w:r>
          </w:p>
        </w:tc>
        <w:tc>
          <w:tcPr>
            <w:tcW w:w="578" w:type="pct"/>
            <w:tcBorders>
              <w:top w:val="single" w:sz="4" w:space="0" w:color="auto"/>
              <w:left w:val="single" w:sz="4" w:space="0" w:color="auto"/>
              <w:bottom w:val="single" w:sz="4" w:space="0" w:color="auto"/>
              <w:right w:val="single" w:sz="4" w:space="0" w:color="auto"/>
            </w:tcBorders>
            <w:shd w:val="clear" w:color="000000" w:fill="FAB3B5"/>
            <w:noWrap/>
            <w:vAlign w:val="bottom"/>
            <w:hideMark/>
          </w:tcPr>
          <w:p w:rsidR="003F2AA0" w:rsidRPr="003F2AA0" w:rsidRDefault="003F2AA0" w:rsidP="003F2AA0">
            <w:pPr>
              <w:spacing w:before="0"/>
              <w:jc w:val="right"/>
              <w:rPr>
                <w:sz w:val="18"/>
                <w:szCs w:val="18"/>
              </w:rPr>
            </w:pPr>
            <w:r w:rsidRPr="003F2AA0">
              <w:rPr>
                <w:sz w:val="18"/>
                <w:szCs w:val="18"/>
              </w:rPr>
              <w:t>4</w:t>
            </w:r>
          </w:p>
        </w:tc>
      </w:tr>
      <w:tr w:rsidR="003F2AA0" w:rsidRPr="003F2AA0" w:rsidTr="003F2AA0">
        <w:trPr>
          <w:trHeight w:val="20"/>
        </w:trPr>
        <w:tc>
          <w:tcPr>
            <w:tcW w:w="1328" w:type="pct"/>
            <w:vMerge/>
            <w:tcBorders>
              <w:top w:val="nil"/>
              <w:left w:val="single" w:sz="4" w:space="0" w:color="auto"/>
              <w:bottom w:val="single" w:sz="4" w:space="0" w:color="auto"/>
              <w:right w:val="single" w:sz="4" w:space="0" w:color="auto"/>
            </w:tcBorders>
            <w:vAlign w:val="center"/>
            <w:hideMark/>
          </w:tcPr>
          <w:p w:rsidR="003F2AA0" w:rsidRPr="003F2AA0" w:rsidRDefault="003F2AA0" w:rsidP="003F2AA0">
            <w:pPr>
              <w:spacing w:before="0"/>
              <w:rPr>
                <w:sz w:val="18"/>
                <w:szCs w:val="18"/>
              </w:rPr>
            </w:pPr>
          </w:p>
        </w:tc>
        <w:tc>
          <w:tcPr>
            <w:tcW w:w="782" w:type="pct"/>
            <w:tcBorders>
              <w:top w:val="nil"/>
              <w:left w:val="nil"/>
              <w:bottom w:val="single" w:sz="4" w:space="0" w:color="auto"/>
              <w:right w:val="single" w:sz="4" w:space="0" w:color="auto"/>
            </w:tcBorders>
            <w:shd w:val="clear" w:color="auto" w:fill="auto"/>
            <w:vAlign w:val="center"/>
            <w:hideMark/>
          </w:tcPr>
          <w:p w:rsidR="003F2AA0" w:rsidRPr="003F2AA0" w:rsidRDefault="003F2AA0" w:rsidP="003F2AA0">
            <w:pPr>
              <w:spacing w:before="0"/>
              <w:rPr>
                <w:sz w:val="18"/>
                <w:szCs w:val="18"/>
              </w:rPr>
            </w:pPr>
            <w:r w:rsidRPr="003F2AA0">
              <w:rPr>
                <w:sz w:val="18"/>
                <w:szCs w:val="18"/>
              </w:rPr>
              <w:t>pervitin</w:t>
            </w:r>
          </w:p>
        </w:tc>
        <w:tc>
          <w:tcPr>
            <w:tcW w:w="57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8"/>
                <w:szCs w:val="18"/>
              </w:rPr>
            </w:pPr>
            <w:r w:rsidRPr="003F2AA0">
              <w:rPr>
                <w:sz w:val="18"/>
                <w:szCs w:val="18"/>
              </w:rPr>
              <w:t>0</w:t>
            </w:r>
          </w:p>
        </w:tc>
        <w:tc>
          <w:tcPr>
            <w:tcW w:w="578" w:type="pct"/>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3F2AA0" w:rsidRPr="003F2AA0" w:rsidRDefault="003F2AA0" w:rsidP="003F2AA0">
            <w:pPr>
              <w:spacing w:before="0"/>
              <w:jc w:val="right"/>
              <w:rPr>
                <w:sz w:val="18"/>
                <w:szCs w:val="18"/>
              </w:rPr>
            </w:pPr>
            <w:r w:rsidRPr="003F2AA0">
              <w:rPr>
                <w:sz w:val="18"/>
                <w:szCs w:val="18"/>
              </w:rPr>
              <w:t>1</w:t>
            </w:r>
          </w:p>
        </w:tc>
        <w:tc>
          <w:tcPr>
            <w:tcW w:w="57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8"/>
                <w:szCs w:val="18"/>
              </w:rPr>
            </w:pPr>
            <w:r w:rsidRPr="003F2AA0">
              <w:rPr>
                <w:sz w:val="18"/>
                <w:szCs w:val="18"/>
              </w:rPr>
              <w:t>0</w:t>
            </w:r>
          </w:p>
        </w:tc>
        <w:tc>
          <w:tcPr>
            <w:tcW w:w="578" w:type="pct"/>
            <w:tcBorders>
              <w:top w:val="single" w:sz="4" w:space="0" w:color="auto"/>
              <w:left w:val="single" w:sz="4" w:space="0" w:color="auto"/>
              <w:bottom w:val="single" w:sz="4" w:space="0" w:color="auto"/>
              <w:right w:val="single" w:sz="4" w:space="0" w:color="auto"/>
            </w:tcBorders>
            <w:shd w:val="clear" w:color="000000" w:fill="FBD8DA"/>
            <w:noWrap/>
            <w:vAlign w:val="bottom"/>
            <w:hideMark/>
          </w:tcPr>
          <w:p w:rsidR="003F2AA0" w:rsidRPr="003F2AA0" w:rsidRDefault="003F2AA0" w:rsidP="003F2AA0">
            <w:pPr>
              <w:spacing w:before="0"/>
              <w:jc w:val="right"/>
              <w:rPr>
                <w:sz w:val="18"/>
                <w:szCs w:val="18"/>
              </w:rPr>
            </w:pPr>
            <w:r w:rsidRPr="003F2AA0">
              <w:rPr>
                <w:sz w:val="18"/>
                <w:szCs w:val="18"/>
              </w:rPr>
              <w:t>2</w:t>
            </w:r>
          </w:p>
        </w:tc>
        <w:tc>
          <w:tcPr>
            <w:tcW w:w="578" w:type="pct"/>
            <w:tcBorders>
              <w:top w:val="single" w:sz="4" w:space="0" w:color="auto"/>
              <w:left w:val="single" w:sz="4" w:space="0" w:color="auto"/>
              <w:bottom w:val="single" w:sz="4" w:space="0" w:color="auto"/>
              <w:right w:val="single" w:sz="4" w:space="0" w:color="auto"/>
            </w:tcBorders>
            <w:shd w:val="clear" w:color="000000" w:fill="FBD8DA"/>
            <w:noWrap/>
            <w:vAlign w:val="bottom"/>
            <w:hideMark/>
          </w:tcPr>
          <w:p w:rsidR="003F2AA0" w:rsidRPr="003F2AA0" w:rsidRDefault="003F2AA0" w:rsidP="003F2AA0">
            <w:pPr>
              <w:spacing w:before="0"/>
              <w:jc w:val="right"/>
              <w:rPr>
                <w:sz w:val="18"/>
                <w:szCs w:val="18"/>
              </w:rPr>
            </w:pPr>
            <w:r w:rsidRPr="003F2AA0">
              <w:rPr>
                <w:sz w:val="18"/>
                <w:szCs w:val="18"/>
              </w:rPr>
              <w:t>2</w:t>
            </w:r>
          </w:p>
        </w:tc>
      </w:tr>
      <w:tr w:rsidR="003F2AA0" w:rsidRPr="003F2AA0" w:rsidTr="003F2AA0">
        <w:trPr>
          <w:trHeight w:val="20"/>
        </w:trPr>
        <w:tc>
          <w:tcPr>
            <w:tcW w:w="1328" w:type="pct"/>
            <w:vMerge/>
            <w:tcBorders>
              <w:top w:val="nil"/>
              <w:left w:val="single" w:sz="4" w:space="0" w:color="auto"/>
              <w:bottom w:val="single" w:sz="4" w:space="0" w:color="auto"/>
              <w:right w:val="single" w:sz="4" w:space="0" w:color="auto"/>
            </w:tcBorders>
            <w:vAlign w:val="center"/>
            <w:hideMark/>
          </w:tcPr>
          <w:p w:rsidR="003F2AA0" w:rsidRPr="003F2AA0" w:rsidRDefault="003F2AA0" w:rsidP="003F2AA0">
            <w:pPr>
              <w:spacing w:before="0"/>
              <w:rPr>
                <w:sz w:val="18"/>
                <w:szCs w:val="18"/>
              </w:rPr>
            </w:pPr>
          </w:p>
        </w:tc>
        <w:tc>
          <w:tcPr>
            <w:tcW w:w="782" w:type="pct"/>
            <w:tcBorders>
              <w:top w:val="nil"/>
              <w:left w:val="nil"/>
              <w:bottom w:val="single" w:sz="4" w:space="0" w:color="auto"/>
              <w:right w:val="single" w:sz="4" w:space="0" w:color="auto"/>
            </w:tcBorders>
            <w:shd w:val="clear" w:color="auto" w:fill="auto"/>
            <w:vAlign w:val="center"/>
            <w:hideMark/>
          </w:tcPr>
          <w:p w:rsidR="003F2AA0" w:rsidRPr="003F2AA0" w:rsidRDefault="003F2AA0" w:rsidP="003F2AA0">
            <w:pPr>
              <w:spacing w:before="0"/>
              <w:rPr>
                <w:sz w:val="18"/>
                <w:szCs w:val="18"/>
              </w:rPr>
            </w:pPr>
            <w:r w:rsidRPr="003F2AA0">
              <w:rPr>
                <w:sz w:val="18"/>
                <w:szCs w:val="18"/>
              </w:rPr>
              <w:t>těkavé látky</w:t>
            </w:r>
          </w:p>
        </w:tc>
        <w:tc>
          <w:tcPr>
            <w:tcW w:w="578" w:type="pct"/>
            <w:tcBorders>
              <w:top w:val="single" w:sz="4" w:space="0" w:color="auto"/>
              <w:left w:val="single" w:sz="4" w:space="0" w:color="auto"/>
              <w:bottom w:val="single" w:sz="4" w:space="0" w:color="auto"/>
              <w:right w:val="single" w:sz="4" w:space="0" w:color="auto"/>
            </w:tcBorders>
            <w:shd w:val="clear" w:color="000000" w:fill="FAB3B5"/>
            <w:noWrap/>
            <w:vAlign w:val="bottom"/>
            <w:hideMark/>
          </w:tcPr>
          <w:p w:rsidR="003F2AA0" w:rsidRPr="003F2AA0" w:rsidRDefault="003F2AA0" w:rsidP="003F2AA0">
            <w:pPr>
              <w:spacing w:before="0"/>
              <w:jc w:val="right"/>
              <w:rPr>
                <w:sz w:val="18"/>
                <w:szCs w:val="18"/>
              </w:rPr>
            </w:pPr>
            <w:r w:rsidRPr="003F2AA0">
              <w:rPr>
                <w:sz w:val="18"/>
                <w:szCs w:val="18"/>
              </w:rPr>
              <w:t>4</w:t>
            </w:r>
          </w:p>
        </w:tc>
        <w:tc>
          <w:tcPr>
            <w:tcW w:w="578" w:type="pct"/>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3F2AA0" w:rsidRPr="003F2AA0" w:rsidRDefault="003F2AA0" w:rsidP="003F2AA0">
            <w:pPr>
              <w:spacing w:before="0"/>
              <w:jc w:val="right"/>
              <w:rPr>
                <w:sz w:val="18"/>
                <w:szCs w:val="18"/>
              </w:rPr>
            </w:pPr>
            <w:r w:rsidRPr="003F2AA0">
              <w:rPr>
                <w:sz w:val="18"/>
                <w:szCs w:val="18"/>
              </w:rPr>
              <w:t>1</w:t>
            </w:r>
          </w:p>
        </w:tc>
        <w:tc>
          <w:tcPr>
            <w:tcW w:w="57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8"/>
                <w:szCs w:val="18"/>
              </w:rPr>
            </w:pPr>
            <w:r w:rsidRPr="003F2AA0">
              <w:rPr>
                <w:sz w:val="18"/>
                <w:szCs w:val="18"/>
              </w:rPr>
              <w:t>0</w:t>
            </w:r>
          </w:p>
        </w:tc>
        <w:tc>
          <w:tcPr>
            <w:tcW w:w="57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8"/>
                <w:szCs w:val="18"/>
              </w:rPr>
            </w:pPr>
            <w:r w:rsidRPr="003F2AA0">
              <w:rPr>
                <w:sz w:val="18"/>
                <w:szCs w:val="18"/>
              </w:rPr>
              <w:t>0</w:t>
            </w:r>
          </w:p>
        </w:tc>
        <w:tc>
          <w:tcPr>
            <w:tcW w:w="578" w:type="pct"/>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3F2AA0" w:rsidRPr="003F2AA0" w:rsidRDefault="003F2AA0" w:rsidP="003F2AA0">
            <w:pPr>
              <w:spacing w:before="0"/>
              <w:jc w:val="right"/>
              <w:rPr>
                <w:sz w:val="18"/>
                <w:szCs w:val="18"/>
              </w:rPr>
            </w:pPr>
            <w:r w:rsidRPr="003F2AA0">
              <w:rPr>
                <w:sz w:val="18"/>
                <w:szCs w:val="18"/>
              </w:rPr>
              <w:t>1</w:t>
            </w:r>
          </w:p>
        </w:tc>
      </w:tr>
      <w:tr w:rsidR="003F2AA0" w:rsidRPr="003F2AA0" w:rsidTr="003F2AA0">
        <w:trPr>
          <w:trHeight w:val="20"/>
        </w:trPr>
        <w:tc>
          <w:tcPr>
            <w:tcW w:w="1328" w:type="pct"/>
            <w:vMerge/>
            <w:tcBorders>
              <w:top w:val="nil"/>
              <w:left w:val="single" w:sz="4" w:space="0" w:color="auto"/>
              <w:bottom w:val="single" w:sz="4" w:space="0" w:color="auto"/>
              <w:right w:val="single" w:sz="4" w:space="0" w:color="auto"/>
            </w:tcBorders>
            <w:vAlign w:val="center"/>
            <w:hideMark/>
          </w:tcPr>
          <w:p w:rsidR="003F2AA0" w:rsidRPr="003F2AA0" w:rsidRDefault="003F2AA0" w:rsidP="003F2AA0">
            <w:pPr>
              <w:spacing w:before="0"/>
              <w:rPr>
                <w:sz w:val="18"/>
                <w:szCs w:val="18"/>
              </w:rPr>
            </w:pPr>
          </w:p>
        </w:tc>
        <w:tc>
          <w:tcPr>
            <w:tcW w:w="782" w:type="pct"/>
            <w:tcBorders>
              <w:top w:val="nil"/>
              <w:left w:val="nil"/>
              <w:bottom w:val="single" w:sz="4" w:space="0" w:color="auto"/>
              <w:right w:val="single" w:sz="4" w:space="0" w:color="auto"/>
            </w:tcBorders>
            <w:shd w:val="clear" w:color="auto" w:fill="auto"/>
            <w:vAlign w:val="center"/>
            <w:hideMark/>
          </w:tcPr>
          <w:p w:rsidR="003F2AA0" w:rsidRPr="003F2AA0" w:rsidRDefault="003F2AA0" w:rsidP="003F2AA0">
            <w:pPr>
              <w:spacing w:before="0"/>
              <w:rPr>
                <w:b/>
                <w:sz w:val="18"/>
                <w:szCs w:val="18"/>
              </w:rPr>
            </w:pPr>
            <w:r w:rsidRPr="003F2AA0">
              <w:rPr>
                <w:b/>
                <w:sz w:val="18"/>
                <w:szCs w:val="18"/>
              </w:rPr>
              <w:t>Celkem</w:t>
            </w:r>
          </w:p>
        </w:tc>
        <w:tc>
          <w:tcPr>
            <w:tcW w:w="578" w:type="pct"/>
            <w:tcBorders>
              <w:top w:val="single" w:sz="4" w:space="0" w:color="auto"/>
              <w:left w:val="single" w:sz="4" w:space="0" w:color="auto"/>
              <w:bottom w:val="single" w:sz="4" w:space="0" w:color="auto"/>
              <w:right w:val="single" w:sz="4" w:space="0" w:color="auto"/>
            </w:tcBorders>
            <w:shd w:val="clear" w:color="000000" w:fill="FAB3B5"/>
            <w:noWrap/>
            <w:vAlign w:val="bottom"/>
            <w:hideMark/>
          </w:tcPr>
          <w:p w:rsidR="003F2AA0" w:rsidRPr="003F2AA0" w:rsidRDefault="003F2AA0" w:rsidP="003F2AA0">
            <w:pPr>
              <w:spacing w:before="0"/>
              <w:jc w:val="right"/>
              <w:rPr>
                <w:b/>
                <w:sz w:val="18"/>
                <w:szCs w:val="18"/>
              </w:rPr>
            </w:pPr>
            <w:r w:rsidRPr="003F2AA0">
              <w:rPr>
                <w:b/>
                <w:sz w:val="18"/>
                <w:szCs w:val="18"/>
              </w:rPr>
              <w:t>4</w:t>
            </w:r>
          </w:p>
        </w:tc>
        <w:tc>
          <w:tcPr>
            <w:tcW w:w="578" w:type="pct"/>
            <w:tcBorders>
              <w:top w:val="single" w:sz="4" w:space="0" w:color="auto"/>
              <w:left w:val="single" w:sz="4" w:space="0" w:color="auto"/>
              <w:bottom w:val="single" w:sz="4" w:space="0" w:color="auto"/>
              <w:right w:val="single" w:sz="4" w:space="0" w:color="auto"/>
            </w:tcBorders>
            <w:shd w:val="clear" w:color="000000" w:fill="FBC5C8"/>
            <w:noWrap/>
            <w:vAlign w:val="bottom"/>
            <w:hideMark/>
          </w:tcPr>
          <w:p w:rsidR="003F2AA0" w:rsidRPr="003F2AA0" w:rsidRDefault="003F2AA0" w:rsidP="003F2AA0">
            <w:pPr>
              <w:spacing w:before="0"/>
              <w:jc w:val="right"/>
              <w:rPr>
                <w:b/>
                <w:sz w:val="18"/>
                <w:szCs w:val="18"/>
              </w:rPr>
            </w:pPr>
            <w:r w:rsidRPr="003F2AA0">
              <w:rPr>
                <w:b/>
                <w:sz w:val="18"/>
                <w:szCs w:val="18"/>
              </w:rPr>
              <w:t>3</w:t>
            </w:r>
          </w:p>
        </w:tc>
        <w:tc>
          <w:tcPr>
            <w:tcW w:w="578" w:type="pct"/>
            <w:tcBorders>
              <w:top w:val="single" w:sz="4" w:space="0" w:color="auto"/>
              <w:left w:val="single" w:sz="4" w:space="0" w:color="auto"/>
              <w:bottom w:val="single" w:sz="4" w:space="0" w:color="auto"/>
              <w:right w:val="single" w:sz="4" w:space="0" w:color="auto"/>
            </w:tcBorders>
            <w:shd w:val="clear" w:color="000000" w:fill="F97C7E"/>
            <w:noWrap/>
            <w:vAlign w:val="bottom"/>
            <w:hideMark/>
          </w:tcPr>
          <w:p w:rsidR="003F2AA0" w:rsidRPr="003F2AA0" w:rsidRDefault="003F2AA0" w:rsidP="003F2AA0">
            <w:pPr>
              <w:spacing w:before="0"/>
              <w:jc w:val="right"/>
              <w:rPr>
                <w:b/>
                <w:sz w:val="18"/>
                <w:szCs w:val="18"/>
              </w:rPr>
            </w:pPr>
            <w:r w:rsidRPr="003F2AA0">
              <w:rPr>
                <w:b/>
                <w:sz w:val="18"/>
                <w:szCs w:val="18"/>
              </w:rPr>
              <w:t>7</w:t>
            </w:r>
          </w:p>
        </w:tc>
        <w:tc>
          <w:tcPr>
            <w:tcW w:w="578" w:type="pct"/>
            <w:tcBorders>
              <w:top w:val="single" w:sz="4" w:space="0" w:color="auto"/>
              <w:left w:val="single" w:sz="4" w:space="0" w:color="auto"/>
              <w:bottom w:val="single" w:sz="4" w:space="0" w:color="auto"/>
              <w:right w:val="single" w:sz="4" w:space="0" w:color="auto"/>
            </w:tcBorders>
            <w:shd w:val="clear" w:color="000000" w:fill="F98E90"/>
            <w:noWrap/>
            <w:vAlign w:val="bottom"/>
            <w:hideMark/>
          </w:tcPr>
          <w:p w:rsidR="003F2AA0" w:rsidRPr="003F2AA0" w:rsidRDefault="003F2AA0" w:rsidP="003F2AA0">
            <w:pPr>
              <w:spacing w:before="0"/>
              <w:jc w:val="right"/>
              <w:rPr>
                <w:b/>
                <w:sz w:val="18"/>
                <w:szCs w:val="18"/>
              </w:rPr>
            </w:pPr>
            <w:r w:rsidRPr="003F2AA0">
              <w:rPr>
                <w:b/>
                <w:sz w:val="18"/>
                <w:szCs w:val="18"/>
              </w:rPr>
              <w:t>6</w:t>
            </w:r>
          </w:p>
        </w:tc>
        <w:tc>
          <w:tcPr>
            <w:tcW w:w="578"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F2AA0" w:rsidRPr="003F2AA0" w:rsidRDefault="003F2AA0" w:rsidP="003F2AA0">
            <w:pPr>
              <w:spacing w:before="0"/>
              <w:jc w:val="right"/>
              <w:rPr>
                <w:b/>
                <w:sz w:val="18"/>
                <w:szCs w:val="18"/>
              </w:rPr>
            </w:pPr>
            <w:r w:rsidRPr="003F2AA0">
              <w:rPr>
                <w:b/>
                <w:sz w:val="18"/>
                <w:szCs w:val="18"/>
              </w:rPr>
              <w:t>8</w:t>
            </w:r>
          </w:p>
        </w:tc>
      </w:tr>
      <w:tr w:rsidR="003F2AA0" w:rsidRPr="003F2AA0" w:rsidTr="003F2AA0">
        <w:trPr>
          <w:trHeight w:val="20"/>
        </w:trPr>
        <w:tc>
          <w:tcPr>
            <w:tcW w:w="210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2AA0" w:rsidRPr="003F2AA0" w:rsidRDefault="003F2AA0" w:rsidP="003F2AA0">
            <w:pPr>
              <w:spacing w:before="0"/>
              <w:rPr>
                <w:sz w:val="18"/>
                <w:szCs w:val="18"/>
              </w:rPr>
            </w:pPr>
            <w:r w:rsidRPr="003F2AA0">
              <w:rPr>
                <w:sz w:val="18"/>
                <w:szCs w:val="18"/>
              </w:rPr>
              <w:t>Psychoaktivní léky</w:t>
            </w:r>
          </w:p>
        </w:tc>
        <w:tc>
          <w:tcPr>
            <w:tcW w:w="578" w:type="pct"/>
            <w:tcBorders>
              <w:top w:val="single" w:sz="4" w:space="0" w:color="auto"/>
              <w:left w:val="single" w:sz="4" w:space="0" w:color="auto"/>
              <w:bottom w:val="single" w:sz="4" w:space="0" w:color="auto"/>
              <w:right w:val="single" w:sz="4" w:space="0" w:color="auto"/>
            </w:tcBorders>
            <w:shd w:val="clear" w:color="000000" w:fill="FAB3B5"/>
            <w:noWrap/>
            <w:vAlign w:val="bottom"/>
            <w:hideMark/>
          </w:tcPr>
          <w:p w:rsidR="003F2AA0" w:rsidRPr="003F2AA0" w:rsidRDefault="003F2AA0" w:rsidP="003F2AA0">
            <w:pPr>
              <w:spacing w:before="0"/>
              <w:jc w:val="right"/>
              <w:rPr>
                <w:sz w:val="18"/>
                <w:szCs w:val="18"/>
              </w:rPr>
            </w:pPr>
            <w:r w:rsidRPr="003F2AA0">
              <w:rPr>
                <w:sz w:val="18"/>
                <w:szCs w:val="18"/>
              </w:rPr>
              <w:t>4</w:t>
            </w:r>
          </w:p>
        </w:tc>
        <w:tc>
          <w:tcPr>
            <w:tcW w:w="578" w:type="pct"/>
            <w:tcBorders>
              <w:top w:val="single" w:sz="4" w:space="0" w:color="auto"/>
              <w:left w:val="single" w:sz="4" w:space="0" w:color="auto"/>
              <w:bottom w:val="single" w:sz="4" w:space="0" w:color="auto"/>
              <w:right w:val="single" w:sz="4" w:space="0" w:color="auto"/>
            </w:tcBorders>
            <w:shd w:val="clear" w:color="000000" w:fill="FBD8DA"/>
            <w:noWrap/>
            <w:vAlign w:val="bottom"/>
            <w:hideMark/>
          </w:tcPr>
          <w:p w:rsidR="003F2AA0" w:rsidRPr="003F2AA0" w:rsidRDefault="003F2AA0" w:rsidP="003F2AA0">
            <w:pPr>
              <w:spacing w:before="0"/>
              <w:jc w:val="right"/>
              <w:rPr>
                <w:sz w:val="18"/>
                <w:szCs w:val="18"/>
              </w:rPr>
            </w:pPr>
            <w:r w:rsidRPr="003F2AA0">
              <w:rPr>
                <w:sz w:val="18"/>
                <w:szCs w:val="18"/>
              </w:rPr>
              <w:t>2</w:t>
            </w:r>
          </w:p>
        </w:tc>
        <w:tc>
          <w:tcPr>
            <w:tcW w:w="578" w:type="pct"/>
            <w:tcBorders>
              <w:top w:val="single" w:sz="4" w:space="0" w:color="auto"/>
              <w:left w:val="single" w:sz="4" w:space="0" w:color="auto"/>
              <w:bottom w:val="single" w:sz="4" w:space="0" w:color="auto"/>
              <w:right w:val="single" w:sz="4" w:space="0" w:color="auto"/>
            </w:tcBorders>
            <w:shd w:val="clear" w:color="000000" w:fill="FCEAED"/>
            <w:noWrap/>
            <w:vAlign w:val="bottom"/>
            <w:hideMark/>
          </w:tcPr>
          <w:p w:rsidR="003F2AA0" w:rsidRPr="003F2AA0" w:rsidRDefault="003F2AA0" w:rsidP="003F2AA0">
            <w:pPr>
              <w:spacing w:before="0"/>
              <w:jc w:val="right"/>
              <w:rPr>
                <w:sz w:val="18"/>
                <w:szCs w:val="18"/>
              </w:rPr>
            </w:pPr>
            <w:r w:rsidRPr="003F2AA0">
              <w:rPr>
                <w:sz w:val="18"/>
                <w:szCs w:val="18"/>
              </w:rPr>
              <w:t>1</w:t>
            </w:r>
          </w:p>
        </w:tc>
        <w:tc>
          <w:tcPr>
            <w:tcW w:w="578" w:type="pct"/>
            <w:tcBorders>
              <w:top w:val="single" w:sz="4" w:space="0" w:color="auto"/>
              <w:left w:val="single" w:sz="4" w:space="0" w:color="auto"/>
              <w:bottom w:val="single" w:sz="4" w:space="0" w:color="auto"/>
              <w:right w:val="single" w:sz="4" w:space="0" w:color="auto"/>
            </w:tcBorders>
            <w:shd w:val="clear" w:color="000000" w:fill="F98E90"/>
            <w:noWrap/>
            <w:vAlign w:val="bottom"/>
            <w:hideMark/>
          </w:tcPr>
          <w:p w:rsidR="003F2AA0" w:rsidRPr="003F2AA0" w:rsidRDefault="003F2AA0" w:rsidP="003F2AA0">
            <w:pPr>
              <w:spacing w:before="0"/>
              <w:jc w:val="right"/>
              <w:rPr>
                <w:sz w:val="18"/>
                <w:szCs w:val="18"/>
              </w:rPr>
            </w:pPr>
            <w:r w:rsidRPr="003F2AA0">
              <w:rPr>
                <w:sz w:val="18"/>
                <w:szCs w:val="18"/>
              </w:rPr>
              <w:t>6</w:t>
            </w:r>
          </w:p>
        </w:tc>
        <w:tc>
          <w:tcPr>
            <w:tcW w:w="578" w:type="pct"/>
            <w:tcBorders>
              <w:top w:val="single" w:sz="4" w:space="0" w:color="auto"/>
              <w:left w:val="single" w:sz="4" w:space="0" w:color="auto"/>
              <w:bottom w:val="single" w:sz="4" w:space="0" w:color="auto"/>
              <w:right w:val="single" w:sz="4" w:space="0" w:color="auto"/>
            </w:tcBorders>
            <w:shd w:val="clear" w:color="000000" w:fill="FAA1A3"/>
            <w:noWrap/>
            <w:vAlign w:val="bottom"/>
            <w:hideMark/>
          </w:tcPr>
          <w:p w:rsidR="003F2AA0" w:rsidRPr="003F2AA0" w:rsidRDefault="003F2AA0" w:rsidP="003F2AA0">
            <w:pPr>
              <w:spacing w:before="0"/>
              <w:jc w:val="right"/>
              <w:rPr>
                <w:sz w:val="18"/>
                <w:szCs w:val="18"/>
              </w:rPr>
            </w:pPr>
            <w:r w:rsidRPr="003F2AA0">
              <w:rPr>
                <w:sz w:val="18"/>
                <w:szCs w:val="18"/>
              </w:rPr>
              <w:t>5</w:t>
            </w:r>
          </w:p>
        </w:tc>
      </w:tr>
      <w:tr w:rsidR="003F2AA0" w:rsidRPr="003F2AA0" w:rsidTr="003F2AA0">
        <w:trPr>
          <w:trHeight w:val="20"/>
        </w:trPr>
        <w:tc>
          <w:tcPr>
            <w:tcW w:w="210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2AA0" w:rsidRPr="003F2AA0" w:rsidRDefault="003F2AA0" w:rsidP="003F2AA0">
            <w:pPr>
              <w:spacing w:before="0"/>
              <w:rPr>
                <w:b/>
                <w:sz w:val="18"/>
                <w:szCs w:val="18"/>
              </w:rPr>
            </w:pPr>
            <w:r w:rsidRPr="003F2AA0">
              <w:rPr>
                <w:b/>
                <w:sz w:val="18"/>
                <w:szCs w:val="18"/>
              </w:rPr>
              <w:t>Celkem</w:t>
            </w:r>
          </w:p>
        </w:tc>
        <w:tc>
          <w:tcPr>
            <w:tcW w:w="578" w:type="pct"/>
            <w:tcBorders>
              <w:top w:val="single" w:sz="4" w:space="0" w:color="auto"/>
              <w:left w:val="single" w:sz="4" w:space="0" w:color="auto"/>
              <w:bottom w:val="single" w:sz="4" w:space="0" w:color="auto"/>
              <w:right w:val="single" w:sz="4" w:space="0" w:color="auto"/>
            </w:tcBorders>
            <w:shd w:val="clear" w:color="000000" w:fill="C3E5CE"/>
            <w:noWrap/>
            <w:vAlign w:val="bottom"/>
            <w:hideMark/>
          </w:tcPr>
          <w:p w:rsidR="003F2AA0" w:rsidRPr="003F2AA0" w:rsidRDefault="003F2AA0" w:rsidP="003F2AA0">
            <w:pPr>
              <w:spacing w:before="0"/>
              <w:jc w:val="right"/>
              <w:rPr>
                <w:b/>
                <w:sz w:val="18"/>
                <w:szCs w:val="18"/>
              </w:rPr>
            </w:pPr>
            <w:r w:rsidRPr="003F2AA0">
              <w:rPr>
                <w:b/>
                <w:sz w:val="18"/>
                <w:szCs w:val="18"/>
              </w:rPr>
              <w:t>8</w:t>
            </w:r>
          </w:p>
        </w:tc>
        <w:tc>
          <w:tcPr>
            <w:tcW w:w="57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b/>
                <w:sz w:val="18"/>
                <w:szCs w:val="18"/>
              </w:rPr>
            </w:pPr>
            <w:r w:rsidRPr="003F2AA0">
              <w:rPr>
                <w:b/>
                <w:sz w:val="18"/>
                <w:szCs w:val="18"/>
              </w:rPr>
              <w:t>5</w:t>
            </w:r>
          </w:p>
        </w:tc>
        <w:tc>
          <w:tcPr>
            <w:tcW w:w="578" w:type="pct"/>
            <w:tcBorders>
              <w:top w:val="single" w:sz="4" w:space="0" w:color="auto"/>
              <w:left w:val="single" w:sz="4" w:space="0" w:color="auto"/>
              <w:bottom w:val="single" w:sz="4" w:space="0" w:color="auto"/>
              <w:right w:val="single" w:sz="4" w:space="0" w:color="auto"/>
            </w:tcBorders>
            <w:shd w:val="clear" w:color="000000" w:fill="C3E5CE"/>
            <w:noWrap/>
            <w:vAlign w:val="bottom"/>
            <w:hideMark/>
          </w:tcPr>
          <w:p w:rsidR="003F2AA0" w:rsidRPr="003F2AA0" w:rsidRDefault="003F2AA0" w:rsidP="003F2AA0">
            <w:pPr>
              <w:spacing w:before="0"/>
              <w:jc w:val="right"/>
              <w:rPr>
                <w:b/>
                <w:sz w:val="18"/>
                <w:szCs w:val="18"/>
              </w:rPr>
            </w:pPr>
            <w:r w:rsidRPr="003F2AA0">
              <w:rPr>
                <w:b/>
                <w:sz w:val="18"/>
                <w:szCs w:val="18"/>
              </w:rPr>
              <w:t>8</w:t>
            </w:r>
          </w:p>
        </w:tc>
        <w:tc>
          <w:tcPr>
            <w:tcW w:w="578" w:type="pct"/>
            <w:tcBorders>
              <w:top w:val="single" w:sz="4" w:space="0" w:color="auto"/>
              <w:left w:val="single" w:sz="4" w:space="0" w:color="auto"/>
              <w:bottom w:val="single" w:sz="4" w:space="0" w:color="auto"/>
              <w:right w:val="single" w:sz="4" w:space="0" w:color="auto"/>
            </w:tcBorders>
            <w:shd w:val="clear" w:color="000000" w:fill="77C68C"/>
            <w:noWrap/>
            <w:vAlign w:val="bottom"/>
            <w:hideMark/>
          </w:tcPr>
          <w:p w:rsidR="003F2AA0" w:rsidRPr="003F2AA0" w:rsidRDefault="003F2AA0" w:rsidP="003F2AA0">
            <w:pPr>
              <w:spacing w:before="0"/>
              <w:jc w:val="right"/>
              <w:rPr>
                <w:b/>
                <w:sz w:val="18"/>
                <w:szCs w:val="18"/>
              </w:rPr>
            </w:pPr>
            <w:r w:rsidRPr="003F2AA0">
              <w:rPr>
                <w:b/>
                <w:sz w:val="18"/>
                <w:szCs w:val="18"/>
              </w:rPr>
              <w:t>12</w:t>
            </w:r>
          </w:p>
        </w:tc>
        <w:tc>
          <w:tcPr>
            <w:tcW w:w="578"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3F2AA0" w:rsidRPr="003F2AA0" w:rsidRDefault="003F2AA0" w:rsidP="003F2AA0">
            <w:pPr>
              <w:spacing w:before="0"/>
              <w:jc w:val="right"/>
              <w:rPr>
                <w:b/>
                <w:sz w:val="18"/>
                <w:szCs w:val="18"/>
              </w:rPr>
            </w:pPr>
            <w:r w:rsidRPr="003F2AA0">
              <w:rPr>
                <w:b/>
                <w:sz w:val="18"/>
                <w:szCs w:val="18"/>
              </w:rPr>
              <w:t>13</w:t>
            </w:r>
          </w:p>
        </w:tc>
      </w:tr>
    </w:tbl>
    <w:p w:rsidR="00AF4350" w:rsidRPr="003610A0" w:rsidRDefault="00AF4350" w:rsidP="003F2AA0">
      <w:pPr>
        <w:pStyle w:val="Zdrojobjektu"/>
      </w:pPr>
      <w:r w:rsidRPr="003610A0">
        <w:t>Zdroj: Ústav zdravotnických informací a statistiky ČR, zpracování ACCENDO (2022)</w:t>
      </w:r>
      <w:r>
        <w:t>.</w:t>
      </w:r>
    </w:p>
    <w:p w:rsidR="00AF4350" w:rsidRPr="0039748C" w:rsidRDefault="00AF4350" w:rsidP="003F2AA0">
      <w:pPr>
        <w:keepNext/>
        <w:keepLines/>
      </w:pPr>
      <w:r w:rsidRPr="0039748C">
        <w:lastRenderedPageBreak/>
        <w:t xml:space="preserve">V r. 2020 realizovalo NMS ve spolupráci s agenturou </w:t>
      </w:r>
      <w:proofErr w:type="spellStart"/>
      <w:r w:rsidRPr="0039748C">
        <w:t>MindBridge</w:t>
      </w:r>
      <w:proofErr w:type="spellEnd"/>
      <w:r w:rsidRPr="0039748C">
        <w:t xml:space="preserve"> </w:t>
      </w:r>
      <w:proofErr w:type="spellStart"/>
      <w:r w:rsidRPr="0039748C">
        <w:t>Consulting</w:t>
      </w:r>
      <w:proofErr w:type="spellEnd"/>
      <w:r w:rsidRPr="0039748C">
        <w:t xml:space="preserve"> </w:t>
      </w:r>
      <w:proofErr w:type="spellStart"/>
      <w:r w:rsidRPr="0039748C">
        <w:t>celopopulační</w:t>
      </w:r>
      <w:proofErr w:type="spellEnd"/>
      <w:r w:rsidRPr="0039748C">
        <w:t xml:space="preserve"> studii na</w:t>
      </w:r>
      <w:r w:rsidRPr="0039748C">
        <w:rPr>
          <w:i/>
        </w:rPr>
        <w:t xml:space="preserve"> </w:t>
      </w:r>
      <w:r w:rsidRPr="0039748C">
        <w:t>reprezentativním vzorku populace ve věku 15+ let</w:t>
      </w:r>
      <w:r w:rsidRPr="0039748C">
        <w:rPr>
          <w:i/>
        </w:rPr>
        <w:t xml:space="preserve">, </w:t>
      </w:r>
      <w:r w:rsidRPr="0039748C">
        <w:t>podle které konzumovalo v ČR alkohol v posledních 12 měsících celkem 80,1 % respondentů. Podle tohoto výzkumu v OK konzumovalo alkohol v posledních 30 dnech 68,1 % respondentů, denní (nebo téměř denní) pití alkoholu uvedlo v OK 11,4 % respondentů, pití nadměrných dávek alkoholu 1 týdně nebo častěji pak uvedlo 10,9 % respondentů, tyto tři údaje se pohybují kolem průměrné hodnoty v rámci srovnání s ostatními kraji.</w:t>
      </w:r>
    </w:p>
    <w:p w:rsidR="00AF4350" w:rsidRPr="0039748C" w:rsidRDefault="00AF4350" w:rsidP="003F2AA0">
      <w:pPr>
        <w:pStyle w:val="popistabulkySPRSS2024"/>
      </w:pPr>
      <w:bookmarkStart w:id="120" w:name="_Toc117607088"/>
      <w:r w:rsidRPr="0039748C">
        <w:t xml:space="preserve">Tabulka </w:t>
      </w:r>
      <w:r w:rsidR="00412C70">
        <w:fldChar w:fldCharType="begin"/>
      </w:r>
      <w:r w:rsidR="00412C70">
        <w:instrText xml:space="preserve"> SEQ Tabulka \* ARABIC </w:instrText>
      </w:r>
      <w:r w:rsidR="00412C70">
        <w:fldChar w:fldCharType="separate"/>
      </w:r>
      <w:r w:rsidR="003A12AF">
        <w:rPr>
          <w:noProof/>
        </w:rPr>
        <w:t>28</w:t>
      </w:r>
      <w:r w:rsidR="00412C70">
        <w:rPr>
          <w:noProof/>
        </w:rPr>
        <w:fldChar w:fldCharType="end"/>
      </w:r>
      <w:r>
        <w:t>:</w:t>
      </w:r>
      <w:r w:rsidRPr="0039748C">
        <w:t xml:space="preserve"> Vybrané indikátory konzumace alkoholu v posledních 30 dnech</w:t>
      </w:r>
      <w:bookmarkEnd w:id="120"/>
    </w:p>
    <w:tbl>
      <w:tblPr>
        <w:tblW w:w="0" w:type="auto"/>
        <w:tblInd w:w="-5" w:type="dxa"/>
        <w:tblCellMar>
          <w:left w:w="70" w:type="dxa"/>
          <w:right w:w="70" w:type="dxa"/>
        </w:tblCellMar>
        <w:tblLook w:val="04A0" w:firstRow="1" w:lastRow="0" w:firstColumn="1" w:lastColumn="0" w:noHBand="0" w:noVBand="1"/>
      </w:tblPr>
      <w:tblGrid>
        <w:gridCol w:w="1468"/>
        <w:gridCol w:w="2523"/>
        <w:gridCol w:w="2168"/>
        <w:gridCol w:w="2908"/>
      </w:tblGrid>
      <w:tr w:rsidR="003F2AA0" w:rsidRPr="003F2AA0" w:rsidTr="003F2AA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Kraj</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3F2AA0" w:rsidRPr="003F2AA0" w:rsidRDefault="003F2AA0" w:rsidP="003F2AA0">
            <w:pPr>
              <w:spacing w:before="0"/>
              <w:jc w:val="center"/>
              <w:rPr>
                <w:b/>
                <w:bCs/>
                <w:sz w:val="18"/>
                <w:szCs w:val="18"/>
              </w:rPr>
            </w:pPr>
            <w:r w:rsidRPr="003F2AA0">
              <w:rPr>
                <w:b/>
                <w:bCs/>
                <w:sz w:val="18"/>
                <w:szCs w:val="18"/>
              </w:rPr>
              <w:t>Konzumace alkoholu v posledních 30 dnech</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3F2AA0" w:rsidRPr="003F2AA0" w:rsidRDefault="003F2AA0" w:rsidP="003F2AA0">
            <w:pPr>
              <w:spacing w:before="0"/>
              <w:jc w:val="center"/>
              <w:rPr>
                <w:b/>
                <w:bCs/>
                <w:sz w:val="18"/>
                <w:szCs w:val="18"/>
              </w:rPr>
            </w:pPr>
            <w:r w:rsidRPr="003F2AA0">
              <w:rPr>
                <w:b/>
                <w:bCs/>
                <w:sz w:val="18"/>
                <w:szCs w:val="18"/>
              </w:rPr>
              <w:t>Denní (nebo téměř denní) pití alkoholu</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3F2AA0" w:rsidRPr="003F2AA0" w:rsidRDefault="003F2AA0" w:rsidP="003F2AA0">
            <w:pPr>
              <w:spacing w:before="0"/>
              <w:jc w:val="center"/>
              <w:rPr>
                <w:b/>
                <w:bCs/>
                <w:sz w:val="18"/>
                <w:szCs w:val="18"/>
              </w:rPr>
            </w:pPr>
            <w:r w:rsidRPr="003F2AA0">
              <w:rPr>
                <w:b/>
                <w:bCs/>
                <w:sz w:val="18"/>
                <w:szCs w:val="18"/>
              </w:rPr>
              <w:t>Pití nadměrných dávek alkoholu 1 týdně nebo častěji</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Praha</w:t>
            </w:r>
          </w:p>
        </w:tc>
        <w:tc>
          <w:tcPr>
            <w:tcW w:w="0" w:type="auto"/>
            <w:tcBorders>
              <w:top w:val="single" w:sz="4" w:space="0" w:color="auto"/>
              <w:left w:val="single" w:sz="4" w:space="0" w:color="auto"/>
              <w:bottom w:val="single" w:sz="4" w:space="0" w:color="auto"/>
              <w:right w:val="single" w:sz="4" w:space="0" w:color="auto"/>
            </w:tcBorders>
            <w:shd w:val="clear" w:color="000000" w:fill="DDE6F4"/>
            <w:noWrap/>
            <w:vAlign w:val="bottom"/>
            <w:hideMark/>
          </w:tcPr>
          <w:p w:rsidR="003F2AA0" w:rsidRPr="003F2AA0" w:rsidRDefault="003F2AA0" w:rsidP="003F2AA0">
            <w:pPr>
              <w:spacing w:before="0"/>
              <w:jc w:val="right"/>
              <w:rPr>
                <w:sz w:val="18"/>
                <w:szCs w:val="18"/>
              </w:rPr>
            </w:pPr>
            <w:r w:rsidRPr="003F2AA0">
              <w:rPr>
                <w:sz w:val="18"/>
                <w:szCs w:val="18"/>
              </w:rPr>
              <w:t>66,3%</w:t>
            </w:r>
          </w:p>
        </w:tc>
        <w:tc>
          <w:tcPr>
            <w:tcW w:w="0" w:type="auto"/>
            <w:tcBorders>
              <w:top w:val="single" w:sz="4" w:space="0" w:color="auto"/>
              <w:left w:val="single" w:sz="4" w:space="0" w:color="auto"/>
              <w:bottom w:val="single" w:sz="4" w:space="0" w:color="auto"/>
              <w:right w:val="single" w:sz="4" w:space="0" w:color="auto"/>
            </w:tcBorders>
            <w:shd w:val="clear" w:color="000000" w:fill="F5F7FC"/>
            <w:noWrap/>
            <w:vAlign w:val="bottom"/>
            <w:hideMark/>
          </w:tcPr>
          <w:p w:rsidR="003F2AA0" w:rsidRPr="003F2AA0" w:rsidRDefault="003F2AA0" w:rsidP="003F2AA0">
            <w:pPr>
              <w:spacing w:before="0"/>
              <w:jc w:val="right"/>
              <w:rPr>
                <w:sz w:val="18"/>
                <w:szCs w:val="18"/>
              </w:rPr>
            </w:pPr>
            <w:r w:rsidRPr="003F2AA0">
              <w:rPr>
                <w:sz w:val="18"/>
                <w:szCs w:val="18"/>
              </w:rPr>
              <w:t>10,0%</w:t>
            </w:r>
          </w:p>
        </w:tc>
        <w:tc>
          <w:tcPr>
            <w:tcW w:w="0" w:type="auto"/>
            <w:tcBorders>
              <w:top w:val="single" w:sz="4" w:space="0" w:color="auto"/>
              <w:left w:val="single" w:sz="4" w:space="0" w:color="auto"/>
              <w:bottom w:val="single" w:sz="4" w:space="0" w:color="auto"/>
              <w:right w:val="single" w:sz="4" w:space="0" w:color="auto"/>
            </w:tcBorders>
            <w:shd w:val="clear" w:color="000000" w:fill="B5CAE6"/>
            <w:noWrap/>
            <w:vAlign w:val="bottom"/>
            <w:hideMark/>
          </w:tcPr>
          <w:p w:rsidR="003F2AA0" w:rsidRPr="003F2AA0" w:rsidRDefault="003F2AA0" w:rsidP="003F2AA0">
            <w:pPr>
              <w:spacing w:before="0"/>
              <w:jc w:val="right"/>
              <w:rPr>
                <w:sz w:val="18"/>
                <w:szCs w:val="18"/>
              </w:rPr>
            </w:pPr>
            <w:r w:rsidRPr="003F2AA0">
              <w:rPr>
                <w:sz w:val="18"/>
                <w:szCs w:val="18"/>
              </w:rPr>
              <w:t>7,7%</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Středočeský</w:t>
            </w:r>
          </w:p>
        </w:tc>
        <w:tc>
          <w:tcPr>
            <w:tcW w:w="0" w:type="auto"/>
            <w:tcBorders>
              <w:top w:val="single" w:sz="4" w:space="0" w:color="auto"/>
              <w:left w:val="single" w:sz="4" w:space="0" w:color="auto"/>
              <w:bottom w:val="single" w:sz="4" w:space="0" w:color="auto"/>
              <w:right w:val="single" w:sz="4" w:space="0" w:color="auto"/>
            </w:tcBorders>
            <w:shd w:val="clear" w:color="000000" w:fill="F3F5FB"/>
            <w:noWrap/>
            <w:vAlign w:val="bottom"/>
            <w:hideMark/>
          </w:tcPr>
          <w:p w:rsidR="003F2AA0" w:rsidRPr="003F2AA0" w:rsidRDefault="003F2AA0" w:rsidP="003F2AA0">
            <w:pPr>
              <w:spacing w:before="0"/>
              <w:jc w:val="right"/>
              <w:rPr>
                <w:sz w:val="18"/>
                <w:szCs w:val="18"/>
              </w:rPr>
            </w:pPr>
            <w:r w:rsidRPr="003F2AA0">
              <w:rPr>
                <w:sz w:val="18"/>
                <w:szCs w:val="18"/>
              </w:rPr>
              <w:t>67,9%</w:t>
            </w:r>
          </w:p>
        </w:tc>
        <w:tc>
          <w:tcPr>
            <w:tcW w:w="0" w:type="auto"/>
            <w:tcBorders>
              <w:top w:val="single" w:sz="4" w:space="0" w:color="auto"/>
              <w:left w:val="single" w:sz="4" w:space="0" w:color="auto"/>
              <w:bottom w:val="single" w:sz="4" w:space="0" w:color="auto"/>
              <w:right w:val="single" w:sz="4" w:space="0" w:color="auto"/>
            </w:tcBorders>
            <w:shd w:val="clear" w:color="000000" w:fill="FCE5E7"/>
            <w:noWrap/>
            <w:vAlign w:val="bottom"/>
            <w:hideMark/>
          </w:tcPr>
          <w:p w:rsidR="003F2AA0" w:rsidRPr="003F2AA0" w:rsidRDefault="003F2AA0" w:rsidP="003F2AA0">
            <w:pPr>
              <w:spacing w:before="0"/>
              <w:jc w:val="right"/>
              <w:rPr>
                <w:sz w:val="18"/>
                <w:szCs w:val="18"/>
              </w:rPr>
            </w:pPr>
            <w:r w:rsidRPr="003F2AA0">
              <w:rPr>
                <w:sz w:val="18"/>
                <w:szCs w:val="18"/>
              </w:rPr>
              <w:t>11,4%</w:t>
            </w:r>
          </w:p>
        </w:tc>
        <w:tc>
          <w:tcPr>
            <w:tcW w:w="0" w:type="auto"/>
            <w:tcBorders>
              <w:top w:val="single" w:sz="4" w:space="0" w:color="auto"/>
              <w:left w:val="single" w:sz="4" w:space="0" w:color="auto"/>
              <w:bottom w:val="single" w:sz="4" w:space="0" w:color="auto"/>
              <w:right w:val="single" w:sz="4" w:space="0" w:color="auto"/>
            </w:tcBorders>
            <w:shd w:val="clear" w:color="000000" w:fill="FCFBFE"/>
            <w:noWrap/>
            <w:vAlign w:val="bottom"/>
            <w:hideMark/>
          </w:tcPr>
          <w:p w:rsidR="003F2AA0" w:rsidRPr="003F2AA0" w:rsidRDefault="003F2AA0" w:rsidP="003F2AA0">
            <w:pPr>
              <w:spacing w:before="0"/>
              <w:jc w:val="right"/>
              <w:rPr>
                <w:sz w:val="18"/>
                <w:szCs w:val="18"/>
              </w:rPr>
            </w:pPr>
            <w:r w:rsidRPr="003F2AA0">
              <w:rPr>
                <w:sz w:val="18"/>
                <w:szCs w:val="18"/>
              </w:rPr>
              <w:t>11,1%</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Jihočeský</w:t>
            </w:r>
          </w:p>
        </w:tc>
        <w:tc>
          <w:tcPr>
            <w:tcW w:w="0" w:type="auto"/>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3F2AA0" w:rsidRPr="003F2AA0" w:rsidRDefault="003F2AA0" w:rsidP="003F2AA0">
            <w:pPr>
              <w:spacing w:before="0"/>
              <w:jc w:val="right"/>
              <w:rPr>
                <w:sz w:val="18"/>
                <w:szCs w:val="18"/>
              </w:rPr>
            </w:pPr>
            <w:r w:rsidRPr="003F2AA0">
              <w:rPr>
                <w:sz w:val="18"/>
                <w:szCs w:val="18"/>
              </w:rPr>
              <w:t>69,6%</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F2AA0" w:rsidRPr="003F2AA0" w:rsidRDefault="003F2AA0" w:rsidP="003F2AA0">
            <w:pPr>
              <w:spacing w:before="0"/>
              <w:jc w:val="right"/>
              <w:rPr>
                <w:sz w:val="18"/>
                <w:szCs w:val="18"/>
              </w:rPr>
            </w:pPr>
            <w:r w:rsidRPr="003F2AA0">
              <w:rPr>
                <w:sz w:val="18"/>
                <w:szCs w:val="18"/>
              </w:rPr>
              <w:t>16,8%</w:t>
            </w:r>
          </w:p>
        </w:tc>
        <w:tc>
          <w:tcPr>
            <w:tcW w:w="0" w:type="auto"/>
            <w:tcBorders>
              <w:top w:val="single" w:sz="4" w:space="0" w:color="auto"/>
              <w:left w:val="single" w:sz="4" w:space="0" w:color="auto"/>
              <w:bottom w:val="single" w:sz="4" w:space="0" w:color="auto"/>
              <w:right w:val="single" w:sz="4" w:space="0" w:color="auto"/>
            </w:tcBorders>
            <w:shd w:val="clear" w:color="000000" w:fill="FCDFE2"/>
            <w:noWrap/>
            <w:vAlign w:val="bottom"/>
            <w:hideMark/>
          </w:tcPr>
          <w:p w:rsidR="003F2AA0" w:rsidRPr="003F2AA0" w:rsidRDefault="003F2AA0" w:rsidP="003F2AA0">
            <w:pPr>
              <w:spacing w:before="0"/>
              <w:jc w:val="right"/>
              <w:rPr>
                <w:sz w:val="18"/>
                <w:szCs w:val="18"/>
              </w:rPr>
            </w:pPr>
            <w:r w:rsidRPr="003F2AA0">
              <w:rPr>
                <w:sz w:val="18"/>
                <w:szCs w:val="18"/>
              </w:rPr>
              <w:t>13,1%</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Plzeňský</w:t>
            </w:r>
          </w:p>
        </w:tc>
        <w:tc>
          <w:tcPr>
            <w:tcW w:w="0" w:type="auto"/>
            <w:tcBorders>
              <w:top w:val="single" w:sz="4" w:space="0" w:color="auto"/>
              <w:left w:val="single" w:sz="4" w:space="0" w:color="auto"/>
              <w:bottom w:val="single" w:sz="4" w:space="0" w:color="auto"/>
              <w:right w:val="single" w:sz="4" w:space="0" w:color="auto"/>
            </w:tcBorders>
            <w:shd w:val="clear" w:color="000000" w:fill="FAA0A2"/>
            <w:noWrap/>
            <w:vAlign w:val="bottom"/>
            <w:hideMark/>
          </w:tcPr>
          <w:p w:rsidR="003F2AA0" w:rsidRPr="003F2AA0" w:rsidRDefault="003F2AA0" w:rsidP="003F2AA0">
            <w:pPr>
              <w:spacing w:before="0"/>
              <w:jc w:val="right"/>
              <w:rPr>
                <w:sz w:val="18"/>
                <w:szCs w:val="18"/>
              </w:rPr>
            </w:pPr>
            <w:r w:rsidRPr="003F2AA0">
              <w:rPr>
                <w:sz w:val="18"/>
                <w:szCs w:val="18"/>
              </w:rPr>
              <w:t>77,6%</w:t>
            </w:r>
          </w:p>
        </w:tc>
        <w:tc>
          <w:tcPr>
            <w:tcW w:w="0" w:type="auto"/>
            <w:tcBorders>
              <w:top w:val="single" w:sz="4" w:space="0" w:color="auto"/>
              <w:left w:val="single" w:sz="4" w:space="0" w:color="auto"/>
              <w:bottom w:val="single" w:sz="4" w:space="0" w:color="auto"/>
              <w:right w:val="single" w:sz="4" w:space="0" w:color="auto"/>
            </w:tcBorders>
            <w:shd w:val="clear" w:color="000000" w:fill="94B3DA"/>
            <w:noWrap/>
            <w:vAlign w:val="bottom"/>
            <w:hideMark/>
          </w:tcPr>
          <w:p w:rsidR="003F2AA0" w:rsidRPr="003F2AA0" w:rsidRDefault="003F2AA0" w:rsidP="003F2AA0">
            <w:pPr>
              <w:spacing w:before="0"/>
              <w:jc w:val="right"/>
              <w:rPr>
                <w:sz w:val="18"/>
                <w:szCs w:val="18"/>
              </w:rPr>
            </w:pPr>
            <w:r w:rsidRPr="003F2AA0">
              <w:rPr>
                <w:sz w:val="18"/>
                <w:szCs w:val="18"/>
              </w:rPr>
              <w:t>5,1%</w:t>
            </w:r>
          </w:p>
        </w:tc>
        <w:tc>
          <w:tcPr>
            <w:tcW w:w="0" w:type="auto"/>
            <w:tcBorders>
              <w:top w:val="single" w:sz="4" w:space="0" w:color="auto"/>
              <w:left w:val="single" w:sz="4" w:space="0" w:color="auto"/>
              <w:bottom w:val="single" w:sz="4" w:space="0" w:color="auto"/>
              <w:right w:val="single" w:sz="4" w:space="0" w:color="auto"/>
            </w:tcBorders>
            <w:shd w:val="clear" w:color="000000" w:fill="FA9B9D"/>
            <w:noWrap/>
            <w:vAlign w:val="bottom"/>
            <w:hideMark/>
          </w:tcPr>
          <w:p w:rsidR="003F2AA0" w:rsidRPr="003F2AA0" w:rsidRDefault="003F2AA0" w:rsidP="003F2AA0">
            <w:pPr>
              <w:spacing w:before="0"/>
              <w:jc w:val="right"/>
              <w:rPr>
                <w:sz w:val="18"/>
                <w:szCs w:val="18"/>
              </w:rPr>
            </w:pPr>
            <w:r w:rsidRPr="003F2AA0">
              <w:rPr>
                <w:sz w:val="18"/>
                <w:szCs w:val="18"/>
              </w:rPr>
              <w:t>17,9%</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Karlovarský</w:t>
            </w:r>
          </w:p>
        </w:tc>
        <w:tc>
          <w:tcPr>
            <w:tcW w:w="0" w:type="auto"/>
            <w:tcBorders>
              <w:top w:val="single" w:sz="4" w:space="0" w:color="auto"/>
              <w:left w:val="single" w:sz="4" w:space="0" w:color="auto"/>
              <w:bottom w:val="single" w:sz="4" w:space="0" w:color="auto"/>
              <w:right w:val="single" w:sz="4" w:space="0" w:color="auto"/>
            </w:tcBorders>
            <w:shd w:val="clear" w:color="000000" w:fill="FCDFE2"/>
            <w:noWrap/>
            <w:vAlign w:val="bottom"/>
            <w:hideMark/>
          </w:tcPr>
          <w:p w:rsidR="003F2AA0" w:rsidRPr="003F2AA0" w:rsidRDefault="003F2AA0" w:rsidP="003F2AA0">
            <w:pPr>
              <w:spacing w:before="0"/>
              <w:jc w:val="right"/>
              <w:rPr>
                <w:sz w:val="18"/>
                <w:szCs w:val="18"/>
              </w:rPr>
            </w:pPr>
            <w:r w:rsidRPr="003F2AA0">
              <w:rPr>
                <w:sz w:val="18"/>
                <w:szCs w:val="18"/>
              </w:rPr>
              <w:t>71,4%</w:t>
            </w:r>
          </w:p>
        </w:tc>
        <w:tc>
          <w:tcPr>
            <w:tcW w:w="0" w:type="auto"/>
            <w:tcBorders>
              <w:top w:val="single" w:sz="4" w:space="0" w:color="auto"/>
              <w:left w:val="single" w:sz="4" w:space="0" w:color="auto"/>
              <w:bottom w:val="single" w:sz="4" w:space="0" w:color="auto"/>
              <w:right w:val="single" w:sz="4" w:space="0" w:color="auto"/>
            </w:tcBorders>
            <w:shd w:val="clear" w:color="000000" w:fill="FBB9BC"/>
            <w:noWrap/>
            <w:vAlign w:val="bottom"/>
            <w:hideMark/>
          </w:tcPr>
          <w:p w:rsidR="003F2AA0" w:rsidRPr="003F2AA0" w:rsidRDefault="003F2AA0" w:rsidP="003F2AA0">
            <w:pPr>
              <w:spacing w:before="0"/>
              <w:jc w:val="right"/>
              <w:rPr>
                <w:sz w:val="18"/>
                <w:szCs w:val="18"/>
              </w:rPr>
            </w:pPr>
            <w:r w:rsidRPr="003F2AA0">
              <w:rPr>
                <w:sz w:val="18"/>
                <w:szCs w:val="18"/>
              </w:rPr>
              <w:t>13,3%</w:t>
            </w:r>
          </w:p>
        </w:tc>
        <w:tc>
          <w:tcPr>
            <w:tcW w:w="0" w:type="auto"/>
            <w:tcBorders>
              <w:top w:val="single" w:sz="4" w:space="0" w:color="auto"/>
              <w:left w:val="single" w:sz="4" w:space="0" w:color="auto"/>
              <w:bottom w:val="single" w:sz="4" w:space="0" w:color="auto"/>
              <w:right w:val="single" w:sz="4" w:space="0" w:color="auto"/>
            </w:tcBorders>
            <w:shd w:val="clear" w:color="000000" w:fill="FCDCDF"/>
            <w:noWrap/>
            <w:vAlign w:val="bottom"/>
            <w:hideMark/>
          </w:tcPr>
          <w:p w:rsidR="003F2AA0" w:rsidRPr="003F2AA0" w:rsidRDefault="003F2AA0" w:rsidP="003F2AA0">
            <w:pPr>
              <w:spacing w:before="0"/>
              <w:jc w:val="right"/>
              <w:rPr>
                <w:sz w:val="18"/>
                <w:szCs w:val="18"/>
              </w:rPr>
            </w:pPr>
            <w:r w:rsidRPr="003F2AA0">
              <w:rPr>
                <w:sz w:val="18"/>
                <w:szCs w:val="18"/>
              </w:rPr>
              <w:t>13,3%</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Ústecký</w:t>
            </w:r>
          </w:p>
        </w:tc>
        <w:tc>
          <w:tcPr>
            <w:tcW w:w="0" w:type="auto"/>
            <w:tcBorders>
              <w:top w:val="single" w:sz="4" w:space="0" w:color="auto"/>
              <w:left w:val="single" w:sz="4" w:space="0" w:color="auto"/>
              <w:bottom w:val="single" w:sz="4" w:space="0" w:color="auto"/>
              <w:right w:val="single" w:sz="4" w:space="0" w:color="auto"/>
            </w:tcBorders>
            <w:shd w:val="clear" w:color="000000" w:fill="BACDE7"/>
            <w:noWrap/>
            <w:vAlign w:val="bottom"/>
            <w:hideMark/>
          </w:tcPr>
          <w:p w:rsidR="003F2AA0" w:rsidRPr="003F2AA0" w:rsidRDefault="003F2AA0" w:rsidP="003F2AA0">
            <w:pPr>
              <w:spacing w:before="0"/>
              <w:jc w:val="right"/>
              <w:rPr>
                <w:sz w:val="18"/>
                <w:szCs w:val="18"/>
              </w:rPr>
            </w:pPr>
            <w:r w:rsidRPr="003F2AA0">
              <w:rPr>
                <w:sz w:val="18"/>
                <w:szCs w:val="18"/>
              </w:rPr>
              <w:t>63,6%</w:t>
            </w:r>
          </w:p>
        </w:tc>
        <w:tc>
          <w:tcPr>
            <w:tcW w:w="0" w:type="auto"/>
            <w:tcBorders>
              <w:top w:val="single" w:sz="4" w:space="0" w:color="auto"/>
              <w:left w:val="single" w:sz="4" w:space="0" w:color="auto"/>
              <w:bottom w:val="single" w:sz="4" w:space="0" w:color="auto"/>
              <w:right w:val="single" w:sz="4" w:space="0" w:color="auto"/>
            </w:tcBorders>
            <w:shd w:val="clear" w:color="000000" w:fill="FCF5F7"/>
            <w:noWrap/>
            <w:vAlign w:val="bottom"/>
            <w:hideMark/>
          </w:tcPr>
          <w:p w:rsidR="003F2AA0" w:rsidRPr="003F2AA0" w:rsidRDefault="003F2AA0" w:rsidP="003F2AA0">
            <w:pPr>
              <w:spacing w:before="0"/>
              <w:jc w:val="right"/>
              <w:rPr>
                <w:sz w:val="18"/>
                <w:szCs w:val="18"/>
              </w:rPr>
            </w:pPr>
            <w:r w:rsidRPr="003F2AA0">
              <w:rPr>
                <w:sz w:val="18"/>
                <w:szCs w:val="18"/>
              </w:rPr>
              <w:t>10,7%</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F2AA0" w:rsidRPr="003F2AA0" w:rsidRDefault="003F2AA0" w:rsidP="003F2AA0">
            <w:pPr>
              <w:spacing w:before="0"/>
              <w:jc w:val="right"/>
              <w:rPr>
                <w:sz w:val="18"/>
                <w:szCs w:val="18"/>
              </w:rPr>
            </w:pPr>
            <w:r w:rsidRPr="003F2AA0">
              <w:rPr>
                <w:sz w:val="18"/>
                <w:szCs w:val="18"/>
              </w:rPr>
              <w:t>21,4%</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Liberecký</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F2AA0" w:rsidRPr="003F2AA0" w:rsidRDefault="003F2AA0" w:rsidP="003F2AA0">
            <w:pPr>
              <w:spacing w:before="0"/>
              <w:jc w:val="right"/>
              <w:rPr>
                <w:sz w:val="18"/>
                <w:szCs w:val="18"/>
              </w:rPr>
            </w:pPr>
            <w:r w:rsidRPr="003F2AA0">
              <w:rPr>
                <w:sz w:val="18"/>
                <w:szCs w:val="18"/>
              </w:rPr>
              <w:t>82,9%</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3F2AA0" w:rsidRPr="003F2AA0" w:rsidRDefault="003F2AA0" w:rsidP="003F2AA0">
            <w:pPr>
              <w:spacing w:before="0"/>
              <w:jc w:val="right"/>
              <w:rPr>
                <w:sz w:val="18"/>
                <w:szCs w:val="18"/>
              </w:rPr>
            </w:pPr>
            <w:r w:rsidRPr="003F2AA0">
              <w:rPr>
                <w:sz w:val="18"/>
                <w:szCs w:val="18"/>
              </w:rPr>
              <w:t>2,1%</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3F2AA0" w:rsidRPr="003F2AA0" w:rsidRDefault="003F2AA0" w:rsidP="003F2AA0">
            <w:pPr>
              <w:spacing w:before="0"/>
              <w:jc w:val="right"/>
              <w:rPr>
                <w:sz w:val="18"/>
                <w:szCs w:val="18"/>
              </w:rPr>
            </w:pPr>
            <w:r w:rsidRPr="003F2AA0">
              <w:rPr>
                <w:sz w:val="18"/>
                <w:szCs w:val="18"/>
              </w:rPr>
              <w:t>3,4%</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Královéhradecký</w:t>
            </w:r>
          </w:p>
        </w:tc>
        <w:tc>
          <w:tcPr>
            <w:tcW w:w="0" w:type="auto"/>
            <w:tcBorders>
              <w:top w:val="single" w:sz="4" w:space="0" w:color="auto"/>
              <w:left w:val="single" w:sz="4" w:space="0" w:color="auto"/>
              <w:bottom w:val="single" w:sz="4" w:space="0" w:color="auto"/>
              <w:right w:val="single" w:sz="4" w:space="0" w:color="auto"/>
            </w:tcBorders>
            <w:shd w:val="clear" w:color="000000" w:fill="D7E2F2"/>
            <w:noWrap/>
            <w:vAlign w:val="bottom"/>
            <w:hideMark/>
          </w:tcPr>
          <w:p w:rsidR="003F2AA0" w:rsidRPr="003F2AA0" w:rsidRDefault="003F2AA0" w:rsidP="003F2AA0">
            <w:pPr>
              <w:spacing w:before="0"/>
              <w:jc w:val="right"/>
              <w:rPr>
                <w:sz w:val="18"/>
                <w:szCs w:val="18"/>
              </w:rPr>
            </w:pPr>
            <w:r w:rsidRPr="003F2AA0">
              <w:rPr>
                <w:sz w:val="18"/>
                <w:szCs w:val="18"/>
              </w:rPr>
              <w:t>65,8%</w:t>
            </w:r>
          </w:p>
        </w:tc>
        <w:tc>
          <w:tcPr>
            <w:tcW w:w="0" w:type="auto"/>
            <w:tcBorders>
              <w:top w:val="single" w:sz="4" w:space="0" w:color="auto"/>
              <w:left w:val="single" w:sz="4" w:space="0" w:color="auto"/>
              <w:bottom w:val="single" w:sz="4" w:space="0" w:color="auto"/>
              <w:right w:val="single" w:sz="4" w:space="0" w:color="auto"/>
            </w:tcBorders>
            <w:shd w:val="clear" w:color="000000" w:fill="FBCCCE"/>
            <w:noWrap/>
            <w:vAlign w:val="bottom"/>
            <w:hideMark/>
          </w:tcPr>
          <w:p w:rsidR="003F2AA0" w:rsidRPr="003F2AA0" w:rsidRDefault="003F2AA0" w:rsidP="003F2AA0">
            <w:pPr>
              <w:spacing w:before="0"/>
              <w:jc w:val="right"/>
              <w:rPr>
                <w:sz w:val="18"/>
                <w:szCs w:val="18"/>
              </w:rPr>
            </w:pPr>
            <w:r w:rsidRPr="003F2AA0">
              <w:rPr>
                <w:sz w:val="18"/>
                <w:szCs w:val="18"/>
              </w:rPr>
              <w:t>12,5%</w:t>
            </w:r>
          </w:p>
        </w:tc>
        <w:tc>
          <w:tcPr>
            <w:tcW w:w="0" w:type="auto"/>
            <w:tcBorders>
              <w:top w:val="single" w:sz="4" w:space="0" w:color="auto"/>
              <w:left w:val="single" w:sz="4" w:space="0" w:color="auto"/>
              <w:bottom w:val="single" w:sz="4" w:space="0" w:color="auto"/>
              <w:right w:val="single" w:sz="4" w:space="0" w:color="auto"/>
            </w:tcBorders>
            <w:shd w:val="clear" w:color="000000" w:fill="F9FAFE"/>
            <w:noWrap/>
            <w:vAlign w:val="bottom"/>
            <w:hideMark/>
          </w:tcPr>
          <w:p w:rsidR="003F2AA0" w:rsidRPr="003F2AA0" w:rsidRDefault="003F2AA0" w:rsidP="003F2AA0">
            <w:pPr>
              <w:spacing w:before="0"/>
              <w:jc w:val="right"/>
              <w:rPr>
                <w:sz w:val="18"/>
                <w:szCs w:val="18"/>
              </w:rPr>
            </w:pPr>
            <w:r w:rsidRPr="003F2AA0">
              <w:rPr>
                <w:sz w:val="18"/>
                <w:szCs w:val="18"/>
              </w:rPr>
              <w:t>10,9%</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Pardubický</w:t>
            </w:r>
          </w:p>
        </w:tc>
        <w:tc>
          <w:tcPr>
            <w:tcW w:w="0" w:type="auto"/>
            <w:tcBorders>
              <w:top w:val="single" w:sz="4" w:space="0" w:color="auto"/>
              <w:left w:val="single" w:sz="4" w:space="0" w:color="auto"/>
              <w:bottom w:val="single" w:sz="4" w:space="0" w:color="auto"/>
              <w:right w:val="single" w:sz="4" w:space="0" w:color="auto"/>
            </w:tcBorders>
            <w:shd w:val="clear" w:color="000000" w:fill="FCF8FB"/>
            <w:noWrap/>
            <w:vAlign w:val="bottom"/>
            <w:hideMark/>
          </w:tcPr>
          <w:p w:rsidR="003F2AA0" w:rsidRPr="003F2AA0" w:rsidRDefault="003F2AA0" w:rsidP="003F2AA0">
            <w:pPr>
              <w:spacing w:before="0"/>
              <w:jc w:val="right"/>
              <w:rPr>
                <w:sz w:val="18"/>
                <w:szCs w:val="18"/>
              </w:rPr>
            </w:pPr>
            <w:r w:rsidRPr="003F2AA0">
              <w:rPr>
                <w:sz w:val="18"/>
                <w:szCs w:val="18"/>
              </w:rPr>
              <w:t>69,0%</w:t>
            </w:r>
          </w:p>
        </w:tc>
        <w:tc>
          <w:tcPr>
            <w:tcW w:w="0" w:type="auto"/>
            <w:tcBorders>
              <w:top w:val="single" w:sz="4" w:space="0" w:color="auto"/>
              <w:left w:val="single" w:sz="4" w:space="0" w:color="auto"/>
              <w:bottom w:val="single" w:sz="4" w:space="0" w:color="auto"/>
              <w:right w:val="single" w:sz="4" w:space="0" w:color="auto"/>
            </w:tcBorders>
            <w:shd w:val="clear" w:color="000000" w:fill="B8CCE7"/>
            <w:noWrap/>
            <w:vAlign w:val="bottom"/>
            <w:hideMark/>
          </w:tcPr>
          <w:p w:rsidR="003F2AA0" w:rsidRPr="003F2AA0" w:rsidRDefault="003F2AA0" w:rsidP="003F2AA0">
            <w:pPr>
              <w:spacing w:before="0"/>
              <w:jc w:val="right"/>
              <w:rPr>
                <w:sz w:val="18"/>
                <w:szCs w:val="18"/>
              </w:rPr>
            </w:pPr>
            <w:r w:rsidRPr="003F2AA0">
              <w:rPr>
                <w:sz w:val="18"/>
                <w:szCs w:val="18"/>
              </w:rPr>
              <w:t>6,9%</w:t>
            </w:r>
          </w:p>
        </w:tc>
        <w:tc>
          <w:tcPr>
            <w:tcW w:w="0" w:type="auto"/>
            <w:tcBorders>
              <w:top w:val="single" w:sz="4" w:space="0" w:color="auto"/>
              <w:left w:val="single" w:sz="4" w:space="0" w:color="auto"/>
              <w:bottom w:val="single" w:sz="4" w:space="0" w:color="auto"/>
              <w:right w:val="single" w:sz="4" w:space="0" w:color="auto"/>
            </w:tcBorders>
            <w:shd w:val="clear" w:color="000000" w:fill="99B7DC"/>
            <w:noWrap/>
            <w:vAlign w:val="bottom"/>
            <w:hideMark/>
          </w:tcPr>
          <w:p w:rsidR="003F2AA0" w:rsidRPr="003F2AA0" w:rsidRDefault="003F2AA0" w:rsidP="003F2AA0">
            <w:pPr>
              <w:spacing w:before="0"/>
              <w:jc w:val="right"/>
              <w:rPr>
                <w:sz w:val="18"/>
                <w:szCs w:val="18"/>
              </w:rPr>
            </w:pPr>
            <w:r w:rsidRPr="003F2AA0">
              <w:rPr>
                <w:sz w:val="18"/>
                <w:szCs w:val="18"/>
              </w:rPr>
              <w:t>6,4%</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Vysočina</w:t>
            </w:r>
          </w:p>
        </w:tc>
        <w:tc>
          <w:tcPr>
            <w:tcW w:w="0" w:type="auto"/>
            <w:tcBorders>
              <w:top w:val="single" w:sz="4" w:space="0" w:color="auto"/>
              <w:left w:val="single" w:sz="4" w:space="0" w:color="auto"/>
              <w:bottom w:val="single" w:sz="4" w:space="0" w:color="auto"/>
              <w:right w:val="single" w:sz="4" w:space="0" w:color="auto"/>
            </w:tcBorders>
            <w:shd w:val="clear" w:color="000000" w:fill="E0E8F5"/>
            <w:noWrap/>
            <w:vAlign w:val="bottom"/>
            <w:hideMark/>
          </w:tcPr>
          <w:p w:rsidR="003F2AA0" w:rsidRPr="003F2AA0" w:rsidRDefault="003F2AA0" w:rsidP="003F2AA0">
            <w:pPr>
              <w:spacing w:before="0"/>
              <w:jc w:val="right"/>
              <w:rPr>
                <w:sz w:val="18"/>
                <w:szCs w:val="18"/>
              </w:rPr>
            </w:pPr>
            <w:r w:rsidRPr="003F2AA0">
              <w:rPr>
                <w:sz w:val="18"/>
                <w:szCs w:val="18"/>
              </w:rPr>
              <w:t>66,5%</w:t>
            </w:r>
          </w:p>
        </w:tc>
        <w:tc>
          <w:tcPr>
            <w:tcW w:w="0" w:type="auto"/>
            <w:tcBorders>
              <w:top w:val="single" w:sz="4" w:space="0" w:color="auto"/>
              <w:left w:val="single" w:sz="4" w:space="0" w:color="auto"/>
              <w:bottom w:val="single" w:sz="4" w:space="0" w:color="auto"/>
              <w:right w:val="single" w:sz="4" w:space="0" w:color="auto"/>
            </w:tcBorders>
            <w:shd w:val="clear" w:color="000000" w:fill="C7D7EC"/>
            <w:noWrap/>
            <w:vAlign w:val="bottom"/>
            <w:hideMark/>
          </w:tcPr>
          <w:p w:rsidR="003F2AA0" w:rsidRPr="003F2AA0" w:rsidRDefault="003F2AA0" w:rsidP="003F2AA0">
            <w:pPr>
              <w:spacing w:before="0"/>
              <w:jc w:val="right"/>
              <w:rPr>
                <w:sz w:val="18"/>
                <w:szCs w:val="18"/>
              </w:rPr>
            </w:pPr>
            <w:r w:rsidRPr="003F2AA0">
              <w:rPr>
                <w:sz w:val="18"/>
                <w:szCs w:val="18"/>
              </w:rPr>
              <w:t>7,7%</w:t>
            </w:r>
          </w:p>
        </w:tc>
        <w:tc>
          <w:tcPr>
            <w:tcW w:w="0" w:type="auto"/>
            <w:tcBorders>
              <w:top w:val="single" w:sz="4" w:space="0" w:color="auto"/>
              <w:left w:val="single" w:sz="4" w:space="0" w:color="auto"/>
              <w:bottom w:val="single" w:sz="4" w:space="0" w:color="auto"/>
              <w:right w:val="single" w:sz="4" w:space="0" w:color="auto"/>
            </w:tcBorders>
            <w:shd w:val="clear" w:color="000000" w:fill="8FAFD8"/>
            <w:noWrap/>
            <w:vAlign w:val="bottom"/>
            <w:hideMark/>
          </w:tcPr>
          <w:p w:rsidR="003F2AA0" w:rsidRPr="003F2AA0" w:rsidRDefault="003F2AA0" w:rsidP="003F2AA0">
            <w:pPr>
              <w:spacing w:before="0"/>
              <w:jc w:val="right"/>
              <w:rPr>
                <w:sz w:val="18"/>
                <w:szCs w:val="18"/>
              </w:rPr>
            </w:pPr>
            <w:r w:rsidRPr="003F2AA0">
              <w:rPr>
                <w:sz w:val="18"/>
                <w:szCs w:val="18"/>
              </w:rPr>
              <w:t>5,9%</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Jihomoravský</w:t>
            </w:r>
          </w:p>
        </w:tc>
        <w:tc>
          <w:tcPr>
            <w:tcW w:w="0" w:type="auto"/>
            <w:tcBorders>
              <w:top w:val="single" w:sz="4" w:space="0" w:color="auto"/>
              <w:left w:val="single" w:sz="4" w:space="0" w:color="auto"/>
              <w:bottom w:val="single" w:sz="4" w:space="0" w:color="auto"/>
              <w:right w:val="single" w:sz="4" w:space="0" w:color="auto"/>
            </w:tcBorders>
            <w:shd w:val="clear" w:color="000000" w:fill="FA9194"/>
            <w:noWrap/>
            <w:vAlign w:val="bottom"/>
            <w:hideMark/>
          </w:tcPr>
          <w:p w:rsidR="003F2AA0" w:rsidRPr="003F2AA0" w:rsidRDefault="003F2AA0" w:rsidP="003F2AA0">
            <w:pPr>
              <w:spacing w:before="0"/>
              <w:jc w:val="right"/>
              <w:rPr>
                <w:sz w:val="18"/>
                <w:szCs w:val="18"/>
              </w:rPr>
            </w:pPr>
            <w:r w:rsidRPr="003F2AA0">
              <w:rPr>
                <w:sz w:val="18"/>
                <w:szCs w:val="18"/>
              </w:rPr>
              <w:t>79,0%</w:t>
            </w:r>
          </w:p>
        </w:tc>
        <w:tc>
          <w:tcPr>
            <w:tcW w:w="0" w:type="auto"/>
            <w:tcBorders>
              <w:top w:val="single" w:sz="4" w:space="0" w:color="auto"/>
              <w:left w:val="single" w:sz="4" w:space="0" w:color="auto"/>
              <w:bottom w:val="single" w:sz="4" w:space="0" w:color="auto"/>
              <w:right w:val="single" w:sz="4" w:space="0" w:color="auto"/>
            </w:tcBorders>
            <w:shd w:val="clear" w:color="000000" w:fill="FBC7CA"/>
            <w:noWrap/>
            <w:vAlign w:val="bottom"/>
            <w:hideMark/>
          </w:tcPr>
          <w:p w:rsidR="003F2AA0" w:rsidRPr="003F2AA0" w:rsidRDefault="003F2AA0" w:rsidP="003F2AA0">
            <w:pPr>
              <w:spacing w:before="0"/>
              <w:jc w:val="right"/>
              <w:rPr>
                <w:sz w:val="18"/>
                <w:szCs w:val="18"/>
              </w:rPr>
            </w:pPr>
            <w:r w:rsidRPr="003F2AA0">
              <w:rPr>
                <w:sz w:val="18"/>
                <w:szCs w:val="18"/>
              </w:rPr>
              <w:t>12,7%</w:t>
            </w:r>
          </w:p>
        </w:tc>
        <w:tc>
          <w:tcPr>
            <w:tcW w:w="0" w:type="auto"/>
            <w:tcBorders>
              <w:top w:val="single" w:sz="4" w:space="0" w:color="auto"/>
              <w:left w:val="single" w:sz="4" w:space="0" w:color="auto"/>
              <w:bottom w:val="single" w:sz="4" w:space="0" w:color="auto"/>
              <w:right w:val="single" w:sz="4" w:space="0" w:color="auto"/>
            </w:tcBorders>
            <w:shd w:val="clear" w:color="000000" w:fill="FCE2E4"/>
            <w:noWrap/>
            <w:vAlign w:val="bottom"/>
            <w:hideMark/>
          </w:tcPr>
          <w:p w:rsidR="003F2AA0" w:rsidRPr="003F2AA0" w:rsidRDefault="003F2AA0" w:rsidP="003F2AA0">
            <w:pPr>
              <w:spacing w:before="0"/>
              <w:jc w:val="right"/>
              <w:rPr>
                <w:sz w:val="18"/>
                <w:szCs w:val="18"/>
              </w:rPr>
            </w:pPr>
            <w:r w:rsidRPr="003F2AA0">
              <w:rPr>
                <w:sz w:val="18"/>
                <w:szCs w:val="18"/>
              </w:rPr>
              <w:t>12,9%</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b/>
                <w:bCs/>
                <w:sz w:val="18"/>
                <w:szCs w:val="18"/>
              </w:rPr>
            </w:pPr>
            <w:r w:rsidRPr="003F2AA0">
              <w:rPr>
                <w:b/>
                <w:bCs/>
                <w:sz w:val="18"/>
                <w:szCs w:val="18"/>
              </w:rPr>
              <w:t>Olomoucký</w:t>
            </w:r>
          </w:p>
        </w:tc>
        <w:tc>
          <w:tcPr>
            <w:tcW w:w="0" w:type="auto"/>
            <w:tcBorders>
              <w:top w:val="single" w:sz="4" w:space="0" w:color="auto"/>
              <w:left w:val="single" w:sz="4" w:space="0" w:color="auto"/>
              <w:bottom w:val="single" w:sz="4" w:space="0" w:color="auto"/>
              <w:right w:val="single" w:sz="4" w:space="0" w:color="auto"/>
            </w:tcBorders>
            <w:shd w:val="clear" w:color="000000" w:fill="F5F7FC"/>
            <w:noWrap/>
            <w:vAlign w:val="bottom"/>
            <w:hideMark/>
          </w:tcPr>
          <w:p w:rsidR="003F2AA0" w:rsidRPr="003F2AA0" w:rsidRDefault="003F2AA0" w:rsidP="003F2AA0">
            <w:pPr>
              <w:spacing w:before="0"/>
              <w:jc w:val="right"/>
              <w:rPr>
                <w:sz w:val="18"/>
                <w:szCs w:val="18"/>
              </w:rPr>
            </w:pPr>
            <w:r w:rsidRPr="003F2AA0">
              <w:rPr>
                <w:sz w:val="18"/>
                <w:szCs w:val="18"/>
              </w:rPr>
              <w:t>68,1%</w:t>
            </w:r>
          </w:p>
        </w:tc>
        <w:tc>
          <w:tcPr>
            <w:tcW w:w="0" w:type="auto"/>
            <w:tcBorders>
              <w:top w:val="single" w:sz="4" w:space="0" w:color="auto"/>
              <w:left w:val="single" w:sz="4" w:space="0" w:color="auto"/>
              <w:bottom w:val="single" w:sz="4" w:space="0" w:color="auto"/>
              <w:right w:val="single" w:sz="4" w:space="0" w:color="auto"/>
            </w:tcBorders>
            <w:shd w:val="clear" w:color="000000" w:fill="FCE5E7"/>
            <w:noWrap/>
            <w:vAlign w:val="bottom"/>
            <w:hideMark/>
          </w:tcPr>
          <w:p w:rsidR="003F2AA0" w:rsidRPr="003F2AA0" w:rsidRDefault="003F2AA0" w:rsidP="003F2AA0">
            <w:pPr>
              <w:spacing w:before="0"/>
              <w:jc w:val="right"/>
              <w:rPr>
                <w:sz w:val="18"/>
                <w:szCs w:val="18"/>
              </w:rPr>
            </w:pPr>
            <w:r w:rsidRPr="003F2AA0">
              <w:rPr>
                <w:sz w:val="18"/>
                <w:szCs w:val="18"/>
              </w:rPr>
              <w:t>11,4%</w:t>
            </w:r>
          </w:p>
        </w:tc>
        <w:tc>
          <w:tcPr>
            <w:tcW w:w="0" w:type="auto"/>
            <w:tcBorders>
              <w:top w:val="single" w:sz="4" w:space="0" w:color="auto"/>
              <w:left w:val="single" w:sz="4" w:space="0" w:color="auto"/>
              <w:bottom w:val="single" w:sz="4" w:space="0" w:color="auto"/>
              <w:right w:val="single" w:sz="4" w:space="0" w:color="auto"/>
            </w:tcBorders>
            <w:shd w:val="clear" w:color="000000" w:fill="F9FAFE"/>
            <w:noWrap/>
            <w:vAlign w:val="bottom"/>
            <w:hideMark/>
          </w:tcPr>
          <w:p w:rsidR="003F2AA0" w:rsidRPr="003F2AA0" w:rsidRDefault="003F2AA0" w:rsidP="003F2AA0">
            <w:pPr>
              <w:spacing w:before="0"/>
              <w:jc w:val="right"/>
              <w:rPr>
                <w:sz w:val="18"/>
                <w:szCs w:val="18"/>
              </w:rPr>
            </w:pPr>
            <w:r w:rsidRPr="003F2AA0">
              <w:rPr>
                <w:sz w:val="18"/>
                <w:szCs w:val="18"/>
              </w:rPr>
              <w:t>10,9%</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Zlínský</w:t>
            </w:r>
          </w:p>
        </w:tc>
        <w:tc>
          <w:tcPr>
            <w:tcW w:w="0" w:type="auto"/>
            <w:tcBorders>
              <w:top w:val="single" w:sz="4" w:space="0" w:color="auto"/>
              <w:left w:val="single" w:sz="4" w:space="0" w:color="auto"/>
              <w:bottom w:val="single" w:sz="4" w:space="0" w:color="auto"/>
              <w:right w:val="single" w:sz="4" w:space="0" w:color="auto"/>
            </w:tcBorders>
            <w:shd w:val="clear" w:color="000000" w:fill="FAACAF"/>
            <w:noWrap/>
            <w:vAlign w:val="bottom"/>
            <w:hideMark/>
          </w:tcPr>
          <w:p w:rsidR="003F2AA0" w:rsidRPr="003F2AA0" w:rsidRDefault="003F2AA0" w:rsidP="003F2AA0">
            <w:pPr>
              <w:spacing w:before="0"/>
              <w:jc w:val="right"/>
              <w:rPr>
                <w:sz w:val="18"/>
                <w:szCs w:val="18"/>
              </w:rPr>
            </w:pPr>
            <w:r w:rsidRPr="003F2AA0">
              <w:rPr>
                <w:sz w:val="18"/>
                <w:szCs w:val="18"/>
              </w:rPr>
              <w:t>76,4%</w:t>
            </w:r>
          </w:p>
        </w:tc>
        <w:tc>
          <w:tcPr>
            <w:tcW w:w="0" w:type="auto"/>
            <w:tcBorders>
              <w:top w:val="single" w:sz="4" w:space="0" w:color="auto"/>
              <w:left w:val="single" w:sz="4" w:space="0" w:color="auto"/>
              <w:bottom w:val="single" w:sz="4" w:space="0" w:color="auto"/>
              <w:right w:val="single" w:sz="4" w:space="0" w:color="auto"/>
            </w:tcBorders>
            <w:shd w:val="clear" w:color="000000" w:fill="C7D7EC"/>
            <w:noWrap/>
            <w:vAlign w:val="bottom"/>
            <w:hideMark/>
          </w:tcPr>
          <w:p w:rsidR="003F2AA0" w:rsidRPr="003F2AA0" w:rsidRDefault="003F2AA0" w:rsidP="003F2AA0">
            <w:pPr>
              <w:spacing w:before="0"/>
              <w:jc w:val="right"/>
              <w:rPr>
                <w:sz w:val="18"/>
                <w:szCs w:val="18"/>
              </w:rPr>
            </w:pPr>
            <w:r w:rsidRPr="003F2AA0">
              <w:rPr>
                <w:sz w:val="18"/>
                <w:szCs w:val="18"/>
              </w:rPr>
              <w:t>7,7%</w:t>
            </w:r>
          </w:p>
        </w:tc>
        <w:tc>
          <w:tcPr>
            <w:tcW w:w="0" w:type="auto"/>
            <w:tcBorders>
              <w:top w:val="single" w:sz="4" w:space="0" w:color="auto"/>
              <w:left w:val="single" w:sz="4" w:space="0" w:color="auto"/>
              <w:bottom w:val="single" w:sz="4" w:space="0" w:color="auto"/>
              <w:right w:val="single" w:sz="4" w:space="0" w:color="auto"/>
            </w:tcBorders>
            <w:shd w:val="clear" w:color="000000" w:fill="B5CAE6"/>
            <w:noWrap/>
            <w:vAlign w:val="bottom"/>
            <w:hideMark/>
          </w:tcPr>
          <w:p w:rsidR="003F2AA0" w:rsidRPr="003F2AA0" w:rsidRDefault="003F2AA0" w:rsidP="003F2AA0">
            <w:pPr>
              <w:spacing w:before="0"/>
              <w:jc w:val="right"/>
              <w:rPr>
                <w:sz w:val="18"/>
                <w:szCs w:val="18"/>
              </w:rPr>
            </w:pPr>
            <w:r w:rsidRPr="003F2AA0">
              <w:rPr>
                <w:sz w:val="18"/>
                <w:szCs w:val="18"/>
              </w:rPr>
              <w:t>7,7%</w:t>
            </w:r>
          </w:p>
        </w:tc>
      </w:tr>
      <w:tr w:rsidR="003F2AA0" w:rsidRPr="003F2AA0" w:rsidTr="003F2AA0">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Moravskoslezský</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3F2AA0" w:rsidRPr="003F2AA0" w:rsidRDefault="003F2AA0" w:rsidP="003F2AA0">
            <w:pPr>
              <w:spacing w:before="0"/>
              <w:jc w:val="right"/>
              <w:rPr>
                <w:sz w:val="18"/>
                <w:szCs w:val="18"/>
              </w:rPr>
            </w:pPr>
            <w:r w:rsidRPr="003F2AA0">
              <w:rPr>
                <w:sz w:val="18"/>
                <w:szCs w:val="18"/>
              </w:rPr>
              <w:t>56,4%</w:t>
            </w:r>
          </w:p>
        </w:tc>
        <w:tc>
          <w:tcPr>
            <w:tcW w:w="0" w:type="auto"/>
            <w:tcBorders>
              <w:top w:val="single" w:sz="4" w:space="0" w:color="auto"/>
              <w:left w:val="single" w:sz="4" w:space="0" w:color="auto"/>
              <w:bottom w:val="single" w:sz="4" w:space="0" w:color="auto"/>
              <w:right w:val="single" w:sz="4" w:space="0" w:color="auto"/>
            </w:tcBorders>
            <w:shd w:val="clear" w:color="000000" w:fill="C4D4EB"/>
            <w:noWrap/>
            <w:vAlign w:val="bottom"/>
            <w:hideMark/>
          </w:tcPr>
          <w:p w:rsidR="003F2AA0" w:rsidRPr="003F2AA0" w:rsidRDefault="003F2AA0" w:rsidP="003F2AA0">
            <w:pPr>
              <w:spacing w:before="0"/>
              <w:jc w:val="right"/>
              <w:rPr>
                <w:sz w:val="18"/>
                <w:szCs w:val="18"/>
              </w:rPr>
            </w:pPr>
            <w:r w:rsidRPr="003F2AA0">
              <w:rPr>
                <w:sz w:val="18"/>
                <w:szCs w:val="18"/>
              </w:rPr>
              <w:t>7,5%</w:t>
            </w:r>
          </w:p>
        </w:tc>
        <w:tc>
          <w:tcPr>
            <w:tcW w:w="0" w:type="auto"/>
            <w:tcBorders>
              <w:top w:val="single" w:sz="4" w:space="0" w:color="auto"/>
              <w:left w:val="single" w:sz="4" w:space="0" w:color="auto"/>
              <w:bottom w:val="single" w:sz="4" w:space="0" w:color="auto"/>
              <w:right w:val="single" w:sz="4" w:space="0" w:color="auto"/>
            </w:tcBorders>
            <w:shd w:val="clear" w:color="000000" w:fill="FCDDE0"/>
            <w:noWrap/>
            <w:vAlign w:val="bottom"/>
            <w:hideMark/>
          </w:tcPr>
          <w:p w:rsidR="003F2AA0" w:rsidRPr="003F2AA0" w:rsidRDefault="003F2AA0" w:rsidP="003F2AA0">
            <w:pPr>
              <w:spacing w:before="0"/>
              <w:jc w:val="right"/>
              <w:rPr>
                <w:sz w:val="18"/>
                <w:szCs w:val="18"/>
              </w:rPr>
            </w:pPr>
            <w:r w:rsidRPr="003F2AA0">
              <w:rPr>
                <w:sz w:val="18"/>
                <w:szCs w:val="18"/>
              </w:rPr>
              <w:t>13,2%</w:t>
            </w:r>
          </w:p>
        </w:tc>
      </w:tr>
    </w:tbl>
    <w:p w:rsidR="00AF4350" w:rsidRPr="0039748C" w:rsidRDefault="00AF4350" w:rsidP="003F2AA0">
      <w:pPr>
        <w:pStyle w:val="Zdrojobjektu"/>
      </w:pPr>
      <w:r w:rsidRPr="0039748C">
        <w:t xml:space="preserve">Zdroj: Národní monitorovací středisko pro drogy a závislosti a </w:t>
      </w:r>
      <w:proofErr w:type="spellStart"/>
      <w:r w:rsidRPr="0039748C">
        <w:t>MindBridge</w:t>
      </w:r>
      <w:proofErr w:type="spellEnd"/>
      <w:r w:rsidRPr="0039748C">
        <w:t xml:space="preserve"> </w:t>
      </w:r>
      <w:proofErr w:type="spellStart"/>
      <w:r w:rsidRPr="0039748C">
        <w:t>Consulting</w:t>
      </w:r>
      <w:proofErr w:type="spellEnd"/>
      <w:r w:rsidRPr="0039748C">
        <w:t xml:space="preserve"> (2021a)</w:t>
      </w:r>
    </w:p>
    <w:p w:rsidR="00AF4350" w:rsidRPr="0039748C" w:rsidRDefault="00AF4350" w:rsidP="003F2AA0">
      <w:pPr>
        <w:pStyle w:val="Tun"/>
      </w:pPr>
      <w:r w:rsidRPr="0039748C">
        <w:t>Výdaje na protidrogovou politiku</w:t>
      </w:r>
    </w:p>
    <w:p w:rsidR="00AF4350" w:rsidRPr="00ED60E9" w:rsidRDefault="00AF4350" w:rsidP="00A34764">
      <w:r w:rsidRPr="004A7196">
        <w:t xml:space="preserve">Výdaje na protidrogovou politiku byly v roce 2020 v OK celkem 63 mil. Kč. </w:t>
      </w:r>
      <w:r w:rsidRPr="00ED60E9">
        <w:t xml:space="preserve">Výše prostředků, poskytnutá ryze z rozpočtu OK, byla </w:t>
      </w:r>
      <w:r>
        <w:t xml:space="preserve">v roce 2020 </w:t>
      </w:r>
      <w:r w:rsidRPr="00ED60E9">
        <w:t>zhruba 10 mil. Kč.</w:t>
      </w:r>
    </w:p>
    <w:p w:rsidR="00AF4350" w:rsidRPr="0039748C" w:rsidRDefault="00AF4350" w:rsidP="003F2AA0">
      <w:pPr>
        <w:pStyle w:val="popistabulkySPRSS2024"/>
      </w:pPr>
      <w:bookmarkStart w:id="121" w:name="_Toc117607048"/>
      <w:r w:rsidRPr="0039748C">
        <w:t xml:space="preserve">Graf </w:t>
      </w:r>
      <w:r w:rsidR="00412C70">
        <w:fldChar w:fldCharType="begin"/>
      </w:r>
      <w:r w:rsidR="00412C70">
        <w:instrText xml:space="preserve"> SEQ Graf \* ARABIC </w:instrText>
      </w:r>
      <w:r w:rsidR="00412C70">
        <w:fldChar w:fldCharType="separate"/>
      </w:r>
      <w:r w:rsidR="003A12AF">
        <w:rPr>
          <w:noProof/>
        </w:rPr>
        <w:t>22</w:t>
      </w:r>
      <w:r w:rsidR="00412C70">
        <w:rPr>
          <w:noProof/>
        </w:rPr>
        <w:fldChar w:fldCharType="end"/>
      </w:r>
      <w:r w:rsidRPr="003610A0">
        <w:t>:</w:t>
      </w:r>
      <w:r w:rsidRPr="0039748C">
        <w:t xml:space="preserve"> Struktura výdajů s krajským určením na protidrogovou politiku ze státního a místních rozpočtů ČR v r. 2020 podle krajů</w:t>
      </w:r>
      <w:bookmarkEnd w:id="121"/>
    </w:p>
    <w:p w:rsidR="00AF4350" w:rsidRPr="0039748C" w:rsidRDefault="00AF4350" w:rsidP="00A34764">
      <w:pPr>
        <w:rPr>
          <w:u w:val="single"/>
        </w:rPr>
      </w:pPr>
      <w:r w:rsidRPr="0039748C">
        <w:rPr>
          <w:noProof/>
          <w:lang w:eastAsia="cs-CZ"/>
        </w:rPr>
        <w:drawing>
          <wp:inline distT="0" distB="0" distL="0" distR="0" wp14:anchorId="1AF25C21" wp14:editId="5EC51881">
            <wp:extent cx="5760720" cy="3005180"/>
            <wp:effectExtent l="0" t="0" r="0" b="508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005180"/>
                    </a:xfrm>
                    <a:prstGeom prst="rect">
                      <a:avLst/>
                    </a:prstGeom>
                    <a:noFill/>
                  </pic:spPr>
                </pic:pic>
              </a:graphicData>
            </a:graphic>
          </wp:inline>
        </w:drawing>
      </w:r>
    </w:p>
    <w:p w:rsidR="00AF4350" w:rsidRPr="0087162C" w:rsidRDefault="00AF4350" w:rsidP="003F2AA0">
      <w:pPr>
        <w:pStyle w:val="Zdrojobjektu"/>
      </w:pPr>
      <w:r w:rsidRPr="0087162C">
        <w:t>Zdroj: Národní monitorovací středisko pro drogy a závislosti (2021), zpracování ACCENDO (2022).</w:t>
      </w:r>
    </w:p>
    <w:p w:rsidR="00AF4350" w:rsidRPr="0087162C" w:rsidRDefault="00AF4350" w:rsidP="003F2AA0">
      <w:pPr>
        <w:pStyle w:val="Zdrojobjektu"/>
      </w:pPr>
      <w:r w:rsidRPr="0087162C">
        <w:t>Pozn.: *Uvedené údaje nezahrnují výdaje Policie ČR určené jednotlivým krajům.</w:t>
      </w:r>
    </w:p>
    <w:p w:rsidR="00AF4350" w:rsidRPr="0039748C" w:rsidRDefault="00AF4350" w:rsidP="00A34764">
      <w:r w:rsidRPr="0039748C">
        <w:lastRenderedPageBreak/>
        <w:t xml:space="preserve">Výdaje územních rozpočtů na prevenci před drogami, alkoholem, nikotinem a jinými závislostmi, z místních rozpočtů se v OK mezi lety 2011–2021 pohybovaly kolem 3 mil. Kč, přičemž v letech 2019 a 2020 byl zaznamenán růst výdajů až na 4,2 mil. Kč, v roce 2021 výdaje klesly </w:t>
      </w:r>
      <w:r>
        <w:t xml:space="preserve">pod </w:t>
      </w:r>
      <w:r w:rsidRPr="0039748C">
        <w:t>úroveň z přechozích let (2,75 mil. Kč). Celorepublikové výdaje se mezi lety 2011 až 2016 pohybovaly kolem 1 mld. Kč, přičemž mírně rostly. Mezi lety 2017–2019 se tempo růstu zvýšilo, přičemž v roce 2019 dosáhlo svého vrcholu, tj. 1,37 mld. Kč, v roce 2020 pak mírně pokleslo, v roce 2021 pak došlo k minimální meziroční změně.</w:t>
      </w:r>
    </w:p>
    <w:p w:rsidR="00AF4350" w:rsidRPr="0039748C" w:rsidRDefault="00AF4350" w:rsidP="003F2AA0">
      <w:pPr>
        <w:pStyle w:val="popistabulkySPRSS2024"/>
      </w:pPr>
      <w:bookmarkStart w:id="122" w:name="_Toc117607089"/>
      <w:r w:rsidRPr="0039748C">
        <w:t xml:space="preserve">Tabulka </w:t>
      </w:r>
      <w:r w:rsidR="00412C70">
        <w:fldChar w:fldCharType="begin"/>
      </w:r>
      <w:r w:rsidR="00412C70">
        <w:instrText xml:space="preserve"> SEQ Tabulka \* ARABIC </w:instrText>
      </w:r>
      <w:r w:rsidR="00412C70">
        <w:fldChar w:fldCharType="separate"/>
      </w:r>
      <w:r w:rsidR="003A12AF">
        <w:rPr>
          <w:noProof/>
        </w:rPr>
        <w:t>29</w:t>
      </w:r>
      <w:r w:rsidR="00412C70">
        <w:rPr>
          <w:noProof/>
        </w:rPr>
        <w:fldChar w:fldCharType="end"/>
      </w:r>
      <w:r w:rsidRPr="0039748C">
        <w:t xml:space="preserve"> Výdaje z územních rozpočtů na prevenci před drogami, alkoholem, nikotinem aj. závislostmi mezi lety 2011–2021, v mil. Kč</w:t>
      </w:r>
      <w:bookmarkEnd w:id="122"/>
    </w:p>
    <w:tbl>
      <w:tblPr>
        <w:tblW w:w="5000" w:type="pct"/>
        <w:tblCellMar>
          <w:left w:w="70" w:type="dxa"/>
          <w:right w:w="70" w:type="dxa"/>
        </w:tblCellMar>
        <w:tblLook w:val="04A0" w:firstRow="1" w:lastRow="0" w:firstColumn="1" w:lastColumn="0" w:noHBand="0" w:noVBand="1"/>
      </w:tblPr>
      <w:tblGrid>
        <w:gridCol w:w="1764"/>
        <w:gridCol w:w="577"/>
        <w:gridCol w:w="673"/>
        <w:gridCol w:w="673"/>
        <w:gridCol w:w="672"/>
        <w:gridCol w:w="672"/>
        <w:gridCol w:w="672"/>
        <w:gridCol w:w="672"/>
        <w:gridCol w:w="672"/>
        <w:gridCol w:w="672"/>
        <w:gridCol w:w="672"/>
        <w:gridCol w:w="671"/>
      </w:tblGrid>
      <w:tr w:rsidR="003F2AA0" w:rsidRPr="003F2AA0" w:rsidTr="003F2AA0">
        <w:trPr>
          <w:trHeight w:val="227"/>
        </w:trPr>
        <w:tc>
          <w:tcPr>
            <w:tcW w:w="97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Kraj</w:t>
            </w:r>
          </w:p>
        </w:tc>
        <w:tc>
          <w:tcPr>
            <w:tcW w:w="318"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2011</w:t>
            </w:r>
          </w:p>
        </w:tc>
        <w:tc>
          <w:tcPr>
            <w:tcW w:w="371"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2012</w:t>
            </w:r>
          </w:p>
        </w:tc>
        <w:tc>
          <w:tcPr>
            <w:tcW w:w="371"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2013</w:t>
            </w:r>
          </w:p>
        </w:tc>
        <w:tc>
          <w:tcPr>
            <w:tcW w:w="371"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2014</w:t>
            </w:r>
          </w:p>
        </w:tc>
        <w:tc>
          <w:tcPr>
            <w:tcW w:w="371"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2015</w:t>
            </w:r>
          </w:p>
        </w:tc>
        <w:tc>
          <w:tcPr>
            <w:tcW w:w="371"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2016</w:t>
            </w:r>
          </w:p>
        </w:tc>
        <w:tc>
          <w:tcPr>
            <w:tcW w:w="371"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2017</w:t>
            </w:r>
          </w:p>
        </w:tc>
        <w:tc>
          <w:tcPr>
            <w:tcW w:w="371"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2018</w:t>
            </w:r>
          </w:p>
        </w:tc>
        <w:tc>
          <w:tcPr>
            <w:tcW w:w="371"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2019</w:t>
            </w:r>
          </w:p>
        </w:tc>
        <w:tc>
          <w:tcPr>
            <w:tcW w:w="371"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2020</w:t>
            </w:r>
          </w:p>
        </w:tc>
        <w:tc>
          <w:tcPr>
            <w:tcW w:w="371" w:type="pct"/>
            <w:tcBorders>
              <w:top w:val="single" w:sz="4" w:space="0" w:color="auto"/>
              <w:left w:val="nil"/>
              <w:bottom w:val="single" w:sz="4" w:space="0" w:color="auto"/>
              <w:right w:val="single" w:sz="4" w:space="0" w:color="auto"/>
            </w:tcBorders>
            <w:shd w:val="clear" w:color="000000" w:fill="F2F2F2"/>
            <w:noWrap/>
            <w:vAlign w:val="center"/>
            <w:hideMark/>
          </w:tcPr>
          <w:p w:rsidR="003F2AA0" w:rsidRPr="003F2AA0" w:rsidRDefault="003F2AA0" w:rsidP="003F2AA0">
            <w:pPr>
              <w:spacing w:before="0"/>
              <w:jc w:val="center"/>
              <w:rPr>
                <w:b/>
                <w:bCs/>
                <w:sz w:val="18"/>
                <w:szCs w:val="18"/>
              </w:rPr>
            </w:pPr>
            <w:r w:rsidRPr="003F2AA0">
              <w:rPr>
                <w:b/>
                <w:bCs/>
                <w:sz w:val="18"/>
                <w:szCs w:val="18"/>
              </w:rPr>
              <w:t>2021</w:t>
            </w:r>
          </w:p>
        </w:tc>
      </w:tr>
      <w:tr w:rsidR="003F2AA0" w:rsidRPr="003F2AA0" w:rsidTr="003F2AA0">
        <w:trPr>
          <w:trHeight w:val="227"/>
        </w:trPr>
        <w:tc>
          <w:tcPr>
            <w:tcW w:w="973" w:type="pct"/>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jc w:val="left"/>
              <w:rPr>
                <w:sz w:val="18"/>
                <w:szCs w:val="18"/>
              </w:rPr>
            </w:pPr>
            <w:r w:rsidRPr="003F2AA0">
              <w:rPr>
                <w:sz w:val="18"/>
                <w:szCs w:val="18"/>
              </w:rPr>
              <w:t>Hlavní město Praha</w:t>
            </w:r>
          </w:p>
        </w:tc>
        <w:tc>
          <w:tcPr>
            <w:tcW w:w="318" w:type="pct"/>
            <w:tcBorders>
              <w:top w:val="single" w:sz="4" w:space="0" w:color="auto"/>
              <w:left w:val="single" w:sz="4" w:space="0" w:color="auto"/>
              <w:bottom w:val="single" w:sz="4" w:space="0" w:color="auto"/>
              <w:right w:val="single" w:sz="4" w:space="0" w:color="auto"/>
            </w:tcBorders>
            <w:shd w:val="clear" w:color="000000" w:fill="FBB5B7"/>
            <w:noWrap/>
            <w:vAlign w:val="bottom"/>
            <w:hideMark/>
          </w:tcPr>
          <w:p w:rsidR="003F2AA0" w:rsidRPr="003F2AA0" w:rsidRDefault="003F2AA0" w:rsidP="003F2AA0">
            <w:pPr>
              <w:spacing w:before="0"/>
              <w:jc w:val="right"/>
              <w:rPr>
                <w:sz w:val="16"/>
                <w:szCs w:val="16"/>
              </w:rPr>
            </w:pPr>
            <w:r w:rsidRPr="003F2AA0">
              <w:rPr>
                <w:sz w:val="16"/>
                <w:szCs w:val="16"/>
              </w:rPr>
              <w:t>39,80</w:t>
            </w:r>
          </w:p>
        </w:tc>
        <w:tc>
          <w:tcPr>
            <w:tcW w:w="371" w:type="pct"/>
            <w:tcBorders>
              <w:top w:val="single" w:sz="4" w:space="0" w:color="auto"/>
              <w:left w:val="single" w:sz="4" w:space="0" w:color="auto"/>
              <w:bottom w:val="single" w:sz="4" w:space="0" w:color="auto"/>
              <w:right w:val="single" w:sz="4" w:space="0" w:color="auto"/>
            </w:tcBorders>
            <w:shd w:val="clear" w:color="000000" w:fill="FAABAE"/>
            <w:noWrap/>
            <w:vAlign w:val="bottom"/>
            <w:hideMark/>
          </w:tcPr>
          <w:p w:rsidR="003F2AA0" w:rsidRPr="003F2AA0" w:rsidRDefault="003F2AA0" w:rsidP="003F2AA0">
            <w:pPr>
              <w:spacing w:before="0"/>
              <w:jc w:val="right"/>
              <w:rPr>
                <w:sz w:val="16"/>
                <w:szCs w:val="16"/>
              </w:rPr>
            </w:pPr>
            <w:r w:rsidRPr="003F2AA0">
              <w:rPr>
                <w:sz w:val="16"/>
                <w:szCs w:val="16"/>
              </w:rPr>
              <w:t>44,83</w:t>
            </w:r>
          </w:p>
        </w:tc>
        <w:tc>
          <w:tcPr>
            <w:tcW w:w="371" w:type="pct"/>
            <w:tcBorders>
              <w:top w:val="single" w:sz="4" w:space="0" w:color="auto"/>
              <w:left w:val="single" w:sz="4" w:space="0" w:color="auto"/>
              <w:bottom w:val="single" w:sz="4" w:space="0" w:color="auto"/>
              <w:right w:val="single" w:sz="4" w:space="0" w:color="auto"/>
            </w:tcBorders>
            <w:shd w:val="clear" w:color="000000" w:fill="FAA4A7"/>
            <w:noWrap/>
            <w:vAlign w:val="bottom"/>
            <w:hideMark/>
          </w:tcPr>
          <w:p w:rsidR="003F2AA0" w:rsidRPr="003F2AA0" w:rsidRDefault="003F2AA0" w:rsidP="003F2AA0">
            <w:pPr>
              <w:spacing w:before="0"/>
              <w:jc w:val="right"/>
              <w:rPr>
                <w:sz w:val="16"/>
                <w:szCs w:val="16"/>
              </w:rPr>
            </w:pPr>
            <w:r w:rsidRPr="003F2AA0">
              <w:rPr>
                <w:sz w:val="16"/>
                <w:szCs w:val="16"/>
              </w:rPr>
              <w:t>48,26</w:t>
            </w:r>
          </w:p>
        </w:tc>
        <w:tc>
          <w:tcPr>
            <w:tcW w:w="371" w:type="pct"/>
            <w:tcBorders>
              <w:top w:val="single" w:sz="4" w:space="0" w:color="auto"/>
              <w:left w:val="single" w:sz="4" w:space="0" w:color="auto"/>
              <w:bottom w:val="single" w:sz="4" w:space="0" w:color="auto"/>
              <w:right w:val="single" w:sz="4" w:space="0" w:color="auto"/>
            </w:tcBorders>
            <w:shd w:val="clear" w:color="000000" w:fill="FAA5A7"/>
            <w:noWrap/>
            <w:vAlign w:val="bottom"/>
            <w:hideMark/>
          </w:tcPr>
          <w:p w:rsidR="003F2AA0" w:rsidRPr="003F2AA0" w:rsidRDefault="003F2AA0" w:rsidP="003F2AA0">
            <w:pPr>
              <w:spacing w:before="0"/>
              <w:jc w:val="right"/>
              <w:rPr>
                <w:sz w:val="16"/>
                <w:szCs w:val="16"/>
              </w:rPr>
            </w:pPr>
            <w:r w:rsidRPr="003F2AA0">
              <w:rPr>
                <w:sz w:val="16"/>
                <w:szCs w:val="16"/>
              </w:rPr>
              <w:t>48,12</w:t>
            </w:r>
          </w:p>
        </w:tc>
        <w:tc>
          <w:tcPr>
            <w:tcW w:w="371" w:type="pct"/>
            <w:tcBorders>
              <w:top w:val="single" w:sz="4" w:space="0" w:color="auto"/>
              <w:left w:val="single" w:sz="4" w:space="0" w:color="auto"/>
              <w:bottom w:val="single" w:sz="4" w:space="0" w:color="auto"/>
              <w:right w:val="single" w:sz="4" w:space="0" w:color="auto"/>
            </w:tcBorders>
            <w:shd w:val="clear" w:color="000000" w:fill="FAA1A3"/>
            <w:noWrap/>
            <w:vAlign w:val="bottom"/>
            <w:hideMark/>
          </w:tcPr>
          <w:p w:rsidR="003F2AA0" w:rsidRPr="003F2AA0" w:rsidRDefault="003F2AA0" w:rsidP="003F2AA0">
            <w:pPr>
              <w:spacing w:before="0"/>
              <w:jc w:val="right"/>
              <w:rPr>
                <w:sz w:val="16"/>
                <w:szCs w:val="16"/>
              </w:rPr>
            </w:pPr>
            <w:r w:rsidRPr="003F2AA0">
              <w:rPr>
                <w:sz w:val="16"/>
                <w:szCs w:val="16"/>
              </w:rPr>
              <w:t>50,14</w:t>
            </w:r>
          </w:p>
        </w:tc>
        <w:tc>
          <w:tcPr>
            <w:tcW w:w="371" w:type="pct"/>
            <w:tcBorders>
              <w:top w:val="single" w:sz="4" w:space="0" w:color="auto"/>
              <w:left w:val="single" w:sz="4" w:space="0" w:color="auto"/>
              <w:bottom w:val="single" w:sz="4" w:space="0" w:color="auto"/>
              <w:right w:val="single" w:sz="4" w:space="0" w:color="auto"/>
            </w:tcBorders>
            <w:shd w:val="clear" w:color="000000" w:fill="FA9A9D"/>
            <w:noWrap/>
            <w:vAlign w:val="bottom"/>
            <w:hideMark/>
          </w:tcPr>
          <w:p w:rsidR="003F2AA0" w:rsidRPr="003F2AA0" w:rsidRDefault="003F2AA0" w:rsidP="003F2AA0">
            <w:pPr>
              <w:spacing w:before="0"/>
              <w:jc w:val="right"/>
              <w:rPr>
                <w:sz w:val="16"/>
                <w:szCs w:val="16"/>
              </w:rPr>
            </w:pPr>
            <w:r w:rsidRPr="003F2AA0">
              <w:rPr>
                <w:sz w:val="16"/>
                <w:szCs w:val="16"/>
              </w:rPr>
              <w:t>53,48</w:t>
            </w:r>
          </w:p>
        </w:tc>
        <w:tc>
          <w:tcPr>
            <w:tcW w:w="371" w:type="pct"/>
            <w:tcBorders>
              <w:top w:val="single" w:sz="4" w:space="0" w:color="auto"/>
              <w:left w:val="single" w:sz="4" w:space="0" w:color="auto"/>
              <w:bottom w:val="single" w:sz="4" w:space="0" w:color="auto"/>
              <w:right w:val="single" w:sz="4" w:space="0" w:color="auto"/>
            </w:tcBorders>
            <w:shd w:val="clear" w:color="000000" w:fill="F98688"/>
            <w:noWrap/>
            <w:vAlign w:val="bottom"/>
            <w:hideMark/>
          </w:tcPr>
          <w:p w:rsidR="003F2AA0" w:rsidRPr="003F2AA0" w:rsidRDefault="003F2AA0" w:rsidP="003F2AA0">
            <w:pPr>
              <w:spacing w:before="0"/>
              <w:jc w:val="right"/>
              <w:rPr>
                <w:sz w:val="16"/>
                <w:szCs w:val="16"/>
              </w:rPr>
            </w:pPr>
            <w:r w:rsidRPr="003F2AA0">
              <w:rPr>
                <w:sz w:val="16"/>
                <w:szCs w:val="16"/>
              </w:rPr>
              <w:t>64,03</w:t>
            </w:r>
          </w:p>
        </w:tc>
        <w:tc>
          <w:tcPr>
            <w:tcW w:w="371" w:type="pct"/>
            <w:tcBorders>
              <w:top w:val="single" w:sz="4" w:space="0" w:color="auto"/>
              <w:left w:val="single" w:sz="4" w:space="0" w:color="auto"/>
              <w:bottom w:val="single" w:sz="4" w:space="0" w:color="auto"/>
              <w:right w:val="single" w:sz="4" w:space="0" w:color="auto"/>
            </w:tcBorders>
            <w:shd w:val="clear" w:color="000000" w:fill="F97D7F"/>
            <w:noWrap/>
            <w:vAlign w:val="bottom"/>
            <w:hideMark/>
          </w:tcPr>
          <w:p w:rsidR="003F2AA0" w:rsidRPr="003F2AA0" w:rsidRDefault="003F2AA0" w:rsidP="003F2AA0">
            <w:pPr>
              <w:spacing w:before="0"/>
              <w:jc w:val="right"/>
              <w:rPr>
                <w:sz w:val="16"/>
                <w:szCs w:val="16"/>
              </w:rPr>
            </w:pPr>
            <w:r w:rsidRPr="003F2AA0">
              <w:rPr>
                <w:sz w:val="16"/>
                <w:szCs w:val="16"/>
              </w:rPr>
              <w:t>68,77</w:t>
            </w:r>
          </w:p>
        </w:tc>
        <w:tc>
          <w:tcPr>
            <w:tcW w:w="371" w:type="pct"/>
            <w:tcBorders>
              <w:top w:val="single" w:sz="4" w:space="0" w:color="auto"/>
              <w:left w:val="single" w:sz="4" w:space="0" w:color="auto"/>
              <w:bottom w:val="single" w:sz="4" w:space="0" w:color="auto"/>
              <w:right w:val="single" w:sz="4" w:space="0" w:color="auto"/>
            </w:tcBorders>
            <w:shd w:val="clear" w:color="000000" w:fill="F97779"/>
            <w:noWrap/>
            <w:vAlign w:val="bottom"/>
            <w:hideMark/>
          </w:tcPr>
          <w:p w:rsidR="003F2AA0" w:rsidRPr="003F2AA0" w:rsidRDefault="003F2AA0" w:rsidP="003F2AA0">
            <w:pPr>
              <w:spacing w:before="0"/>
              <w:jc w:val="right"/>
              <w:rPr>
                <w:sz w:val="16"/>
                <w:szCs w:val="16"/>
              </w:rPr>
            </w:pPr>
            <w:r w:rsidRPr="003F2AA0">
              <w:rPr>
                <w:sz w:val="16"/>
                <w:szCs w:val="16"/>
              </w:rPr>
              <w:t>71,61</w:t>
            </w:r>
          </w:p>
        </w:tc>
        <w:tc>
          <w:tcPr>
            <w:tcW w:w="371" w:type="pct"/>
            <w:tcBorders>
              <w:top w:val="single" w:sz="4" w:space="0" w:color="auto"/>
              <w:left w:val="single" w:sz="4" w:space="0" w:color="auto"/>
              <w:bottom w:val="single" w:sz="4" w:space="0" w:color="auto"/>
              <w:right w:val="single" w:sz="4" w:space="0" w:color="auto"/>
            </w:tcBorders>
            <w:shd w:val="clear" w:color="000000" w:fill="F96F71"/>
            <w:noWrap/>
            <w:vAlign w:val="bottom"/>
            <w:hideMark/>
          </w:tcPr>
          <w:p w:rsidR="003F2AA0" w:rsidRPr="003F2AA0" w:rsidRDefault="003F2AA0" w:rsidP="003F2AA0">
            <w:pPr>
              <w:spacing w:before="0"/>
              <w:jc w:val="right"/>
              <w:rPr>
                <w:sz w:val="16"/>
                <w:szCs w:val="16"/>
              </w:rPr>
            </w:pPr>
            <w:r w:rsidRPr="003F2AA0">
              <w:rPr>
                <w:sz w:val="16"/>
                <w:szCs w:val="16"/>
              </w:rPr>
              <w:t>75,81</w:t>
            </w:r>
          </w:p>
        </w:tc>
        <w:tc>
          <w:tcPr>
            <w:tcW w:w="371"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F2AA0" w:rsidRPr="003F2AA0" w:rsidRDefault="003F2AA0" w:rsidP="003F2AA0">
            <w:pPr>
              <w:spacing w:before="0"/>
              <w:jc w:val="right"/>
              <w:rPr>
                <w:sz w:val="16"/>
                <w:szCs w:val="16"/>
              </w:rPr>
            </w:pPr>
            <w:r w:rsidRPr="003F2AA0">
              <w:rPr>
                <w:sz w:val="16"/>
                <w:szCs w:val="16"/>
              </w:rPr>
              <w:t>78,73</w:t>
            </w:r>
          </w:p>
        </w:tc>
      </w:tr>
      <w:tr w:rsidR="003F2AA0" w:rsidRPr="003F2AA0" w:rsidTr="003F2AA0">
        <w:trPr>
          <w:trHeight w:val="227"/>
        </w:trPr>
        <w:tc>
          <w:tcPr>
            <w:tcW w:w="973" w:type="pct"/>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Středočeský</w:t>
            </w:r>
          </w:p>
        </w:tc>
        <w:tc>
          <w:tcPr>
            <w:tcW w:w="318" w:type="pct"/>
            <w:tcBorders>
              <w:top w:val="single" w:sz="4" w:space="0" w:color="auto"/>
              <w:left w:val="single" w:sz="4" w:space="0" w:color="auto"/>
              <w:bottom w:val="single" w:sz="4" w:space="0" w:color="auto"/>
              <w:right w:val="single" w:sz="4" w:space="0" w:color="auto"/>
            </w:tcBorders>
            <w:shd w:val="clear" w:color="000000" w:fill="C9D8ED"/>
            <w:noWrap/>
            <w:vAlign w:val="bottom"/>
            <w:hideMark/>
          </w:tcPr>
          <w:p w:rsidR="003F2AA0" w:rsidRPr="003F2AA0" w:rsidRDefault="003F2AA0" w:rsidP="003F2AA0">
            <w:pPr>
              <w:spacing w:before="0"/>
              <w:jc w:val="right"/>
              <w:rPr>
                <w:sz w:val="16"/>
                <w:szCs w:val="16"/>
              </w:rPr>
            </w:pPr>
            <w:r w:rsidRPr="003F2AA0">
              <w:rPr>
                <w:sz w:val="16"/>
                <w:szCs w:val="16"/>
              </w:rPr>
              <w:t>1,90</w:t>
            </w:r>
          </w:p>
        </w:tc>
        <w:tc>
          <w:tcPr>
            <w:tcW w:w="371" w:type="pct"/>
            <w:tcBorders>
              <w:top w:val="single" w:sz="4" w:space="0" w:color="auto"/>
              <w:left w:val="single" w:sz="4" w:space="0" w:color="auto"/>
              <w:bottom w:val="single" w:sz="4" w:space="0" w:color="auto"/>
              <w:right w:val="single" w:sz="4" w:space="0" w:color="auto"/>
            </w:tcBorders>
            <w:shd w:val="clear" w:color="000000" w:fill="ACC4E3"/>
            <w:noWrap/>
            <w:vAlign w:val="bottom"/>
            <w:hideMark/>
          </w:tcPr>
          <w:p w:rsidR="003F2AA0" w:rsidRPr="003F2AA0" w:rsidRDefault="003F2AA0" w:rsidP="003F2AA0">
            <w:pPr>
              <w:spacing w:before="0"/>
              <w:jc w:val="right"/>
              <w:rPr>
                <w:sz w:val="16"/>
                <w:szCs w:val="16"/>
              </w:rPr>
            </w:pPr>
            <w:r w:rsidRPr="003F2AA0">
              <w:rPr>
                <w:sz w:val="16"/>
                <w:szCs w:val="16"/>
              </w:rPr>
              <w:t>1,41</w:t>
            </w:r>
          </w:p>
        </w:tc>
        <w:tc>
          <w:tcPr>
            <w:tcW w:w="371" w:type="pct"/>
            <w:tcBorders>
              <w:top w:val="single" w:sz="4" w:space="0" w:color="auto"/>
              <w:left w:val="single" w:sz="4" w:space="0" w:color="auto"/>
              <w:bottom w:val="single" w:sz="4" w:space="0" w:color="auto"/>
              <w:right w:val="single" w:sz="4" w:space="0" w:color="auto"/>
            </w:tcBorders>
            <w:shd w:val="clear" w:color="000000" w:fill="AAC2E2"/>
            <w:noWrap/>
            <w:vAlign w:val="bottom"/>
            <w:hideMark/>
          </w:tcPr>
          <w:p w:rsidR="003F2AA0" w:rsidRPr="003F2AA0" w:rsidRDefault="003F2AA0" w:rsidP="003F2AA0">
            <w:pPr>
              <w:spacing w:before="0"/>
              <w:jc w:val="right"/>
              <w:rPr>
                <w:sz w:val="16"/>
                <w:szCs w:val="16"/>
              </w:rPr>
            </w:pPr>
            <w:r w:rsidRPr="003F2AA0">
              <w:rPr>
                <w:sz w:val="16"/>
                <w:szCs w:val="16"/>
              </w:rPr>
              <w:t>1,38</w:t>
            </w:r>
          </w:p>
        </w:tc>
        <w:tc>
          <w:tcPr>
            <w:tcW w:w="371" w:type="pct"/>
            <w:tcBorders>
              <w:top w:val="single" w:sz="4" w:space="0" w:color="auto"/>
              <w:left w:val="single" w:sz="4" w:space="0" w:color="auto"/>
              <w:bottom w:val="single" w:sz="4" w:space="0" w:color="auto"/>
              <w:right w:val="single" w:sz="4" w:space="0" w:color="auto"/>
            </w:tcBorders>
            <w:shd w:val="clear" w:color="000000" w:fill="D6E1F1"/>
            <w:noWrap/>
            <w:vAlign w:val="bottom"/>
            <w:hideMark/>
          </w:tcPr>
          <w:p w:rsidR="003F2AA0" w:rsidRPr="003F2AA0" w:rsidRDefault="003F2AA0" w:rsidP="003F2AA0">
            <w:pPr>
              <w:spacing w:before="0"/>
              <w:jc w:val="right"/>
              <w:rPr>
                <w:sz w:val="16"/>
                <w:szCs w:val="16"/>
              </w:rPr>
            </w:pPr>
            <w:r w:rsidRPr="003F2AA0">
              <w:rPr>
                <w:sz w:val="16"/>
                <w:szCs w:val="16"/>
              </w:rPr>
              <w:t>2,12</w:t>
            </w:r>
          </w:p>
        </w:tc>
        <w:tc>
          <w:tcPr>
            <w:tcW w:w="371" w:type="pct"/>
            <w:tcBorders>
              <w:top w:val="single" w:sz="4" w:space="0" w:color="auto"/>
              <w:left w:val="single" w:sz="4" w:space="0" w:color="auto"/>
              <w:bottom w:val="single" w:sz="4" w:space="0" w:color="auto"/>
              <w:right w:val="single" w:sz="4" w:space="0" w:color="auto"/>
            </w:tcBorders>
            <w:shd w:val="clear" w:color="000000" w:fill="B5CAE6"/>
            <w:noWrap/>
            <w:vAlign w:val="bottom"/>
            <w:hideMark/>
          </w:tcPr>
          <w:p w:rsidR="003F2AA0" w:rsidRPr="003F2AA0" w:rsidRDefault="003F2AA0" w:rsidP="003F2AA0">
            <w:pPr>
              <w:spacing w:before="0"/>
              <w:jc w:val="right"/>
              <w:rPr>
                <w:sz w:val="16"/>
                <w:szCs w:val="16"/>
              </w:rPr>
            </w:pPr>
            <w:r w:rsidRPr="003F2AA0">
              <w:rPr>
                <w:sz w:val="16"/>
                <w:szCs w:val="16"/>
              </w:rPr>
              <w:t>1,57</w:t>
            </w:r>
          </w:p>
        </w:tc>
        <w:tc>
          <w:tcPr>
            <w:tcW w:w="371" w:type="pct"/>
            <w:tcBorders>
              <w:top w:val="single" w:sz="4" w:space="0" w:color="auto"/>
              <w:left w:val="single" w:sz="4" w:space="0" w:color="auto"/>
              <w:bottom w:val="single" w:sz="4" w:space="0" w:color="auto"/>
              <w:right w:val="single" w:sz="4" w:space="0" w:color="auto"/>
            </w:tcBorders>
            <w:shd w:val="clear" w:color="000000" w:fill="CAD9ED"/>
            <w:noWrap/>
            <w:vAlign w:val="bottom"/>
            <w:hideMark/>
          </w:tcPr>
          <w:p w:rsidR="003F2AA0" w:rsidRPr="003F2AA0" w:rsidRDefault="003F2AA0" w:rsidP="003F2AA0">
            <w:pPr>
              <w:spacing w:before="0"/>
              <w:jc w:val="right"/>
              <w:rPr>
                <w:sz w:val="16"/>
                <w:szCs w:val="16"/>
              </w:rPr>
            </w:pPr>
            <w:r w:rsidRPr="003F2AA0">
              <w:rPr>
                <w:sz w:val="16"/>
                <w:szCs w:val="16"/>
              </w:rPr>
              <w:t>1,92</w:t>
            </w:r>
          </w:p>
        </w:tc>
        <w:tc>
          <w:tcPr>
            <w:tcW w:w="37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2,88</w:t>
            </w:r>
          </w:p>
        </w:tc>
        <w:tc>
          <w:tcPr>
            <w:tcW w:w="371"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3F2AA0" w:rsidRPr="003F2AA0" w:rsidRDefault="003F2AA0" w:rsidP="003F2AA0">
            <w:pPr>
              <w:spacing w:before="0"/>
              <w:jc w:val="right"/>
              <w:rPr>
                <w:sz w:val="16"/>
                <w:szCs w:val="16"/>
              </w:rPr>
            </w:pPr>
            <w:r w:rsidRPr="003F2AA0">
              <w:rPr>
                <w:sz w:val="16"/>
                <w:szCs w:val="16"/>
              </w:rPr>
              <w:t>4,36</w:t>
            </w:r>
          </w:p>
        </w:tc>
        <w:tc>
          <w:tcPr>
            <w:tcW w:w="371" w:type="pct"/>
            <w:tcBorders>
              <w:top w:val="single" w:sz="4" w:space="0" w:color="auto"/>
              <w:left w:val="single" w:sz="4" w:space="0" w:color="auto"/>
              <w:bottom w:val="single" w:sz="4" w:space="0" w:color="auto"/>
              <w:right w:val="single" w:sz="4" w:space="0" w:color="auto"/>
            </w:tcBorders>
            <w:shd w:val="clear" w:color="000000" w:fill="FCF5F8"/>
            <w:noWrap/>
            <w:vAlign w:val="bottom"/>
            <w:hideMark/>
          </w:tcPr>
          <w:p w:rsidR="003F2AA0" w:rsidRPr="003F2AA0" w:rsidRDefault="003F2AA0" w:rsidP="003F2AA0">
            <w:pPr>
              <w:spacing w:before="0"/>
              <w:jc w:val="right"/>
              <w:rPr>
                <w:sz w:val="16"/>
                <w:szCs w:val="16"/>
              </w:rPr>
            </w:pPr>
            <w:r w:rsidRPr="003F2AA0">
              <w:rPr>
                <w:sz w:val="16"/>
                <w:szCs w:val="16"/>
              </w:rPr>
              <w:t>6,52</w:t>
            </w:r>
          </w:p>
        </w:tc>
        <w:tc>
          <w:tcPr>
            <w:tcW w:w="371"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3F2AA0" w:rsidRPr="003F2AA0" w:rsidRDefault="003F2AA0" w:rsidP="003F2AA0">
            <w:pPr>
              <w:spacing w:before="0"/>
              <w:jc w:val="right"/>
              <w:rPr>
                <w:sz w:val="16"/>
                <w:szCs w:val="16"/>
              </w:rPr>
            </w:pPr>
            <w:r w:rsidRPr="003F2AA0">
              <w:rPr>
                <w:sz w:val="16"/>
                <w:szCs w:val="16"/>
              </w:rPr>
              <w:t>4,64</w:t>
            </w:r>
          </w:p>
        </w:tc>
        <w:tc>
          <w:tcPr>
            <w:tcW w:w="371"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rsidR="003F2AA0" w:rsidRPr="003F2AA0" w:rsidRDefault="003F2AA0" w:rsidP="003F2AA0">
            <w:pPr>
              <w:spacing w:before="0"/>
              <w:jc w:val="right"/>
              <w:rPr>
                <w:sz w:val="16"/>
                <w:szCs w:val="16"/>
              </w:rPr>
            </w:pPr>
            <w:r w:rsidRPr="003F2AA0">
              <w:rPr>
                <w:sz w:val="16"/>
                <w:szCs w:val="16"/>
              </w:rPr>
              <w:t>4,12</w:t>
            </w:r>
          </w:p>
        </w:tc>
      </w:tr>
      <w:tr w:rsidR="003F2AA0" w:rsidRPr="003F2AA0" w:rsidTr="003F2AA0">
        <w:trPr>
          <w:trHeight w:val="227"/>
        </w:trPr>
        <w:tc>
          <w:tcPr>
            <w:tcW w:w="973" w:type="pct"/>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Jihočeský</w:t>
            </w:r>
          </w:p>
        </w:tc>
        <w:tc>
          <w:tcPr>
            <w:tcW w:w="318" w:type="pct"/>
            <w:tcBorders>
              <w:top w:val="single" w:sz="4" w:space="0" w:color="auto"/>
              <w:left w:val="single" w:sz="4" w:space="0" w:color="auto"/>
              <w:bottom w:val="single" w:sz="4" w:space="0" w:color="auto"/>
              <w:right w:val="single" w:sz="4" w:space="0" w:color="auto"/>
            </w:tcBorders>
            <w:shd w:val="clear" w:color="000000" w:fill="FCF1F4"/>
            <w:noWrap/>
            <w:vAlign w:val="bottom"/>
            <w:hideMark/>
          </w:tcPr>
          <w:p w:rsidR="003F2AA0" w:rsidRPr="003F2AA0" w:rsidRDefault="003F2AA0" w:rsidP="003F2AA0">
            <w:pPr>
              <w:spacing w:before="0"/>
              <w:jc w:val="right"/>
              <w:rPr>
                <w:sz w:val="16"/>
                <w:szCs w:val="16"/>
              </w:rPr>
            </w:pPr>
            <w:r w:rsidRPr="003F2AA0">
              <w:rPr>
                <w:sz w:val="16"/>
                <w:szCs w:val="16"/>
              </w:rPr>
              <w:t>8,86</w:t>
            </w:r>
          </w:p>
        </w:tc>
        <w:tc>
          <w:tcPr>
            <w:tcW w:w="371" w:type="pct"/>
            <w:tcBorders>
              <w:top w:val="single" w:sz="4" w:space="0" w:color="auto"/>
              <w:left w:val="single" w:sz="4" w:space="0" w:color="auto"/>
              <w:bottom w:val="single" w:sz="4" w:space="0" w:color="auto"/>
              <w:right w:val="single" w:sz="4" w:space="0" w:color="auto"/>
            </w:tcBorders>
            <w:shd w:val="clear" w:color="000000" w:fill="FCF1F4"/>
            <w:noWrap/>
            <w:vAlign w:val="bottom"/>
            <w:hideMark/>
          </w:tcPr>
          <w:p w:rsidR="003F2AA0" w:rsidRPr="003F2AA0" w:rsidRDefault="003F2AA0" w:rsidP="003F2AA0">
            <w:pPr>
              <w:spacing w:before="0"/>
              <w:jc w:val="right"/>
              <w:rPr>
                <w:sz w:val="16"/>
                <w:szCs w:val="16"/>
              </w:rPr>
            </w:pPr>
            <w:r w:rsidRPr="003F2AA0">
              <w:rPr>
                <w:sz w:val="16"/>
                <w:szCs w:val="16"/>
              </w:rPr>
              <w:t>8,54</w:t>
            </w:r>
          </w:p>
        </w:tc>
        <w:tc>
          <w:tcPr>
            <w:tcW w:w="371" w:type="pct"/>
            <w:tcBorders>
              <w:top w:val="single" w:sz="4" w:space="0" w:color="auto"/>
              <w:left w:val="single" w:sz="4" w:space="0" w:color="auto"/>
              <w:bottom w:val="single" w:sz="4" w:space="0" w:color="auto"/>
              <w:right w:val="single" w:sz="4" w:space="0" w:color="auto"/>
            </w:tcBorders>
            <w:shd w:val="clear" w:color="000000" w:fill="FCF2F4"/>
            <w:noWrap/>
            <w:vAlign w:val="bottom"/>
            <w:hideMark/>
          </w:tcPr>
          <w:p w:rsidR="003F2AA0" w:rsidRPr="003F2AA0" w:rsidRDefault="003F2AA0" w:rsidP="003F2AA0">
            <w:pPr>
              <w:spacing w:before="0"/>
              <w:jc w:val="right"/>
              <w:rPr>
                <w:sz w:val="16"/>
                <w:szCs w:val="16"/>
              </w:rPr>
            </w:pPr>
            <w:r w:rsidRPr="003F2AA0">
              <w:rPr>
                <w:sz w:val="16"/>
                <w:szCs w:val="16"/>
              </w:rPr>
              <w:t>8,43</w:t>
            </w:r>
          </w:p>
        </w:tc>
        <w:tc>
          <w:tcPr>
            <w:tcW w:w="371" w:type="pct"/>
            <w:tcBorders>
              <w:top w:val="single" w:sz="4" w:space="0" w:color="auto"/>
              <w:left w:val="single" w:sz="4" w:space="0" w:color="auto"/>
              <w:bottom w:val="single" w:sz="4" w:space="0" w:color="auto"/>
              <w:right w:val="single" w:sz="4" w:space="0" w:color="auto"/>
            </w:tcBorders>
            <w:shd w:val="clear" w:color="000000" w:fill="FCF1F4"/>
            <w:noWrap/>
            <w:vAlign w:val="bottom"/>
            <w:hideMark/>
          </w:tcPr>
          <w:p w:rsidR="003F2AA0" w:rsidRPr="003F2AA0" w:rsidRDefault="003F2AA0" w:rsidP="003F2AA0">
            <w:pPr>
              <w:spacing w:before="0"/>
              <w:jc w:val="right"/>
              <w:rPr>
                <w:sz w:val="16"/>
                <w:szCs w:val="16"/>
              </w:rPr>
            </w:pPr>
            <w:r w:rsidRPr="003F2AA0">
              <w:rPr>
                <w:sz w:val="16"/>
                <w:szCs w:val="16"/>
              </w:rPr>
              <w:t>8,83</w:t>
            </w:r>
          </w:p>
        </w:tc>
        <w:tc>
          <w:tcPr>
            <w:tcW w:w="371"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3F2AA0" w:rsidRPr="003F2AA0" w:rsidRDefault="003F2AA0" w:rsidP="003F2AA0">
            <w:pPr>
              <w:spacing w:before="0"/>
              <w:jc w:val="right"/>
              <w:rPr>
                <w:sz w:val="16"/>
                <w:szCs w:val="16"/>
              </w:rPr>
            </w:pPr>
            <w:r w:rsidRPr="003F2AA0">
              <w:rPr>
                <w:sz w:val="16"/>
                <w:szCs w:val="16"/>
              </w:rPr>
              <w:t>9,12</w:t>
            </w:r>
          </w:p>
        </w:tc>
        <w:tc>
          <w:tcPr>
            <w:tcW w:w="371"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3F2AA0" w:rsidRPr="003F2AA0" w:rsidRDefault="003F2AA0" w:rsidP="003F2AA0">
            <w:pPr>
              <w:spacing w:before="0"/>
              <w:jc w:val="right"/>
              <w:rPr>
                <w:sz w:val="16"/>
                <w:szCs w:val="16"/>
              </w:rPr>
            </w:pPr>
            <w:r w:rsidRPr="003F2AA0">
              <w:rPr>
                <w:sz w:val="16"/>
                <w:szCs w:val="16"/>
              </w:rPr>
              <w:t>9,37</w:t>
            </w:r>
          </w:p>
        </w:tc>
        <w:tc>
          <w:tcPr>
            <w:tcW w:w="371"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3F2AA0" w:rsidRPr="003F2AA0" w:rsidRDefault="003F2AA0" w:rsidP="003F2AA0">
            <w:pPr>
              <w:spacing w:before="0"/>
              <w:jc w:val="right"/>
              <w:rPr>
                <w:sz w:val="16"/>
                <w:szCs w:val="16"/>
              </w:rPr>
            </w:pPr>
            <w:r w:rsidRPr="003F2AA0">
              <w:rPr>
                <w:sz w:val="16"/>
                <w:szCs w:val="16"/>
              </w:rPr>
              <w:t>9,27</w:t>
            </w:r>
          </w:p>
        </w:tc>
        <w:tc>
          <w:tcPr>
            <w:tcW w:w="371" w:type="pct"/>
            <w:tcBorders>
              <w:top w:val="single" w:sz="4" w:space="0" w:color="auto"/>
              <w:left w:val="single" w:sz="4" w:space="0" w:color="auto"/>
              <w:bottom w:val="single" w:sz="4" w:space="0" w:color="auto"/>
              <w:right w:val="single" w:sz="4" w:space="0" w:color="auto"/>
            </w:tcBorders>
            <w:shd w:val="clear" w:color="000000" w:fill="FCF0F2"/>
            <w:noWrap/>
            <w:vAlign w:val="bottom"/>
            <w:hideMark/>
          </w:tcPr>
          <w:p w:rsidR="003F2AA0" w:rsidRPr="003F2AA0" w:rsidRDefault="003F2AA0" w:rsidP="003F2AA0">
            <w:pPr>
              <w:spacing w:before="0"/>
              <w:jc w:val="right"/>
              <w:rPr>
                <w:sz w:val="16"/>
                <w:szCs w:val="16"/>
              </w:rPr>
            </w:pPr>
            <w:r w:rsidRPr="003F2AA0">
              <w:rPr>
                <w:sz w:val="16"/>
                <w:szCs w:val="16"/>
              </w:rPr>
              <w:t>9,46</w:t>
            </w:r>
          </w:p>
        </w:tc>
        <w:tc>
          <w:tcPr>
            <w:tcW w:w="371" w:type="pct"/>
            <w:tcBorders>
              <w:top w:val="single" w:sz="4" w:space="0" w:color="auto"/>
              <w:left w:val="single" w:sz="4" w:space="0" w:color="auto"/>
              <w:bottom w:val="single" w:sz="4" w:space="0" w:color="auto"/>
              <w:right w:val="single" w:sz="4" w:space="0" w:color="auto"/>
            </w:tcBorders>
            <w:shd w:val="clear" w:color="000000" w:fill="FCEDF0"/>
            <w:noWrap/>
            <w:vAlign w:val="bottom"/>
            <w:hideMark/>
          </w:tcPr>
          <w:p w:rsidR="003F2AA0" w:rsidRPr="003F2AA0" w:rsidRDefault="003F2AA0" w:rsidP="003F2AA0">
            <w:pPr>
              <w:spacing w:before="0"/>
              <w:jc w:val="right"/>
              <w:rPr>
                <w:sz w:val="16"/>
                <w:szCs w:val="16"/>
              </w:rPr>
            </w:pPr>
            <w:r w:rsidRPr="003F2AA0">
              <w:rPr>
                <w:sz w:val="16"/>
                <w:szCs w:val="16"/>
              </w:rPr>
              <w:t>10,94</w:t>
            </w:r>
          </w:p>
        </w:tc>
        <w:tc>
          <w:tcPr>
            <w:tcW w:w="371"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3F2AA0" w:rsidRPr="003F2AA0" w:rsidRDefault="003F2AA0" w:rsidP="003F2AA0">
            <w:pPr>
              <w:spacing w:before="0"/>
              <w:jc w:val="right"/>
              <w:rPr>
                <w:sz w:val="16"/>
                <w:szCs w:val="16"/>
              </w:rPr>
            </w:pPr>
            <w:r w:rsidRPr="003F2AA0">
              <w:rPr>
                <w:sz w:val="16"/>
                <w:szCs w:val="16"/>
              </w:rPr>
              <w:t>9,17</w:t>
            </w:r>
          </w:p>
        </w:tc>
        <w:tc>
          <w:tcPr>
            <w:tcW w:w="371"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3F2AA0" w:rsidRPr="003F2AA0" w:rsidRDefault="003F2AA0" w:rsidP="003F2AA0">
            <w:pPr>
              <w:spacing w:before="0"/>
              <w:jc w:val="right"/>
              <w:rPr>
                <w:sz w:val="16"/>
                <w:szCs w:val="16"/>
              </w:rPr>
            </w:pPr>
            <w:r w:rsidRPr="003F2AA0">
              <w:rPr>
                <w:sz w:val="16"/>
                <w:szCs w:val="16"/>
              </w:rPr>
              <w:t>9,40</w:t>
            </w:r>
          </w:p>
        </w:tc>
      </w:tr>
      <w:tr w:rsidR="003F2AA0" w:rsidRPr="003F2AA0" w:rsidTr="003F2AA0">
        <w:trPr>
          <w:trHeight w:val="227"/>
        </w:trPr>
        <w:tc>
          <w:tcPr>
            <w:tcW w:w="973" w:type="pct"/>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Plzeňský</w:t>
            </w:r>
          </w:p>
        </w:tc>
        <w:tc>
          <w:tcPr>
            <w:tcW w:w="318" w:type="pct"/>
            <w:tcBorders>
              <w:top w:val="single" w:sz="4" w:space="0" w:color="auto"/>
              <w:left w:val="single" w:sz="4" w:space="0" w:color="auto"/>
              <w:bottom w:val="single" w:sz="4" w:space="0" w:color="auto"/>
              <w:right w:val="single" w:sz="4" w:space="0" w:color="auto"/>
            </w:tcBorders>
            <w:shd w:val="clear" w:color="000000" w:fill="FCEDF0"/>
            <w:noWrap/>
            <w:vAlign w:val="bottom"/>
            <w:hideMark/>
          </w:tcPr>
          <w:p w:rsidR="003F2AA0" w:rsidRPr="003F2AA0" w:rsidRDefault="003F2AA0" w:rsidP="003F2AA0">
            <w:pPr>
              <w:spacing w:before="0"/>
              <w:jc w:val="right"/>
              <w:rPr>
                <w:sz w:val="16"/>
                <w:szCs w:val="16"/>
              </w:rPr>
            </w:pPr>
            <w:r w:rsidRPr="003F2AA0">
              <w:rPr>
                <w:sz w:val="16"/>
                <w:szCs w:val="16"/>
              </w:rPr>
              <w:t>10,79</w:t>
            </w:r>
          </w:p>
        </w:tc>
        <w:tc>
          <w:tcPr>
            <w:tcW w:w="371" w:type="pct"/>
            <w:tcBorders>
              <w:top w:val="single" w:sz="4" w:space="0" w:color="auto"/>
              <w:left w:val="single" w:sz="4" w:space="0" w:color="auto"/>
              <w:bottom w:val="single" w:sz="4" w:space="0" w:color="auto"/>
              <w:right w:val="single" w:sz="4" w:space="0" w:color="auto"/>
            </w:tcBorders>
            <w:shd w:val="clear" w:color="000000" w:fill="FCEEF1"/>
            <w:noWrap/>
            <w:vAlign w:val="bottom"/>
            <w:hideMark/>
          </w:tcPr>
          <w:p w:rsidR="003F2AA0" w:rsidRPr="003F2AA0" w:rsidRDefault="003F2AA0" w:rsidP="003F2AA0">
            <w:pPr>
              <w:spacing w:before="0"/>
              <w:jc w:val="right"/>
              <w:rPr>
                <w:sz w:val="16"/>
                <w:szCs w:val="16"/>
              </w:rPr>
            </w:pPr>
            <w:r w:rsidRPr="003F2AA0">
              <w:rPr>
                <w:sz w:val="16"/>
                <w:szCs w:val="16"/>
              </w:rPr>
              <w:t>10,14</w:t>
            </w:r>
          </w:p>
        </w:tc>
        <w:tc>
          <w:tcPr>
            <w:tcW w:w="371"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3F2AA0" w:rsidRPr="003F2AA0" w:rsidRDefault="003F2AA0" w:rsidP="003F2AA0">
            <w:pPr>
              <w:spacing w:before="0"/>
              <w:jc w:val="right"/>
              <w:rPr>
                <w:sz w:val="16"/>
                <w:szCs w:val="16"/>
              </w:rPr>
            </w:pPr>
            <w:r w:rsidRPr="003F2AA0">
              <w:rPr>
                <w:sz w:val="16"/>
                <w:szCs w:val="16"/>
              </w:rPr>
              <w:t>8,29</w:t>
            </w:r>
          </w:p>
        </w:tc>
        <w:tc>
          <w:tcPr>
            <w:tcW w:w="371"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3F2AA0" w:rsidRPr="003F2AA0" w:rsidRDefault="003F2AA0" w:rsidP="003F2AA0">
            <w:pPr>
              <w:spacing w:before="0"/>
              <w:jc w:val="right"/>
              <w:rPr>
                <w:sz w:val="16"/>
                <w:szCs w:val="16"/>
              </w:rPr>
            </w:pPr>
            <w:r w:rsidRPr="003F2AA0">
              <w:rPr>
                <w:sz w:val="16"/>
                <w:szCs w:val="16"/>
              </w:rPr>
              <w:t>8,34</w:t>
            </w:r>
          </w:p>
        </w:tc>
        <w:tc>
          <w:tcPr>
            <w:tcW w:w="371"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3F2AA0" w:rsidRPr="003F2AA0" w:rsidRDefault="003F2AA0" w:rsidP="003F2AA0">
            <w:pPr>
              <w:spacing w:before="0"/>
              <w:jc w:val="right"/>
              <w:rPr>
                <w:sz w:val="16"/>
                <w:szCs w:val="16"/>
              </w:rPr>
            </w:pPr>
            <w:r w:rsidRPr="003F2AA0">
              <w:rPr>
                <w:sz w:val="16"/>
                <w:szCs w:val="16"/>
              </w:rPr>
              <w:t>8,36</w:t>
            </w:r>
          </w:p>
        </w:tc>
        <w:tc>
          <w:tcPr>
            <w:tcW w:w="371" w:type="pct"/>
            <w:tcBorders>
              <w:top w:val="single" w:sz="4" w:space="0" w:color="auto"/>
              <w:left w:val="single" w:sz="4" w:space="0" w:color="auto"/>
              <w:bottom w:val="single" w:sz="4" w:space="0" w:color="auto"/>
              <w:right w:val="single" w:sz="4" w:space="0" w:color="auto"/>
            </w:tcBorders>
            <w:shd w:val="clear" w:color="000000" w:fill="FCF2F5"/>
            <w:noWrap/>
            <w:vAlign w:val="bottom"/>
            <w:hideMark/>
          </w:tcPr>
          <w:p w:rsidR="003F2AA0" w:rsidRPr="003F2AA0" w:rsidRDefault="003F2AA0" w:rsidP="003F2AA0">
            <w:pPr>
              <w:spacing w:before="0"/>
              <w:jc w:val="right"/>
              <w:rPr>
                <w:sz w:val="16"/>
                <w:szCs w:val="16"/>
              </w:rPr>
            </w:pPr>
            <w:r w:rsidRPr="003F2AA0">
              <w:rPr>
                <w:sz w:val="16"/>
                <w:szCs w:val="16"/>
              </w:rPr>
              <w:t>8,32</w:t>
            </w:r>
          </w:p>
        </w:tc>
        <w:tc>
          <w:tcPr>
            <w:tcW w:w="371" w:type="pct"/>
            <w:tcBorders>
              <w:top w:val="single" w:sz="4" w:space="0" w:color="auto"/>
              <w:left w:val="single" w:sz="4" w:space="0" w:color="auto"/>
              <w:bottom w:val="single" w:sz="4" w:space="0" w:color="auto"/>
              <w:right w:val="single" w:sz="4" w:space="0" w:color="auto"/>
            </w:tcBorders>
            <w:shd w:val="clear" w:color="000000" w:fill="FCF1F4"/>
            <w:noWrap/>
            <w:vAlign w:val="bottom"/>
            <w:hideMark/>
          </w:tcPr>
          <w:p w:rsidR="003F2AA0" w:rsidRPr="003F2AA0" w:rsidRDefault="003F2AA0" w:rsidP="003F2AA0">
            <w:pPr>
              <w:spacing w:before="0"/>
              <w:jc w:val="right"/>
              <w:rPr>
                <w:sz w:val="16"/>
                <w:szCs w:val="16"/>
              </w:rPr>
            </w:pPr>
            <w:r w:rsidRPr="003F2AA0">
              <w:rPr>
                <w:sz w:val="16"/>
                <w:szCs w:val="16"/>
              </w:rPr>
              <w:t>8,52</w:t>
            </w:r>
          </w:p>
        </w:tc>
        <w:tc>
          <w:tcPr>
            <w:tcW w:w="371"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3F2AA0" w:rsidRPr="003F2AA0" w:rsidRDefault="003F2AA0" w:rsidP="003F2AA0">
            <w:pPr>
              <w:spacing w:before="0"/>
              <w:jc w:val="right"/>
              <w:rPr>
                <w:sz w:val="16"/>
                <w:szCs w:val="16"/>
              </w:rPr>
            </w:pPr>
            <w:r w:rsidRPr="003F2AA0">
              <w:rPr>
                <w:sz w:val="16"/>
                <w:szCs w:val="16"/>
              </w:rPr>
              <w:t>9,04</w:t>
            </w:r>
          </w:p>
        </w:tc>
        <w:tc>
          <w:tcPr>
            <w:tcW w:w="371" w:type="pct"/>
            <w:tcBorders>
              <w:top w:val="single" w:sz="4" w:space="0" w:color="auto"/>
              <w:left w:val="single" w:sz="4" w:space="0" w:color="auto"/>
              <w:bottom w:val="single" w:sz="4" w:space="0" w:color="auto"/>
              <w:right w:val="single" w:sz="4" w:space="0" w:color="auto"/>
            </w:tcBorders>
            <w:shd w:val="clear" w:color="000000" w:fill="FCEFF2"/>
            <w:noWrap/>
            <w:vAlign w:val="bottom"/>
            <w:hideMark/>
          </w:tcPr>
          <w:p w:rsidR="003F2AA0" w:rsidRPr="003F2AA0" w:rsidRDefault="003F2AA0" w:rsidP="003F2AA0">
            <w:pPr>
              <w:spacing w:before="0"/>
              <w:jc w:val="right"/>
              <w:rPr>
                <w:sz w:val="16"/>
                <w:szCs w:val="16"/>
              </w:rPr>
            </w:pPr>
            <w:r w:rsidRPr="003F2AA0">
              <w:rPr>
                <w:sz w:val="16"/>
                <w:szCs w:val="16"/>
              </w:rPr>
              <w:t>9,62</w:t>
            </w:r>
          </w:p>
        </w:tc>
        <w:tc>
          <w:tcPr>
            <w:tcW w:w="371"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3F2AA0" w:rsidRPr="003F2AA0" w:rsidRDefault="003F2AA0" w:rsidP="003F2AA0">
            <w:pPr>
              <w:spacing w:before="0"/>
              <w:jc w:val="right"/>
              <w:rPr>
                <w:sz w:val="16"/>
                <w:szCs w:val="16"/>
              </w:rPr>
            </w:pPr>
            <w:r w:rsidRPr="003F2AA0">
              <w:rPr>
                <w:sz w:val="16"/>
                <w:szCs w:val="16"/>
              </w:rPr>
              <w:t>9,25</w:t>
            </w:r>
          </w:p>
        </w:tc>
        <w:tc>
          <w:tcPr>
            <w:tcW w:w="371" w:type="pct"/>
            <w:tcBorders>
              <w:top w:val="single" w:sz="4" w:space="0" w:color="auto"/>
              <w:left w:val="single" w:sz="4" w:space="0" w:color="auto"/>
              <w:bottom w:val="single" w:sz="4" w:space="0" w:color="auto"/>
              <w:right w:val="single" w:sz="4" w:space="0" w:color="auto"/>
            </w:tcBorders>
            <w:shd w:val="clear" w:color="000000" w:fill="FCF0F3"/>
            <w:noWrap/>
            <w:vAlign w:val="bottom"/>
            <w:hideMark/>
          </w:tcPr>
          <w:p w:rsidR="003F2AA0" w:rsidRPr="003F2AA0" w:rsidRDefault="003F2AA0" w:rsidP="003F2AA0">
            <w:pPr>
              <w:spacing w:before="0"/>
              <w:jc w:val="right"/>
              <w:rPr>
                <w:sz w:val="16"/>
                <w:szCs w:val="16"/>
              </w:rPr>
            </w:pPr>
            <w:r w:rsidRPr="003F2AA0">
              <w:rPr>
                <w:sz w:val="16"/>
                <w:szCs w:val="16"/>
              </w:rPr>
              <w:t>9,11</w:t>
            </w:r>
          </w:p>
        </w:tc>
      </w:tr>
      <w:tr w:rsidR="003F2AA0" w:rsidRPr="003F2AA0" w:rsidTr="003F2AA0">
        <w:trPr>
          <w:trHeight w:val="227"/>
        </w:trPr>
        <w:tc>
          <w:tcPr>
            <w:tcW w:w="973" w:type="pct"/>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Karlovarský</w:t>
            </w:r>
          </w:p>
        </w:tc>
        <w:tc>
          <w:tcPr>
            <w:tcW w:w="318" w:type="pct"/>
            <w:tcBorders>
              <w:top w:val="single" w:sz="4" w:space="0" w:color="auto"/>
              <w:left w:val="single" w:sz="4" w:space="0" w:color="auto"/>
              <w:bottom w:val="single" w:sz="4" w:space="0" w:color="auto"/>
              <w:right w:val="single" w:sz="4" w:space="0" w:color="auto"/>
            </w:tcBorders>
            <w:shd w:val="clear" w:color="000000" w:fill="6894CB"/>
            <w:noWrap/>
            <w:vAlign w:val="bottom"/>
            <w:hideMark/>
          </w:tcPr>
          <w:p w:rsidR="003F2AA0" w:rsidRPr="003F2AA0" w:rsidRDefault="003F2AA0" w:rsidP="003F2AA0">
            <w:pPr>
              <w:spacing w:before="0"/>
              <w:jc w:val="right"/>
              <w:rPr>
                <w:sz w:val="16"/>
                <w:szCs w:val="16"/>
              </w:rPr>
            </w:pPr>
            <w:r w:rsidRPr="003F2AA0">
              <w:rPr>
                <w:sz w:val="16"/>
                <w:szCs w:val="16"/>
              </w:rPr>
              <w:t>0,28</w:t>
            </w:r>
          </w:p>
        </w:tc>
        <w:tc>
          <w:tcPr>
            <w:tcW w:w="371" w:type="pct"/>
            <w:tcBorders>
              <w:top w:val="single" w:sz="4" w:space="0" w:color="auto"/>
              <w:left w:val="single" w:sz="4" w:space="0" w:color="auto"/>
              <w:bottom w:val="single" w:sz="4" w:space="0" w:color="auto"/>
              <w:right w:val="single" w:sz="4" w:space="0" w:color="auto"/>
            </w:tcBorders>
            <w:shd w:val="clear" w:color="000000" w:fill="6491C9"/>
            <w:noWrap/>
            <w:vAlign w:val="bottom"/>
            <w:hideMark/>
          </w:tcPr>
          <w:p w:rsidR="003F2AA0" w:rsidRPr="003F2AA0" w:rsidRDefault="003F2AA0" w:rsidP="003F2AA0">
            <w:pPr>
              <w:spacing w:before="0"/>
              <w:jc w:val="right"/>
              <w:rPr>
                <w:sz w:val="16"/>
                <w:szCs w:val="16"/>
              </w:rPr>
            </w:pPr>
            <w:r w:rsidRPr="003F2AA0">
              <w:rPr>
                <w:sz w:val="16"/>
                <w:szCs w:val="16"/>
              </w:rPr>
              <w:t>0,20</w:t>
            </w:r>
          </w:p>
        </w:tc>
        <w:tc>
          <w:tcPr>
            <w:tcW w:w="371" w:type="pct"/>
            <w:tcBorders>
              <w:top w:val="single" w:sz="4" w:space="0" w:color="auto"/>
              <w:left w:val="single" w:sz="4" w:space="0" w:color="auto"/>
              <w:bottom w:val="single" w:sz="4" w:space="0" w:color="auto"/>
              <w:right w:val="single" w:sz="4" w:space="0" w:color="auto"/>
            </w:tcBorders>
            <w:shd w:val="clear" w:color="000000" w:fill="608EC8"/>
            <w:noWrap/>
            <w:vAlign w:val="bottom"/>
            <w:hideMark/>
          </w:tcPr>
          <w:p w:rsidR="003F2AA0" w:rsidRPr="003F2AA0" w:rsidRDefault="003F2AA0" w:rsidP="003F2AA0">
            <w:pPr>
              <w:spacing w:before="0"/>
              <w:jc w:val="right"/>
              <w:rPr>
                <w:sz w:val="16"/>
                <w:szCs w:val="16"/>
              </w:rPr>
            </w:pPr>
            <w:r w:rsidRPr="003F2AA0">
              <w:rPr>
                <w:sz w:val="16"/>
                <w:szCs w:val="16"/>
              </w:rPr>
              <w:t>0,14</w:t>
            </w:r>
          </w:p>
        </w:tc>
        <w:tc>
          <w:tcPr>
            <w:tcW w:w="371" w:type="pct"/>
            <w:tcBorders>
              <w:top w:val="single" w:sz="4" w:space="0" w:color="auto"/>
              <w:left w:val="single" w:sz="4" w:space="0" w:color="auto"/>
              <w:bottom w:val="single" w:sz="4" w:space="0" w:color="auto"/>
              <w:right w:val="single" w:sz="4" w:space="0" w:color="auto"/>
            </w:tcBorders>
            <w:shd w:val="clear" w:color="000000" w:fill="628FC8"/>
            <w:noWrap/>
            <w:vAlign w:val="bottom"/>
            <w:hideMark/>
          </w:tcPr>
          <w:p w:rsidR="003F2AA0" w:rsidRPr="003F2AA0" w:rsidRDefault="003F2AA0" w:rsidP="003F2AA0">
            <w:pPr>
              <w:spacing w:before="0"/>
              <w:jc w:val="right"/>
              <w:rPr>
                <w:sz w:val="16"/>
                <w:szCs w:val="16"/>
              </w:rPr>
            </w:pPr>
            <w:r w:rsidRPr="003F2AA0">
              <w:rPr>
                <w:sz w:val="16"/>
                <w:szCs w:val="16"/>
              </w:rPr>
              <w:t>0,16</w:t>
            </w:r>
          </w:p>
        </w:tc>
        <w:tc>
          <w:tcPr>
            <w:tcW w:w="371" w:type="pct"/>
            <w:tcBorders>
              <w:top w:val="single" w:sz="4" w:space="0" w:color="auto"/>
              <w:left w:val="single" w:sz="4" w:space="0" w:color="auto"/>
              <w:bottom w:val="single" w:sz="4" w:space="0" w:color="auto"/>
              <w:right w:val="single" w:sz="4" w:space="0" w:color="auto"/>
            </w:tcBorders>
            <w:shd w:val="clear" w:color="000000" w:fill="6B96CC"/>
            <w:noWrap/>
            <w:vAlign w:val="bottom"/>
            <w:hideMark/>
          </w:tcPr>
          <w:p w:rsidR="003F2AA0" w:rsidRPr="003F2AA0" w:rsidRDefault="003F2AA0" w:rsidP="003F2AA0">
            <w:pPr>
              <w:spacing w:before="0"/>
              <w:jc w:val="right"/>
              <w:rPr>
                <w:sz w:val="16"/>
                <w:szCs w:val="16"/>
              </w:rPr>
            </w:pPr>
            <w:r w:rsidRPr="003F2AA0">
              <w:rPr>
                <w:sz w:val="16"/>
                <w:szCs w:val="16"/>
              </w:rPr>
              <w:t>0,33</w:t>
            </w:r>
          </w:p>
        </w:tc>
        <w:tc>
          <w:tcPr>
            <w:tcW w:w="371" w:type="pct"/>
            <w:tcBorders>
              <w:top w:val="single" w:sz="4" w:space="0" w:color="auto"/>
              <w:left w:val="single" w:sz="4" w:space="0" w:color="auto"/>
              <w:bottom w:val="single" w:sz="4" w:space="0" w:color="auto"/>
              <w:right w:val="single" w:sz="4" w:space="0" w:color="auto"/>
            </w:tcBorders>
            <w:shd w:val="clear" w:color="000000" w:fill="729BCE"/>
            <w:noWrap/>
            <w:vAlign w:val="bottom"/>
            <w:hideMark/>
          </w:tcPr>
          <w:p w:rsidR="003F2AA0" w:rsidRPr="003F2AA0" w:rsidRDefault="003F2AA0" w:rsidP="003F2AA0">
            <w:pPr>
              <w:spacing w:before="0"/>
              <w:jc w:val="right"/>
              <w:rPr>
                <w:sz w:val="16"/>
                <w:szCs w:val="16"/>
              </w:rPr>
            </w:pPr>
            <w:r w:rsidRPr="003F2AA0">
              <w:rPr>
                <w:sz w:val="16"/>
                <w:szCs w:val="16"/>
              </w:rPr>
              <w:t>0,44</w:t>
            </w:r>
          </w:p>
        </w:tc>
        <w:tc>
          <w:tcPr>
            <w:tcW w:w="371" w:type="pct"/>
            <w:tcBorders>
              <w:top w:val="single" w:sz="4" w:space="0" w:color="auto"/>
              <w:left w:val="single" w:sz="4" w:space="0" w:color="auto"/>
              <w:bottom w:val="single" w:sz="4" w:space="0" w:color="auto"/>
              <w:right w:val="single" w:sz="4" w:space="0" w:color="auto"/>
            </w:tcBorders>
            <w:shd w:val="clear" w:color="000000" w:fill="789FD0"/>
            <w:noWrap/>
            <w:vAlign w:val="bottom"/>
            <w:hideMark/>
          </w:tcPr>
          <w:p w:rsidR="003F2AA0" w:rsidRPr="003F2AA0" w:rsidRDefault="003F2AA0" w:rsidP="003F2AA0">
            <w:pPr>
              <w:spacing w:before="0"/>
              <w:jc w:val="right"/>
              <w:rPr>
                <w:sz w:val="16"/>
                <w:szCs w:val="16"/>
              </w:rPr>
            </w:pPr>
            <w:r w:rsidRPr="003F2AA0">
              <w:rPr>
                <w:sz w:val="16"/>
                <w:szCs w:val="16"/>
              </w:rPr>
              <w:t>0,54</w:t>
            </w:r>
          </w:p>
        </w:tc>
        <w:tc>
          <w:tcPr>
            <w:tcW w:w="371" w:type="pct"/>
            <w:tcBorders>
              <w:top w:val="single" w:sz="4" w:space="0" w:color="auto"/>
              <w:left w:val="single" w:sz="4" w:space="0" w:color="auto"/>
              <w:bottom w:val="single" w:sz="4" w:space="0" w:color="auto"/>
              <w:right w:val="single" w:sz="4" w:space="0" w:color="auto"/>
            </w:tcBorders>
            <w:shd w:val="clear" w:color="000000" w:fill="789FD0"/>
            <w:noWrap/>
            <w:vAlign w:val="bottom"/>
            <w:hideMark/>
          </w:tcPr>
          <w:p w:rsidR="003F2AA0" w:rsidRPr="003F2AA0" w:rsidRDefault="003F2AA0" w:rsidP="003F2AA0">
            <w:pPr>
              <w:spacing w:before="0"/>
              <w:jc w:val="right"/>
              <w:rPr>
                <w:sz w:val="16"/>
                <w:szCs w:val="16"/>
              </w:rPr>
            </w:pPr>
            <w:r w:rsidRPr="003F2AA0">
              <w:rPr>
                <w:sz w:val="16"/>
                <w:szCs w:val="16"/>
              </w:rPr>
              <w:t>0,54</w:t>
            </w:r>
          </w:p>
        </w:tc>
        <w:tc>
          <w:tcPr>
            <w:tcW w:w="371" w:type="pct"/>
            <w:tcBorders>
              <w:top w:val="single" w:sz="4" w:space="0" w:color="auto"/>
              <w:left w:val="single" w:sz="4" w:space="0" w:color="auto"/>
              <w:bottom w:val="single" w:sz="4" w:space="0" w:color="auto"/>
              <w:right w:val="single" w:sz="4" w:space="0" w:color="auto"/>
            </w:tcBorders>
            <w:shd w:val="clear" w:color="000000" w:fill="6F98CD"/>
            <w:noWrap/>
            <w:vAlign w:val="bottom"/>
            <w:hideMark/>
          </w:tcPr>
          <w:p w:rsidR="003F2AA0" w:rsidRPr="003F2AA0" w:rsidRDefault="003F2AA0" w:rsidP="003F2AA0">
            <w:pPr>
              <w:spacing w:before="0"/>
              <w:jc w:val="right"/>
              <w:rPr>
                <w:sz w:val="16"/>
                <w:szCs w:val="16"/>
              </w:rPr>
            </w:pPr>
            <w:r w:rsidRPr="003F2AA0">
              <w:rPr>
                <w:sz w:val="16"/>
                <w:szCs w:val="16"/>
              </w:rPr>
              <w:t>0,38</w:t>
            </w:r>
          </w:p>
        </w:tc>
        <w:tc>
          <w:tcPr>
            <w:tcW w:w="371" w:type="pct"/>
            <w:tcBorders>
              <w:top w:val="single" w:sz="4" w:space="0" w:color="auto"/>
              <w:left w:val="single" w:sz="4" w:space="0" w:color="auto"/>
              <w:bottom w:val="single" w:sz="4" w:space="0" w:color="auto"/>
              <w:right w:val="single" w:sz="4" w:space="0" w:color="auto"/>
            </w:tcBorders>
            <w:shd w:val="clear" w:color="000000" w:fill="628FC8"/>
            <w:noWrap/>
            <w:vAlign w:val="bottom"/>
            <w:hideMark/>
          </w:tcPr>
          <w:p w:rsidR="003F2AA0" w:rsidRPr="003F2AA0" w:rsidRDefault="003F2AA0" w:rsidP="003F2AA0">
            <w:pPr>
              <w:spacing w:before="0"/>
              <w:jc w:val="right"/>
              <w:rPr>
                <w:sz w:val="16"/>
                <w:szCs w:val="16"/>
              </w:rPr>
            </w:pPr>
            <w:r w:rsidRPr="003F2AA0">
              <w:rPr>
                <w:sz w:val="16"/>
                <w:szCs w:val="16"/>
              </w:rPr>
              <w:t>0,16</w:t>
            </w:r>
          </w:p>
        </w:tc>
        <w:tc>
          <w:tcPr>
            <w:tcW w:w="371" w:type="pct"/>
            <w:tcBorders>
              <w:top w:val="single" w:sz="4" w:space="0" w:color="auto"/>
              <w:left w:val="single" w:sz="4" w:space="0" w:color="auto"/>
              <w:bottom w:val="single" w:sz="4" w:space="0" w:color="auto"/>
              <w:right w:val="single" w:sz="4" w:space="0" w:color="auto"/>
            </w:tcBorders>
            <w:shd w:val="clear" w:color="000000" w:fill="5F8DC7"/>
            <w:noWrap/>
            <w:vAlign w:val="bottom"/>
            <w:hideMark/>
          </w:tcPr>
          <w:p w:rsidR="003F2AA0" w:rsidRPr="003F2AA0" w:rsidRDefault="003F2AA0" w:rsidP="003F2AA0">
            <w:pPr>
              <w:spacing w:before="0"/>
              <w:jc w:val="right"/>
              <w:rPr>
                <w:sz w:val="16"/>
                <w:szCs w:val="16"/>
              </w:rPr>
            </w:pPr>
            <w:r w:rsidRPr="003F2AA0">
              <w:rPr>
                <w:sz w:val="16"/>
                <w:szCs w:val="16"/>
              </w:rPr>
              <w:t>0,11</w:t>
            </w:r>
          </w:p>
        </w:tc>
      </w:tr>
      <w:tr w:rsidR="003F2AA0" w:rsidRPr="003F2AA0" w:rsidTr="003F2AA0">
        <w:trPr>
          <w:trHeight w:val="227"/>
        </w:trPr>
        <w:tc>
          <w:tcPr>
            <w:tcW w:w="973" w:type="pct"/>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Ústecký</w:t>
            </w:r>
          </w:p>
        </w:tc>
        <w:tc>
          <w:tcPr>
            <w:tcW w:w="318" w:type="pct"/>
            <w:tcBorders>
              <w:top w:val="single" w:sz="4" w:space="0" w:color="auto"/>
              <w:left w:val="single" w:sz="4" w:space="0" w:color="auto"/>
              <w:bottom w:val="single" w:sz="4" w:space="0" w:color="auto"/>
              <w:right w:val="single" w:sz="4" w:space="0" w:color="auto"/>
            </w:tcBorders>
            <w:shd w:val="clear" w:color="000000" w:fill="DDE6F4"/>
            <w:noWrap/>
            <w:vAlign w:val="bottom"/>
            <w:hideMark/>
          </w:tcPr>
          <w:p w:rsidR="003F2AA0" w:rsidRPr="003F2AA0" w:rsidRDefault="003F2AA0" w:rsidP="003F2AA0">
            <w:pPr>
              <w:spacing w:before="0"/>
              <w:jc w:val="right"/>
              <w:rPr>
                <w:sz w:val="16"/>
                <w:szCs w:val="16"/>
              </w:rPr>
            </w:pPr>
            <w:r w:rsidRPr="003F2AA0">
              <w:rPr>
                <w:sz w:val="16"/>
                <w:szCs w:val="16"/>
              </w:rPr>
              <w:t>2,23</w:t>
            </w:r>
          </w:p>
        </w:tc>
        <w:tc>
          <w:tcPr>
            <w:tcW w:w="371" w:type="pct"/>
            <w:tcBorders>
              <w:top w:val="single" w:sz="4" w:space="0" w:color="auto"/>
              <w:left w:val="single" w:sz="4" w:space="0" w:color="auto"/>
              <w:bottom w:val="single" w:sz="4" w:space="0" w:color="auto"/>
              <w:right w:val="single" w:sz="4" w:space="0" w:color="auto"/>
            </w:tcBorders>
            <w:shd w:val="clear" w:color="000000" w:fill="EAEFF8"/>
            <w:noWrap/>
            <w:vAlign w:val="bottom"/>
            <w:hideMark/>
          </w:tcPr>
          <w:p w:rsidR="003F2AA0" w:rsidRPr="003F2AA0" w:rsidRDefault="003F2AA0" w:rsidP="003F2AA0">
            <w:pPr>
              <w:spacing w:before="0"/>
              <w:jc w:val="right"/>
              <w:rPr>
                <w:sz w:val="16"/>
                <w:szCs w:val="16"/>
              </w:rPr>
            </w:pPr>
            <w:r w:rsidRPr="003F2AA0">
              <w:rPr>
                <w:sz w:val="16"/>
                <w:szCs w:val="16"/>
              </w:rPr>
              <w:t>2,45</w:t>
            </w:r>
          </w:p>
        </w:tc>
        <w:tc>
          <w:tcPr>
            <w:tcW w:w="371" w:type="pct"/>
            <w:tcBorders>
              <w:top w:val="single" w:sz="4" w:space="0" w:color="auto"/>
              <w:left w:val="single" w:sz="4" w:space="0" w:color="auto"/>
              <w:bottom w:val="single" w:sz="4" w:space="0" w:color="auto"/>
              <w:right w:val="single" w:sz="4" w:space="0" w:color="auto"/>
            </w:tcBorders>
            <w:shd w:val="clear" w:color="000000" w:fill="C2D3EA"/>
            <w:noWrap/>
            <w:vAlign w:val="bottom"/>
            <w:hideMark/>
          </w:tcPr>
          <w:p w:rsidR="003F2AA0" w:rsidRPr="003F2AA0" w:rsidRDefault="003F2AA0" w:rsidP="003F2AA0">
            <w:pPr>
              <w:spacing w:before="0"/>
              <w:jc w:val="right"/>
              <w:rPr>
                <w:sz w:val="16"/>
                <w:szCs w:val="16"/>
              </w:rPr>
            </w:pPr>
            <w:r w:rsidRPr="003F2AA0">
              <w:rPr>
                <w:sz w:val="16"/>
                <w:szCs w:val="16"/>
              </w:rPr>
              <w:t>1,78</w:t>
            </w:r>
          </w:p>
        </w:tc>
        <w:tc>
          <w:tcPr>
            <w:tcW w:w="371" w:type="pct"/>
            <w:tcBorders>
              <w:top w:val="single" w:sz="4" w:space="0" w:color="auto"/>
              <w:left w:val="single" w:sz="4" w:space="0" w:color="auto"/>
              <w:bottom w:val="single" w:sz="4" w:space="0" w:color="auto"/>
              <w:right w:val="single" w:sz="4" w:space="0" w:color="auto"/>
            </w:tcBorders>
            <w:shd w:val="clear" w:color="000000" w:fill="D9E4F3"/>
            <w:noWrap/>
            <w:vAlign w:val="bottom"/>
            <w:hideMark/>
          </w:tcPr>
          <w:p w:rsidR="003F2AA0" w:rsidRPr="003F2AA0" w:rsidRDefault="003F2AA0" w:rsidP="003F2AA0">
            <w:pPr>
              <w:spacing w:before="0"/>
              <w:jc w:val="right"/>
              <w:rPr>
                <w:sz w:val="16"/>
                <w:szCs w:val="16"/>
              </w:rPr>
            </w:pPr>
            <w:r w:rsidRPr="003F2AA0">
              <w:rPr>
                <w:sz w:val="16"/>
                <w:szCs w:val="16"/>
              </w:rPr>
              <w:t>2,17</w:t>
            </w:r>
          </w:p>
        </w:tc>
        <w:tc>
          <w:tcPr>
            <w:tcW w:w="371" w:type="pct"/>
            <w:tcBorders>
              <w:top w:val="single" w:sz="4" w:space="0" w:color="auto"/>
              <w:left w:val="single" w:sz="4" w:space="0" w:color="auto"/>
              <w:bottom w:val="single" w:sz="4" w:space="0" w:color="auto"/>
              <w:right w:val="single" w:sz="4" w:space="0" w:color="auto"/>
            </w:tcBorders>
            <w:shd w:val="clear" w:color="000000" w:fill="B1C7E4"/>
            <w:noWrap/>
            <w:vAlign w:val="bottom"/>
            <w:hideMark/>
          </w:tcPr>
          <w:p w:rsidR="003F2AA0" w:rsidRPr="003F2AA0" w:rsidRDefault="003F2AA0" w:rsidP="003F2AA0">
            <w:pPr>
              <w:spacing w:before="0"/>
              <w:jc w:val="right"/>
              <w:rPr>
                <w:sz w:val="16"/>
                <w:szCs w:val="16"/>
              </w:rPr>
            </w:pPr>
            <w:r w:rsidRPr="003F2AA0">
              <w:rPr>
                <w:sz w:val="16"/>
                <w:szCs w:val="16"/>
              </w:rPr>
              <w:t>1,50</w:t>
            </w:r>
          </w:p>
        </w:tc>
        <w:tc>
          <w:tcPr>
            <w:tcW w:w="371" w:type="pct"/>
            <w:tcBorders>
              <w:top w:val="single" w:sz="4" w:space="0" w:color="auto"/>
              <w:left w:val="single" w:sz="4" w:space="0" w:color="auto"/>
              <w:bottom w:val="single" w:sz="4" w:space="0" w:color="auto"/>
              <w:right w:val="single" w:sz="4" w:space="0" w:color="auto"/>
            </w:tcBorders>
            <w:shd w:val="clear" w:color="000000" w:fill="9DB9DD"/>
            <w:noWrap/>
            <w:vAlign w:val="bottom"/>
            <w:hideMark/>
          </w:tcPr>
          <w:p w:rsidR="003F2AA0" w:rsidRPr="003F2AA0" w:rsidRDefault="003F2AA0" w:rsidP="003F2AA0">
            <w:pPr>
              <w:spacing w:before="0"/>
              <w:jc w:val="right"/>
              <w:rPr>
                <w:sz w:val="16"/>
                <w:szCs w:val="16"/>
              </w:rPr>
            </w:pPr>
            <w:r w:rsidRPr="003F2AA0">
              <w:rPr>
                <w:sz w:val="16"/>
                <w:szCs w:val="16"/>
              </w:rPr>
              <w:t>1,16</w:t>
            </w:r>
          </w:p>
        </w:tc>
        <w:tc>
          <w:tcPr>
            <w:tcW w:w="371" w:type="pct"/>
            <w:tcBorders>
              <w:top w:val="single" w:sz="4" w:space="0" w:color="auto"/>
              <w:left w:val="single" w:sz="4" w:space="0" w:color="auto"/>
              <w:bottom w:val="single" w:sz="4" w:space="0" w:color="auto"/>
              <w:right w:val="single" w:sz="4" w:space="0" w:color="auto"/>
            </w:tcBorders>
            <w:shd w:val="clear" w:color="000000" w:fill="8DADD7"/>
            <w:noWrap/>
            <w:vAlign w:val="bottom"/>
            <w:hideMark/>
          </w:tcPr>
          <w:p w:rsidR="003F2AA0" w:rsidRPr="003F2AA0" w:rsidRDefault="003F2AA0" w:rsidP="003F2AA0">
            <w:pPr>
              <w:spacing w:before="0"/>
              <w:jc w:val="right"/>
              <w:rPr>
                <w:sz w:val="16"/>
                <w:szCs w:val="16"/>
              </w:rPr>
            </w:pPr>
            <w:r w:rsidRPr="003F2AA0">
              <w:rPr>
                <w:sz w:val="16"/>
                <w:szCs w:val="16"/>
              </w:rPr>
              <w:t>0,88</w:t>
            </w:r>
          </w:p>
        </w:tc>
        <w:tc>
          <w:tcPr>
            <w:tcW w:w="371" w:type="pct"/>
            <w:tcBorders>
              <w:top w:val="single" w:sz="4" w:space="0" w:color="auto"/>
              <w:left w:val="single" w:sz="4" w:space="0" w:color="auto"/>
              <w:bottom w:val="single" w:sz="4" w:space="0" w:color="auto"/>
              <w:right w:val="single" w:sz="4" w:space="0" w:color="auto"/>
            </w:tcBorders>
            <w:shd w:val="clear" w:color="000000" w:fill="7FA4D3"/>
            <w:noWrap/>
            <w:vAlign w:val="bottom"/>
            <w:hideMark/>
          </w:tcPr>
          <w:p w:rsidR="003F2AA0" w:rsidRPr="003F2AA0" w:rsidRDefault="003F2AA0" w:rsidP="003F2AA0">
            <w:pPr>
              <w:spacing w:before="0"/>
              <w:jc w:val="right"/>
              <w:rPr>
                <w:sz w:val="16"/>
                <w:szCs w:val="16"/>
              </w:rPr>
            </w:pPr>
            <w:r w:rsidRPr="003F2AA0">
              <w:rPr>
                <w:sz w:val="16"/>
                <w:szCs w:val="16"/>
              </w:rPr>
              <w:t>0,65</w:t>
            </w:r>
          </w:p>
        </w:tc>
        <w:tc>
          <w:tcPr>
            <w:tcW w:w="371" w:type="pct"/>
            <w:tcBorders>
              <w:top w:val="single" w:sz="4" w:space="0" w:color="auto"/>
              <w:left w:val="single" w:sz="4" w:space="0" w:color="auto"/>
              <w:bottom w:val="single" w:sz="4" w:space="0" w:color="auto"/>
              <w:right w:val="single" w:sz="4" w:space="0" w:color="auto"/>
            </w:tcBorders>
            <w:shd w:val="clear" w:color="000000" w:fill="98B5DB"/>
            <w:noWrap/>
            <w:vAlign w:val="bottom"/>
            <w:hideMark/>
          </w:tcPr>
          <w:p w:rsidR="003F2AA0" w:rsidRPr="003F2AA0" w:rsidRDefault="003F2AA0" w:rsidP="003F2AA0">
            <w:pPr>
              <w:spacing w:before="0"/>
              <w:jc w:val="right"/>
              <w:rPr>
                <w:sz w:val="16"/>
                <w:szCs w:val="16"/>
              </w:rPr>
            </w:pPr>
            <w:r w:rsidRPr="003F2AA0">
              <w:rPr>
                <w:sz w:val="16"/>
                <w:szCs w:val="16"/>
              </w:rPr>
              <w:t>1,07</w:t>
            </w:r>
          </w:p>
        </w:tc>
        <w:tc>
          <w:tcPr>
            <w:tcW w:w="371" w:type="pct"/>
            <w:tcBorders>
              <w:top w:val="single" w:sz="4" w:space="0" w:color="auto"/>
              <w:left w:val="single" w:sz="4" w:space="0" w:color="auto"/>
              <w:bottom w:val="single" w:sz="4" w:space="0" w:color="auto"/>
              <w:right w:val="single" w:sz="4" w:space="0" w:color="auto"/>
            </w:tcBorders>
            <w:shd w:val="clear" w:color="000000" w:fill="7DA3D2"/>
            <w:noWrap/>
            <w:vAlign w:val="bottom"/>
            <w:hideMark/>
          </w:tcPr>
          <w:p w:rsidR="003F2AA0" w:rsidRPr="003F2AA0" w:rsidRDefault="003F2AA0" w:rsidP="003F2AA0">
            <w:pPr>
              <w:spacing w:before="0"/>
              <w:jc w:val="right"/>
              <w:rPr>
                <w:sz w:val="16"/>
                <w:szCs w:val="16"/>
              </w:rPr>
            </w:pPr>
            <w:r w:rsidRPr="003F2AA0">
              <w:rPr>
                <w:sz w:val="16"/>
                <w:szCs w:val="16"/>
              </w:rPr>
              <w:t>0,62</w:t>
            </w:r>
          </w:p>
        </w:tc>
        <w:tc>
          <w:tcPr>
            <w:tcW w:w="371" w:type="pct"/>
            <w:tcBorders>
              <w:top w:val="single" w:sz="4" w:space="0" w:color="auto"/>
              <w:left w:val="single" w:sz="4" w:space="0" w:color="auto"/>
              <w:bottom w:val="single" w:sz="4" w:space="0" w:color="auto"/>
              <w:right w:val="single" w:sz="4" w:space="0" w:color="auto"/>
            </w:tcBorders>
            <w:shd w:val="clear" w:color="000000" w:fill="7AA0D1"/>
            <w:noWrap/>
            <w:vAlign w:val="bottom"/>
            <w:hideMark/>
          </w:tcPr>
          <w:p w:rsidR="003F2AA0" w:rsidRPr="003F2AA0" w:rsidRDefault="003F2AA0" w:rsidP="003F2AA0">
            <w:pPr>
              <w:spacing w:before="0"/>
              <w:jc w:val="right"/>
              <w:rPr>
                <w:sz w:val="16"/>
                <w:szCs w:val="16"/>
              </w:rPr>
            </w:pPr>
            <w:r w:rsidRPr="003F2AA0">
              <w:rPr>
                <w:sz w:val="16"/>
                <w:szCs w:val="16"/>
              </w:rPr>
              <w:t>0,56</w:t>
            </w:r>
          </w:p>
        </w:tc>
      </w:tr>
      <w:tr w:rsidR="003F2AA0" w:rsidRPr="003F2AA0" w:rsidTr="003F2AA0">
        <w:trPr>
          <w:trHeight w:val="227"/>
        </w:trPr>
        <w:tc>
          <w:tcPr>
            <w:tcW w:w="973" w:type="pct"/>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Liberecký</w:t>
            </w:r>
          </w:p>
        </w:tc>
        <w:tc>
          <w:tcPr>
            <w:tcW w:w="318" w:type="pct"/>
            <w:tcBorders>
              <w:top w:val="single" w:sz="4" w:space="0" w:color="auto"/>
              <w:left w:val="single" w:sz="4" w:space="0" w:color="auto"/>
              <w:bottom w:val="single" w:sz="4" w:space="0" w:color="auto"/>
              <w:right w:val="single" w:sz="4" w:space="0" w:color="auto"/>
            </w:tcBorders>
            <w:shd w:val="clear" w:color="000000" w:fill="8FAFD8"/>
            <w:noWrap/>
            <w:vAlign w:val="bottom"/>
            <w:hideMark/>
          </w:tcPr>
          <w:p w:rsidR="003F2AA0" w:rsidRPr="003F2AA0" w:rsidRDefault="003F2AA0" w:rsidP="003F2AA0">
            <w:pPr>
              <w:spacing w:before="0"/>
              <w:jc w:val="right"/>
              <w:rPr>
                <w:sz w:val="16"/>
                <w:szCs w:val="16"/>
              </w:rPr>
            </w:pPr>
            <w:r w:rsidRPr="003F2AA0">
              <w:rPr>
                <w:sz w:val="16"/>
                <w:szCs w:val="16"/>
              </w:rPr>
              <w:t>0,92</w:t>
            </w:r>
          </w:p>
        </w:tc>
        <w:tc>
          <w:tcPr>
            <w:tcW w:w="371" w:type="pct"/>
            <w:tcBorders>
              <w:top w:val="single" w:sz="4" w:space="0" w:color="auto"/>
              <w:left w:val="single" w:sz="4" w:space="0" w:color="auto"/>
              <w:bottom w:val="single" w:sz="4" w:space="0" w:color="auto"/>
              <w:right w:val="single" w:sz="4" w:space="0" w:color="auto"/>
            </w:tcBorders>
            <w:shd w:val="clear" w:color="000000" w:fill="90B0D9"/>
            <w:noWrap/>
            <w:vAlign w:val="bottom"/>
            <w:hideMark/>
          </w:tcPr>
          <w:p w:rsidR="003F2AA0" w:rsidRPr="003F2AA0" w:rsidRDefault="003F2AA0" w:rsidP="003F2AA0">
            <w:pPr>
              <w:spacing w:before="0"/>
              <w:jc w:val="right"/>
              <w:rPr>
                <w:sz w:val="16"/>
                <w:szCs w:val="16"/>
              </w:rPr>
            </w:pPr>
            <w:r w:rsidRPr="003F2AA0">
              <w:rPr>
                <w:sz w:val="16"/>
                <w:szCs w:val="16"/>
              </w:rPr>
              <w:t>0,94</w:t>
            </w:r>
          </w:p>
        </w:tc>
        <w:tc>
          <w:tcPr>
            <w:tcW w:w="371" w:type="pct"/>
            <w:tcBorders>
              <w:top w:val="single" w:sz="4" w:space="0" w:color="auto"/>
              <w:left w:val="single" w:sz="4" w:space="0" w:color="auto"/>
              <w:bottom w:val="single" w:sz="4" w:space="0" w:color="auto"/>
              <w:right w:val="single" w:sz="4" w:space="0" w:color="auto"/>
            </w:tcBorders>
            <w:shd w:val="clear" w:color="000000" w:fill="8BADD7"/>
            <w:noWrap/>
            <w:vAlign w:val="bottom"/>
            <w:hideMark/>
          </w:tcPr>
          <w:p w:rsidR="003F2AA0" w:rsidRPr="003F2AA0" w:rsidRDefault="003F2AA0" w:rsidP="003F2AA0">
            <w:pPr>
              <w:spacing w:before="0"/>
              <w:jc w:val="right"/>
              <w:rPr>
                <w:sz w:val="16"/>
                <w:szCs w:val="16"/>
              </w:rPr>
            </w:pPr>
            <w:r w:rsidRPr="003F2AA0">
              <w:rPr>
                <w:sz w:val="16"/>
                <w:szCs w:val="16"/>
              </w:rPr>
              <w:t>0,86</w:t>
            </w:r>
          </w:p>
        </w:tc>
        <w:tc>
          <w:tcPr>
            <w:tcW w:w="371" w:type="pct"/>
            <w:tcBorders>
              <w:top w:val="single" w:sz="4" w:space="0" w:color="auto"/>
              <w:left w:val="single" w:sz="4" w:space="0" w:color="auto"/>
              <w:bottom w:val="single" w:sz="4" w:space="0" w:color="auto"/>
              <w:right w:val="single" w:sz="4" w:space="0" w:color="auto"/>
            </w:tcBorders>
            <w:shd w:val="clear" w:color="000000" w:fill="91B0D9"/>
            <w:noWrap/>
            <w:vAlign w:val="bottom"/>
            <w:hideMark/>
          </w:tcPr>
          <w:p w:rsidR="003F2AA0" w:rsidRPr="003F2AA0" w:rsidRDefault="003F2AA0" w:rsidP="003F2AA0">
            <w:pPr>
              <w:spacing w:before="0"/>
              <w:jc w:val="right"/>
              <w:rPr>
                <w:sz w:val="16"/>
                <w:szCs w:val="16"/>
              </w:rPr>
            </w:pPr>
            <w:r w:rsidRPr="003F2AA0">
              <w:rPr>
                <w:sz w:val="16"/>
                <w:szCs w:val="16"/>
              </w:rPr>
              <w:t>0,95</w:t>
            </w:r>
          </w:p>
        </w:tc>
        <w:tc>
          <w:tcPr>
            <w:tcW w:w="371" w:type="pct"/>
            <w:tcBorders>
              <w:top w:val="single" w:sz="4" w:space="0" w:color="auto"/>
              <w:left w:val="single" w:sz="4" w:space="0" w:color="auto"/>
              <w:bottom w:val="single" w:sz="4" w:space="0" w:color="auto"/>
              <w:right w:val="single" w:sz="4" w:space="0" w:color="auto"/>
            </w:tcBorders>
            <w:shd w:val="clear" w:color="000000" w:fill="85A8D5"/>
            <w:noWrap/>
            <w:vAlign w:val="bottom"/>
            <w:hideMark/>
          </w:tcPr>
          <w:p w:rsidR="003F2AA0" w:rsidRPr="003F2AA0" w:rsidRDefault="003F2AA0" w:rsidP="003F2AA0">
            <w:pPr>
              <w:spacing w:before="0"/>
              <w:jc w:val="right"/>
              <w:rPr>
                <w:sz w:val="16"/>
                <w:szCs w:val="16"/>
              </w:rPr>
            </w:pPr>
            <w:r w:rsidRPr="003F2AA0">
              <w:rPr>
                <w:sz w:val="16"/>
                <w:szCs w:val="16"/>
              </w:rPr>
              <w:t>0,75</w:t>
            </w:r>
          </w:p>
        </w:tc>
        <w:tc>
          <w:tcPr>
            <w:tcW w:w="371" w:type="pct"/>
            <w:tcBorders>
              <w:top w:val="single" w:sz="4" w:space="0" w:color="auto"/>
              <w:left w:val="single" w:sz="4" w:space="0" w:color="auto"/>
              <w:bottom w:val="single" w:sz="4" w:space="0" w:color="auto"/>
              <w:right w:val="single" w:sz="4" w:space="0" w:color="auto"/>
            </w:tcBorders>
            <w:shd w:val="clear" w:color="000000" w:fill="7BA1D1"/>
            <w:noWrap/>
            <w:vAlign w:val="bottom"/>
            <w:hideMark/>
          </w:tcPr>
          <w:p w:rsidR="003F2AA0" w:rsidRPr="003F2AA0" w:rsidRDefault="003F2AA0" w:rsidP="003F2AA0">
            <w:pPr>
              <w:spacing w:before="0"/>
              <w:jc w:val="right"/>
              <w:rPr>
                <w:sz w:val="16"/>
                <w:szCs w:val="16"/>
              </w:rPr>
            </w:pPr>
            <w:r w:rsidRPr="003F2AA0">
              <w:rPr>
                <w:sz w:val="16"/>
                <w:szCs w:val="16"/>
              </w:rPr>
              <w:t>0,59</w:t>
            </w:r>
          </w:p>
        </w:tc>
        <w:tc>
          <w:tcPr>
            <w:tcW w:w="371" w:type="pct"/>
            <w:tcBorders>
              <w:top w:val="single" w:sz="4" w:space="0" w:color="auto"/>
              <w:left w:val="single" w:sz="4" w:space="0" w:color="auto"/>
              <w:bottom w:val="single" w:sz="4" w:space="0" w:color="auto"/>
              <w:right w:val="single" w:sz="4" w:space="0" w:color="auto"/>
            </w:tcBorders>
            <w:shd w:val="clear" w:color="000000" w:fill="7DA2D2"/>
            <w:noWrap/>
            <w:vAlign w:val="bottom"/>
            <w:hideMark/>
          </w:tcPr>
          <w:p w:rsidR="003F2AA0" w:rsidRPr="003F2AA0" w:rsidRDefault="003F2AA0" w:rsidP="003F2AA0">
            <w:pPr>
              <w:spacing w:before="0"/>
              <w:jc w:val="right"/>
              <w:rPr>
                <w:sz w:val="16"/>
                <w:szCs w:val="16"/>
              </w:rPr>
            </w:pPr>
            <w:r w:rsidRPr="003F2AA0">
              <w:rPr>
                <w:sz w:val="16"/>
                <w:szCs w:val="16"/>
              </w:rPr>
              <w:t>0,62</w:t>
            </w:r>
          </w:p>
        </w:tc>
        <w:tc>
          <w:tcPr>
            <w:tcW w:w="371" w:type="pct"/>
            <w:tcBorders>
              <w:top w:val="single" w:sz="4" w:space="0" w:color="auto"/>
              <w:left w:val="single" w:sz="4" w:space="0" w:color="auto"/>
              <w:bottom w:val="single" w:sz="4" w:space="0" w:color="auto"/>
              <w:right w:val="single" w:sz="4" w:space="0" w:color="auto"/>
            </w:tcBorders>
            <w:shd w:val="clear" w:color="000000" w:fill="9AB7DC"/>
            <w:noWrap/>
            <w:vAlign w:val="bottom"/>
            <w:hideMark/>
          </w:tcPr>
          <w:p w:rsidR="003F2AA0" w:rsidRPr="003F2AA0" w:rsidRDefault="003F2AA0" w:rsidP="003F2AA0">
            <w:pPr>
              <w:spacing w:before="0"/>
              <w:jc w:val="right"/>
              <w:rPr>
                <w:sz w:val="16"/>
                <w:szCs w:val="16"/>
              </w:rPr>
            </w:pPr>
            <w:r w:rsidRPr="003F2AA0">
              <w:rPr>
                <w:sz w:val="16"/>
                <w:szCs w:val="16"/>
              </w:rPr>
              <w:t>1,11</w:t>
            </w:r>
          </w:p>
        </w:tc>
        <w:tc>
          <w:tcPr>
            <w:tcW w:w="371" w:type="pct"/>
            <w:tcBorders>
              <w:top w:val="single" w:sz="4" w:space="0" w:color="auto"/>
              <w:left w:val="single" w:sz="4" w:space="0" w:color="auto"/>
              <w:bottom w:val="single" w:sz="4" w:space="0" w:color="auto"/>
              <w:right w:val="single" w:sz="4" w:space="0" w:color="auto"/>
            </w:tcBorders>
            <w:shd w:val="clear" w:color="000000" w:fill="8AABD6"/>
            <w:noWrap/>
            <w:vAlign w:val="bottom"/>
            <w:hideMark/>
          </w:tcPr>
          <w:p w:rsidR="003F2AA0" w:rsidRPr="003F2AA0" w:rsidRDefault="003F2AA0" w:rsidP="003F2AA0">
            <w:pPr>
              <w:spacing w:before="0"/>
              <w:jc w:val="right"/>
              <w:rPr>
                <w:sz w:val="16"/>
                <w:szCs w:val="16"/>
              </w:rPr>
            </w:pPr>
            <w:r w:rsidRPr="003F2AA0">
              <w:rPr>
                <w:sz w:val="16"/>
                <w:szCs w:val="16"/>
              </w:rPr>
              <w:t>0,83</w:t>
            </w:r>
          </w:p>
        </w:tc>
        <w:tc>
          <w:tcPr>
            <w:tcW w:w="371" w:type="pct"/>
            <w:tcBorders>
              <w:top w:val="single" w:sz="4" w:space="0" w:color="auto"/>
              <w:left w:val="single" w:sz="4" w:space="0" w:color="auto"/>
              <w:bottom w:val="single" w:sz="4" w:space="0" w:color="auto"/>
              <w:right w:val="single" w:sz="4" w:space="0" w:color="auto"/>
            </w:tcBorders>
            <w:shd w:val="clear" w:color="000000" w:fill="759DCF"/>
            <w:noWrap/>
            <w:vAlign w:val="bottom"/>
            <w:hideMark/>
          </w:tcPr>
          <w:p w:rsidR="003F2AA0" w:rsidRPr="003F2AA0" w:rsidRDefault="003F2AA0" w:rsidP="003F2AA0">
            <w:pPr>
              <w:spacing w:before="0"/>
              <w:jc w:val="right"/>
              <w:rPr>
                <w:sz w:val="16"/>
                <w:szCs w:val="16"/>
              </w:rPr>
            </w:pPr>
            <w:r w:rsidRPr="003F2AA0">
              <w:rPr>
                <w:sz w:val="16"/>
                <w:szCs w:val="16"/>
              </w:rPr>
              <w:t>0,49</w:t>
            </w:r>
          </w:p>
        </w:tc>
        <w:tc>
          <w:tcPr>
            <w:tcW w:w="371" w:type="pct"/>
            <w:tcBorders>
              <w:top w:val="single" w:sz="4" w:space="0" w:color="auto"/>
              <w:left w:val="single" w:sz="4" w:space="0" w:color="auto"/>
              <w:bottom w:val="single" w:sz="4" w:space="0" w:color="auto"/>
              <w:right w:val="single" w:sz="4" w:space="0" w:color="auto"/>
            </w:tcBorders>
            <w:shd w:val="clear" w:color="000000" w:fill="789FD0"/>
            <w:noWrap/>
            <w:vAlign w:val="bottom"/>
            <w:hideMark/>
          </w:tcPr>
          <w:p w:rsidR="003F2AA0" w:rsidRPr="003F2AA0" w:rsidRDefault="003F2AA0" w:rsidP="003F2AA0">
            <w:pPr>
              <w:spacing w:before="0"/>
              <w:jc w:val="right"/>
              <w:rPr>
                <w:sz w:val="16"/>
                <w:szCs w:val="16"/>
              </w:rPr>
            </w:pPr>
            <w:r w:rsidRPr="003F2AA0">
              <w:rPr>
                <w:sz w:val="16"/>
                <w:szCs w:val="16"/>
              </w:rPr>
              <w:t>0,54</w:t>
            </w:r>
          </w:p>
        </w:tc>
      </w:tr>
      <w:tr w:rsidR="003F2AA0" w:rsidRPr="003F2AA0" w:rsidTr="003F2AA0">
        <w:trPr>
          <w:trHeight w:val="227"/>
        </w:trPr>
        <w:tc>
          <w:tcPr>
            <w:tcW w:w="973" w:type="pct"/>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Královéhradecký</w:t>
            </w:r>
          </w:p>
        </w:tc>
        <w:tc>
          <w:tcPr>
            <w:tcW w:w="318" w:type="pct"/>
            <w:tcBorders>
              <w:top w:val="single" w:sz="4" w:space="0" w:color="auto"/>
              <w:left w:val="single" w:sz="4" w:space="0" w:color="auto"/>
              <w:bottom w:val="single" w:sz="4" w:space="0" w:color="auto"/>
              <w:right w:val="single" w:sz="4" w:space="0" w:color="auto"/>
            </w:tcBorders>
            <w:shd w:val="clear" w:color="000000" w:fill="DEE7F4"/>
            <w:noWrap/>
            <w:vAlign w:val="bottom"/>
            <w:hideMark/>
          </w:tcPr>
          <w:p w:rsidR="003F2AA0" w:rsidRPr="003F2AA0" w:rsidRDefault="003F2AA0" w:rsidP="003F2AA0">
            <w:pPr>
              <w:spacing w:before="0"/>
              <w:jc w:val="right"/>
              <w:rPr>
                <w:sz w:val="16"/>
                <w:szCs w:val="16"/>
              </w:rPr>
            </w:pPr>
            <w:r w:rsidRPr="003F2AA0">
              <w:rPr>
                <w:sz w:val="16"/>
                <w:szCs w:val="16"/>
              </w:rPr>
              <w:t>2,26</w:t>
            </w:r>
          </w:p>
        </w:tc>
        <w:tc>
          <w:tcPr>
            <w:tcW w:w="371" w:type="pct"/>
            <w:tcBorders>
              <w:top w:val="single" w:sz="4" w:space="0" w:color="auto"/>
              <w:left w:val="single" w:sz="4" w:space="0" w:color="auto"/>
              <w:bottom w:val="single" w:sz="4" w:space="0" w:color="auto"/>
              <w:right w:val="single" w:sz="4" w:space="0" w:color="auto"/>
            </w:tcBorders>
            <w:shd w:val="clear" w:color="000000" w:fill="DEE7F4"/>
            <w:noWrap/>
            <w:vAlign w:val="bottom"/>
            <w:hideMark/>
          </w:tcPr>
          <w:p w:rsidR="003F2AA0" w:rsidRPr="003F2AA0" w:rsidRDefault="003F2AA0" w:rsidP="003F2AA0">
            <w:pPr>
              <w:spacing w:before="0"/>
              <w:jc w:val="right"/>
              <w:rPr>
                <w:sz w:val="16"/>
                <w:szCs w:val="16"/>
              </w:rPr>
            </w:pPr>
            <w:r w:rsidRPr="003F2AA0">
              <w:rPr>
                <w:sz w:val="16"/>
                <w:szCs w:val="16"/>
              </w:rPr>
              <w:t>2,25</w:t>
            </w:r>
          </w:p>
        </w:tc>
        <w:tc>
          <w:tcPr>
            <w:tcW w:w="371" w:type="pct"/>
            <w:tcBorders>
              <w:top w:val="single" w:sz="4" w:space="0" w:color="auto"/>
              <w:left w:val="single" w:sz="4" w:space="0" w:color="auto"/>
              <w:bottom w:val="single" w:sz="4" w:space="0" w:color="auto"/>
              <w:right w:val="single" w:sz="4" w:space="0" w:color="auto"/>
            </w:tcBorders>
            <w:shd w:val="clear" w:color="000000" w:fill="F1F4FB"/>
            <w:noWrap/>
            <w:vAlign w:val="bottom"/>
            <w:hideMark/>
          </w:tcPr>
          <w:p w:rsidR="003F2AA0" w:rsidRPr="003F2AA0" w:rsidRDefault="003F2AA0" w:rsidP="003F2AA0">
            <w:pPr>
              <w:spacing w:before="0"/>
              <w:jc w:val="right"/>
              <w:rPr>
                <w:sz w:val="16"/>
                <w:szCs w:val="16"/>
              </w:rPr>
            </w:pPr>
            <w:r w:rsidRPr="003F2AA0">
              <w:rPr>
                <w:sz w:val="16"/>
                <w:szCs w:val="16"/>
              </w:rPr>
              <w:t>2,58</w:t>
            </w:r>
          </w:p>
        </w:tc>
        <w:tc>
          <w:tcPr>
            <w:tcW w:w="371" w:type="pct"/>
            <w:tcBorders>
              <w:top w:val="single" w:sz="4" w:space="0" w:color="auto"/>
              <w:left w:val="single" w:sz="4" w:space="0" w:color="auto"/>
              <w:bottom w:val="single" w:sz="4" w:space="0" w:color="auto"/>
              <w:right w:val="single" w:sz="4" w:space="0" w:color="auto"/>
            </w:tcBorders>
            <w:shd w:val="clear" w:color="000000" w:fill="FBFBFE"/>
            <w:noWrap/>
            <w:vAlign w:val="bottom"/>
            <w:hideMark/>
          </w:tcPr>
          <w:p w:rsidR="003F2AA0" w:rsidRPr="003F2AA0" w:rsidRDefault="003F2AA0" w:rsidP="003F2AA0">
            <w:pPr>
              <w:spacing w:before="0"/>
              <w:jc w:val="right"/>
              <w:rPr>
                <w:sz w:val="16"/>
                <w:szCs w:val="16"/>
              </w:rPr>
            </w:pPr>
            <w:r w:rsidRPr="003F2AA0">
              <w:rPr>
                <w:sz w:val="16"/>
                <w:szCs w:val="16"/>
              </w:rPr>
              <w:t>2,74</w:t>
            </w:r>
          </w:p>
        </w:tc>
        <w:tc>
          <w:tcPr>
            <w:tcW w:w="37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2,77</w:t>
            </w:r>
          </w:p>
        </w:tc>
        <w:tc>
          <w:tcPr>
            <w:tcW w:w="37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2,83</w:t>
            </w:r>
          </w:p>
        </w:tc>
        <w:tc>
          <w:tcPr>
            <w:tcW w:w="37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2,79</w:t>
            </w:r>
          </w:p>
        </w:tc>
        <w:tc>
          <w:tcPr>
            <w:tcW w:w="37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2,87</w:t>
            </w:r>
          </w:p>
        </w:tc>
        <w:tc>
          <w:tcPr>
            <w:tcW w:w="371" w:type="pct"/>
            <w:tcBorders>
              <w:top w:val="single" w:sz="4" w:space="0" w:color="auto"/>
              <w:left w:val="single" w:sz="4" w:space="0" w:color="auto"/>
              <w:bottom w:val="single" w:sz="4" w:space="0" w:color="auto"/>
              <w:right w:val="single" w:sz="4" w:space="0" w:color="auto"/>
            </w:tcBorders>
            <w:shd w:val="clear" w:color="000000" w:fill="FAFBFE"/>
            <w:noWrap/>
            <w:vAlign w:val="bottom"/>
            <w:hideMark/>
          </w:tcPr>
          <w:p w:rsidR="003F2AA0" w:rsidRPr="003F2AA0" w:rsidRDefault="003F2AA0" w:rsidP="003F2AA0">
            <w:pPr>
              <w:spacing w:before="0"/>
              <w:jc w:val="right"/>
              <w:rPr>
                <w:sz w:val="16"/>
                <w:szCs w:val="16"/>
              </w:rPr>
            </w:pPr>
            <w:r w:rsidRPr="003F2AA0">
              <w:rPr>
                <w:sz w:val="16"/>
                <w:szCs w:val="16"/>
              </w:rPr>
              <w:t>2,73</w:t>
            </w:r>
          </w:p>
        </w:tc>
        <w:tc>
          <w:tcPr>
            <w:tcW w:w="371" w:type="pct"/>
            <w:tcBorders>
              <w:top w:val="single" w:sz="4" w:space="0" w:color="auto"/>
              <w:left w:val="single" w:sz="4" w:space="0" w:color="auto"/>
              <w:bottom w:val="single" w:sz="4" w:space="0" w:color="auto"/>
              <w:right w:val="single" w:sz="4" w:space="0" w:color="auto"/>
            </w:tcBorders>
            <w:shd w:val="clear" w:color="000000" w:fill="FAFAFE"/>
            <w:noWrap/>
            <w:vAlign w:val="bottom"/>
            <w:hideMark/>
          </w:tcPr>
          <w:p w:rsidR="003F2AA0" w:rsidRPr="003F2AA0" w:rsidRDefault="003F2AA0" w:rsidP="003F2AA0">
            <w:pPr>
              <w:spacing w:before="0"/>
              <w:jc w:val="right"/>
              <w:rPr>
                <w:sz w:val="16"/>
                <w:szCs w:val="16"/>
              </w:rPr>
            </w:pPr>
            <w:r w:rsidRPr="003F2AA0">
              <w:rPr>
                <w:sz w:val="16"/>
                <w:szCs w:val="16"/>
              </w:rPr>
              <w:t>2,72</w:t>
            </w:r>
          </w:p>
        </w:tc>
        <w:tc>
          <w:tcPr>
            <w:tcW w:w="37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2,77</w:t>
            </w:r>
          </w:p>
        </w:tc>
      </w:tr>
      <w:tr w:rsidR="003F2AA0" w:rsidRPr="003F2AA0" w:rsidTr="003F2AA0">
        <w:trPr>
          <w:trHeight w:val="227"/>
        </w:trPr>
        <w:tc>
          <w:tcPr>
            <w:tcW w:w="973" w:type="pct"/>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Pardubický</w:t>
            </w:r>
          </w:p>
        </w:tc>
        <w:tc>
          <w:tcPr>
            <w:tcW w:w="318" w:type="pct"/>
            <w:tcBorders>
              <w:top w:val="single" w:sz="4" w:space="0" w:color="auto"/>
              <w:left w:val="single" w:sz="4" w:space="0" w:color="auto"/>
              <w:bottom w:val="single" w:sz="4" w:space="0" w:color="auto"/>
              <w:right w:val="single" w:sz="4" w:space="0" w:color="auto"/>
            </w:tcBorders>
            <w:shd w:val="clear" w:color="000000" w:fill="B4C9E5"/>
            <w:noWrap/>
            <w:vAlign w:val="bottom"/>
            <w:hideMark/>
          </w:tcPr>
          <w:p w:rsidR="003F2AA0" w:rsidRPr="003F2AA0" w:rsidRDefault="003F2AA0" w:rsidP="003F2AA0">
            <w:pPr>
              <w:spacing w:before="0"/>
              <w:jc w:val="right"/>
              <w:rPr>
                <w:sz w:val="16"/>
                <w:szCs w:val="16"/>
              </w:rPr>
            </w:pPr>
            <w:r w:rsidRPr="003F2AA0">
              <w:rPr>
                <w:sz w:val="16"/>
                <w:szCs w:val="16"/>
              </w:rPr>
              <w:t>1,54</w:t>
            </w:r>
          </w:p>
        </w:tc>
        <w:tc>
          <w:tcPr>
            <w:tcW w:w="371" w:type="pct"/>
            <w:tcBorders>
              <w:top w:val="single" w:sz="4" w:space="0" w:color="auto"/>
              <w:left w:val="single" w:sz="4" w:space="0" w:color="auto"/>
              <w:bottom w:val="single" w:sz="4" w:space="0" w:color="auto"/>
              <w:right w:val="single" w:sz="4" w:space="0" w:color="auto"/>
            </w:tcBorders>
            <w:shd w:val="clear" w:color="000000" w:fill="85A8D5"/>
            <w:noWrap/>
            <w:vAlign w:val="bottom"/>
            <w:hideMark/>
          </w:tcPr>
          <w:p w:rsidR="003F2AA0" w:rsidRPr="003F2AA0" w:rsidRDefault="003F2AA0" w:rsidP="003F2AA0">
            <w:pPr>
              <w:spacing w:before="0"/>
              <w:jc w:val="right"/>
              <w:rPr>
                <w:sz w:val="16"/>
                <w:szCs w:val="16"/>
              </w:rPr>
            </w:pPr>
            <w:r w:rsidRPr="003F2AA0">
              <w:rPr>
                <w:sz w:val="16"/>
                <w:szCs w:val="16"/>
              </w:rPr>
              <w:t>0,75</w:t>
            </w:r>
          </w:p>
        </w:tc>
        <w:tc>
          <w:tcPr>
            <w:tcW w:w="371" w:type="pct"/>
            <w:tcBorders>
              <w:top w:val="single" w:sz="4" w:space="0" w:color="auto"/>
              <w:left w:val="single" w:sz="4" w:space="0" w:color="auto"/>
              <w:bottom w:val="single" w:sz="4" w:space="0" w:color="auto"/>
              <w:right w:val="single" w:sz="4" w:space="0" w:color="auto"/>
            </w:tcBorders>
            <w:shd w:val="clear" w:color="000000" w:fill="92B1D9"/>
            <w:noWrap/>
            <w:vAlign w:val="bottom"/>
            <w:hideMark/>
          </w:tcPr>
          <w:p w:rsidR="003F2AA0" w:rsidRPr="003F2AA0" w:rsidRDefault="003F2AA0" w:rsidP="003F2AA0">
            <w:pPr>
              <w:spacing w:before="0"/>
              <w:jc w:val="right"/>
              <w:rPr>
                <w:sz w:val="16"/>
                <w:szCs w:val="16"/>
              </w:rPr>
            </w:pPr>
            <w:r w:rsidRPr="003F2AA0">
              <w:rPr>
                <w:sz w:val="16"/>
                <w:szCs w:val="16"/>
              </w:rPr>
              <w:t>0,97</w:t>
            </w:r>
          </w:p>
        </w:tc>
        <w:tc>
          <w:tcPr>
            <w:tcW w:w="371" w:type="pct"/>
            <w:tcBorders>
              <w:top w:val="single" w:sz="4" w:space="0" w:color="auto"/>
              <w:left w:val="single" w:sz="4" w:space="0" w:color="auto"/>
              <w:bottom w:val="single" w:sz="4" w:space="0" w:color="auto"/>
              <w:right w:val="single" w:sz="4" w:space="0" w:color="auto"/>
            </w:tcBorders>
            <w:shd w:val="clear" w:color="000000" w:fill="90B0D9"/>
            <w:noWrap/>
            <w:vAlign w:val="bottom"/>
            <w:hideMark/>
          </w:tcPr>
          <w:p w:rsidR="003F2AA0" w:rsidRPr="003F2AA0" w:rsidRDefault="003F2AA0" w:rsidP="003F2AA0">
            <w:pPr>
              <w:spacing w:before="0"/>
              <w:jc w:val="right"/>
              <w:rPr>
                <w:sz w:val="16"/>
                <w:szCs w:val="16"/>
              </w:rPr>
            </w:pPr>
            <w:r w:rsidRPr="003F2AA0">
              <w:rPr>
                <w:sz w:val="16"/>
                <w:szCs w:val="16"/>
              </w:rPr>
              <w:t>0,93</w:t>
            </w:r>
          </w:p>
        </w:tc>
        <w:tc>
          <w:tcPr>
            <w:tcW w:w="371" w:type="pct"/>
            <w:tcBorders>
              <w:top w:val="single" w:sz="4" w:space="0" w:color="auto"/>
              <w:left w:val="single" w:sz="4" w:space="0" w:color="auto"/>
              <w:bottom w:val="single" w:sz="4" w:space="0" w:color="auto"/>
              <w:right w:val="single" w:sz="4" w:space="0" w:color="auto"/>
            </w:tcBorders>
            <w:shd w:val="clear" w:color="000000" w:fill="93B2DA"/>
            <w:noWrap/>
            <w:vAlign w:val="bottom"/>
            <w:hideMark/>
          </w:tcPr>
          <w:p w:rsidR="003F2AA0" w:rsidRPr="003F2AA0" w:rsidRDefault="003F2AA0" w:rsidP="003F2AA0">
            <w:pPr>
              <w:spacing w:before="0"/>
              <w:jc w:val="right"/>
              <w:rPr>
                <w:sz w:val="16"/>
                <w:szCs w:val="16"/>
              </w:rPr>
            </w:pPr>
            <w:r w:rsidRPr="003F2AA0">
              <w:rPr>
                <w:sz w:val="16"/>
                <w:szCs w:val="16"/>
              </w:rPr>
              <w:t>0,99</w:t>
            </w:r>
          </w:p>
        </w:tc>
        <w:tc>
          <w:tcPr>
            <w:tcW w:w="371" w:type="pct"/>
            <w:tcBorders>
              <w:top w:val="single" w:sz="4" w:space="0" w:color="auto"/>
              <w:left w:val="single" w:sz="4" w:space="0" w:color="auto"/>
              <w:bottom w:val="single" w:sz="4" w:space="0" w:color="auto"/>
              <w:right w:val="single" w:sz="4" w:space="0" w:color="auto"/>
            </w:tcBorders>
            <w:shd w:val="clear" w:color="000000" w:fill="90B0D9"/>
            <w:noWrap/>
            <w:vAlign w:val="bottom"/>
            <w:hideMark/>
          </w:tcPr>
          <w:p w:rsidR="003F2AA0" w:rsidRPr="003F2AA0" w:rsidRDefault="003F2AA0" w:rsidP="003F2AA0">
            <w:pPr>
              <w:spacing w:before="0"/>
              <w:jc w:val="right"/>
              <w:rPr>
                <w:sz w:val="16"/>
                <w:szCs w:val="16"/>
              </w:rPr>
            </w:pPr>
            <w:r w:rsidRPr="003F2AA0">
              <w:rPr>
                <w:sz w:val="16"/>
                <w:szCs w:val="16"/>
              </w:rPr>
              <w:t>0,95</w:t>
            </w:r>
          </w:p>
        </w:tc>
        <w:tc>
          <w:tcPr>
            <w:tcW w:w="371" w:type="pct"/>
            <w:tcBorders>
              <w:top w:val="single" w:sz="4" w:space="0" w:color="auto"/>
              <w:left w:val="single" w:sz="4" w:space="0" w:color="auto"/>
              <w:bottom w:val="single" w:sz="4" w:space="0" w:color="auto"/>
              <w:right w:val="single" w:sz="4" w:space="0" w:color="auto"/>
            </w:tcBorders>
            <w:shd w:val="clear" w:color="000000" w:fill="9AB7DC"/>
            <w:noWrap/>
            <w:vAlign w:val="bottom"/>
            <w:hideMark/>
          </w:tcPr>
          <w:p w:rsidR="003F2AA0" w:rsidRPr="003F2AA0" w:rsidRDefault="003F2AA0" w:rsidP="003F2AA0">
            <w:pPr>
              <w:spacing w:before="0"/>
              <w:jc w:val="right"/>
              <w:rPr>
                <w:sz w:val="16"/>
                <w:szCs w:val="16"/>
              </w:rPr>
            </w:pPr>
            <w:r w:rsidRPr="003F2AA0">
              <w:rPr>
                <w:sz w:val="16"/>
                <w:szCs w:val="16"/>
              </w:rPr>
              <w:t>1,11</w:t>
            </w:r>
          </w:p>
        </w:tc>
        <w:tc>
          <w:tcPr>
            <w:tcW w:w="371" w:type="pct"/>
            <w:tcBorders>
              <w:top w:val="single" w:sz="4" w:space="0" w:color="auto"/>
              <w:left w:val="single" w:sz="4" w:space="0" w:color="auto"/>
              <w:bottom w:val="single" w:sz="4" w:space="0" w:color="auto"/>
              <w:right w:val="single" w:sz="4" w:space="0" w:color="auto"/>
            </w:tcBorders>
            <w:shd w:val="clear" w:color="000000" w:fill="ADC4E3"/>
            <w:noWrap/>
            <w:vAlign w:val="bottom"/>
            <w:hideMark/>
          </w:tcPr>
          <w:p w:rsidR="003F2AA0" w:rsidRPr="003F2AA0" w:rsidRDefault="003F2AA0" w:rsidP="003F2AA0">
            <w:pPr>
              <w:spacing w:before="0"/>
              <w:jc w:val="right"/>
              <w:rPr>
                <w:sz w:val="16"/>
                <w:szCs w:val="16"/>
              </w:rPr>
            </w:pPr>
            <w:r w:rsidRPr="003F2AA0">
              <w:rPr>
                <w:sz w:val="16"/>
                <w:szCs w:val="16"/>
              </w:rPr>
              <w:t>1,43</w:t>
            </w:r>
          </w:p>
        </w:tc>
        <w:tc>
          <w:tcPr>
            <w:tcW w:w="371" w:type="pct"/>
            <w:tcBorders>
              <w:top w:val="single" w:sz="4" w:space="0" w:color="auto"/>
              <w:left w:val="single" w:sz="4" w:space="0" w:color="auto"/>
              <w:bottom w:val="single" w:sz="4" w:space="0" w:color="auto"/>
              <w:right w:val="single" w:sz="4" w:space="0" w:color="auto"/>
            </w:tcBorders>
            <w:shd w:val="clear" w:color="000000" w:fill="D5E0F1"/>
            <w:noWrap/>
            <w:vAlign w:val="bottom"/>
            <w:hideMark/>
          </w:tcPr>
          <w:p w:rsidR="003F2AA0" w:rsidRPr="003F2AA0" w:rsidRDefault="003F2AA0" w:rsidP="003F2AA0">
            <w:pPr>
              <w:spacing w:before="0"/>
              <w:jc w:val="right"/>
              <w:rPr>
                <w:sz w:val="16"/>
                <w:szCs w:val="16"/>
              </w:rPr>
            </w:pPr>
            <w:r w:rsidRPr="003F2AA0">
              <w:rPr>
                <w:sz w:val="16"/>
                <w:szCs w:val="16"/>
              </w:rPr>
              <w:t>2,10</w:t>
            </w:r>
          </w:p>
        </w:tc>
        <w:tc>
          <w:tcPr>
            <w:tcW w:w="371" w:type="pct"/>
            <w:tcBorders>
              <w:top w:val="single" w:sz="4" w:space="0" w:color="auto"/>
              <w:left w:val="single" w:sz="4" w:space="0" w:color="auto"/>
              <w:bottom w:val="single" w:sz="4" w:space="0" w:color="auto"/>
              <w:right w:val="single" w:sz="4" w:space="0" w:color="auto"/>
            </w:tcBorders>
            <w:shd w:val="clear" w:color="000000" w:fill="C1D2EA"/>
            <w:noWrap/>
            <w:vAlign w:val="bottom"/>
            <w:hideMark/>
          </w:tcPr>
          <w:p w:rsidR="003F2AA0" w:rsidRPr="003F2AA0" w:rsidRDefault="003F2AA0" w:rsidP="003F2AA0">
            <w:pPr>
              <w:spacing w:before="0"/>
              <w:jc w:val="right"/>
              <w:rPr>
                <w:sz w:val="16"/>
                <w:szCs w:val="16"/>
              </w:rPr>
            </w:pPr>
            <w:r w:rsidRPr="003F2AA0">
              <w:rPr>
                <w:sz w:val="16"/>
                <w:szCs w:val="16"/>
              </w:rPr>
              <w:t>1,77</w:t>
            </w:r>
          </w:p>
        </w:tc>
        <w:tc>
          <w:tcPr>
            <w:tcW w:w="371" w:type="pct"/>
            <w:tcBorders>
              <w:top w:val="single" w:sz="4" w:space="0" w:color="auto"/>
              <w:left w:val="single" w:sz="4" w:space="0" w:color="auto"/>
              <w:bottom w:val="single" w:sz="4" w:space="0" w:color="auto"/>
              <w:right w:val="single" w:sz="4" w:space="0" w:color="auto"/>
            </w:tcBorders>
            <w:shd w:val="clear" w:color="000000" w:fill="C7D6EC"/>
            <w:noWrap/>
            <w:vAlign w:val="bottom"/>
            <w:hideMark/>
          </w:tcPr>
          <w:p w:rsidR="003F2AA0" w:rsidRPr="003F2AA0" w:rsidRDefault="003F2AA0" w:rsidP="003F2AA0">
            <w:pPr>
              <w:spacing w:before="0"/>
              <w:jc w:val="right"/>
              <w:rPr>
                <w:sz w:val="16"/>
                <w:szCs w:val="16"/>
              </w:rPr>
            </w:pPr>
            <w:r w:rsidRPr="003F2AA0">
              <w:rPr>
                <w:sz w:val="16"/>
                <w:szCs w:val="16"/>
              </w:rPr>
              <w:t>1,86</w:t>
            </w:r>
          </w:p>
        </w:tc>
      </w:tr>
      <w:tr w:rsidR="003F2AA0" w:rsidRPr="003F2AA0" w:rsidTr="003F2AA0">
        <w:trPr>
          <w:trHeight w:val="227"/>
        </w:trPr>
        <w:tc>
          <w:tcPr>
            <w:tcW w:w="973" w:type="pct"/>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Vysočina</w:t>
            </w:r>
          </w:p>
        </w:tc>
        <w:tc>
          <w:tcPr>
            <w:tcW w:w="318" w:type="pct"/>
            <w:tcBorders>
              <w:top w:val="single" w:sz="4" w:space="0" w:color="auto"/>
              <w:left w:val="single" w:sz="4" w:space="0" w:color="auto"/>
              <w:bottom w:val="single" w:sz="4" w:space="0" w:color="auto"/>
              <w:right w:val="single" w:sz="4" w:space="0" w:color="auto"/>
            </w:tcBorders>
            <w:shd w:val="clear" w:color="000000" w:fill="6391C9"/>
            <w:noWrap/>
            <w:vAlign w:val="bottom"/>
            <w:hideMark/>
          </w:tcPr>
          <w:p w:rsidR="003F2AA0" w:rsidRPr="003F2AA0" w:rsidRDefault="003F2AA0" w:rsidP="003F2AA0">
            <w:pPr>
              <w:spacing w:before="0"/>
              <w:jc w:val="right"/>
              <w:rPr>
                <w:sz w:val="16"/>
                <w:szCs w:val="16"/>
              </w:rPr>
            </w:pPr>
            <w:r w:rsidRPr="003F2AA0">
              <w:rPr>
                <w:sz w:val="16"/>
                <w:szCs w:val="16"/>
              </w:rPr>
              <w:t>0,19</w:t>
            </w:r>
          </w:p>
        </w:tc>
        <w:tc>
          <w:tcPr>
            <w:tcW w:w="371" w:type="pct"/>
            <w:tcBorders>
              <w:top w:val="single" w:sz="4" w:space="0" w:color="auto"/>
              <w:left w:val="single" w:sz="4" w:space="0" w:color="auto"/>
              <w:bottom w:val="single" w:sz="4" w:space="0" w:color="auto"/>
              <w:right w:val="single" w:sz="4" w:space="0" w:color="auto"/>
            </w:tcBorders>
            <w:shd w:val="clear" w:color="000000" w:fill="6390C9"/>
            <w:noWrap/>
            <w:vAlign w:val="bottom"/>
            <w:hideMark/>
          </w:tcPr>
          <w:p w:rsidR="003F2AA0" w:rsidRPr="003F2AA0" w:rsidRDefault="003F2AA0" w:rsidP="003F2AA0">
            <w:pPr>
              <w:spacing w:before="0"/>
              <w:jc w:val="right"/>
              <w:rPr>
                <w:sz w:val="16"/>
                <w:szCs w:val="16"/>
              </w:rPr>
            </w:pPr>
            <w:r w:rsidRPr="003F2AA0">
              <w:rPr>
                <w:sz w:val="16"/>
                <w:szCs w:val="16"/>
              </w:rPr>
              <w:t>0,18</w:t>
            </w:r>
          </w:p>
        </w:tc>
        <w:tc>
          <w:tcPr>
            <w:tcW w:w="371" w:type="pct"/>
            <w:tcBorders>
              <w:top w:val="single" w:sz="4" w:space="0" w:color="auto"/>
              <w:left w:val="single" w:sz="4" w:space="0" w:color="auto"/>
              <w:bottom w:val="single" w:sz="4" w:space="0" w:color="auto"/>
              <w:right w:val="single" w:sz="4" w:space="0" w:color="auto"/>
            </w:tcBorders>
            <w:shd w:val="clear" w:color="000000" w:fill="6491C9"/>
            <w:noWrap/>
            <w:vAlign w:val="bottom"/>
            <w:hideMark/>
          </w:tcPr>
          <w:p w:rsidR="003F2AA0" w:rsidRPr="003F2AA0" w:rsidRDefault="003F2AA0" w:rsidP="003F2AA0">
            <w:pPr>
              <w:spacing w:before="0"/>
              <w:jc w:val="right"/>
              <w:rPr>
                <w:sz w:val="16"/>
                <w:szCs w:val="16"/>
              </w:rPr>
            </w:pPr>
            <w:r w:rsidRPr="003F2AA0">
              <w:rPr>
                <w:sz w:val="16"/>
                <w:szCs w:val="16"/>
              </w:rPr>
              <w:t>0,20</w:t>
            </w:r>
          </w:p>
        </w:tc>
        <w:tc>
          <w:tcPr>
            <w:tcW w:w="371" w:type="pct"/>
            <w:tcBorders>
              <w:top w:val="single" w:sz="4" w:space="0" w:color="auto"/>
              <w:left w:val="single" w:sz="4" w:space="0" w:color="auto"/>
              <w:bottom w:val="single" w:sz="4" w:space="0" w:color="auto"/>
              <w:right w:val="single" w:sz="4" w:space="0" w:color="auto"/>
            </w:tcBorders>
            <w:shd w:val="clear" w:color="000000" w:fill="6491C9"/>
            <w:noWrap/>
            <w:vAlign w:val="bottom"/>
            <w:hideMark/>
          </w:tcPr>
          <w:p w:rsidR="003F2AA0" w:rsidRPr="003F2AA0" w:rsidRDefault="003F2AA0" w:rsidP="003F2AA0">
            <w:pPr>
              <w:spacing w:before="0"/>
              <w:jc w:val="right"/>
              <w:rPr>
                <w:sz w:val="16"/>
                <w:szCs w:val="16"/>
              </w:rPr>
            </w:pPr>
            <w:r w:rsidRPr="003F2AA0">
              <w:rPr>
                <w:sz w:val="16"/>
                <w:szCs w:val="16"/>
              </w:rPr>
              <w:t>0,20</w:t>
            </w:r>
          </w:p>
        </w:tc>
        <w:tc>
          <w:tcPr>
            <w:tcW w:w="371" w:type="pct"/>
            <w:tcBorders>
              <w:top w:val="single" w:sz="4" w:space="0" w:color="auto"/>
              <w:left w:val="single" w:sz="4" w:space="0" w:color="auto"/>
              <w:bottom w:val="single" w:sz="4" w:space="0" w:color="auto"/>
              <w:right w:val="single" w:sz="4" w:space="0" w:color="auto"/>
            </w:tcBorders>
            <w:shd w:val="clear" w:color="000000" w:fill="6491C9"/>
            <w:noWrap/>
            <w:vAlign w:val="bottom"/>
            <w:hideMark/>
          </w:tcPr>
          <w:p w:rsidR="003F2AA0" w:rsidRPr="003F2AA0" w:rsidRDefault="003F2AA0" w:rsidP="003F2AA0">
            <w:pPr>
              <w:spacing w:before="0"/>
              <w:jc w:val="right"/>
              <w:rPr>
                <w:sz w:val="16"/>
                <w:szCs w:val="16"/>
              </w:rPr>
            </w:pPr>
            <w:r w:rsidRPr="003F2AA0">
              <w:rPr>
                <w:sz w:val="16"/>
                <w:szCs w:val="16"/>
              </w:rPr>
              <w:t>0,20</w:t>
            </w:r>
          </w:p>
        </w:tc>
        <w:tc>
          <w:tcPr>
            <w:tcW w:w="371"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rsidR="003F2AA0" w:rsidRPr="003F2AA0" w:rsidRDefault="003F2AA0" w:rsidP="003F2AA0">
            <w:pPr>
              <w:spacing w:before="0"/>
              <w:jc w:val="right"/>
              <w:rPr>
                <w:sz w:val="16"/>
                <w:szCs w:val="16"/>
              </w:rPr>
            </w:pPr>
            <w:r w:rsidRPr="003F2AA0">
              <w:rPr>
                <w:sz w:val="16"/>
                <w:szCs w:val="16"/>
              </w:rPr>
              <w:t>0,02</w:t>
            </w:r>
          </w:p>
        </w:tc>
        <w:tc>
          <w:tcPr>
            <w:tcW w:w="371" w:type="pct"/>
            <w:tcBorders>
              <w:top w:val="single" w:sz="4" w:space="0" w:color="auto"/>
              <w:left w:val="single" w:sz="4" w:space="0" w:color="auto"/>
              <w:bottom w:val="single" w:sz="4" w:space="0" w:color="auto"/>
              <w:right w:val="single" w:sz="4" w:space="0" w:color="auto"/>
            </w:tcBorders>
            <w:shd w:val="clear" w:color="000000" w:fill="6491C9"/>
            <w:noWrap/>
            <w:vAlign w:val="bottom"/>
            <w:hideMark/>
          </w:tcPr>
          <w:p w:rsidR="003F2AA0" w:rsidRPr="003F2AA0" w:rsidRDefault="003F2AA0" w:rsidP="003F2AA0">
            <w:pPr>
              <w:spacing w:before="0"/>
              <w:jc w:val="right"/>
              <w:rPr>
                <w:sz w:val="16"/>
                <w:szCs w:val="16"/>
              </w:rPr>
            </w:pPr>
            <w:r w:rsidRPr="003F2AA0">
              <w:rPr>
                <w:sz w:val="16"/>
                <w:szCs w:val="16"/>
              </w:rPr>
              <w:t>0,20</w:t>
            </w:r>
          </w:p>
        </w:tc>
        <w:tc>
          <w:tcPr>
            <w:tcW w:w="371" w:type="pct"/>
            <w:tcBorders>
              <w:top w:val="single" w:sz="4" w:space="0" w:color="auto"/>
              <w:left w:val="single" w:sz="4" w:space="0" w:color="auto"/>
              <w:bottom w:val="single" w:sz="4" w:space="0" w:color="auto"/>
              <w:right w:val="single" w:sz="4" w:space="0" w:color="auto"/>
            </w:tcBorders>
            <w:shd w:val="clear" w:color="000000" w:fill="6290C9"/>
            <w:noWrap/>
            <w:vAlign w:val="bottom"/>
            <w:hideMark/>
          </w:tcPr>
          <w:p w:rsidR="003F2AA0" w:rsidRPr="003F2AA0" w:rsidRDefault="003F2AA0" w:rsidP="003F2AA0">
            <w:pPr>
              <w:spacing w:before="0"/>
              <w:jc w:val="right"/>
              <w:rPr>
                <w:sz w:val="16"/>
                <w:szCs w:val="16"/>
              </w:rPr>
            </w:pPr>
            <w:r w:rsidRPr="003F2AA0">
              <w:rPr>
                <w:sz w:val="16"/>
                <w:szCs w:val="16"/>
              </w:rPr>
              <w:t>0,17</w:t>
            </w:r>
          </w:p>
        </w:tc>
        <w:tc>
          <w:tcPr>
            <w:tcW w:w="371" w:type="pct"/>
            <w:tcBorders>
              <w:top w:val="single" w:sz="4" w:space="0" w:color="auto"/>
              <w:left w:val="single" w:sz="4" w:space="0" w:color="auto"/>
              <w:bottom w:val="single" w:sz="4" w:space="0" w:color="auto"/>
              <w:right w:val="single" w:sz="4" w:space="0" w:color="auto"/>
            </w:tcBorders>
            <w:shd w:val="clear" w:color="000000" w:fill="6592CA"/>
            <w:noWrap/>
            <w:vAlign w:val="bottom"/>
            <w:hideMark/>
          </w:tcPr>
          <w:p w:rsidR="003F2AA0" w:rsidRPr="003F2AA0" w:rsidRDefault="003F2AA0" w:rsidP="003F2AA0">
            <w:pPr>
              <w:spacing w:before="0"/>
              <w:jc w:val="right"/>
              <w:rPr>
                <w:sz w:val="16"/>
                <w:szCs w:val="16"/>
              </w:rPr>
            </w:pPr>
            <w:r w:rsidRPr="003F2AA0">
              <w:rPr>
                <w:sz w:val="16"/>
                <w:szCs w:val="16"/>
              </w:rPr>
              <w:t>0,22</w:t>
            </w:r>
          </w:p>
        </w:tc>
        <w:tc>
          <w:tcPr>
            <w:tcW w:w="371" w:type="pct"/>
            <w:tcBorders>
              <w:top w:val="single" w:sz="4" w:space="0" w:color="auto"/>
              <w:left w:val="single" w:sz="4" w:space="0" w:color="auto"/>
              <w:bottom w:val="single" w:sz="4" w:space="0" w:color="auto"/>
              <w:right w:val="single" w:sz="4" w:space="0" w:color="auto"/>
            </w:tcBorders>
            <w:shd w:val="clear" w:color="000000" w:fill="608EC8"/>
            <w:noWrap/>
            <w:vAlign w:val="bottom"/>
            <w:hideMark/>
          </w:tcPr>
          <w:p w:rsidR="003F2AA0" w:rsidRPr="003F2AA0" w:rsidRDefault="003F2AA0" w:rsidP="003F2AA0">
            <w:pPr>
              <w:spacing w:before="0"/>
              <w:jc w:val="right"/>
              <w:rPr>
                <w:sz w:val="16"/>
                <w:szCs w:val="16"/>
              </w:rPr>
            </w:pPr>
            <w:r w:rsidRPr="003F2AA0">
              <w:rPr>
                <w:sz w:val="16"/>
                <w:szCs w:val="16"/>
              </w:rPr>
              <w:t>0,14</w:t>
            </w:r>
          </w:p>
        </w:tc>
        <w:tc>
          <w:tcPr>
            <w:tcW w:w="371" w:type="pct"/>
            <w:tcBorders>
              <w:top w:val="single" w:sz="4" w:space="0" w:color="auto"/>
              <w:left w:val="single" w:sz="4" w:space="0" w:color="auto"/>
              <w:bottom w:val="single" w:sz="4" w:space="0" w:color="auto"/>
              <w:right w:val="single" w:sz="4" w:space="0" w:color="auto"/>
            </w:tcBorders>
            <w:shd w:val="clear" w:color="000000" w:fill="6591C9"/>
            <w:noWrap/>
            <w:vAlign w:val="bottom"/>
            <w:hideMark/>
          </w:tcPr>
          <w:p w:rsidR="003F2AA0" w:rsidRPr="003F2AA0" w:rsidRDefault="003F2AA0" w:rsidP="003F2AA0">
            <w:pPr>
              <w:spacing w:before="0"/>
              <w:jc w:val="right"/>
              <w:rPr>
                <w:sz w:val="16"/>
                <w:szCs w:val="16"/>
              </w:rPr>
            </w:pPr>
            <w:r w:rsidRPr="003F2AA0">
              <w:rPr>
                <w:sz w:val="16"/>
                <w:szCs w:val="16"/>
              </w:rPr>
              <w:t>0,21</w:t>
            </w:r>
          </w:p>
        </w:tc>
      </w:tr>
      <w:tr w:rsidR="003F2AA0" w:rsidRPr="003F2AA0" w:rsidTr="003F2AA0">
        <w:trPr>
          <w:trHeight w:val="227"/>
        </w:trPr>
        <w:tc>
          <w:tcPr>
            <w:tcW w:w="973" w:type="pct"/>
            <w:tcBorders>
              <w:top w:val="nil"/>
              <w:left w:val="single" w:sz="4" w:space="0" w:color="auto"/>
              <w:bottom w:val="single" w:sz="8"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Jihomoravský</w:t>
            </w:r>
          </w:p>
        </w:tc>
        <w:tc>
          <w:tcPr>
            <w:tcW w:w="318" w:type="pct"/>
            <w:tcBorders>
              <w:top w:val="single" w:sz="4" w:space="0" w:color="auto"/>
              <w:left w:val="single" w:sz="4" w:space="0" w:color="auto"/>
              <w:bottom w:val="single" w:sz="8" w:space="0" w:color="auto"/>
              <w:right w:val="single" w:sz="4" w:space="0" w:color="auto"/>
            </w:tcBorders>
            <w:shd w:val="clear" w:color="000000" w:fill="FCDEE1"/>
            <w:noWrap/>
            <w:vAlign w:val="bottom"/>
            <w:hideMark/>
          </w:tcPr>
          <w:p w:rsidR="003F2AA0" w:rsidRPr="003F2AA0" w:rsidRDefault="003F2AA0" w:rsidP="003F2AA0">
            <w:pPr>
              <w:spacing w:before="0"/>
              <w:jc w:val="right"/>
              <w:rPr>
                <w:sz w:val="16"/>
                <w:szCs w:val="16"/>
              </w:rPr>
            </w:pPr>
            <w:r w:rsidRPr="003F2AA0">
              <w:rPr>
                <w:sz w:val="16"/>
                <w:szCs w:val="16"/>
              </w:rPr>
              <w:t>18,44</w:t>
            </w:r>
          </w:p>
        </w:tc>
        <w:tc>
          <w:tcPr>
            <w:tcW w:w="371" w:type="pct"/>
            <w:tcBorders>
              <w:top w:val="single" w:sz="4" w:space="0" w:color="auto"/>
              <w:left w:val="single" w:sz="4" w:space="0" w:color="auto"/>
              <w:bottom w:val="single" w:sz="8" w:space="0" w:color="auto"/>
              <w:right w:val="single" w:sz="4" w:space="0" w:color="auto"/>
            </w:tcBorders>
            <w:shd w:val="clear" w:color="000000" w:fill="FCE0E3"/>
            <w:noWrap/>
            <w:vAlign w:val="bottom"/>
            <w:hideMark/>
          </w:tcPr>
          <w:p w:rsidR="003F2AA0" w:rsidRPr="003F2AA0" w:rsidRDefault="003F2AA0" w:rsidP="003F2AA0">
            <w:pPr>
              <w:spacing w:before="0"/>
              <w:jc w:val="right"/>
              <w:rPr>
                <w:sz w:val="16"/>
                <w:szCs w:val="16"/>
              </w:rPr>
            </w:pPr>
            <w:r w:rsidRPr="003F2AA0">
              <w:rPr>
                <w:sz w:val="16"/>
                <w:szCs w:val="16"/>
              </w:rPr>
              <w:t>17,28</w:t>
            </w:r>
          </w:p>
        </w:tc>
        <w:tc>
          <w:tcPr>
            <w:tcW w:w="371" w:type="pct"/>
            <w:tcBorders>
              <w:top w:val="single" w:sz="4" w:space="0" w:color="auto"/>
              <w:left w:val="single" w:sz="4" w:space="0" w:color="auto"/>
              <w:bottom w:val="single" w:sz="8" w:space="0" w:color="auto"/>
              <w:right w:val="single" w:sz="4" w:space="0" w:color="auto"/>
            </w:tcBorders>
            <w:shd w:val="clear" w:color="000000" w:fill="FCDFE2"/>
            <w:noWrap/>
            <w:vAlign w:val="bottom"/>
            <w:hideMark/>
          </w:tcPr>
          <w:p w:rsidR="003F2AA0" w:rsidRPr="003F2AA0" w:rsidRDefault="003F2AA0" w:rsidP="003F2AA0">
            <w:pPr>
              <w:spacing w:before="0"/>
              <w:jc w:val="right"/>
              <w:rPr>
                <w:sz w:val="16"/>
                <w:szCs w:val="16"/>
              </w:rPr>
            </w:pPr>
            <w:r w:rsidRPr="003F2AA0">
              <w:rPr>
                <w:sz w:val="16"/>
                <w:szCs w:val="16"/>
              </w:rPr>
              <w:t>18,01</w:t>
            </w:r>
          </w:p>
        </w:tc>
        <w:tc>
          <w:tcPr>
            <w:tcW w:w="371" w:type="pct"/>
            <w:tcBorders>
              <w:top w:val="single" w:sz="4" w:space="0" w:color="auto"/>
              <w:left w:val="single" w:sz="4" w:space="0" w:color="auto"/>
              <w:bottom w:val="single" w:sz="8" w:space="0" w:color="auto"/>
              <w:right w:val="single" w:sz="4" w:space="0" w:color="auto"/>
            </w:tcBorders>
            <w:shd w:val="clear" w:color="000000" w:fill="FCDEE1"/>
            <w:noWrap/>
            <w:vAlign w:val="bottom"/>
            <w:hideMark/>
          </w:tcPr>
          <w:p w:rsidR="003F2AA0" w:rsidRPr="003F2AA0" w:rsidRDefault="003F2AA0" w:rsidP="003F2AA0">
            <w:pPr>
              <w:spacing w:before="0"/>
              <w:jc w:val="right"/>
              <w:rPr>
                <w:sz w:val="16"/>
                <w:szCs w:val="16"/>
              </w:rPr>
            </w:pPr>
            <w:r w:rsidRPr="003F2AA0">
              <w:rPr>
                <w:sz w:val="16"/>
                <w:szCs w:val="16"/>
              </w:rPr>
              <w:t>18,63</w:t>
            </w:r>
          </w:p>
        </w:tc>
        <w:tc>
          <w:tcPr>
            <w:tcW w:w="371" w:type="pct"/>
            <w:tcBorders>
              <w:top w:val="single" w:sz="4" w:space="0" w:color="auto"/>
              <w:left w:val="single" w:sz="4" w:space="0" w:color="auto"/>
              <w:bottom w:val="single" w:sz="8" w:space="0" w:color="auto"/>
              <w:right w:val="single" w:sz="4" w:space="0" w:color="auto"/>
            </w:tcBorders>
            <w:shd w:val="clear" w:color="000000" w:fill="FCDFE2"/>
            <w:noWrap/>
            <w:vAlign w:val="bottom"/>
            <w:hideMark/>
          </w:tcPr>
          <w:p w:rsidR="003F2AA0" w:rsidRPr="003F2AA0" w:rsidRDefault="003F2AA0" w:rsidP="003F2AA0">
            <w:pPr>
              <w:spacing w:before="0"/>
              <w:jc w:val="right"/>
              <w:rPr>
                <w:sz w:val="16"/>
                <w:szCs w:val="16"/>
              </w:rPr>
            </w:pPr>
            <w:r w:rsidRPr="003F2AA0">
              <w:rPr>
                <w:sz w:val="16"/>
                <w:szCs w:val="16"/>
              </w:rPr>
              <w:t>17,76</w:t>
            </w:r>
          </w:p>
        </w:tc>
        <w:tc>
          <w:tcPr>
            <w:tcW w:w="371" w:type="pct"/>
            <w:tcBorders>
              <w:top w:val="single" w:sz="4" w:space="0" w:color="auto"/>
              <w:left w:val="single" w:sz="4" w:space="0" w:color="auto"/>
              <w:bottom w:val="single" w:sz="8" w:space="0" w:color="auto"/>
              <w:right w:val="single" w:sz="4" w:space="0" w:color="auto"/>
            </w:tcBorders>
            <w:shd w:val="clear" w:color="000000" w:fill="FCDDDF"/>
            <w:noWrap/>
            <w:vAlign w:val="bottom"/>
            <w:hideMark/>
          </w:tcPr>
          <w:p w:rsidR="003F2AA0" w:rsidRPr="003F2AA0" w:rsidRDefault="003F2AA0" w:rsidP="003F2AA0">
            <w:pPr>
              <w:spacing w:before="0"/>
              <w:jc w:val="right"/>
              <w:rPr>
                <w:sz w:val="16"/>
                <w:szCs w:val="16"/>
              </w:rPr>
            </w:pPr>
            <w:r w:rsidRPr="003F2AA0">
              <w:rPr>
                <w:sz w:val="16"/>
                <w:szCs w:val="16"/>
              </w:rPr>
              <w:t>19,19</w:t>
            </w:r>
          </w:p>
        </w:tc>
        <w:tc>
          <w:tcPr>
            <w:tcW w:w="371" w:type="pct"/>
            <w:tcBorders>
              <w:top w:val="single" w:sz="4" w:space="0" w:color="auto"/>
              <w:left w:val="single" w:sz="4" w:space="0" w:color="auto"/>
              <w:bottom w:val="single" w:sz="8" w:space="0" w:color="auto"/>
              <w:right w:val="single" w:sz="4" w:space="0" w:color="auto"/>
            </w:tcBorders>
            <w:shd w:val="clear" w:color="000000" w:fill="FCDEE1"/>
            <w:noWrap/>
            <w:vAlign w:val="bottom"/>
            <w:hideMark/>
          </w:tcPr>
          <w:p w:rsidR="003F2AA0" w:rsidRPr="003F2AA0" w:rsidRDefault="003F2AA0" w:rsidP="003F2AA0">
            <w:pPr>
              <w:spacing w:before="0"/>
              <w:jc w:val="right"/>
              <w:rPr>
                <w:sz w:val="16"/>
                <w:szCs w:val="16"/>
              </w:rPr>
            </w:pPr>
            <w:r w:rsidRPr="003F2AA0">
              <w:rPr>
                <w:sz w:val="16"/>
                <w:szCs w:val="16"/>
              </w:rPr>
              <w:t>18,56</w:t>
            </w:r>
          </w:p>
        </w:tc>
        <w:tc>
          <w:tcPr>
            <w:tcW w:w="371" w:type="pct"/>
            <w:tcBorders>
              <w:top w:val="single" w:sz="4" w:space="0" w:color="auto"/>
              <w:left w:val="single" w:sz="4" w:space="0" w:color="auto"/>
              <w:bottom w:val="single" w:sz="8" w:space="0" w:color="auto"/>
              <w:right w:val="single" w:sz="4" w:space="0" w:color="auto"/>
            </w:tcBorders>
            <w:shd w:val="clear" w:color="000000" w:fill="FCD8DB"/>
            <w:noWrap/>
            <w:vAlign w:val="bottom"/>
            <w:hideMark/>
          </w:tcPr>
          <w:p w:rsidR="003F2AA0" w:rsidRPr="003F2AA0" w:rsidRDefault="003F2AA0" w:rsidP="003F2AA0">
            <w:pPr>
              <w:spacing w:before="0"/>
              <w:jc w:val="right"/>
              <w:rPr>
                <w:sz w:val="16"/>
                <w:szCs w:val="16"/>
              </w:rPr>
            </w:pPr>
            <w:r w:rsidRPr="003F2AA0">
              <w:rPr>
                <w:sz w:val="16"/>
                <w:szCs w:val="16"/>
              </w:rPr>
              <w:t>21,66</w:t>
            </w:r>
          </w:p>
        </w:tc>
        <w:tc>
          <w:tcPr>
            <w:tcW w:w="371" w:type="pct"/>
            <w:tcBorders>
              <w:top w:val="single" w:sz="4" w:space="0" w:color="auto"/>
              <w:left w:val="single" w:sz="4" w:space="0" w:color="auto"/>
              <w:bottom w:val="single" w:sz="8" w:space="0" w:color="auto"/>
              <w:right w:val="single" w:sz="4" w:space="0" w:color="auto"/>
            </w:tcBorders>
            <w:shd w:val="clear" w:color="000000" w:fill="FBD8DA"/>
            <w:noWrap/>
            <w:vAlign w:val="bottom"/>
            <w:hideMark/>
          </w:tcPr>
          <w:p w:rsidR="003F2AA0" w:rsidRPr="003F2AA0" w:rsidRDefault="003F2AA0" w:rsidP="003F2AA0">
            <w:pPr>
              <w:spacing w:before="0"/>
              <w:jc w:val="right"/>
              <w:rPr>
                <w:sz w:val="16"/>
                <w:szCs w:val="16"/>
              </w:rPr>
            </w:pPr>
            <w:r w:rsidRPr="003F2AA0">
              <w:rPr>
                <w:sz w:val="16"/>
                <w:szCs w:val="16"/>
              </w:rPr>
              <w:t>21,82</w:t>
            </w:r>
          </w:p>
        </w:tc>
        <w:tc>
          <w:tcPr>
            <w:tcW w:w="371" w:type="pct"/>
            <w:tcBorders>
              <w:top w:val="single" w:sz="4" w:space="0" w:color="auto"/>
              <w:left w:val="single" w:sz="4" w:space="0" w:color="auto"/>
              <w:bottom w:val="single" w:sz="8" w:space="0" w:color="auto"/>
              <w:right w:val="single" w:sz="4" w:space="0" w:color="auto"/>
            </w:tcBorders>
            <w:shd w:val="clear" w:color="000000" w:fill="FCD9DC"/>
            <w:noWrap/>
            <w:vAlign w:val="bottom"/>
            <w:hideMark/>
          </w:tcPr>
          <w:p w:rsidR="003F2AA0" w:rsidRPr="003F2AA0" w:rsidRDefault="003F2AA0" w:rsidP="003F2AA0">
            <w:pPr>
              <w:spacing w:before="0"/>
              <w:jc w:val="right"/>
              <w:rPr>
                <w:sz w:val="16"/>
                <w:szCs w:val="16"/>
              </w:rPr>
            </w:pPr>
            <w:r w:rsidRPr="003F2AA0">
              <w:rPr>
                <w:sz w:val="16"/>
                <w:szCs w:val="16"/>
              </w:rPr>
              <w:t>21,11</w:t>
            </w:r>
          </w:p>
        </w:tc>
        <w:tc>
          <w:tcPr>
            <w:tcW w:w="371" w:type="pct"/>
            <w:tcBorders>
              <w:top w:val="single" w:sz="4" w:space="0" w:color="auto"/>
              <w:left w:val="single" w:sz="4" w:space="0" w:color="auto"/>
              <w:bottom w:val="single" w:sz="8" w:space="0" w:color="auto"/>
              <w:right w:val="single" w:sz="4" w:space="0" w:color="auto"/>
            </w:tcBorders>
            <w:shd w:val="clear" w:color="000000" w:fill="FCD9DC"/>
            <w:noWrap/>
            <w:vAlign w:val="bottom"/>
            <w:hideMark/>
          </w:tcPr>
          <w:p w:rsidR="003F2AA0" w:rsidRPr="003F2AA0" w:rsidRDefault="003F2AA0" w:rsidP="003F2AA0">
            <w:pPr>
              <w:spacing w:before="0"/>
              <w:jc w:val="right"/>
              <w:rPr>
                <w:sz w:val="16"/>
                <w:szCs w:val="16"/>
              </w:rPr>
            </w:pPr>
            <w:r w:rsidRPr="003F2AA0">
              <w:rPr>
                <w:sz w:val="16"/>
                <w:szCs w:val="16"/>
              </w:rPr>
              <w:t>21,09</w:t>
            </w:r>
          </w:p>
        </w:tc>
      </w:tr>
      <w:tr w:rsidR="003F2AA0" w:rsidRPr="003F2AA0" w:rsidTr="003F2AA0">
        <w:trPr>
          <w:trHeight w:val="227"/>
        </w:trPr>
        <w:tc>
          <w:tcPr>
            <w:tcW w:w="973"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F2AA0" w:rsidRPr="003F2AA0" w:rsidRDefault="003F2AA0" w:rsidP="003F2AA0">
            <w:pPr>
              <w:spacing w:before="0"/>
              <w:rPr>
                <w:b/>
                <w:sz w:val="18"/>
                <w:szCs w:val="18"/>
              </w:rPr>
            </w:pPr>
            <w:r w:rsidRPr="003F2AA0">
              <w:rPr>
                <w:b/>
                <w:sz w:val="18"/>
                <w:szCs w:val="18"/>
              </w:rPr>
              <w:t>Olomoucký</w:t>
            </w:r>
          </w:p>
        </w:tc>
        <w:tc>
          <w:tcPr>
            <w:tcW w:w="318" w:type="pct"/>
            <w:tcBorders>
              <w:top w:val="single" w:sz="8" w:space="0" w:color="auto"/>
              <w:left w:val="single" w:sz="4" w:space="0" w:color="auto"/>
              <w:bottom w:val="single" w:sz="8" w:space="0" w:color="auto"/>
              <w:right w:val="single" w:sz="4" w:space="0" w:color="auto"/>
            </w:tcBorders>
            <w:shd w:val="clear" w:color="000000" w:fill="FCFCFF"/>
            <w:noWrap/>
            <w:vAlign w:val="bottom"/>
            <w:hideMark/>
          </w:tcPr>
          <w:p w:rsidR="003F2AA0" w:rsidRPr="003F2AA0" w:rsidRDefault="003F2AA0" w:rsidP="003F2AA0">
            <w:pPr>
              <w:spacing w:before="0"/>
              <w:jc w:val="right"/>
              <w:rPr>
                <w:b/>
                <w:sz w:val="16"/>
                <w:szCs w:val="16"/>
              </w:rPr>
            </w:pPr>
            <w:r w:rsidRPr="003F2AA0">
              <w:rPr>
                <w:b/>
                <w:sz w:val="16"/>
                <w:szCs w:val="16"/>
              </w:rPr>
              <w:t>3,11</w:t>
            </w:r>
          </w:p>
        </w:tc>
        <w:tc>
          <w:tcPr>
            <w:tcW w:w="371" w:type="pct"/>
            <w:tcBorders>
              <w:top w:val="single" w:sz="8" w:space="0" w:color="auto"/>
              <w:left w:val="single" w:sz="4" w:space="0" w:color="auto"/>
              <w:bottom w:val="single" w:sz="8" w:space="0" w:color="auto"/>
              <w:right w:val="single" w:sz="4" w:space="0" w:color="auto"/>
            </w:tcBorders>
            <w:shd w:val="clear" w:color="000000" w:fill="FCFCFF"/>
            <w:noWrap/>
            <w:vAlign w:val="bottom"/>
            <w:hideMark/>
          </w:tcPr>
          <w:p w:rsidR="003F2AA0" w:rsidRPr="003F2AA0" w:rsidRDefault="003F2AA0" w:rsidP="003F2AA0">
            <w:pPr>
              <w:spacing w:before="0"/>
              <w:jc w:val="right"/>
              <w:rPr>
                <w:b/>
                <w:sz w:val="16"/>
                <w:szCs w:val="16"/>
              </w:rPr>
            </w:pPr>
            <w:r w:rsidRPr="003F2AA0">
              <w:rPr>
                <w:b/>
                <w:sz w:val="16"/>
                <w:szCs w:val="16"/>
              </w:rPr>
              <w:t>2,84</w:t>
            </w:r>
          </w:p>
        </w:tc>
        <w:tc>
          <w:tcPr>
            <w:tcW w:w="371" w:type="pct"/>
            <w:tcBorders>
              <w:top w:val="single" w:sz="8" w:space="0" w:color="auto"/>
              <w:left w:val="single" w:sz="4" w:space="0" w:color="auto"/>
              <w:bottom w:val="single" w:sz="8" w:space="0" w:color="auto"/>
              <w:right w:val="single" w:sz="4" w:space="0" w:color="auto"/>
            </w:tcBorders>
            <w:shd w:val="clear" w:color="000000" w:fill="FCFCFF"/>
            <w:noWrap/>
            <w:vAlign w:val="bottom"/>
            <w:hideMark/>
          </w:tcPr>
          <w:p w:rsidR="003F2AA0" w:rsidRPr="003F2AA0" w:rsidRDefault="003F2AA0" w:rsidP="003F2AA0">
            <w:pPr>
              <w:spacing w:before="0"/>
              <w:jc w:val="right"/>
              <w:rPr>
                <w:b/>
                <w:sz w:val="16"/>
                <w:szCs w:val="16"/>
              </w:rPr>
            </w:pPr>
            <w:r w:rsidRPr="003F2AA0">
              <w:rPr>
                <w:b/>
                <w:sz w:val="16"/>
                <w:szCs w:val="16"/>
              </w:rPr>
              <w:t>2,79</w:t>
            </w:r>
          </w:p>
        </w:tc>
        <w:tc>
          <w:tcPr>
            <w:tcW w:w="371" w:type="pct"/>
            <w:tcBorders>
              <w:top w:val="single" w:sz="8" w:space="0" w:color="auto"/>
              <w:left w:val="single" w:sz="4" w:space="0" w:color="auto"/>
              <w:bottom w:val="single" w:sz="8" w:space="0" w:color="auto"/>
              <w:right w:val="single" w:sz="4" w:space="0" w:color="auto"/>
            </w:tcBorders>
            <w:shd w:val="clear" w:color="000000" w:fill="F9FAFE"/>
            <w:noWrap/>
            <w:vAlign w:val="bottom"/>
            <w:hideMark/>
          </w:tcPr>
          <w:p w:rsidR="003F2AA0" w:rsidRPr="003F2AA0" w:rsidRDefault="003F2AA0" w:rsidP="003F2AA0">
            <w:pPr>
              <w:spacing w:before="0"/>
              <w:jc w:val="right"/>
              <w:rPr>
                <w:b/>
                <w:sz w:val="16"/>
                <w:szCs w:val="16"/>
              </w:rPr>
            </w:pPr>
            <w:r w:rsidRPr="003F2AA0">
              <w:rPr>
                <w:b/>
                <w:sz w:val="16"/>
                <w:szCs w:val="16"/>
              </w:rPr>
              <w:t>2,71</w:t>
            </w:r>
          </w:p>
        </w:tc>
        <w:tc>
          <w:tcPr>
            <w:tcW w:w="371" w:type="pct"/>
            <w:tcBorders>
              <w:top w:val="single" w:sz="8" w:space="0" w:color="auto"/>
              <w:left w:val="single" w:sz="4" w:space="0" w:color="auto"/>
              <w:bottom w:val="single" w:sz="8" w:space="0" w:color="auto"/>
              <w:right w:val="single" w:sz="4" w:space="0" w:color="auto"/>
            </w:tcBorders>
            <w:shd w:val="clear" w:color="000000" w:fill="F9FAFE"/>
            <w:noWrap/>
            <w:vAlign w:val="bottom"/>
            <w:hideMark/>
          </w:tcPr>
          <w:p w:rsidR="003F2AA0" w:rsidRPr="003F2AA0" w:rsidRDefault="003F2AA0" w:rsidP="003F2AA0">
            <w:pPr>
              <w:spacing w:before="0"/>
              <w:jc w:val="right"/>
              <w:rPr>
                <w:b/>
                <w:sz w:val="16"/>
                <w:szCs w:val="16"/>
              </w:rPr>
            </w:pPr>
            <w:r w:rsidRPr="003F2AA0">
              <w:rPr>
                <w:b/>
                <w:sz w:val="16"/>
                <w:szCs w:val="16"/>
              </w:rPr>
              <w:t>2,70</w:t>
            </w:r>
          </w:p>
        </w:tc>
        <w:tc>
          <w:tcPr>
            <w:tcW w:w="371" w:type="pct"/>
            <w:tcBorders>
              <w:top w:val="single" w:sz="8" w:space="0" w:color="auto"/>
              <w:left w:val="single" w:sz="4" w:space="0" w:color="auto"/>
              <w:bottom w:val="single" w:sz="8" w:space="0" w:color="auto"/>
              <w:right w:val="single" w:sz="4" w:space="0" w:color="auto"/>
            </w:tcBorders>
            <w:shd w:val="clear" w:color="000000" w:fill="FBFBFE"/>
            <w:noWrap/>
            <w:vAlign w:val="bottom"/>
            <w:hideMark/>
          </w:tcPr>
          <w:p w:rsidR="003F2AA0" w:rsidRPr="003F2AA0" w:rsidRDefault="003F2AA0" w:rsidP="003F2AA0">
            <w:pPr>
              <w:spacing w:before="0"/>
              <w:jc w:val="right"/>
              <w:rPr>
                <w:b/>
                <w:sz w:val="16"/>
                <w:szCs w:val="16"/>
              </w:rPr>
            </w:pPr>
            <w:r w:rsidRPr="003F2AA0">
              <w:rPr>
                <w:b/>
                <w:sz w:val="16"/>
                <w:szCs w:val="16"/>
              </w:rPr>
              <w:t>2,74</w:t>
            </w:r>
          </w:p>
        </w:tc>
        <w:tc>
          <w:tcPr>
            <w:tcW w:w="371" w:type="pct"/>
            <w:tcBorders>
              <w:top w:val="single" w:sz="8" w:space="0" w:color="auto"/>
              <w:left w:val="single" w:sz="4" w:space="0" w:color="auto"/>
              <w:bottom w:val="single" w:sz="8" w:space="0" w:color="auto"/>
              <w:right w:val="single" w:sz="4" w:space="0" w:color="auto"/>
            </w:tcBorders>
            <w:shd w:val="clear" w:color="000000" w:fill="FCFCFF"/>
            <w:noWrap/>
            <w:vAlign w:val="bottom"/>
            <w:hideMark/>
          </w:tcPr>
          <w:p w:rsidR="003F2AA0" w:rsidRPr="003F2AA0" w:rsidRDefault="003F2AA0" w:rsidP="003F2AA0">
            <w:pPr>
              <w:spacing w:before="0"/>
              <w:jc w:val="right"/>
              <w:rPr>
                <w:b/>
                <w:sz w:val="16"/>
                <w:szCs w:val="16"/>
              </w:rPr>
            </w:pPr>
            <w:r w:rsidRPr="003F2AA0">
              <w:rPr>
                <w:b/>
                <w:sz w:val="16"/>
                <w:szCs w:val="16"/>
              </w:rPr>
              <w:t>3,25</w:t>
            </w:r>
          </w:p>
        </w:tc>
        <w:tc>
          <w:tcPr>
            <w:tcW w:w="371" w:type="pct"/>
            <w:tcBorders>
              <w:top w:val="single" w:sz="8" w:space="0" w:color="auto"/>
              <w:left w:val="single" w:sz="4" w:space="0" w:color="auto"/>
              <w:bottom w:val="single" w:sz="8" w:space="0" w:color="auto"/>
              <w:right w:val="single" w:sz="4" w:space="0" w:color="auto"/>
            </w:tcBorders>
            <w:shd w:val="clear" w:color="000000" w:fill="FCFCFF"/>
            <w:noWrap/>
            <w:vAlign w:val="bottom"/>
            <w:hideMark/>
          </w:tcPr>
          <w:p w:rsidR="003F2AA0" w:rsidRPr="003F2AA0" w:rsidRDefault="003F2AA0" w:rsidP="003F2AA0">
            <w:pPr>
              <w:spacing w:before="0"/>
              <w:jc w:val="right"/>
              <w:rPr>
                <w:b/>
                <w:sz w:val="16"/>
                <w:szCs w:val="16"/>
              </w:rPr>
            </w:pPr>
            <w:r w:rsidRPr="003F2AA0">
              <w:rPr>
                <w:b/>
                <w:sz w:val="16"/>
                <w:szCs w:val="16"/>
              </w:rPr>
              <w:t>2,86</w:t>
            </w:r>
          </w:p>
        </w:tc>
        <w:tc>
          <w:tcPr>
            <w:tcW w:w="371" w:type="pct"/>
            <w:tcBorders>
              <w:top w:val="single" w:sz="8" w:space="0" w:color="auto"/>
              <w:left w:val="single" w:sz="4" w:space="0" w:color="auto"/>
              <w:bottom w:val="single" w:sz="8" w:space="0" w:color="auto"/>
              <w:right w:val="single" w:sz="4" w:space="0" w:color="auto"/>
            </w:tcBorders>
            <w:shd w:val="clear" w:color="000000" w:fill="FCFCFF"/>
            <w:noWrap/>
            <w:vAlign w:val="bottom"/>
            <w:hideMark/>
          </w:tcPr>
          <w:p w:rsidR="003F2AA0" w:rsidRPr="003F2AA0" w:rsidRDefault="003F2AA0" w:rsidP="003F2AA0">
            <w:pPr>
              <w:spacing w:before="0"/>
              <w:jc w:val="right"/>
              <w:rPr>
                <w:b/>
                <w:sz w:val="16"/>
                <w:szCs w:val="16"/>
              </w:rPr>
            </w:pPr>
            <w:r w:rsidRPr="003F2AA0">
              <w:rPr>
                <w:b/>
                <w:sz w:val="16"/>
                <w:szCs w:val="16"/>
              </w:rPr>
              <w:t>3,25</w:t>
            </w:r>
          </w:p>
        </w:tc>
        <w:tc>
          <w:tcPr>
            <w:tcW w:w="371" w:type="pct"/>
            <w:tcBorders>
              <w:top w:val="single" w:sz="8" w:space="0" w:color="auto"/>
              <w:left w:val="single" w:sz="4" w:space="0" w:color="auto"/>
              <w:bottom w:val="single" w:sz="8" w:space="0" w:color="auto"/>
              <w:right w:val="single" w:sz="4" w:space="0" w:color="auto"/>
            </w:tcBorders>
            <w:shd w:val="clear" w:color="000000" w:fill="FCFAFD"/>
            <w:noWrap/>
            <w:vAlign w:val="bottom"/>
            <w:hideMark/>
          </w:tcPr>
          <w:p w:rsidR="003F2AA0" w:rsidRPr="003F2AA0" w:rsidRDefault="003F2AA0" w:rsidP="003F2AA0">
            <w:pPr>
              <w:spacing w:before="0"/>
              <w:jc w:val="right"/>
              <w:rPr>
                <w:b/>
                <w:sz w:val="16"/>
                <w:szCs w:val="16"/>
              </w:rPr>
            </w:pPr>
            <w:r w:rsidRPr="003F2AA0">
              <w:rPr>
                <w:b/>
                <w:sz w:val="16"/>
                <w:szCs w:val="16"/>
              </w:rPr>
              <w:t>4,20</w:t>
            </w:r>
          </w:p>
        </w:tc>
        <w:tc>
          <w:tcPr>
            <w:tcW w:w="371" w:type="pct"/>
            <w:tcBorders>
              <w:top w:val="single" w:sz="8" w:space="0" w:color="auto"/>
              <w:left w:val="single" w:sz="4" w:space="0" w:color="auto"/>
              <w:bottom w:val="single" w:sz="8" w:space="0" w:color="auto"/>
              <w:right w:val="single" w:sz="8" w:space="0" w:color="auto"/>
            </w:tcBorders>
            <w:shd w:val="clear" w:color="000000" w:fill="FCFCFF"/>
            <w:noWrap/>
            <w:vAlign w:val="bottom"/>
            <w:hideMark/>
          </w:tcPr>
          <w:p w:rsidR="003F2AA0" w:rsidRPr="003F2AA0" w:rsidRDefault="003F2AA0" w:rsidP="003F2AA0">
            <w:pPr>
              <w:spacing w:before="0"/>
              <w:jc w:val="right"/>
              <w:rPr>
                <w:b/>
                <w:sz w:val="16"/>
                <w:szCs w:val="16"/>
              </w:rPr>
            </w:pPr>
            <w:r w:rsidRPr="003F2AA0">
              <w:rPr>
                <w:b/>
                <w:sz w:val="16"/>
                <w:szCs w:val="16"/>
              </w:rPr>
              <w:t>2,75</w:t>
            </w:r>
          </w:p>
        </w:tc>
      </w:tr>
      <w:tr w:rsidR="003F2AA0" w:rsidRPr="003F2AA0" w:rsidTr="003F2AA0">
        <w:trPr>
          <w:trHeight w:val="227"/>
        </w:trPr>
        <w:tc>
          <w:tcPr>
            <w:tcW w:w="973"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Zlínský</w:t>
            </w:r>
          </w:p>
        </w:tc>
        <w:tc>
          <w:tcPr>
            <w:tcW w:w="318" w:type="pct"/>
            <w:tcBorders>
              <w:top w:val="single" w:sz="8" w:space="0" w:color="auto"/>
              <w:left w:val="single" w:sz="4" w:space="0" w:color="auto"/>
              <w:bottom w:val="single" w:sz="4" w:space="0" w:color="auto"/>
              <w:right w:val="single" w:sz="4" w:space="0" w:color="auto"/>
            </w:tcBorders>
            <w:shd w:val="clear" w:color="000000" w:fill="FCF8FB"/>
            <w:noWrap/>
            <w:vAlign w:val="bottom"/>
            <w:hideMark/>
          </w:tcPr>
          <w:p w:rsidR="003F2AA0" w:rsidRPr="003F2AA0" w:rsidRDefault="003F2AA0" w:rsidP="003F2AA0">
            <w:pPr>
              <w:spacing w:before="0"/>
              <w:jc w:val="right"/>
              <w:rPr>
                <w:sz w:val="16"/>
                <w:szCs w:val="16"/>
              </w:rPr>
            </w:pPr>
            <w:r w:rsidRPr="003F2AA0">
              <w:rPr>
                <w:sz w:val="16"/>
                <w:szCs w:val="16"/>
              </w:rPr>
              <w:t>4,82</w:t>
            </w:r>
          </w:p>
        </w:tc>
        <w:tc>
          <w:tcPr>
            <w:tcW w:w="371" w:type="pct"/>
            <w:tcBorders>
              <w:top w:val="single" w:sz="8" w:space="0" w:color="auto"/>
              <w:left w:val="single" w:sz="4" w:space="0" w:color="auto"/>
              <w:bottom w:val="single" w:sz="4" w:space="0" w:color="auto"/>
              <w:right w:val="single" w:sz="4" w:space="0" w:color="auto"/>
            </w:tcBorders>
            <w:shd w:val="clear" w:color="000000" w:fill="FCF9FC"/>
            <w:noWrap/>
            <w:vAlign w:val="bottom"/>
            <w:hideMark/>
          </w:tcPr>
          <w:p w:rsidR="003F2AA0" w:rsidRPr="003F2AA0" w:rsidRDefault="003F2AA0" w:rsidP="003F2AA0">
            <w:pPr>
              <w:spacing w:before="0"/>
              <w:jc w:val="right"/>
              <w:rPr>
                <w:sz w:val="16"/>
                <w:szCs w:val="16"/>
              </w:rPr>
            </w:pPr>
            <w:r w:rsidRPr="003F2AA0">
              <w:rPr>
                <w:sz w:val="16"/>
                <w:szCs w:val="16"/>
              </w:rPr>
              <w:t>4,74</w:t>
            </w:r>
          </w:p>
        </w:tc>
        <w:tc>
          <w:tcPr>
            <w:tcW w:w="371" w:type="pct"/>
            <w:tcBorders>
              <w:top w:val="single" w:sz="8" w:space="0" w:color="auto"/>
              <w:left w:val="single" w:sz="4" w:space="0" w:color="auto"/>
              <w:bottom w:val="single" w:sz="4" w:space="0" w:color="auto"/>
              <w:right w:val="single" w:sz="4" w:space="0" w:color="auto"/>
            </w:tcBorders>
            <w:shd w:val="clear" w:color="000000" w:fill="FCF9FB"/>
            <w:noWrap/>
            <w:vAlign w:val="bottom"/>
            <w:hideMark/>
          </w:tcPr>
          <w:p w:rsidR="003F2AA0" w:rsidRPr="003F2AA0" w:rsidRDefault="003F2AA0" w:rsidP="003F2AA0">
            <w:pPr>
              <w:spacing w:before="0"/>
              <w:jc w:val="right"/>
              <w:rPr>
                <w:sz w:val="16"/>
                <w:szCs w:val="16"/>
              </w:rPr>
            </w:pPr>
            <w:r w:rsidRPr="003F2AA0">
              <w:rPr>
                <w:sz w:val="16"/>
                <w:szCs w:val="16"/>
              </w:rPr>
              <w:t>4,81</w:t>
            </w:r>
          </w:p>
        </w:tc>
        <w:tc>
          <w:tcPr>
            <w:tcW w:w="371" w:type="pct"/>
            <w:tcBorders>
              <w:top w:val="single" w:sz="8" w:space="0" w:color="auto"/>
              <w:left w:val="single" w:sz="4" w:space="0" w:color="auto"/>
              <w:bottom w:val="single" w:sz="4" w:space="0" w:color="auto"/>
              <w:right w:val="single" w:sz="4" w:space="0" w:color="auto"/>
            </w:tcBorders>
            <w:shd w:val="clear" w:color="000000" w:fill="FCFAFD"/>
            <w:noWrap/>
            <w:vAlign w:val="bottom"/>
            <w:hideMark/>
          </w:tcPr>
          <w:p w:rsidR="003F2AA0" w:rsidRPr="003F2AA0" w:rsidRDefault="003F2AA0" w:rsidP="003F2AA0">
            <w:pPr>
              <w:spacing w:before="0"/>
              <w:jc w:val="right"/>
              <w:rPr>
                <w:sz w:val="16"/>
                <w:szCs w:val="16"/>
              </w:rPr>
            </w:pPr>
            <w:r w:rsidRPr="003F2AA0">
              <w:rPr>
                <w:sz w:val="16"/>
                <w:szCs w:val="16"/>
              </w:rPr>
              <w:t>4,12</w:t>
            </w:r>
          </w:p>
        </w:tc>
        <w:tc>
          <w:tcPr>
            <w:tcW w:w="371" w:type="pct"/>
            <w:tcBorders>
              <w:top w:val="single" w:sz="8" w:space="0" w:color="auto"/>
              <w:left w:val="single" w:sz="4" w:space="0" w:color="auto"/>
              <w:bottom w:val="single" w:sz="4" w:space="0" w:color="auto"/>
              <w:right w:val="single" w:sz="4" w:space="0" w:color="auto"/>
            </w:tcBorders>
            <w:shd w:val="clear" w:color="000000" w:fill="FCF8FB"/>
            <w:noWrap/>
            <w:vAlign w:val="bottom"/>
            <w:hideMark/>
          </w:tcPr>
          <w:p w:rsidR="003F2AA0" w:rsidRPr="003F2AA0" w:rsidRDefault="003F2AA0" w:rsidP="003F2AA0">
            <w:pPr>
              <w:spacing w:before="0"/>
              <w:jc w:val="right"/>
              <w:rPr>
                <w:sz w:val="16"/>
                <w:szCs w:val="16"/>
              </w:rPr>
            </w:pPr>
            <w:r w:rsidRPr="003F2AA0">
              <w:rPr>
                <w:sz w:val="16"/>
                <w:szCs w:val="16"/>
              </w:rPr>
              <w:t>5,19</w:t>
            </w:r>
          </w:p>
        </w:tc>
        <w:tc>
          <w:tcPr>
            <w:tcW w:w="371" w:type="pct"/>
            <w:tcBorders>
              <w:top w:val="single" w:sz="8" w:space="0" w:color="auto"/>
              <w:left w:val="single" w:sz="4" w:space="0" w:color="auto"/>
              <w:bottom w:val="single" w:sz="4" w:space="0" w:color="auto"/>
              <w:right w:val="single" w:sz="4" w:space="0" w:color="auto"/>
            </w:tcBorders>
            <w:shd w:val="clear" w:color="000000" w:fill="FCFAFD"/>
            <w:noWrap/>
            <w:vAlign w:val="bottom"/>
            <w:hideMark/>
          </w:tcPr>
          <w:p w:rsidR="003F2AA0" w:rsidRPr="003F2AA0" w:rsidRDefault="003F2AA0" w:rsidP="003F2AA0">
            <w:pPr>
              <w:spacing w:before="0"/>
              <w:jc w:val="right"/>
              <w:rPr>
                <w:sz w:val="16"/>
                <w:szCs w:val="16"/>
              </w:rPr>
            </w:pPr>
            <w:r w:rsidRPr="003F2AA0">
              <w:rPr>
                <w:sz w:val="16"/>
                <w:szCs w:val="16"/>
              </w:rPr>
              <w:t>4,19</w:t>
            </w:r>
          </w:p>
        </w:tc>
        <w:tc>
          <w:tcPr>
            <w:tcW w:w="371" w:type="pct"/>
            <w:tcBorders>
              <w:top w:val="single" w:sz="8" w:space="0" w:color="auto"/>
              <w:left w:val="single" w:sz="4" w:space="0" w:color="auto"/>
              <w:bottom w:val="single" w:sz="4" w:space="0" w:color="auto"/>
              <w:right w:val="single" w:sz="4" w:space="0" w:color="auto"/>
            </w:tcBorders>
            <w:shd w:val="clear" w:color="000000" w:fill="E1E9F5"/>
            <w:noWrap/>
            <w:vAlign w:val="bottom"/>
            <w:hideMark/>
          </w:tcPr>
          <w:p w:rsidR="003F2AA0" w:rsidRPr="003F2AA0" w:rsidRDefault="003F2AA0" w:rsidP="003F2AA0">
            <w:pPr>
              <w:spacing w:before="0"/>
              <w:jc w:val="right"/>
              <w:rPr>
                <w:sz w:val="16"/>
                <w:szCs w:val="16"/>
              </w:rPr>
            </w:pPr>
            <w:r w:rsidRPr="003F2AA0">
              <w:rPr>
                <w:sz w:val="16"/>
                <w:szCs w:val="16"/>
              </w:rPr>
              <w:t>2,30</w:t>
            </w:r>
          </w:p>
        </w:tc>
        <w:tc>
          <w:tcPr>
            <w:tcW w:w="371" w:type="pct"/>
            <w:tcBorders>
              <w:top w:val="single" w:sz="8" w:space="0" w:color="auto"/>
              <w:left w:val="single" w:sz="4" w:space="0" w:color="auto"/>
              <w:bottom w:val="single" w:sz="4" w:space="0" w:color="auto"/>
              <w:right w:val="single" w:sz="4" w:space="0" w:color="auto"/>
            </w:tcBorders>
            <w:shd w:val="clear" w:color="000000" w:fill="B7CCE7"/>
            <w:noWrap/>
            <w:vAlign w:val="bottom"/>
            <w:hideMark/>
          </w:tcPr>
          <w:p w:rsidR="003F2AA0" w:rsidRPr="003F2AA0" w:rsidRDefault="003F2AA0" w:rsidP="003F2AA0">
            <w:pPr>
              <w:spacing w:before="0"/>
              <w:jc w:val="right"/>
              <w:rPr>
                <w:sz w:val="16"/>
                <w:szCs w:val="16"/>
              </w:rPr>
            </w:pPr>
            <w:r w:rsidRPr="003F2AA0">
              <w:rPr>
                <w:sz w:val="16"/>
                <w:szCs w:val="16"/>
              </w:rPr>
              <w:t>1,60</w:t>
            </w:r>
          </w:p>
        </w:tc>
        <w:tc>
          <w:tcPr>
            <w:tcW w:w="371" w:type="pct"/>
            <w:tcBorders>
              <w:top w:val="single" w:sz="8" w:space="0" w:color="auto"/>
              <w:left w:val="single" w:sz="4" w:space="0" w:color="auto"/>
              <w:bottom w:val="single" w:sz="4" w:space="0" w:color="auto"/>
              <w:right w:val="single" w:sz="4" w:space="0" w:color="auto"/>
            </w:tcBorders>
            <w:shd w:val="clear" w:color="000000" w:fill="A7C0E1"/>
            <w:noWrap/>
            <w:vAlign w:val="bottom"/>
            <w:hideMark/>
          </w:tcPr>
          <w:p w:rsidR="003F2AA0" w:rsidRPr="003F2AA0" w:rsidRDefault="003F2AA0" w:rsidP="003F2AA0">
            <w:pPr>
              <w:spacing w:before="0"/>
              <w:jc w:val="right"/>
              <w:rPr>
                <w:sz w:val="16"/>
                <w:szCs w:val="16"/>
              </w:rPr>
            </w:pPr>
            <w:r w:rsidRPr="003F2AA0">
              <w:rPr>
                <w:sz w:val="16"/>
                <w:szCs w:val="16"/>
              </w:rPr>
              <w:t>1,32</w:t>
            </w:r>
          </w:p>
        </w:tc>
        <w:tc>
          <w:tcPr>
            <w:tcW w:w="371" w:type="pct"/>
            <w:tcBorders>
              <w:top w:val="single" w:sz="8" w:space="0" w:color="auto"/>
              <w:left w:val="single" w:sz="4" w:space="0" w:color="auto"/>
              <w:bottom w:val="single" w:sz="4" w:space="0" w:color="auto"/>
              <w:right w:val="single" w:sz="4" w:space="0" w:color="auto"/>
            </w:tcBorders>
            <w:shd w:val="clear" w:color="000000" w:fill="85A8D5"/>
            <w:noWrap/>
            <w:vAlign w:val="bottom"/>
            <w:hideMark/>
          </w:tcPr>
          <w:p w:rsidR="003F2AA0" w:rsidRPr="003F2AA0" w:rsidRDefault="003F2AA0" w:rsidP="003F2AA0">
            <w:pPr>
              <w:spacing w:before="0"/>
              <w:jc w:val="right"/>
              <w:rPr>
                <w:sz w:val="16"/>
                <w:szCs w:val="16"/>
              </w:rPr>
            </w:pPr>
            <w:r w:rsidRPr="003F2AA0">
              <w:rPr>
                <w:sz w:val="16"/>
                <w:szCs w:val="16"/>
              </w:rPr>
              <w:t>0,75</w:t>
            </w:r>
          </w:p>
        </w:tc>
        <w:tc>
          <w:tcPr>
            <w:tcW w:w="371" w:type="pct"/>
            <w:tcBorders>
              <w:top w:val="single" w:sz="8" w:space="0" w:color="auto"/>
              <w:left w:val="single" w:sz="4" w:space="0" w:color="auto"/>
              <w:bottom w:val="single" w:sz="4" w:space="0" w:color="auto"/>
              <w:right w:val="single" w:sz="4" w:space="0" w:color="auto"/>
            </w:tcBorders>
            <w:shd w:val="clear" w:color="000000" w:fill="82A6D4"/>
            <w:noWrap/>
            <w:vAlign w:val="bottom"/>
            <w:hideMark/>
          </w:tcPr>
          <w:p w:rsidR="003F2AA0" w:rsidRPr="003F2AA0" w:rsidRDefault="003F2AA0" w:rsidP="003F2AA0">
            <w:pPr>
              <w:spacing w:before="0"/>
              <w:jc w:val="right"/>
              <w:rPr>
                <w:sz w:val="16"/>
                <w:szCs w:val="16"/>
              </w:rPr>
            </w:pPr>
            <w:r w:rsidRPr="003F2AA0">
              <w:rPr>
                <w:sz w:val="16"/>
                <w:szCs w:val="16"/>
              </w:rPr>
              <w:t>0,71</w:t>
            </w:r>
          </w:p>
        </w:tc>
      </w:tr>
      <w:tr w:rsidR="003F2AA0" w:rsidRPr="003F2AA0" w:rsidTr="003F2AA0">
        <w:trPr>
          <w:trHeight w:val="227"/>
        </w:trPr>
        <w:tc>
          <w:tcPr>
            <w:tcW w:w="973" w:type="pct"/>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sz w:val="18"/>
                <w:szCs w:val="18"/>
              </w:rPr>
            </w:pPr>
            <w:r w:rsidRPr="003F2AA0">
              <w:rPr>
                <w:sz w:val="18"/>
                <w:szCs w:val="18"/>
              </w:rPr>
              <w:t>Moravskoslezský</w:t>
            </w:r>
          </w:p>
        </w:tc>
        <w:tc>
          <w:tcPr>
            <w:tcW w:w="318" w:type="pct"/>
            <w:tcBorders>
              <w:top w:val="single" w:sz="4" w:space="0" w:color="auto"/>
              <w:left w:val="single" w:sz="4" w:space="0" w:color="auto"/>
              <w:bottom w:val="single" w:sz="4" w:space="0" w:color="auto"/>
              <w:right w:val="single" w:sz="4" w:space="0" w:color="auto"/>
            </w:tcBorders>
            <w:shd w:val="clear" w:color="000000" w:fill="FAFAFE"/>
            <w:noWrap/>
            <w:vAlign w:val="bottom"/>
            <w:hideMark/>
          </w:tcPr>
          <w:p w:rsidR="003F2AA0" w:rsidRPr="003F2AA0" w:rsidRDefault="003F2AA0" w:rsidP="003F2AA0">
            <w:pPr>
              <w:spacing w:before="0"/>
              <w:jc w:val="right"/>
              <w:rPr>
                <w:sz w:val="16"/>
                <w:szCs w:val="16"/>
              </w:rPr>
            </w:pPr>
            <w:r w:rsidRPr="003F2AA0">
              <w:rPr>
                <w:sz w:val="16"/>
                <w:szCs w:val="16"/>
              </w:rPr>
              <w:t>2,72</w:t>
            </w:r>
          </w:p>
        </w:tc>
        <w:tc>
          <w:tcPr>
            <w:tcW w:w="371"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3F2AA0" w:rsidRPr="003F2AA0" w:rsidRDefault="003F2AA0" w:rsidP="003F2AA0">
            <w:pPr>
              <w:spacing w:before="0"/>
              <w:jc w:val="right"/>
              <w:rPr>
                <w:sz w:val="16"/>
                <w:szCs w:val="16"/>
              </w:rPr>
            </w:pPr>
            <w:r w:rsidRPr="003F2AA0">
              <w:rPr>
                <w:sz w:val="16"/>
                <w:szCs w:val="16"/>
              </w:rPr>
              <w:t>4,40</w:t>
            </w:r>
          </w:p>
        </w:tc>
        <w:tc>
          <w:tcPr>
            <w:tcW w:w="37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3,10</w:t>
            </w:r>
          </w:p>
        </w:tc>
        <w:tc>
          <w:tcPr>
            <w:tcW w:w="371"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rsidR="003F2AA0" w:rsidRPr="003F2AA0" w:rsidRDefault="003F2AA0" w:rsidP="003F2AA0">
            <w:pPr>
              <w:spacing w:before="0"/>
              <w:jc w:val="right"/>
              <w:rPr>
                <w:sz w:val="16"/>
                <w:szCs w:val="16"/>
              </w:rPr>
            </w:pPr>
            <w:r w:rsidRPr="003F2AA0">
              <w:rPr>
                <w:sz w:val="16"/>
                <w:szCs w:val="16"/>
              </w:rPr>
              <w:t>4,08</w:t>
            </w:r>
          </w:p>
        </w:tc>
        <w:tc>
          <w:tcPr>
            <w:tcW w:w="371" w:type="pct"/>
            <w:tcBorders>
              <w:top w:val="single" w:sz="4" w:space="0" w:color="auto"/>
              <w:left w:val="single" w:sz="4" w:space="0" w:color="auto"/>
              <w:bottom w:val="single" w:sz="4" w:space="0" w:color="auto"/>
              <w:right w:val="single" w:sz="4" w:space="0" w:color="auto"/>
            </w:tcBorders>
            <w:shd w:val="clear" w:color="000000" w:fill="A5BFE0"/>
            <w:noWrap/>
            <w:vAlign w:val="bottom"/>
            <w:hideMark/>
          </w:tcPr>
          <w:p w:rsidR="003F2AA0" w:rsidRPr="003F2AA0" w:rsidRDefault="003F2AA0" w:rsidP="003F2AA0">
            <w:pPr>
              <w:spacing w:before="0"/>
              <w:jc w:val="right"/>
              <w:rPr>
                <w:sz w:val="16"/>
                <w:szCs w:val="16"/>
              </w:rPr>
            </w:pPr>
            <w:r w:rsidRPr="003F2AA0">
              <w:rPr>
                <w:sz w:val="16"/>
                <w:szCs w:val="16"/>
              </w:rPr>
              <w:t>1,29</w:t>
            </w:r>
          </w:p>
        </w:tc>
        <w:tc>
          <w:tcPr>
            <w:tcW w:w="371"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rsidR="003F2AA0" w:rsidRPr="003F2AA0" w:rsidRDefault="003F2AA0" w:rsidP="003F2AA0">
            <w:pPr>
              <w:spacing w:before="0"/>
              <w:jc w:val="right"/>
              <w:rPr>
                <w:sz w:val="16"/>
                <w:szCs w:val="16"/>
              </w:rPr>
            </w:pPr>
            <w:r w:rsidRPr="003F2AA0">
              <w:rPr>
                <w:sz w:val="16"/>
                <w:szCs w:val="16"/>
              </w:rPr>
              <w:t>4,09</w:t>
            </w:r>
          </w:p>
        </w:tc>
        <w:tc>
          <w:tcPr>
            <w:tcW w:w="371"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rsidR="003F2AA0" w:rsidRPr="003F2AA0" w:rsidRDefault="003F2AA0" w:rsidP="003F2AA0">
            <w:pPr>
              <w:spacing w:before="0"/>
              <w:jc w:val="right"/>
              <w:rPr>
                <w:sz w:val="16"/>
                <w:szCs w:val="16"/>
              </w:rPr>
            </w:pPr>
            <w:r w:rsidRPr="003F2AA0">
              <w:rPr>
                <w:sz w:val="16"/>
                <w:szCs w:val="16"/>
              </w:rPr>
              <w:t>4,40</w:t>
            </w:r>
          </w:p>
        </w:tc>
        <w:tc>
          <w:tcPr>
            <w:tcW w:w="371"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rsidR="003F2AA0" w:rsidRPr="003F2AA0" w:rsidRDefault="003F2AA0" w:rsidP="003F2AA0">
            <w:pPr>
              <w:spacing w:before="0"/>
              <w:jc w:val="right"/>
              <w:rPr>
                <w:sz w:val="16"/>
                <w:szCs w:val="16"/>
              </w:rPr>
            </w:pPr>
            <w:r w:rsidRPr="003F2AA0">
              <w:rPr>
                <w:sz w:val="16"/>
                <w:szCs w:val="16"/>
              </w:rPr>
              <w:t>3,53</w:t>
            </w:r>
          </w:p>
        </w:tc>
        <w:tc>
          <w:tcPr>
            <w:tcW w:w="371" w:type="pct"/>
            <w:tcBorders>
              <w:top w:val="single" w:sz="4" w:space="0" w:color="auto"/>
              <w:left w:val="single" w:sz="4" w:space="0" w:color="auto"/>
              <w:bottom w:val="single" w:sz="4" w:space="0" w:color="auto"/>
              <w:right w:val="single" w:sz="4" w:space="0" w:color="auto"/>
            </w:tcBorders>
            <w:shd w:val="clear" w:color="000000" w:fill="FCFAFD"/>
            <w:noWrap/>
            <w:vAlign w:val="bottom"/>
            <w:hideMark/>
          </w:tcPr>
          <w:p w:rsidR="003F2AA0" w:rsidRPr="003F2AA0" w:rsidRDefault="003F2AA0" w:rsidP="003F2AA0">
            <w:pPr>
              <w:spacing w:before="0"/>
              <w:jc w:val="right"/>
              <w:rPr>
                <w:sz w:val="16"/>
                <w:szCs w:val="16"/>
              </w:rPr>
            </w:pPr>
            <w:r w:rsidRPr="003F2AA0">
              <w:rPr>
                <w:sz w:val="16"/>
                <w:szCs w:val="16"/>
              </w:rPr>
              <w:t>4,21</w:t>
            </w:r>
          </w:p>
        </w:tc>
        <w:tc>
          <w:tcPr>
            <w:tcW w:w="37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2,86</w:t>
            </w:r>
          </w:p>
        </w:tc>
        <w:tc>
          <w:tcPr>
            <w:tcW w:w="37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sz w:val="16"/>
                <w:szCs w:val="16"/>
              </w:rPr>
            </w:pPr>
            <w:r w:rsidRPr="003F2AA0">
              <w:rPr>
                <w:sz w:val="16"/>
                <w:szCs w:val="16"/>
              </w:rPr>
              <w:t>3,00</w:t>
            </w:r>
          </w:p>
        </w:tc>
      </w:tr>
      <w:tr w:rsidR="003F2AA0" w:rsidRPr="003F2AA0" w:rsidTr="003F2AA0">
        <w:trPr>
          <w:trHeight w:val="227"/>
        </w:trPr>
        <w:tc>
          <w:tcPr>
            <w:tcW w:w="973" w:type="pct"/>
            <w:tcBorders>
              <w:top w:val="nil"/>
              <w:left w:val="single" w:sz="4" w:space="0" w:color="auto"/>
              <w:bottom w:val="single" w:sz="4" w:space="0" w:color="auto"/>
              <w:right w:val="single" w:sz="4" w:space="0" w:color="auto"/>
            </w:tcBorders>
            <w:shd w:val="clear" w:color="auto" w:fill="auto"/>
            <w:noWrap/>
            <w:vAlign w:val="bottom"/>
            <w:hideMark/>
          </w:tcPr>
          <w:p w:rsidR="003F2AA0" w:rsidRPr="003F2AA0" w:rsidRDefault="003F2AA0" w:rsidP="003F2AA0">
            <w:pPr>
              <w:spacing w:before="0"/>
              <w:rPr>
                <w:b/>
                <w:bCs/>
                <w:sz w:val="18"/>
                <w:szCs w:val="18"/>
              </w:rPr>
            </w:pPr>
            <w:r w:rsidRPr="003F2AA0">
              <w:rPr>
                <w:b/>
                <w:bCs/>
                <w:sz w:val="18"/>
                <w:szCs w:val="18"/>
              </w:rPr>
              <w:t>Celkem ČR</w:t>
            </w:r>
          </w:p>
        </w:tc>
        <w:tc>
          <w:tcPr>
            <w:tcW w:w="31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rsidR="003F2AA0" w:rsidRPr="003F2AA0" w:rsidRDefault="003F2AA0" w:rsidP="003F2AA0">
            <w:pPr>
              <w:spacing w:before="0"/>
              <w:jc w:val="right"/>
              <w:rPr>
                <w:b/>
                <w:bCs/>
                <w:sz w:val="16"/>
                <w:szCs w:val="16"/>
              </w:rPr>
            </w:pPr>
            <w:r w:rsidRPr="003F2AA0">
              <w:rPr>
                <w:b/>
                <w:bCs/>
                <w:sz w:val="16"/>
                <w:szCs w:val="16"/>
              </w:rPr>
              <w:t>97,85</w:t>
            </w:r>
          </w:p>
        </w:tc>
        <w:tc>
          <w:tcPr>
            <w:tcW w:w="371" w:type="pct"/>
            <w:tcBorders>
              <w:top w:val="single" w:sz="4" w:space="0" w:color="auto"/>
              <w:left w:val="single" w:sz="4" w:space="0" w:color="auto"/>
              <w:bottom w:val="single" w:sz="4" w:space="0" w:color="auto"/>
              <w:right w:val="single" w:sz="4" w:space="0" w:color="auto"/>
            </w:tcBorders>
            <w:shd w:val="clear" w:color="000000" w:fill="F0F8F5"/>
            <w:noWrap/>
            <w:vAlign w:val="bottom"/>
            <w:hideMark/>
          </w:tcPr>
          <w:p w:rsidR="003F2AA0" w:rsidRPr="003F2AA0" w:rsidRDefault="003F2AA0" w:rsidP="003F2AA0">
            <w:pPr>
              <w:spacing w:before="0"/>
              <w:jc w:val="right"/>
              <w:rPr>
                <w:b/>
                <w:bCs/>
                <w:sz w:val="16"/>
                <w:szCs w:val="16"/>
              </w:rPr>
            </w:pPr>
            <w:r w:rsidRPr="003F2AA0">
              <w:rPr>
                <w:b/>
                <w:bCs/>
                <w:sz w:val="16"/>
                <w:szCs w:val="16"/>
              </w:rPr>
              <w:t>100,95</w:t>
            </w:r>
          </w:p>
        </w:tc>
        <w:tc>
          <w:tcPr>
            <w:tcW w:w="371" w:type="pct"/>
            <w:tcBorders>
              <w:top w:val="single" w:sz="4" w:space="0" w:color="auto"/>
              <w:left w:val="single" w:sz="4" w:space="0" w:color="auto"/>
              <w:bottom w:val="single" w:sz="4" w:space="0" w:color="auto"/>
              <w:right w:val="single" w:sz="4" w:space="0" w:color="auto"/>
            </w:tcBorders>
            <w:shd w:val="clear" w:color="000000" w:fill="EEF7F3"/>
            <w:noWrap/>
            <w:vAlign w:val="bottom"/>
            <w:hideMark/>
          </w:tcPr>
          <w:p w:rsidR="003F2AA0" w:rsidRPr="003F2AA0" w:rsidRDefault="003F2AA0" w:rsidP="003F2AA0">
            <w:pPr>
              <w:spacing w:before="0"/>
              <w:jc w:val="right"/>
              <w:rPr>
                <w:b/>
                <w:bCs/>
                <w:sz w:val="16"/>
                <w:szCs w:val="16"/>
              </w:rPr>
            </w:pPr>
            <w:r w:rsidRPr="003F2AA0">
              <w:rPr>
                <w:b/>
                <w:bCs/>
                <w:sz w:val="16"/>
                <w:szCs w:val="16"/>
              </w:rPr>
              <w:t>101,58</w:t>
            </w:r>
          </w:p>
        </w:tc>
        <w:tc>
          <w:tcPr>
            <w:tcW w:w="371" w:type="pct"/>
            <w:tcBorders>
              <w:top w:val="single" w:sz="4" w:space="0" w:color="auto"/>
              <w:left w:val="single" w:sz="4" w:space="0" w:color="auto"/>
              <w:bottom w:val="single" w:sz="4" w:space="0" w:color="auto"/>
              <w:right w:val="single" w:sz="4" w:space="0" w:color="auto"/>
            </w:tcBorders>
            <w:shd w:val="clear" w:color="000000" w:fill="E4F3EA"/>
            <w:noWrap/>
            <w:vAlign w:val="bottom"/>
            <w:hideMark/>
          </w:tcPr>
          <w:p w:rsidR="003F2AA0" w:rsidRPr="003F2AA0" w:rsidRDefault="003F2AA0" w:rsidP="003F2AA0">
            <w:pPr>
              <w:spacing w:before="0"/>
              <w:jc w:val="right"/>
              <w:rPr>
                <w:b/>
                <w:bCs/>
                <w:sz w:val="16"/>
                <w:szCs w:val="16"/>
              </w:rPr>
            </w:pPr>
            <w:r w:rsidRPr="003F2AA0">
              <w:rPr>
                <w:b/>
                <w:bCs/>
                <w:sz w:val="16"/>
                <w:szCs w:val="16"/>
              </w:rPr>
              <w:t>104,10</w:t>
            </w:r>
          </w:p>
        </w:tc>
        <w:tc>
          <w:tcPr>
            <w:tcW w:w="371" w:type="pct"/>
            <w:tcBorders>
              <w:top w:val="single" w:sz="4" w:space="0" w:color="auto"/>
              <w:left w:val="single" w:sz="4" w:space="0" w:color="auto"/>
              <w:bottom w:val="single" w:sz="4" w:space="0" w:color="auto"/>
              <w:right w:val="single" w:sz="4" w:space="0" w:color="auto"/>
            </w:tcBorders>
            <w:shd w:val="clear" w:color="000000" w:fill="EAF5EF"/>
            <w:noWrap/>
            <w:vAlign w:val="bottom"/>
            <w:hideMark/>
          </w:tcPr>
          <w:p w:rsidR="003F2AA0" w:rsidRPr="003F2AA0" w:rsidRDefault="003F2AA0" w:rsidP="003F2AA0">
            <w:pPr>
              <w:spacing w:before="0"/>
              <w:jc w:val="right"/>
              <w:rPr>
                <w:b/>
                <w:bCs/>
                <w:sz w:val="16"/>
                <w:szCs w:val="16"/>
              </w:rPr>
            </w:pPr>
            <w:r w:rsidRPr="003F2AA0">
              <w:rPr>
                <w:b/>
                <w:bCs/>
                <w:sz w:val="16"/>
                <w:szCs w:val="16"/>
              </w:rPr>
              <w:t>102,66</w:t>
            </w:r>
          </w:p>
        </w:tc>
        <w:tc>
          <w:tcPr>
            <w:tcW w:w="371" w:type="pct"/>
            <w:tcBorders>
              <w:top w:val="single" w:sz="4" w:space="0" w:color="auto"/>
              <w:left w:val="single" w:sz="4" w:space="0" w:color="auto"/>
              <w:bottom w:val="single" w:sz="4" w:space="0" w:color="auto"/>
              <w:right w:val="single" w:sz="4" w:space="0" w:color="auto"/>
            </w:tcBorders>
            <w:shd w:val="clear" w:color="000000" w:fill="CFEAD9"/>
            <w:noWrap/>
            <w:vAlign w:val="bottom"/>
            <w:hideMark/>
          </w:tcPr>
          <w:p w:rsidR="003F2AA0" w:rsidRPr="003F2AA0" w:rsidRDefault="003F2AA0" w:rsidP="003F2AA0">
            <w:pPr>
              <w:spacing w:before="0"/>
              <w:jc w:val="right"/>
              <w:rPr>
                <w:b/>
                <w:bCs/>
                <w:sz w:val="16"/>
                <w:szCs w:val="16"/>
              </w:rPr>
            </w:pPr>
            <w:r w:rsidRPr="003F2AA0">
              <w:rPr>
                <w:b/>
                <w:bCs/>
                <w:sz w:val="16"/>
                <w:szCs w:val="16"/>
              </w:rPr>
              <w:t>109,27</w:t>
            </w:r>
          </w:p>
        </w:tc>
        <w:tc>
          <w:tcPr>
            <w:tcW w:w="371" w:type="pct"/>
            <w:tcBorders>
              <w:top w:val="single" w:sz="4" w:space="0" w:color="auto"/>
              <w:left w:val="single" w:sz="4" w:space="0" w:color="auto"/>
              <w:bottom w:val="single" w:sz="4" w:space="0" w:color="auto"/>
              <w:right w:val="single" w:sz="4" w:space="0" w:color="auto"/>
            </w:tcBorders>
            <w:shd w:val="clear" w:color="000000" w:fill="A8DAB6"/>
            <w:noWrap/>
            <w:vAlign w:val="bottom"/>
            <w:hideMark/>
          </w:tcPr>
          <w:p w:rsidR="003F2AA0" w:rsidRPr="003F2AA0" w:rsidRDefault="003F2AA0" w:rsidP="003F2AA0">
            <w:pPr>
              <w:spacing w:before="0"/>
              <w:jc w:val="right"/>
              <w:rPr>
                <w:b/>
                <w:bCs/>
                <w:sz w:val="16"/>
                <w:szCs w:val="16"/>
              </w:rPr>
            </w:pPr>
            <w:r w:rsidRPr="003F2AA0">
              <w:rPr>
                <w:b/>
                <w:bCs/>
                <w:sz w:val="16"/>
                <w:szCs w:val="16"/>
              </w:rPr>
              <w:t>119,36</w:t>
            </w:r>
          </w:p>
        </w:tc>
        <w:tc>
          <w:tcPr>
            <w:tcW w:w="371" w:type="pct"/>
            <w:tcBorders>
              <w:top w:val="single" w:sz="4" w:space="0" w:color="auto"/>
              <w:left w:val="single" w:sz="4" w:space="0" w:color="auto"/>
              <w:bottom w:val="single" w:sz="4" w:space="0" w:color="auto"/>
              <w:right w:val="single" w:sz="4" w:space="0" w:color="auto"/>
            </w:tcBorders>
            <w:shd w:val="clear" w:color="000000" w:fill="85CC99"/>
            <w:noWrap/>
            <w:vAlign w:val="bottom"/>
            <w:hideMark/>
          </w:tcPr>
          <w:p w:rsidR="003F2AA0" w:rsidRPr="003F2AA0" w:rsidRDefault="003F2AA0" w:rsidP="003F2AA0">
            <w:pPr>
              <w:spacing w:before="0"/>
              <w:jc w:val="right"/>
              <w:rPr>
                <w:b/>
                <w:bCs/>
                <w:sz w:val="16"/>
                <w:szCs w:val="16"/>
              </w:rPr>
            </w:pPr>
            <w:r w:rsidRPr="003F2AA0">
              <w:rPr>
                <w:b/>
                <w:bCs/>
                <w:sz w:val="16"/>
                <w:szCs w:val="16"/>
              </w:rPr>
              <w:t>128,05</w:t>
            </w:r>
          </w:p>
        </w:tc>
        <w:tc>
          <w:tcPr>
            <w:tcW w:w="371"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3F2AA0" w:rsidRPr="003F2AA0" w:rsidRDefault="003F2AA0" w:rsidP="003F2AA0">
            <w:pPr>
              <w:spacing w:before="0"/>
              <w:jc w:val="right"/>
              <w:rPr>
                <w:b/>
                <w:bCs/>
                <w:sz w:val="16"/>
                <w:szCs w:val="16"/>
              </w:rPr>
            </w:pPr>
            <w:r w:rsidRPr="003F2AA0">
              <w:rPr>
                <w:b/>
                <w:bCs/>
                <w:sz w:val="16"/>
                <w:szCs w:val="16"/>
              </w:rPr>
              <w:t>136,62</w:t>
            </w:r>
          </w:p>
        </w:tc>
        <w:tc>
          <w:tcPr>
            <w:tcW w:w="371" w:type="pct"/>
            <w:tcBorders>
              <w:top w:val="single" w:sz="4" w:space="0" w:color="auto"/>
              <w:left w:val="single" w:sz="4" w:space="0" w:color="auto"/>
              <w:bottom w:val="single" w:sz="4" w:space="0" w:color="auto"/>
              <w:right w:val="single" w:sz="4" w:space="0" w:color="auto"/>
            </w:tcBorders>
            <w:shd w:val="clear" w:color="000000" w:fill="6FC385"/>
            <w:noWrap/>
            <w:vAlign w:val="bottom"/>
            <w:hideMark/>
          </w:tcPr>
          <w:p w:rsidR="003F2AA0" w:rsidRPr="003F2AA0" w:rsidRDefault="003F2AA0" w:rsidP="003F2AA0">
            <w:pPr>
              <w:spacing w:before="0"/>
              <w:jc w:val="right"/>
              <w:rPr>
                <w:b/>
                <w:bCs/>
                <w:sz w:val="16"/>
                <w:szCs w:val="16"/>
              </w:rPr>
            </w:pPr>
            <w:r w:rsidRPr="003F2AA0">
              <w:rPr>
                <w:b/>
                <w:bCs/>
                <w:sz w:val="16"/>
                <w:szCs w:val="16"/>
              </w:rPr>
              <w:t>133,69</w:t>
            </w:r>
          </w:p>
        </w:tc>
        <w:tc>
          <w:tcPr>
            <w:tcW w:w="371" w:type="pct"/>
            <w:tcBorders>
              <w:top w:val="single" w:sz="4" w:space="0" w:color="auto"/>
              <w:left w:val="single" w:sz="4" w:space="0" w:color="auto"/>
              <w:bottom w:val="single" w:sz="4" w:space="0" w:color="auto"/>
              <w:right w:val="single" w:sz="4" w:space="0" w:color="auto"/>
            </w:tcBorders>
            <w:shd w:val="clear" w:color="000000" w:fill="6AC181"/>
            <w:noWrap/>
            <w:vAlign w:val="bottom"/>
            <w:hideMark/>
          </w:tcPr>
          <w:p w:rsidR="003F2AA0" w:rsidRPr="003F2AA0" w:rsidRDefault="003F2AA0" w:rsidP="003F2AA0">
            <w:pPr>
              <w:spacing w:before="0"/>
              <w:jc w:val="right"/>
              <w:rPr>
                <w:b/>
                <w:bCs/>
                <w:sz w:val="16"/>
                <w:szCs w:val="16"/>
              </w:rPr>
            </w:pPr>
            <w:r w:rsidRPr="003F2AA0">
              <w:rPr>
                <w:b/>
                <w:bCs/>
                <w:sz w:val="16"/>
                <w:szCs w:val="16"/>
              </w:rPr>
              <w:t>134,97</w:t>
            </w:r>
          </w:p>
        </w:tc>
      </w:tr>
    </w:tbl>
    <w:p w:rsidR="00AF4350" w:rsidRPr="00410D37" w:rsidRDefault="00AF4350" w:rsidP="003F2AA0">
      <w:pPr>
        <w:pStyle w:val="Zdrojobjektu"/>
      </w:pPr>
      <w:r w:rsidRPr="00410D37">
        <w:t>Zdroj: Národní monitorovací středisko pro drogy a závislosti (2021), zpracování ACCENDO (2022)</w:t>
      </w:r>
      <w:r>
        <w:t>.</w:t>
      </w:r>
    </w:p>
    <w:p w:rsidR="00AF4350" w:rsidRPr="0039748C" w:rsidRDefault="00AF4350" w:rsidP="00A34764"/>
    <w:p w:rsidR="00AF4350" w:rsidRPr="0039748C" w:rsidRDefault="00AF4350" w:rsidP="00A34764">
      <w:pPr>
        <w:rPr>
          <w:highlight w:val="green"/>
          <w:lang w:eastAsia="cs-CZ"/>
        </w:rPr>
      </w:pPr>
      <w:r w:rsidRPr="0039748C">
        <w:rPr>
          <w:highlight w:val="green"/>
          <w:lang w:eastAsia="cs-CZ"/>
        </w:rPr>
        <w:br w:type="page"/>
      </w:r>
    </w:p>
    <w:p w:rsidR="00AF4350" w:rsidRDefault="00AF4350" w:rsidP="00A34764">
      <w:pPr>
        <w:pStyle w:val="Nadpis1"/>
      </w:pPr>
      <w:bookmarkStart w:id="123" w:name="_Toc117606971"/>
      <w:r w:rsidRPr="0039748C">
        <w:lastRenderedPageBreak/>
        <w:t>Dopad metodických a strategických dokumentů do oblasti sociálních služeb na území OK</w:t>
      </w:r>
      <w:bookmarkEnd w:id="123"/>
      <w:r>
        <w:t xml:space="preserve"> </w:t>
      </w:r>
    </w:p>
    <w:p w:rsidR="00AF4350" w:rsidRPr="0039748C" w:rsidRDefault="00AF4350" w:rsidP="00A34764">
      <w:pPr>
        <w:pStyle w:val="Nadpis2"/>
      </w:pPr>
      <w:bookmarkStart w:id="124" w:name="_Toc117606972"/>
      <w:r w:rsidRPr="0039748C">
        <w:t>Reforma psychiatrické péče</w:t>
      </w:r>
      <w:bookmarkEnd w:id="124"/>
    </w:p>
    <w:p w:rsidR="00AF4350" w:rsidRPr="00EB799B" w:rsidRDefault="00AF4350" w:rsidP="00A34764">
      <w:r w:rsidRPr="00EB799B">
        <w:t>Reforma psychiatrické péče je proces nahrazování služeb velkokapacitních psychiatrických nemocnic (institucí) nespecializovanými zdravotními službami (primární péče) a specializovanými službami v místě bydliště nemocných, včetně lůžek pro krátkodobou akutní péči integrovaných do všeobecných nemocnic, ambulantní péče, komplexních center duševního zdraví, podpory osob s duševním onemocněním žijících se svými rodinami a podporovaného bydlení.</w:t>
      </w:r>
    </w:p>
    <w:p w:rsidR="00AF4350" w:rsidRPr="00EB799B" w:rsidRDefault="00AF4350" w:rsidP="00A34764">
      <w:pPr>
        <w:pStyle w:val="Vrazncitt"/>
      </w:pPr>
      <w:r w:rsidRPr="00EB799B">
        <w:t>Reforma psychiatrické péče je zásadní a přelomovou změnou systému péče o lidi s</w:t>
      </w:r>
      <w:r>
        <w:t> </w:t>
      </w:r>
      <w:r w:rsidRPr="00EB799B">
        <w:t xml:space="preserve">duševním onemocněním. Je to dlouhodobý proces, na kterém se pracuje již několik let a který ještě několik desetiletí potrvá. Změny se netýkají jen medicínského oboru psychiatrie, ale celého systému péče o lidi s duševním onemocněním. </w:t>
      </w:r>
    </w:p>
    <w:p w:rsidR="00AF4350" w:rsidRPr="00EB799B" w:rsidRDefault="00AF4350" w:rsidP="00A34764">
      <w:r w:rsidRPr="00EB799B">
        <w:t>Prvním cílem reformy je vytvoření kvalitní sítě komunitní péče tak, aby docházelo ke snižování počtu hospitalizací a zkracování délky pobytu v ústavní péči. Následuje snižování lůžkových kapacit v psychiatrických nemocnicích propouštěním dlouhodoběji hospitalizovaných pacientů, u kterých je zdravotní stav dostatečně stabilní a dominují sociální potřeby, do komunitních služeb. Druhým cílem je změna zavedených institucionálních procesů tak, aby se snížila nebo odstranila závislost na péči, beznaděj, naučená bezmocnost a další maladaptivní chování uživatelů ústavní péče.</w:t>
      </w:r>
    </w:p>
    <w:p w:rsidR="00AF4350" w:rsidRPr="00EB799B" w:rsidRDefault="00AF4350" w:rsidP="00A34764">
      <w:r w:rsidRPr="00EB799B">
        <w:t>Samotný proces musí být pečlivě naplánován a řízen tak, aby nedocházelo k tzv. rizikovým scénářům identifikovaných na základě zkušeností s tímto procesem v zahraničí. Jde zejména o riziko udržování dvou paralelních systémů péče (kdy je při absenci řízeného uzavírání velkých institucí vytvořen paralelní systém komunitní péče spolu s ústavní, a to s dopady na nákladnost a sníženou efektivitu systému), uzavírání institucí bez předchozího vytvoření alternativ služeb v komunitě (s následkem zvýšené míry bezdomovectví a rizika pro společnost i pacienty) a zavádění institucionální kultury do nově vznikajících služeb. Takto nesprávně provedený proces je označován odborným pojmem „</w:t>
      </w:r>
      <w:proofErr w:type="spellStart"/>
      <w:r w:rsidRPr="00EB799B">
        <w:t>dehospitalizace</w:t>
      </w:r>
      <w:proofErr w:type="spellEnd"/>
      <w:r w:rsidRPr="00EB799B">
        <w:t xml:space="preserve">“. </w:t>
      </w:r>
    </w:p>
    <w:p w:rsidR="00AF4350" w:rsidRPr="00EB799B" w:rsidRDefault="00AF4350" w:rsidP="00A34764">
      <w:pPr>
        <w:rPr>
          <w:rFonts w:eastAsia="Arial Unicode MS"/>
          <w:lang w:eastAsia="cs-CZ"/>
        </w:rPr>
      </w:pPr>
      <w:r w:rsidRPr="00EB799B">
        <w:t>V rámci procesu reformy vznikají tzv. centra duševního zdraví</w:t>
      </w:r>
      <w:r>
        <w:t xml:space="preserve"> </w:t>
      </w:r>
      <w:r w:rsidRPr="00EB799B">
        <w:t xml:space="preserve">(dále jen „CDZ“), která klienty podporují jak ve zdravotní, tak v sociální oblasti. Jedním z prvních </w:t>
      </w:r>
      <w:r>
        <w:t>CDZ</w:t>
      </w:r>
      <w:r w:rsidRPr="00EB799B">
        <w:t>, které v OK vzniklo, je</w:t>
      </w:r>
      <w:r>
        <w:t xml:space="preserve"> sociální rehabilitace poskytovatele</w:t>
      </w:r>
      <w:r w:rsidRPr="00EB799B">
        <w:t> </w:t>
      </w:r>
      <w:r>
        <w:t>D</w:t>
      </w:r>
      <w:r w:rsidRPr="00EB799B">
        <w:t>uševní zdraví</w:t>
      </w:r>
      <w:r>
        <w:t xml:space="preserve">. </w:t>
      </w:r>
      <w:proofErr w:type="gramStart"/>
      <w:r>
        <w:t>o.</w:t>
      </w:r>
      <w:proofErr w:type="gramEnd"/>
      <w:r>
        <w:t>p.s.,</w:t>
      </w:r>
      <w:r w:rsidRPr="00EB799B">
        <w:t xml:space="preserve"> které je v provozu od roku 2017. Jeho klienty jsou lidé trpící psychotickým nebo afektivním onemocněním, které je omezuje v běžném fungování. Každý z nich přichází na doporučení svého psychiatra. Péče je hrazena ze zdravotního pojištění. CDZ poskytuje péči v přirozeném prostředí klienta, v jeho rodině nebo komunitě nebo v prostorách samotného CDZ a jejím cílem je předejít zhoršení zdravotního stavu s nutností hospitalizace a zvládání krizových situací, které běžný život přináší. Druhé CDZ v kraji zahájilo provoz v roce 2021 v Olomouci.</w:t>
      </w:r>
    </w:p>
    <w:p w:rsidR="00AF4350" w:rsidRDefault="00AF4350" w:rsidP="00A34764">
      <w:r w:rsidRPr="00EB799B">
        <w:t>V rámci zdravotnického rezortu jsou do reformy psychiatrické péče v OK zapojeny PL Šternberk a PN Marianny Oranžské v Bílé Vodě. PL a PN zpracovaly transformační plány, které přímo navazují na celorepublikovou Strategii reformy psychiatrické péče. Prostřednictvím realizace cílů stanovených mj. v těchto plánech by ideálně měl vzniknout vyvážený model péče o duševní zdraví v kraji (stanovený počet CDZ), kde služby reflektují priority pacientů/klientů a t</w:t>
      </w:r>
      <w:r>
        <w:t>ěch, kteří o ně pečují. D</w:t>
      </w:r>
      <w:r w:rsidRPr="00EB799B">
        <w:t>ále by měl existovat vyvážený poměr mezi komunitními, ambul</w:t>
      </w:r>
      <w:r>
        <w:t>antními a nemocničními službami. S</w:t>
      </w:r>
      <w:r w:rsidRPr="00EB799B">
        <w:t>lužby jsou poskytovány co nejblíže bydliště a pokud možno v přirozeném prostředí pacienta/klienta. Intervence se zaměřuje jak na zmírnění příznaků duševní nemoci, tak na zvýšení samostatnosti, kvality života a rozvíjení schopností pacienta/klienta.</w:t>
      </w:r>
    </w:p>
    <w:p w:rsidR="00C84E79" w:rsidRPr="00C84E79" w:rsidRDefault="00C84E79" w:rsidP="00C84E79">
      <w:pPr>
        <w:pStyle w:val="popistabulkySPRSS2024"/>
      </w:pPr>
      <w:bookmarkStart w:id="125" w:name="_Toc117607060"/>
      <w:r w:rsidRPr="00C84E79">
        <w:lastRenderedPageBreak/>
        <w:t xml:space="preserve">Mapa </w:t>
      </w:r>
      <w:r w:rsidR="00412C70">
        <w:fldChar w:fldCharType="begin"/>
      </w:r>
      <w:r w:rsidR="00412C70">
        <w:instrText xml:space="preserve"> SEQ Mapa \* ARABIC </w:instrText>
      </w:r>
      <w:r w:rsidR="00412C70">
        <w:fldChar w:fldCharType="separate"/>
      </w:r>
      <w:r w:rsidR="003A12AF">
        <w:rPr>
          <w:noProof/>
        </w:rPr>
        <w:t>8</w:t>
      </w:r>
      <w:r w:rsidR="00412C70">
        <w:rPr>
          <w:noProof/>
        </w:rPr>
        <w:fldChar w:fldCharType="end"/>
      </w:r>
      <w:r w:rsidRPr="00C84E79">
        <w:t>: Přehled lůžek akutní a následné péče v Olomouckém kraji</w:t>
      </w:r>
      <w:bookmarkEnd w:id="125"/>
    </w:p>
    <w:p w:rsidR="00AF4350" w:rsidRPr="00475509" w:rsidRDefault="00AF4350" w:rsidP="00C84E79">
      <w:pPr>
        <w:spacing w:before="0"/>
      </w:pPr>
      <w:r w:rsidRPr="00475509">
        <w:rPr>
          <w:noProof/>
          <w:lang w:eastAsia="cs-CZ"/>
        </w:rPr>
        <w:drawing>
          <wp:inline distT="0" distB="0" distL="0" distR="0" wp14:anchorId="4A4A07BF" wp14:editId="15180008">
            <wp:extent cx="6048375" cy="5105053"/>
            <wp:effectExtent l="0" t="0" r="0"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9927" t="16755" r="19140" b="6819"/>
                    <a:stretch/>
                  </pic:blipFill>
                  <pic:spPr bwMode="auto">
                    <a:xfrm>
                      <a:off x="0" y="0"/>
                      <a:ext cx="6073106" cy="5125926"/>
                    </a:xfrm>
                    <a:prstGeom prst="rect">
                      <a:avLst/>
                    </a:prstGeom>
                    <a:ln>
                      <a:noFill/>
                    </a:ln>
                    <a:extLst>
                      <a:ext uri="{53640926-AAD7-44D8-BBD7-CCE9431645EC}">
                        <a14:shadowObscured xmlns:a14="http://schemas.microsoft.com/office/drawing/2010/main"/>
                      </a:ext>
                    </a:extLst>
                  </pic:spPr>
                </pic:pic>
              </a:graphicData>
            </a:graphic>
          </wp:inline>
        </w:drawing>
      </w:r>
    </w:p>
    <w:p w:rsidR="00AF4350" w:rsidRPr="00475509" w:rsidRDefault="00AF4350" w:rsidP="00A34764">
      <w:pPr>
        <w:pStyle w:val="Zdrojobjektu"/>
      </w:pPr>
      <w:r w:rsidRPr="00475509">
        <w:t xml:space="preserve">Zdroj: Koncept </w:t>
      </w:r>
      <w:r>
        <w:t>rozvoje péče o osoby s duševním onemocněním v Olomouckém kraji v období 2022–2027.</w:t>
      </w:r>
    </w:p>
    <w:p w:rsidR="00AF4350" w:rsidRPr="00EB799B" w:rsidRDefault="00AF4350" w:rsidP="00A34764">
      <w:r w:rsidRPr="00EB799B">
        <w:t xml:space="preserve">Spádová území lůžkových zařízení se mezikrajově překrývají. Na lůžka v </w:t>
      </w:r>
      <w:r>
        <w:t>OK</w:t>
      </w:r>
      <w:r w:rsidRPr="00EB799B">
        <w:t xml:space="preserve"> jsou přijímáni i pacienti z</w:t>
      </w:r>
      <w:r>
        <w:t> </w:t>
      </w:r>
      <w:r w:rsidRPr="00EB799B">
        <w:t>okolních krajů, zejména z Moravskoslezského, pokud je vzdálenost pro přijetí z místa bydliště kratší. Naopak z některých okresů Olomouckého kraje jsou pacienti odesíláni k hospitalizaci do Zlínského nebo Jihomoravského kraje. Lůžka byla v období od roku 2017 postupně restrukturalizována, ubylo lůžek následné péče, která byla přeměněna na lůžka akutní.</w:t>
      </w:r>
    </w:p>
    <w:p w:rsidR="00AF4350" w:rsidRPr="00EB799B" w:rsidRDefault="00AF4350" w:rsidP="00A34764">
      <w:r w:rsidRPr="00EB799B">
        <w:t>Na podporu financování nově zřizovaných CDZ Ministerstvo zd</w:t>
      </w:r>
      <w:r>
        <w:t>ravotnictví ČR průběžně vyhlašovalo</w:t>
      </w:r>
      <w:r w:rsidRPr="00EB799B">
        <w:t xml:space="preserve"> výzvy</w:t>
      </w:r>
      <w:r>
        <w:t xml:space="preserve"> ze zdrojů EU</w:t>
      </w:r>
      <w:r w:rsidRPr="00EB799B">
        <w:t>, a to jak investiční (na výstavbu či opravu budov, kde budou CDZ zřizována), tak na jejich provoz.</w:t>
      </w:r>
      <w:r>
        <w:t xml:space="preserve"> Financování provozu CDZ tímto způsobem bylo ukončeno v roce 2021.</w:t>
      </w:r>
    </w:p>
    <w:p w:rsidR="00AF4350" w:rsidRPr="00EB799B" w:rsidRDefault="00AF4350" w:rsidP="00A34764">
      <w:r>
        <w:t>Pro účely výzev bylo na</w:t>
      </w:r>
      <w:r w:rsidRPr="00EB799B">
        <w:t xml:space="preserve"> zajištění náležitého fungování CDZ nezbytné mít k dispozici vhodné prostory a  rovněž odpovídající množství personálu (jak z oblasti zdravotní tak s</w:t>
      </w:r>
      <w:r>
        <w:t>ociální). Přesný počet stanovovaly</w:t>
      </w:r>
      <w:r w:rsidRPr="00EB799B">
        <w:t xml:space="preserve"> konkrétní výzvy. </w:t>
      </w:r>
      <w:r>
        <w:t xml:space="preserve">V současné době není zřejmé, zda budou v souvislosti s procesy realizovanými v rámci reformy psychiatrické péče vyhlašovány navazující výzvy v následujícím programovém období. Proto </w:t>
      </w:r>
      <w:r w:rsidRPr="00EB799B">
        <w:t>nelze dopad reformy na síť sociálních služeb v OK (resp. potřebu navýšení jednotek ambulantních a</w:t>
      </w:r>
      <w:r>
        <w:t> </w:t>
      </w:r>
      <w:r w:rsidRPr="00EB799B">
        <w:t>terénních služeb zařazených v síti) v době vzniku Střednědobého plánu 2024–2026 podrobně p</w:t>
      </w:r>
      <w:r>
        <w:t>opsat</w:t>
      </w:r>
      <w:r w:rsidRPr="00EB799B">
        <w:t>. Jednotlivé kroky (opatření) související s navýšením jednotek v síti sociálních služeb budou řešeny operativně prostřednictvím Akčních plánů v návaznosti na vyhlášené a připravované výzvy a možnosti stávajících poskytovatelů sociálních a zdravotních služeb.</w:t>
      </w:r>
    </w:p>
    <w:p w:rsidR="00AF4350" w:rsidRPr="00EB799B" w:rsidRDefault="00AF4350" w:rsidP="00A34764">
      <w:r w:rsidRPr="00EB799B">
        <w:lastRenderedPageBreak/>
        <w:t xml:space="preserve">Z dostupných informací je zřejmé, že v návaznosti na chystané změny lze očekávat, že v perspektivě cca 15–20 let by psychiatrická lůžka měla sloužit zejména pro akutní, krátkodobější péči. </w:t>
      </w:r>
    </w:p>
    <w:p w:rsidR="00AF4350" w:rsidRPr="00EB799B" w:rsidRDefault="00AF4350" w:rsidP="00A34764">
      <w:r>
        <w:t>V OK</w:t>
      </w:r>
      <w:r w:rsidRPr="00EB799B">
        <w:t xml:space="preserve"> zajišťují péči o osoby s duševním onemocněním v sociální oblasti především terénní a ambulantní sociální služby. V tabulce níže jsou uvedeny všechny sociální služby, které na území OK působí.</w:t>
      </w:r>
    </w:p>
    <w:p w:rsidR="00AF4350" w:rsidRPr="00475509" w:rsidRDefault="00AF4350" w:rsidP="00C84E79">
      <w:pPr>
        <w:pStyle w:val="popistabulkySPRSS2024"/>
      </w:pPr>
      <w:bookmarkStart w:id="126" w:name="_Toc113616165"/>
      <w:bookmarkStart w:id="127" w:name="_Toc117607090"/>
      <w:r w:rsidRPr="00475509">
        <w:t xml:space="preserve">Tabulka </w:t>
      </w:r>
      <w:r w:rsidR="00C140D0">
        <w:rPr>
          <w:noProof/>
        </w:rPr>
        <w:fldChar w:fldCharType="begin"/>
      </w:r>
      <w:r w:rsidR="00C140D0">
        <w:rPr>
          <w:noProof/>
        </w:rPr>
        <w:instrText xml:space="preserve"> SEQ Tabulka \* ARABIC </w:instrText>
      </w:r>
      <w:r w:rsidR="00C140D0">
        <w:rPr>
          <w:noProof/>
        </w:rPr>
        <w:fldChar w:fldCharType="separate"/>
      </w:r>
      <w:r w:rsidR="003A12AF">
        <w:rPr>
          <w:noProof/>
        </w:rPr>
        <w:t>30</w:t>
      </w:r>
      <w:r w:rsidR="00C140D0">
        <w:rPr>
          <w:noProof/>
        </w:rPr>
        <w:fldChar w:fldCharType="end"/>
      </w:r>
      <w:r>
        <w:t>:</w:t>
      </w:r>
      <w:r w:rsidRPr="00475509">
        <w:t xml:space="preserve"> Přehled všech poskytovaných druhů sociálních služeb v OK pro cílovou skupinu osoby s chronickým duševním onemocněním</w:t>
      </w:r>
      <w:bookmarkEnd w:id="126"/>
      <w:bookmarkEnd w:id="127"/>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2"/>
        <w:gridCol w:w="820"/>
        <w:gridCol w:w="1689"/>
        <w:gridCol w:w="1151"/>
        <w:gridCol w:w="4335"/>
      </w:tblGrid>
      <w:tr w:rsidR="00C84E79" w:rsidRPr="00C84E79" w:rsidTr="00C84E79">
        <w:trPr>
          <w:cantSplit/>
          <w:trHeight w:val="1230"/>
          <w:tblHeader/>
        </w:trPr>
        <w:tc>
          <w:tcPr>
            <w:tcW w:w="0" w:type="auto"/>
            <w:shd w:val="clear" w:color="000000" w:fill="B7DEE8"/>
            <w:noWrap/>
            <w:vAlign w:val="center"/>
            <w:hideMark/>
          </w:tcPr>
          <w:p w:rsidR="00C84E79" w:rsidRPr="00C84E79" w:rsidRDefault="00C84E79" w:rsidP="00C84E79">
            <w:pPr>
              <w:spacing w:before="0"/>
              <w:jc w:val="center"/>
              <w:rPr>
                <w:rFonts w:cs="Segoe UI"/>
                <w:b/>
                <w:bCs/>
                <w:sz w:val="18"/>
                <w:szCs w:val="18"/>
                <w:lang w:eastAsia="cs-CZ"/>
              </w:rPr>
            </w:pPr>
            <w:r w:rsidRPr="00C84E79">
              <w:rPr>
                <w:rFonts w:cs="Segoe UI"/>
                <w:b/>
                <w:bCs/>
                <w:sz w:val="18"/>
                <w:szCs w:val="18"/>
                <w:lang w:eastAsia="cs-CZ"/>
              </w:rPr>
              <w:t>POSKYTOVATEL</w:t>
            </w:r>
          </w:p>
        </w:tc>
        <w:tc>
          <w:tcPr>
            <w:tcW w:w="0" w:type="auto"/>
            <w:shd w:val="clear" w:color="000000" w:fill="B7DEE8"/>
            <w:vAlign w:val="center"/>
            <w:hideMark/>
          </w:tcPr>
          <w:p w:rsidR="00C84E79" w:rsidRPr="00C84E79" w:rsidRDefault="00C84E79" w:rsidP="00C84E79">
            <w:pPr>
              <w:spacing w:before="0"/>
              <w:jc w:val="center"/>
              <w:rPr>
                <w:rFonts w:cs="Segoe UI"/>
                <w:b/>
                <w:bCs/>
                <w:sz w:val="18"/>
                <w:szCs w:val="18"/>
                <w:lang w:eastAsia="cs-CZ"/>
              </w:rPr>
            </w:pPr>
            <w:r w:rsidRPr="00C84E79">
              <w:rPr>
                <w:rFonts w:cs="Segoe UI"/>
                <w:b/>
                <w:bCs/>
                <w:sz w:val="18"/>
                <w:szCs w:val="18"/>
                <w:lang w:eastAsia="cs-CZ"/>
              </w:rPr>
              <w:t>ID</w:t>
            </w:r>
          </w:p>
        </w:tc>
        <w:tc>
          <w:tcPr>
            <w:tcW w:w="0" w:type="auto"/>
            <w:shd w:val="clear" w:color="000000" w:fill="B7DEE8"/>
            <w:vAlign w:val="center"/>
            <w:hideMark/>
          </w:tcPr>
          <w:p w:rsidR="00C84E79" w:rsidRPr="00C84E79" w:rsidRDefault="00C84E79" w:rsidP="00C84E79">
            <w:pPr>
              <w:spacing w:before="0"/>
              <w:jc w:val="center"/>
              <w:rPr>
                <w:rFonts w:cs="Segoe UI"/>
                <w:b/>
                <w:bCs/>
                <w:sz w:val="18"/>
                <w:szCs w:val="18"/>
                <w:lang w:eastAsia="cs-CZ"/>
              </w:rPr>
            </w:pPr>
            <w:r w:rsidRPr="00C84E79">
              <w:rPr>
                <w:rFonts w:cs="Segoe UI"/>
                <w:b/>
                <w:bCs/>
                <w:sz w:val="18"/>
                <w:szCs w:val="18"/>
                <w:lang w:eastAsia="cs-CZ"/>
              </w:rPr>
              <w:t>Druh služby</w:t>
            </w:r>
          </w:p>
        </w:tc>
        <w:tc>
          <w:tcPr>
            <w:tcW w:w="0" w:type="auto"/>
            <w:shd w:val="clear" w:color="000000" w:fill="B7DEE8"/>
            <w:vAlign w:val="center"/>
            <w:hideMark/>
          </w:tcPr>
          <w:p w:rsidR="00C84E79" w:rsidRPr="00C84E79" w:rsidRDefault="00C84E79" w:rsidP="00C84E79">
            <w:pPr>
              <w:spacing w:before="0"/>
              <w:jc w:val="center"/>
              <w:rPr>
                <w:rFonts w:cs="Segoe UI"/>
                <w:b/>
                <w:bCs/>
                <w:sz w:val="18"/>
                <w:szCs w:val="18"/>
                <w:lang w:eastAsia="cs-CZ"/>
              </w:rPr>
            </w:pPr>
            <w:r w:rsidRPr="00C84E79">
              <w:rPr>
                <w:rFonts w:cs="Segoe UI"/>
                <w:b/>
                <w:bCs/>
                <w:sz w:val="18"/>
                <w:szCs w:val="18"/>
                <w:lang w:eastAsia="cs-CZ"/>
              </w:rPr>
              <w:t xml:space="preserve">Forma </w:t>
            </w:r>
          </w:p>
        </w:tc>
        <w:tc>
          <w:tcPr>
            <w:tcW w:w="4335" w:type="dxa"/>
            <w:shd w:val="clear" w:color="000000" w:fill="B7DEE8"/>
            <w:vAlign w:val="center"/>
            <w:hideMark/>
          </w:tcPr>
          <w:p w:rsidR="00C84E79" w:rsidRPr="00C84E79" w:rsidRDefault="00C84E79" w:rsidP="00C84E79">
            <w:pPr>
              <w:spacing w:before="0"/>
              <w:jc w:val="center"/>
              <w:rPr>
                <w:rFonts w:cs="Segoe UI"/>
                <w:b/>
                <w:bCs/>
                <w:sz w:val="18"/>
                <w:szCs w:val="18"/>
                <w:lang w:eastAsia="cs-CZ"/>
              </w:rPr>
            </w:pPr>
            <w:r w:rsidRPr="00C84E79">
              <w:rPr>
                <w:rFonts w:cs="Segoe UI"/>
                <w:b/>
                <w:bCs/>
                <w:sz w:val="18"/>
                <w:szCs w:val="18"/>
                <w:lang w:eastAsia="cs-CZ"/>
              </w:rPr>
              <w:t>Cílové skupiny</w:t>
            </w:r>
          </w:p>
        </w:tc>
      </w:tr>
      <w:tr w:rsidR="00C84E79" w:rsidRPr="00C84E79" w:rsidTr="00C84E79">
        <w:trPr>
          <w:cantSplit/>
          <w:trHeight w:val="783"/>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r w:rsidRPr="00C84E79">
              <w:rPr>
                <w:rFonts w:cs="Segoe UI"/>
                <w:b/>
                <w:bCs/>
                <w:sz w:val="18"/>
                <w:szCs w:val="18"/>
                <w:lang w:eastAsia="cs-CZ"/>
              </w:rPr>
              <w:t xml:space="preserve">Alfa handicap - sdružení občanů se zdravotním postižením přerovského </w:t>
            </w:r>
            <w:proofErr w:type="gramStart"/>
            <w:r w:rsidRPr="00C84E79">
              <w:rPr>
                <w:rFonts w:cs="Segoe UI"/>
                <w:b/>
                <w:bCs/>
                <w:sz w:val="18"/>
                <w:szCs w:val="18"/>
                <w:lang w:eastAsia="cs-CZ"/>
              </w:rPr>
              <w:t>regionu z.s.</w:t>
            </w:r>
            <w:proofErr w:type="gramEnd"/>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3864515</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osobní asistence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osoby s chronickým onemocněním, senioři</w:t>
            </w:r>
          </w:p>
        </w:tc>
      </w:tr>
      <w:tr w:rsidR="00C84E79" w:rsidRPr="00C84E79" w:rsidTr="00C84E79">
        <w:trPr>
          <w:cantSplit/>
          <w:trHeight w:val="587"/>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proofErr w:type="spellStart"/>
            <w:r w:rsidRPr="00C84E79">
              <w:rPr>
                <w:rFonts w:cs="Segoe UI"/>
                <w:b/>
                <w:bCs/>
                <w:sz w:val="18"/>
                <w:szCs w:val="18"/>
                <w:lang w:eastAsia="cs-CZ"/>
              </w:rPr>
              <w:t>Alzheimercentrum</w:t>
            </w:r>
            <w:proofErr w:type="spellEnd"/>
            <w:r w:rsidRPr="00C84E79">
              <w:rPr>
                <w:rFonts w:cs="Segoe UI"/>
                <w:b/>
                <w:bCs/>
                <w:sz w:val="18"/>
                <w:szCs w:val="18"/>
                <w:lang w:eastAsia="cs-CZ"/>
              </w:rPr>
              <w:t xml:space="preserve"> </w:t>
            </w:r>
            <w:proofErr w:type="gramStart"/>
            <w:r w:rsidRPr="00C84E79">
              <w:rPr>
                <w:rFonts w:cs="Segoe UI"/>
                <w:b/>
                <w:bCs/>
                <w:sz w:val="18"/>
                <w:szCs w:val="18"/>
                <w:lang w:eastAsia="cs-CZ"/>
              </w:rPr>
              <w:t xml:space="preserve">Zábřeh </w:t>
            </w:r>
            <w:proofErr w:type="spellStart"/>
            <w:r w:rsidRPr="00C84E79">
              <w:rPr>
                <w:rFonts w:cs="Segoe UI"/>
                <w:b/>
                <w:bCs/>
                <w:sz w:val="18"/>
                <w:szCs w:val="18"/>
                <w:lang w:eastAsia="cs-CZ"/>
              </w:rPr>
              <w:t>z.ú</w:t>
            </w:r>
            <w:proofErr w:type="spellEnd"/>
            <w:r w:rsidRPr="00C84E79">
              <w:rPr>
                <w:rFonts w:cs="Segoe UI"/>
                <w:b/>
                <w:bCs/>
                <w:sz w:val="18"/>
                <w:szCs w:val="18"/>
                <w:lang w:eastAsia="cs-CZ"/>
              </w:rPr>
              <w:t>.</w:t>
            </w:r>
            <w:proofErr w:type="gramEnd"/>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4125965</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534"/>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Centrum sociálních služeb Prostějov,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8489645</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315"/>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Centrum sociálních služeb Prostějov,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5598050</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denní stacionáře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kombinovaným postižením; osoby s mentálním postižením; senioři; osoby s chronickým duševním onemocněním</w:t>
            </w:r>
          </w:p>
        </w:tc>
      </w:tr>
      <w:tr w:rsidR="00C84E79" w:rsidRPr="00C84E79" w:rsidTr="00C84E79">
        <w:trPr>
          <w:cantSplit/>
          <w:trHeight w:val="987"/>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Centrum sociálních služeb Prostějov,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9503362</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chráněné bydlení</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598"/>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Centrum sociálních služeb Prostějov,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5800283</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odlehčovací služby</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senioři</w:t>
            </w:r>
          </w:p>
        </w:tc>
      </w:tr>
      <w:tr w:rsidR="00C84E79" w:rsidRPr="00C84E79" w:rsidTr="00C84E79">
        <w:trPr>
          <w:cantSplit/>
          <w:trHeight w:val="407"/>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proofErr w:type="spellStart"/>
            <w:r w:rsidRPr="00C84E79">
              <w:rPr>
                <w:rFonts w:cs="Segoe UI"/>
                <w:b/>
                <w:sz w:val="18"/>
                <w:szCs w:val="18"/>
                <w:lang w:eastAsia="cs-CZ"/>
              </w:rPr>
              <w:t>CTCenter</w:t>
            </w:r>
            <w:proofErr w:type="spellEnd"/>
            <w:r w:rsidRPr="00C84E79">
              <w:rPr>
                <w:rFonts w:cs="Segoe UI"/>
                <w:b/>
                <w:sz w:val="18"/>
                <w:szCs w:val="18"/>
                <w:lang w:eastAsia="cs-CZ"/>
              </w:rPr>
              <w:t xml:space="preserve"> </w:t>
            </w:r>
            <w:proofErr w:type="spellStart"/>
            <w:r w:rsidRPr="00C84E79">
              <w:rPr>
                <w:rFonts w:cs="Segoe UI"/>
                <w:b/>
                <w:sz w:val="18"/>
                <w:szCs w:val="18"/>
                <w:lang w:eastAsia="cs-CZ"/>
              </w:rPr>
              <w:t>MaVe</w:t>
            </w:r>
            <w:proofErr w:type="spellEnd"/>
            <w:r w:rsidRPr="00C84E79">
              <w:rPr>
                <w:rFonts w:cs="Segoe UI"/>
                <w:b/>
                <w:sz w:val="18"/>
                <w:szCs w:val="18"/>
                <w:lang w:eastAsia="cs-CZ"/>
              </w:rPr>
              <w:t xml:space="preserve"> s. r. o.</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8783529</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odborné sociální poradenství</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senioři</w:t>
            </w:r>
          </w:p>
        </w:tc>
      </w:tr>
      <w:tr w:rsidR="00C84E79" w:rsidRPr="00C84E79" w:rsidTr="00C84E79">
        <w:trPr>
          <w:cantSplit/>
          <w:trHeight w:val="415"/>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proofErr w:type="spellStart"/>
            <w:proofErr w:type="gramStart"/>
            <w:r w:rsidRPr="00C84E79">
              <w:rPr>
                <w:rFonts w:cs="Segoe UI"/>
                <w:b/>
                <w:sz w:val="18"/>
                <w:szCs w:val="18"/>
                <w:lang w:eastAsia="cs-CZ"/>
              </w:rPr>
              <w:t>Darmoděj</w:t>
            </w:r>
            <w:proofErr w:type="spellEnd"/>
            <w:r w:rsidRPr="00C84E79">
              <w:rPr>
                <w:rFonts w:cs="Segoe UI"/>
                <w:b/>
                <w:sz w:val="18"/>
                <w:szCs w:val="18"/>
                <w:lang w:eastAsia="cs-CZ"/>
              </w:rPr>
              <w:t xml:space="preserve"> </w:t>
            </w:r>
            <w:proofErr w:type="spellStart"/>
            <w:r w:rsidRPr="00C84E79">
              <w:rPr>
                <w:rFonts w:cs="Segoe UI"/>
                <w:b/>
                <w:sz w:val="18"/>
                <w:szCs w:val="18"/>
                <w:lang w:eastAsia="cs-CZ"/>
              </w:rPr>
              <w:t>z.ú</w:t>
            </w:r>
            <w:proofErr w:type="spellEnd"/>
            <w:r w:rsidRPr="00C84E79">
              <w:rPr>
                <w:rFonts w:cs="Segoe UI"/>
                <w:b/>
                <w:sz w:val="18"/>
                <w:szCs w:val="18"/>
                <w:lang w:eastAsia="cs-CZ"/>
              </w:rPr>
              <w:t>.</w:t>
            </w:r>
            <w:proofErr w:type="gramEnd"/>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4780784</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služby následné péče</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 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ohrožené závislostí nebo závislé na návykových látkách; osoby s chronickým duševním onemocněním</w:t>
            </w:r>
          </w:p>
        </w:tc>
      </w:tr>
      <w:tr w:rsidR="00C84E79" w:rsidRPr="00C84E79" w:rsidTr="00C84E79">
        <w:trPr>
          <w:cantSplit/>
          <w:trHeight w:val="1131"/>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proofErr w:type="spellStart"/>
            <w:proofErr w:type="gramStart"/>
            <w:r w:rsidRPr="00C84E79">
              <w:rPr>
                <w:rFonts w:cs="Segoe UI"/>
                <w:b/>
                <w:sz w:val="18"/>
                <w:szCs w:val="18"/>
                <w:lang w:eastAsia="cs-CZ"/>
              </w:rPr>
              <w:t>Darmoděj</w:t>
            </w:r>
            <w:proofErr w:type="spellEnd"/>
            <w:r w:rsidRPr="00C84E79">
              <w:rPr>
                <w:rFonts w:cs="Segoe UI"/>
                <w:b/>
                <w:sz w:val="18"/>
                <w:szCs w:val="18"/>
                <w:lang w:eastAsia="cs-CZ"/>
              </w:rPr>
              <w:t xml:space="preserve"> </w:t>
            </w:r>
            <w:proofErr w:type="spellStart"/>
            <w:r w:rsidRPr="00C84E79">
              <w:rPr>
                <w:rFonts w:cs="Segoe UI"/>
                <w:b/>
                <w:sz w:val="18"/>
                <w:szCs w:val="18"/>
                <w:lang w:eastAsia="cs-CZ"/>
              </w:rPr>
              <w:t>z.ú</w:t>
            </w:r>
            <w:proofErr w:type="spellEnd"/>
            <w:r w:rsidRPr="00C84E79">
              <w:rPr>
                <w:rFonts w:cs="Segoe UI"/>
                <w:b/>
                <w:sz w:val="18"/>
                <w:szCs w:val="18"/>
                <w:lang w:eastAsia="cs-CZ"/>
              </w:rPr>
              <w:t>.</w:t>
            </w:r>
            <w:proofErr w:type="gramEnd"/>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6451839</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terénní programy</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etnické menšiny; osoby bez přístřeší; osoby ohrožené závislostí nebo závislé na návykových látkách; osoby žijící v sociálně vyloučených komunitách; osoby, které vedou rizikový způsob života nebo jsou tímto způsobem života ohroženy; rodiny s dítětem/dětmi; osoby s chronickým duševním onemocněním</w:t>
            </w:r>
          </w:p>
        </w:tc>
      </w:tr>
      <w:tr w:rsidR="00C84E79" w:rsidRPr="00C84E79" w:rsidTr="00C84E79">
        <w:trPr>
          <w:cantSplit/>
          <w:trHeight w:val="410"/>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Diakonie ČCE - středisko v Sobotíně</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6375661</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405"/>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Diakonie ČCE - středisko v Sobotíně</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7690738</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odlehčovací služby</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566"/>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Domov Hrubá Voda,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8770071</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r w:rsidRPr="00C84E79">
              <w:rPr>
                <w:rFonts w:cs="Segoe UI"/>
                <w:strike/>
                <w:sz w:val="18"/>
                <w:szCs w:val="18"/>
                <w:lang w:eastAsia="cs-CZ"/>
              </w:rPr>
              <w:t xml:space="preserve"> </w:t>
            </w:r>
          </w:p>
        </w:tc>
      </w:tr>
      <w:tr w:rsidR="00C84E79" w:rsidRPr="00C84E79" w:rsidTr="00C84E79">
        <w:trPr>
          <w:cantSplit/>
          <w:trHeight w:val="418"/>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Sociální služby Libina,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8348519</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 xml:space="preserve">osoby s chronickým duševním onemocněním </w:t>
            </w:r>
          </w:p>
        </w:tc>
      </w:tr>
      <w:tr w:rsidR="00C84E79" w:rsidRPr="00C84E79" w:rsidTr="00C84E79">
        <w:trPr>
          <w:cantSplit/>
          <w:trHeight w:val="552"/>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Domov Štíty - Jedlí,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9086937</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559"/>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lastRenderedPageBreak/>
              <w:t>Sociální služby pro seniory Šumperk,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8587282</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senioři</w:t>
            </w:r>
          </w:p>
        </w:tc>
      </w:tr>
      <w:tr w:rsidR="00C84E79" w:rsidRPr="00C84E79" w:rsidTr="00C84E79">
        <w:trPr>
          <w:cantSplit/>
          <w:trHeight w:val="838"/>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r w:rsidRPr="00C84E79">
              <w:rPr>
                <w:rFonts w:cs="Segoe UI"/>
                <w:b/>
                <w:bCs/>
                <w:sz w:val="18"/>
                <w:szCs w:val="18"/>
                <w:lang w:eastAsia="cs-CZ"/>
              </w:rPr>
              <w:t>Domov pro seniory a pečovatelská služba Mohelnice,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2788489</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pro seniory</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osoby s chronickým onemocněním; osoby s tělesným postižením; osoby se zdravotním postižením; senioři</w:t>
            </w:r>
          </w:p>
        </w:tc>
      </w:tr>
      <w:tr w:rsidR="00C84E79" w:rsidRPr="00C84E79" w:rsidTr="00C84E79">
        <w:trPr>
          <w:cantSplit/>
          <w:trHeight w:val="457"/>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Domov pro seniory a pečovatelská služba Mohelnice,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9397004</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pečovatelská služba</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tělesným postižením; senioři; osoby s chronickým onemocněním</w:t>
            </w:r>
          </w:p>
        </w:tc>
      </w:tr>
      <w:tr w:rsidR="00C84E79" w:rsidRPr="00C84E79" w:rsidTr="00C84E79">
        <w:trPr>
          <w:cantSplit/>
          <w:trHeight w:val="505"/>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Domov pro seniory Radkova Lhota,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8409320</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669"/>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Domov pro seniory Tovačov,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4075543</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552"/>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r w:rsidRPr="00C84E79">
              <w:rPr>
                <w:rFonts w:cs="Segoe UI"/>
                <w:b/>
                <w:bCs/>
                <w:sz w:val="18"/>
                <w:szCs w:val="18"/>
                <w:lang w:eastAsia="cs-CZ"/>
              </w:rPr>
              <w:t>Domov se zvláštním režimem Bílsko, o. p. s.</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4346319</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560"/>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Domov u rybníka Víceměřice,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2424722</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osoby s kombinovaným postižením; senioři</w:t>
            </w:r>
          </w:p>
        </w:tc>
      </w:tr>
      <w:tr w:rsidR="00C84E79" w:rsidRPr="00C84E79" w:rsidTr="00C84E79">
        <w:trPr>
          <w:cantSplit/>
          <w:trHeight w:val="412"/>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r w:rsidRPr="00C84E79">
              <w:rPr>
                <w:rFonts w:cs="Segoe UI"/>
                <w:b/>
                <w:bCs/>
                <w:sz w:val="18"/>
                <w:szCs w:val="18"/>
                <w:lang w:eastAsia="cs-CZ"/>
              </w:rPr>
              <w:t>Duševní zdraví, o.p.s.</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4183576</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sociální rehabilitace</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 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418"/>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Charita Jeseník</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6965737</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424"/>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Charita Jeseník</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8400572</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416"/>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Charita Jeseník</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5648717</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odlehčovací služby</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 xml:space="preserve">osoby s chronickým duševním onemocněním; senioři; osoby s tělesným postižením </w:t>
            </w:r>
          </w:p>
        </w:tc>
      </w:tr>
      <w:tr w:rsidR="00C84E79" w:rsidRPr="00C84E79" w:rsidTr="00C84E79">
        <w:trPr>
          <w:cantSplit/>
          <w:trHeight w:val="570"/>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Charita Olomouc</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9694329</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podpora samostatného bydlení</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740"/>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Charita Olomouc</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7437924</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sociálně aktivizační služby pro seniory a osoby se zdravotním postižením</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 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585"/>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Charita Olomouc</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5949432</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sociálně terapeutické dílny</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456"/>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Charita Prostějov</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2259725</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sociální rehabilitace</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 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576"/>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Charita Zábřeh</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9257937</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denní stacionáře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 xml:space="preserve">osoby s chronickým duševním onemocněním; senioři </w:t>
            </w:r>
          </w:p>
        </w:tc>
      </w:tr>
      <w:tr w:rsidR="00C84E79" w:rsidRPr="00C84E79" w:rsidTr="00C84E79">
        <w:trPr>
          <w:cantSplit/>
          <w:trHeight w:val="598"/>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Charita Zábřeh</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3648753</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odlehčovací služby</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osoby s mentálním postižením; osoby s tělesným postižením; senioři; osoby s chronickým onemocněním</w:t>
            </w:r>
          </w:p>
        </w:tc>
      </w:tr>
      <w:tr w:rsidR="00C84E79" w:rsidRPr="00C84E79" w:rsidTr="00C84E79">
        <w:trPr>
          <w:cantSplit/>
          <w:trHeight w:val="315"/>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lastRenderedPageBreak/>
              <w:t>Charita Zábřeh</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3347641</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pečovatelská služba</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 xml:space="preserve">osoby s chronickým duševním onemocněním; osoby s mentálním postižením; osoby s tělesným postižením; osoby s chronickým onemocněním; rodiny s dítětem/dětmi; senioři </w:t>
            </w:r>
          </w:p>
        </w:tc>
      </w:tr>
      <w:tr w:rsidR="00C84E79" w:rsidRPr="00C84E79" w:rsidTr="00C84E79">
        <w:trPr>
          <w:cantSplit/>
          <w:trHeight w:val="398"/>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Charita Zábřeh</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2919825</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sociální rehabilitace</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 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843"/>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r w:rsidRPr="00C84E79">
              <w:rPr>
                <w:rFonts w:cs="Segoe UI"/>
                <w:b/>
                <w:bCs/>
                <w:sz w:val="18"/>
                <w:szCs w:val="18"/>
                <w:lang w:eastAsia="cs-CZ"/>
              </w:rPr>
              <w:t>Společnost Mana, o.p.s.</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8175449</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sociálně aktivizační služby pro seniory a osoby se zdravotním postižením</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 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418"/>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Společnost Mana, o.p.s.</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8241758</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sociální rehabilitace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638"/>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Společnost Mana, o.p.s.</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7227642</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sociální rehabilitace</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 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1168"/>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r w:rsidRPr="00C84E79">
              <w:rPr>
                <w:rFonts w:cs="Segoe UI"/>
                <w:b/>
                <w:bCs/>
                <w:sz w:val="18"/>
                <w:szCs w:val="18"/>
                <w:lang w:eastAsia="cs-CZ"/>
              </w:rPr>
              <w:t xml:space="preserve">z. </w:t>
            </w:r>
            <w:proofErr w:type="gramStart"/>
            <w:r w:rsidRPr="00C84E79">
              <w:rPr>
                <w:rFonts w:cs="Segoe UI"/>
                <w:b/>
                <w:bCs/>
                <w:sz w:val="18"/>
                <w:szCs w:val="18"/>
                <w:lang w:eastAsia="cs-CZ"/>
              </w:rPr>
              <w:t>s.</w:t>
            </w:r>
            <w:proofErr w:type="gramEnd"/>
            <w:r w:rsidRPr="00C84E79">
              <w:rPr>
                <w:rFonts w:cs="Segoe UI"/>
                <w:b/>
                <w:bCs/>
                <w:sz w:val="18"/>
                <w:szCs w:val="18"/>
                <w:lang w:eastAsia="cs-CZ"/>
              </w:rPr>
              <w:t xml:space="preserve"> </w:t>
            </w:r>
            <w:proofErr w:type="spellStart"/>
            <w:r w:rsidRPr="00C84E79">
              <w:rPr>
                <w:rFonts w:cs="Segoe UI"/>
                <w:b/>
                <w:bCs/>
                <w:sz w:val="18"/>
                <w:szCs w:val="18"/>
                <w:lang w:eastAsia="cs-CZ"/>
              </w:rPr>
              <w:t>iPoradna</w:t>
            </w:r>
            <w:proofErr w:type="spellEnd"/>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8837233</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odborné sociální poradenství</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 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osoby s chronickým onemocněním; osoby s jiným zdravotním postižením; osoby s kombinovaným postižením; osoby s mentálním postižením; osoby s tělesným postižením; osoby se sluchovým postižením; osoby se zdravotním postižením; osoby se zrakovým postižením; senioři</w:t>
            </w:r>
          </w:p>
        </w:tc>
      </w:tr>
      <w:tr w:rsidR="00C84E79" w:rsidRPr="00C84E79" w:rsidTr="00C84E79">
        <w:trPr>
          <w:cantSplit/>
          <w:trHeight w:val="719"/>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proofErr w:type="spellStart"/>
            <w:proofErr w:type="gramStart"/>
            <w:r w:rsidRPr="00C84E79">
              <w:rPr>
                <w:rFonts w:cs="Segoe UI"/>
                <w:b/>
                <w:bCs/>
                <w:sz w:val="18"/>
                <w:szCs w:val="18"/>
                <w:lang w:eastAsia="cs-CZ"/>
              </w:rPr>
              <w:t>z.s.</w:t>
            </w:r>
            <w:proofErr w:type="gramEnd"/>
            <w:r w:rsidRPr="00C84E79">
              <w:rPr>
                <w:rFonts w:cs="Segoe UI"/>
                <w:b/>
                <w:bCs/>
                <w:sz w:val="18"/>
                <w:szCs w:val="18"/>
                <w:lang w:eastAsia="cs-CZ"/>
              </w:rPr>
              <w:t>iPoradna</w:t>
            </w:r>
            <w:proofErr w:type="spellEnd"/>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2438290</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sociální rehabilitace</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 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osoby s chronickým onemocněním; osoby s tělesným postižením; osoby s kombinovaným postižením</w:t>
            </w:r>
          </w:p>
        </w:tc>
      </w:tr>
      <w:tr w:rsidR="00C84E79" w:rsidRPr="00C84E79" w:rsidTr="00C84E79">
        <w:trPr>
          <w:cantSplit/>
          <w:trHeight w:val="344"/>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proofErr w:type="spellStart"/>
            <w:r w:rsidRPr="00C84E79">
              <w:rPr>
                <w:rFonts w:cs="Segoe UI"/>
                <w:b/>
                <w:bCs/>
                <w:sz w:val="18"/>
                <w:szCs w:val="18"/>
                <w:lang w:eastAsia="cs-CZ"/>
              </w:rPr>
              <w:t>Pamatováček</w:t>
            </w:r>
            <w:proofErr w:type="spellEnd"/>
            <w:r w:rsidRPr="00C84E79">
              <w:rPr>
                <w:rFonts w:cs="Segoe UI"/>
                <w:b/>
                <w:bCs/>
                <w:sz w:val="18"/>
                <w:szCs w:val="18"/>
                <w:lang w:eastAsia="cs-CZ"/>
              </w:rPr>
              <w:t>, o.p.s.</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1753789</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denní stacionáře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osoby s jiným zdravotním postižením</w:t>
            </w:r>
          </w:p>
        </w:tc>
      </w:tr>
      <w:tr w:rsidR="00C84E79" w:rsidRPr="00C84E79" w:rsidTr="00C84E79">
        <w:trPr>
          <w:cantSplit/>
          <w:trHeight w:val="534"/>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proofErr w:type="spellStart"/>
            <w:r w:rsidRPr="00C84E79">
              <w:rPr>
                <w:rFonts w:cs="Segoe UI"/>
                <w:b/>
                <w:bCs/>
                <w:sz w:val="18"/>
                <w:szCs w:val="18"/>
                <w:lang w:eastAsia="cs-CZ"/>
              </w:rPr>
              <w:t>Pamatováček</w:t>
            </w:r>
            <w:proofErr w:type="spellEnd"/>
            <w:r w:rsidRPr="00C84E79">
              <w:rPr>
                <w:rFonts w:cs="Segoe UI"/>
                <w:b/>
                <w:bCs/>
                <w:sz w:val="18"/>
                <w:szCs w:val="18"/>
                <w:lang w:eastAsia="cs-CZ"/>
              </w:rPr>
              <w:t>, o.p.s.</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7115640</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odborné sociální poradenství</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senioři</w:t>
            </w:r>
          </w:p>
        </w:tc>
      </w:tr>
      <w:tr w:rsidR="00C84E79" w:rsidRPr="00C84E79" w:rsidTr="00C84E79">
        <w:trPr>
          <w:cantSplit/>
          <w:trHeight w:val="414"/>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proofErr w:type="gramStart"/>
            <w:r w:rsidRPr="00C84E79">
              <w:rPr>
                <w:rFonts w:cs="Segoe UI"/>
                <w:b/>
                <w:sz w:val="18"/>
                <w:szCs w:val="18"/>
                <w:lang w:eastAsia="cs-CZ"/>
              </w:rPr>
              <w:t>ESTER z. s.</w:t>
            </w:r>
            <w:proofErr w:type="gramEnd"/>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6126836</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sociálně terapeutické dílny</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 xml:space="preserve">osoby s chronickým duševním onemocněním; </w:t>
            </w:r>
          </w:p>
        </w:tc>
      </w:tr>
      <w:tr w:rsidR="00C84E79" w:rsidRPr="00C84E79" w:rsidTr="00C84E79">
        <w:trPr>
          <w:cantSplit/>
          <w:trHeight w:val="419"/>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proofErr w:type="gramStart"/>
            <w:r w:rsidRPr="00C84E79">
              <w:rPr>
                <w:rFonts w:cs="Segoe UI"/>
                <w:b/>
                <w:sz w:val="18"/>
                <w:szCs w:val="18"/>
                <w:lang w:eastAsia="cs-CZ"/>
              </w:rPr>
              <w:t>ESTER z. s.</w:t>
            </w:r>
            <w:proofErr w:type="gramEnd"/>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4082996</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sociální rehabilitace</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 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žijící v sociálně vyloučených komunitách</w:t>
            </w:r>
          </w:p>
        </w:tc>
      </w:tr>
      <w:tr w:rsidR="00C84E79" w:rsidRPr="00C84E79" w:rsidTr="00C84E79">
        <w:trPr>
          <w:cantSplit/>
          <w:trHeight w:val="554"/>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proofErr w:type="gramStart"/>
            <w:r w:rsidRPr="00C84E79">
              <w:rPr>
                <w:rFonts w:cs="Segoe UI"/>
                <w:b/>
                <w:sz w:val="18"/>
                <w:szCs w:val="18"/>
                <w:lang w:eastAsia="cs-CZ"/>
              </w:rPr>
              <w:t>ESTER z. s.</w:t>
            </w:r>
            <w:proofErr w:type="gramEnd"/>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3412710</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terapeutické komunity</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419"/>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Charita Přerov</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1838556</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centra denních služeb</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osoby s tělesným postižením, senioři</w:t>
            </w:r>
          </w:p>
        </w:tc>
      </w:tr>
      <w:tr w:rsidR="00C84E79" w:rsidRPr="00C84E79" w:rsidTr="00C84E79">
        <w:trPr>
          <w:cantSplit/>
          <w:trHeight w:val="344"/>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Centrum sociálních služeb Jeseník</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8761376</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695"/>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PONTIS Šumperk o.p.s.</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9085387</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denní stacionáře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osoby s chronickým onemocněním; osoby s tělesným postižením; senioři</w:t>
            </w:r>
          </w:p>
        </w:tc>
      </w:tr>
      <w:tr w:rsidR="00C84E79" w:rsidRPr="00C84E79" w:rsidTr="00C84E79">
        <w:trPr>
          <w:cantSplit/>
          <w:trHeight w:val="598"/>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PONTIS Šumperk o.p.s.</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6173359</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pečovatelská služba</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 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osoby s chronickým onemocněním; osoby s tělesným postižením; osoby s kombinovaným postižením; senioři</w:t>
            </w:r>
          </w:p>
        </w:tc>
      </w:tr>
      <w:tr w:rsidR="00C84E79" w:rsidRPr="00C84E79" w:rsidTr="00C84E79">
        <w:trPr>
          <w:cantSplit/>
          <w:trHeight w:val="795"/>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PONTIS Šumperk o.p.s.</w:t>
            </w:r>
          </w:p>
        </w:tc>
        <w:tc>
          <w:tcPr>
            <w:tcW w:w="0" w:type="auto"/>
            <w:shd w:val="clear" w:color="auto" w:fill="auto"/>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7177532</w:t>
            </w:r>
          </w:p>
        </w:tc>
        <w:tc>
          <w:tcPr>
            <w:tcW w:w="0" w:type="auto"/>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odlehčovací služby</w:t>
            </w:r>
          </w:p>
        </w:tc>
        <w:tc>
          <w:tcPr>
            <w:tcW w:w="0" w:type="auto"/>
            <w:shd w:val="clear" w:color="auto" w:fill="auto"/>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 xml:space="preserve">osoby s chronickým duševním onemocněním; osoby s chronickým onemocněním; osoby s tělesným postižením; osoby s kombinovaným postižením, senioři </w:t>
            </w:r>
          </w:p>
        </w:tc>
      </w:tr>
      <w:tr w:rsidR="00C84E79" w:rsidRPr="00C84E79" w:rsidTr="00C84E79">
        <w:trPr>
          <w:cantSplit/>
          <w:trHeight w:val="416"/>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lastRenderedPageBreak/>
              <w:t xml:space="preserve">Domov seniorů </w:t>
            </w:r>
            <w:proofErr w:type="gramStart"/>
            <w:r w:rsidRPr="00C84E79">
              <w:rPr>
                <w:rFonts w:cs="Segoe UI"/>
                <w:b/>
                <w:sz w:val="18"/>
                <w:szCs w:val="18"/>
                <w:lang w:eastAsia="cs-CZ"/>
              </w:rPr>
              <w:t xml:space="preserve">Komárov </w:t>
            </w:r>
            <w:proofErr w:type="spellStart"/>
            <w:r w:rsidRPr="00C84E79">
              <w:rPr>
                <w:rFonts w:cs="Segoe UI"/>
                <w:b/>
                <w:sz w:val="18"/>
                <w:szCs w:val="18"/>
                <w:lang w:eastAsia="cs-CZ"/>
              </w:rPr>
              <w:t>z.ú</w:t>
            </w:r>
            <w:proofErr w:type="spellEnd"/>
            <w:r w:rsidRPr="00C84E79">
              <w:rPr>
                <w:rFonts w:cs="Segoe UI"/>
                <w:b/>
                <w:sz w:val="18"/>
                <w:szCs w:val="18"/>
                <w:lang w:eastAsia="cs-CZ"/>
              </w:rPr>
              <w:t>.</w:t>
            </w:r>
            <w:proofErr w:type="gramEnd"/>
          </w:p>
        </w:tc>
        <w:tc>
          <w:tcPr>
            <w:tcW w:w="0" w:type="auto"/>
            <w:shd w:val="clear" w:color="auto" w:fill="auto"/>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1934379</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 se zvláštním režimem</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550"/>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r w:rsidRPr="00C84E79">
              <w:rPr>
                <w:rFonts w:cs="Segoe UI"/>
                <w:b/>
                <w:bCs/>
                <w:sz w:val="18"/>
                <w:szCs w:val="18"/>
                <w:lang w:eastAsia="cs-CZ"/>
              </w:rPr>
              <w:t>Sociální služby Lipník nad Bečvou,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8640129</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denní stacionáře</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senioři</w:t>
            </w:r>
          </w:p>
        </w:tc>
      </w:tr>
      <w:tr w:rsidR="00C84E79" w:rsidRPr="00C84E79" w:rsidTr="00C84E79">
        <w:trPr>
          <w:cantSplit/>
          <w:trHeight w:val="699"/>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r w:rsidRPr="00C84E79">
              <w:rPr>
                <w:rFonts w:cs="Segoe UI"/>
                <w:b/>
                <w:bCs/>
                <w:sz w:val="18"/>
                <w:szCs w:val="18"/>
                <w:lang w:eastAsia="cs-CZ"/>
              </w:rPr>
              <w:t>Sociální služby pro seniory Olomouc,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3342323</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centra denních služeb</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senioři</w:t>
            </w:r>
          </w:p>
        </w:tc>
      </w:tr>
      <w:tr w:rsidR="00C84E79" w:rsidRPr="00C84E79" w:rsidTr="00C84E79">
        <w:trPr>
          <w:cantSplit/>
          <w:trHeight w:val="851"/>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proofErr w:type="spellStart"/>
            <w:r w:rsidRPr="00C84E79">
              <w:rPr>
                <w:rFonts w:cs="Segoe UI"/>
                <w:b/>
                <w:sz w:val="18"/>
                <w:szCs w:val="18"/>
                <w:lang w:eastAsia="cs-CZ"/>
              </w:rPr>
              <w:t>Vincentinum</w:t>
            </w:r>
            <w:proofErr w:type="spellEnd"/>
            <w:r w:rsidRPr="00C84E79">
              <w:rPr>
                <w:rFonts w:cs="Segoe UI"/>
                <w:b/>
                <w:sz w:val="18"/>
                <w:szCs w:val="18"/>
                <w:lang w:eastAsia="cs-CZ"/>
              </w:rPr>
              <w:t xml:space="preserve"> - poskytovatel sociálních služeb Šternberk, příspěvková organizace</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5561320</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domovy se zvláštním režimem</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pobytová</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 osoby s mentálním postižením; osoby s kombinovaným postižením</w:t>
            </w:r>
          </w:p>
        </w:tc>
      </w:tr>
      <w:tr w:rsidR="00C84E79" w:rsidRPr="00C84E79" w:rsidTr="00C84E79">
        <w:trPr>
          <w:cantSplit/>
          <w:trHeight w:val="570"/>
        </w:trPr>
        <w:tc>
          <w:tcPr>
            <w:tcW w:w="0" w:type="auto"/>
            <w:shd w:val="clear" w:color="000000" w:fill="FFFFFF"/>
            <w:vAlign w:val="center"/>
            <w:hideMark/>
          </w:tcPr>
          <w:p w:rsidR="00C84E79" w:rsidRPr="00C84E79" w:rsidRDefault="00C84E79" w:rsidP="00C84E79">
            <w:pPr>
              <w:spacing w:before="0"/>
              <w:jc w:val="left"/>
              <w:rPr>
                <w:rFonts w:cs="Segoe UI"/>
                <w:b/>
                <w:bCs/>
                <w:sz w:val="18"/>
                <w:szCs w:val="18"/>
                <w:lang w:eastAsia="cs-CZ"/>
              </w:rPr>
            </w:pPr>
            <w:r w:rsidRPr="00C84E79">
              <w:rPr>
                <w:rFonts w:cs="Segoe UI"/>
                <w:b/>
                <w:bCs/>
                <w:sz w:val="18"/>
                <w:szCs w:val="18"/>
                <w:lang w:eastAsia="cs-CZ"/>
              </w:rPr>
              <w:t xml:space="preserve">ZAHRADA </w:t>
            </w:r>
            <w:proofErr w:type="gramStart"/>
            <w:r w:rsidRPr="00C84E79">
              <w:rPr>
                <w:rFonts w:cs="Segoe UI"/>
                <w:b/>
                <w:bCs/>
                <w:sz w:val="18"/>
                <w:szCs w:val="18"/>
                <w:lang w:eastAsia="cs-CZ"/>
              </w:rPr>
              <w:t>2000 z. s.</w:t>
            </w:r>
            <w:proofErr w:type="gramEnd"/>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6382746</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sociálně terapeutické dílny</w:t>
            </w:r>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r w:rsidR="00C84E79" w:rsidRPr="00C84E79" w:rsidTr="00C84E79">
        <w:trPr>
          <w:cantSplit/>
          <w:trHeight w:val="585"/>
        </w:trPr>
        <w:tc>
          <w:tcPr>
            <w:tcW w:w="0" w:type="auto"/>
            <w:shd w:val="clear" w:color="000000" w:fill="FFFFFF"/>
            <w:vAlign w:val="center"/>
            <w:hideMark/>
          </w:tcPr>
          <w:p w:rsidR="00C84E79" w:rsidRPr="00C84E79" w:rsidRDefault="00C84E79" w:rsidP="00C84E79">
            <w:pPr>
              <w:spacing w:before="0"/>
              <w:jc w:val="left"/>
              <w:rPr>
                <w:rFonts w:cs="Segoe UI"/>
                <w:b/>
                <w:sz w:val="18"/>
                <w:szCs w:val="18"/>
                <w:lang w:eastAsia="cs-CZ"/>
              </w:rPr>
            </w:pPr>
            <w:r w:rsidRPr="00C84E79">
              <w:rPr>
                <w:rFonts w:cs="Segoe UI"/>
                <w:b/>
                <w:sz w:val="18"/>
                <w:szCs w:val="18"/>
                <w:lang w:eastAsia="cs-CZ"/>
              </w:rPr>
              <w:t xml:space="preserve">ZAHRADA </w:t>
            </w:r>
            <w:proofErr w:type="gramStart"/>
            <w:r w:rsidRPr="00C84E79">
              <w:rPr>
                <w:rFonts w:cs="Segoe UI"/>
                <w:b/>
                <w:sz w:val="18"/>
                <w:szCs w:val="18"/>
                <w:lang w:eastAsia="cs-CZ"/>
              </w:rPr>
              <w:t>2000 z. s.</w:t>
            </w:r>
            <w:proofErr w:type="gramEnd"/>
          </w:p>
        </w:tc>
        <w:tc>
          <w:tcPr>
            <w:tcW w:w="0" w:type="auto"/>
            <w:shd w:val="clear" w:color="000000" w:fill="FFFFFF"/>
            <w:noWrap/>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6514378</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sociální rehabilitace</w:t>
            </w:r>
          </w:p>
        </w:tc>
        <w:tc>
          <w:tcPr>
            <w:tcW w:w="0" w:type="auto"/>
            <w:shd w:val="clear" w:color="000000" w:fill="FFFFFF"/>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ambulantní; terénní</w:t>
            </w:r>
          </w:p>
        </w:tc>
        <w:tc>
          <w:tcPr>
            <w:tcW w:w="4335" w:type="dxa"/>
            <w:shd w:val="clear" w:color="auto" w:fill="auto"/>
            <w:vAlign w:val="center"/>
            <w:hideMark/>
          </w:tcPr>
          <w:p w:rsidR="00C84E79" w:rsidRPr="00C84E79" w:rsidRDefault="00C84E79" w:rsidP="00C84E79">
            <w:pPr>
              <w:spacing w:before="0"/>
              <w:jc w:val="left"/>
              <w:rPr>
                <w:rFonts w:cs="Segoe UI"/>
                <w:sz w:val="18"/>
                <w:szCs w:val="18"/>
                <w:lang w:eastAsia="cs-CZ"/>
              </w:rPr>
            </w:pPr>
            <w:r w:rsidRPr="00C84E79">
              <w:rPr>
                <w:rFonts w:cs="Segoe UI"/>
                <w:sz w:val="18"/>
                <w:szCs w:val="18"/>
                <w:lang w:eastAsia="cs-CZ"/>
              </w:rPr>
              <w:t>osoby s chronickým duševním onemocněním</w:t>
            </w:r>
          </w:p>
        </w:tc>
      </w:tr>
    </w:tbl>
    <w:p w:rsidR="00AF4350" w:rsidRPr="00D40ACE" w:rsidRDefault="00AF4350" w:rsidP="00A34764">
      <w:pPr>
        <w:pStyle w:val="Zdrojobjektu"/>
      </w:pPr>
      <w:r w:rsidRPr="00D40ACE">
        <w:t>Zdroj: Registr poskytovatelů sociálních služeb MPSV ČR k 31. 8. 2022</w:t>
      </w:r>
    </w:p>
    <w:p w:rsidR="00AF4350" w:rsidRPr="00EB799B" w:rsidRDefault="00AF4350" w:rsidP="00A34764">
      <w:r w:rsidRPr="00EB799B">
        <w:t xml:space="preserve">Reforma psychiatrické péče v rámci kraje je v gesci odboru zdravotnictví. Kraj v roce 2017 zpracoval rámcový dokument „Koncept rozvoje péče o osoby s duševním onemocněním v Olomouckém kraji“. </w:t>
      </w:r>
      <w:r>
        <w:t>ROK</w:t>
      </w:r>
      <w:r w:rsidRPr="00EB799B">
        <w:t xml:space="preserve"> se tímto dokumentem ztotožnila s hlavními cíli Strategie reformy psychiatrické péče, zpracované Ministerstvem zdravotnictví </w:t>
      </w:r>
      <w:r w:rsidR="0075108A">
        <w:t>ČR</w:t>
      </w:r>
      <w:r w:rsidRPr="00EB799B">
        <w:t xml:space="preserve"> a cíle směřující k naplňování cílů reformy, které jsou v</w:t>
      </w:r>
      <w:r>
        <w:t> </w:t>
      </w:r>
      <w:r w:rsidRPr="00EB799B">
        <w:t xml:space="preserve">souladu s cíli stanovenými v Národním akčním </w:t>
      </w:r>
      <w:r>
        <w:t>plánu pro duševní zdraví 2020–</w:t>
      </w:r>
      <w:r w:rsidRPr="00EB799B">
        <w:t xml:space="preserve">2030 zapracoval </w:t>
      </w:r>
      <w:r w:rsidR="0075108A">
        <w:t>OK</w:t>
      </w:r>
      <w:r w:rsidRPr="00EB799B">
        <w:t xml:space="preserve"> do svých dalších strategických dokumentů (např. Strategie rozvoje územního obvodu Olo</w:t>
      </w:r>
      <w:r>
        <w:t>mouckého kraje na období 2021–</w:t>
      </w:r>
      <w:r w:rsidRPr="00EB799B">
        <w:t>2027 s výhledem do roku 2030).</w:t>
      </w:r>
    </w:p>
    <w:p w:rsidR="00AF4350" w:rsidRDefault="00AF4350" w:rsidP="00A34764">
      <w:r>
        <w:t>V době přípravy Střednědobého plánu 2024–</w:t>
      </w:r>
      <w:r w:rsidRPr="00EB799B">
        <w:t xml:space="preserve">2026 odbor zdravotnictví KÚOK zpracovával aktualizaci Konceptu rozvoje péče o osoby s duševním onemocněním, přičemž cíle a opatření pro oblast sociálních služeb v něm obsažené by měly reflektovat cíle a opatření </w:t>
      </w:r>
      <w:r>
        <w:t>PS č. 2 tohoto dokumentu</w:t>
      </w:r>
      <w:r w:rsidRPr="00EB799B">
        <w:t xml:space="preserve">. </w:t>
      </w:r>
    </w:p>
    <w:p w:rsidR="00AF4350" w:rsidRPr="00EB799B" w:rsidRDefault="00AF4350" w:rsidP="00A34764">
      <w:pPr>
        <w:pStyle w:val="Nadpis2"/>
      </w:pPr>
      <w:bookmarkStart w:id="128" w:name="_Toc117606973"/>
      <w:proofErr w:type="spellStart"/>
      <w:r w:rsidRPr="00EB799B">
        <w:t>Deinstitucionalizace</w:t>
      </w:r>
      <w:proofErr w:type="spellEnd"/>
      <w:r w:rsidRPr="00EB799B">
        <w:t>/transformace pobytových služeb pro OZP v OK</w:t>
      </w:r>
      <w:bookmarkEnd w:id="128"/>
    </w:p>
    <w:p w:rsidR="00AF4350" w:rsidRPr="00EB799B" w:rsidRDefault="00AF4350" w:rsidP="00A34764">
      <w:r w:rsidRPr="00EB799B">
        <w:t>Transformace sociálních služeb pro lidi s postižením je změna ústavní péče v bydlení a podporu poskytovanou v přirozeném prostředí. Lidé s postižením díky transformaci přecházejí z velkých ústavů, situovaných zpravidla do velkých budov zámků v odlehlých oblastech, nikoliv komunitních center, do bytů či rodinných domů v běžné zástavbě a mohou vést život, kterým žijí jejich vrstevníci. Jde o zásadní změnu péče o lidi s posti</w:t>
      </w:r>
      <w:r>
        <w:t>žením, a to ve způsobu a podmín</w:t>
      </w:r>
      <w:r w:rsidRPr="00EB799B">
        <w:t>k</w:t>
      </w:r>
      <w:r>
        <w:t>ách</w:t>
      </w:r>
      <w:r w:rsidRPr="00EB799B">
        <w:t xml:space="preserve"> jejího poskytování. Zatímco v</w:t>
      </w:r>
      <w:r>
        <w:t> </w:t>
      </w:r>
      <w:r w:rsidRPr="00EB799B">
        <w:t>západoevropských zemích pojem „transformace sociálních služeb“ je ve společnosti pevně ukotven již několik desetiletí, v České republice probíhá proces teprve krátce a pomaleji.</w:t>
      </w:r>
    </w:p>
    <w:p w:rsidR="00AF4350" w:rsidRPr="00EB799B" w:rsidRDefault="00AF4350" w:rsidP="00C84E79">
      <w:pPr>
        <w:pStyle w:val="Tun"/>
      </w:pPr>
      <w:r w:rsidRPr="00EB799B">
        <w:t>Východiska transformace</w:t>
      </w:r>
    </w:p>
    <w:p w:rsidR="00AF4350" w:rsidRPr="00EB799B" w:rsidRDefault="00AF4350" w:rsidP="00A34764">
      <w:r w:rsidRPr="00EB799B">
        <w:t xml:space="preserve">Od 80. let minulého století jsou odbornou praxí podporovány klíčové změny v institucionální péči, které reagují na objektivní potřeby současné společnosti a zohledňují proces sociálního začleňování jako základní myšlenky moderní sociální politiky. </w:t>
      </w:r>
    </w:p>
    <w:p w:rsidR="00AF4350" w:rsidRPr="00EB799B" w:rsidRDefault="00AF4350" w:rsidP="00A34764">
      <w:r w:rsidRPr="00EB799B">
        <w:t xml:space="preserve">Zásadní změna nastává v roce 2006, kdy vstoupil v České republice v platnost zákon o sociálních službách, který mimo jiné definuje, že úkolem sociálních služeb je napomáhat znevýhodněným lidem plně se zapojit do ekonomického, sociálního i kulturního života společnosti a žít způsobem, který je ve společnosti považován za běžný. Dosavadní ústavy jako instituce, které poskytují osobám sociální služby, </w:t>
      </w:r>
      <w:r w:rsidRPr="00EB799B">
        <w:lastRenderedPageBreak/>
        <w:t>tímto již nejsou schopny garantovat svým uživatelům dodržování jejich občanských a lidských práv, ani možnost rozhodovat o sobě. Proto bylo nutné zavést nový trend v poskytování sociálních služeb.</w:t>
      </w:r>
    </w:p>
    <w:p w:rsidR="00AF4350" w:rsidRPr="00EB799B" w:rsidRDefault="00AF4350" w:rsidP="00A34764">
      <w:pPr>
        <w:rPr>
          <w:color w:val="000000" w:themeColor="text1"/>
          <w:lang w:eastAsia="cs-CZ"/>
        </w:rPr>
      </w:pPr>
      <w:r w:rsidRPr="00EB799B">
        <w:t xml:space="preserve">V roce 2007 byla </w:t>
      </w:r>
      <w:r>
        <w:t>v</w:t>
      </w:r>
      <w:r w:rsidRPr="00EB799B">
        <w:t>ládou ČR přijata „Koncepce podpory transformace pobytových sociálních služeb v jiné typy sociálních služeb, poskytovaných v přirozené komunitě uživatele a podporující sociální začlenění uživatele do společnosti“. Jejím hlavním cílem je v souladu s dalšími strategickými dokumenty na úrovni národní (včetně Listiny základních práv a svobod) i evropské podpořit a usnadnit cestu poskytovatelům i zřizovatelům pobytových služeb v přirozeném procesu humanizace sociálních služeb. Podporuje poskytovatele a zřizovatele sociálních služeb v zajištění dostupné péče a podpory osobám v nepříznivé sociální situaci takovou formou, která v co nejvyšší míře odpovídá životu jejich vrstevníků v přirozeném prostředí běžné společnosti a vytváří podmínky pro posílení efektivní sítě sociálních služeb</w:t>
      </w:r>
      <w:r w:rsidRPr="00EB799B">
        <w:rPr>
          <w:color w:val="000000" w:themeColor="text1"/>
          <w:lang w:eastAsia="cs-CZ"/>
        </w:rPr>
        <w:t xml:space="preserve">. </w:t>
      </w:r>
    </w:p>
    <w:p w:rsidR="00AF4350" w:rsidRPr="00EB799B" w:rsidRDefault="00AF4350" w:rsidP="00A34764">
      <w:r w:rsidRPr="00EB799B">
        <w:t>Základní rámec procesu transformace kromě zmíněné Koncepce podpory transformace vymezuje také </w:t>
      </w:r>
      <w:hyperlink r:id="rId47" w:history="1">
        <w:r w:rsidRPr="00EB799B">
          <w:t>Úmluva OSN o právech osob se zdravotním postižením</w:t>
        </w:r>
      </w:hyperlink>
      <w:r w:rsidRPr="00EB799B">
        <w:t>, kterou Česká republika do svého právního řádu přijala v roce 2010. Článek 19 „Úmluvy“ - Nezávislý způsob života a zapojení do společnosti uvádí - „Zajistit, aby lidé se zdravotním postižením měli možnost zvolit si, kde a s kým budou žít a nebyli nuceni žít ve specifickém prostředí; aby měli přístup ke službám poskytovaným v domácím prostředí a dalším podpůrným komunitním službám, včetně osobní asistence, která je nezbytná pro nezávislý způsob života a začlenění do společnosti a zabraňuje izolaci a segregaci".</w:t>
      </w:r>
    </w:p>
    <w:p w:rsidR="00AF4350" w:rsidRPr="00EB799B" w:rsidRDefault="00AF4350" w:rsidP="00C84E79">
      <w:pPr>
        <w:pStyle w:val="Tun"/>
      </w:pPr>
      <w:r w:rsidRPr="00EB799B">
        <w:t>Proces transformace</w:t>
      </w:r>
    </w:p>
    <w:p w:rsidR="00AF4350" w:rsidRPr="00EB799B" w:rsidRDefault="00AF4350" w:rsidP="00A34764">
      <w:r w:rsidRPr="00EB799B">
        <w:t>Pro člověka, který strávil převážnou část svého života v ústavním zařízení, je nepochybně tato změna náročná. Proto jí předchází důkladná a dlouhodobá příprava, která obnáší jak vyhodnocení potřeb člověka, tak naplánování průběhu transformace. Součástí přípravy je také výběr místa budoucího bydliště, jeho návštěvy a navazování vztahů s okolím nebo rozvoj potřebných dovedností. Součástí celého procesu je rovněž nastavení efektivní spolupráce s rodinnými příslušníky či opatrovníky. Významnými aktéry jsou rovněž samosprávy, a to jak na úrovni krajů, tak na úrovni obcí, které se zapojují do vytváření nových sítí sociálních služeb. Zkušenosti z praxe ukazují, že přes počáteční stres dochází po přestěhování ke zlepšení psychické pohody a navázání dobrých vztahů s okolím.</w:t>
      </w:r>
    </w:p>
    <w:p w:rsidR="00AF4350" w:rsidRPr="00C84E79" w:rsidRDefault="00AF4350" w:rsidP="00C84E79">
      <w:pPr>
        <w:pBdr>
          <w:top w:val="single" w:sz="4" w:space="10" w:color="5B9BD5" w:themeColor="accent1"/>
          <w:bottom w:val="single" w:sz="4" w:space="10" w:color="5B9BD5" w:themeColor="accent1"/>
        </w:pBdr>
        <w:spacing w:before="360" w:after="360"/>
        <w:ind w:left="864" w:right="864"/>
        <w:jc w:val="center"/>
        <w:rPr>
          <w:rFonts w:eastAsiaTheme="minorHAnsi" w:cs="Segoe UI"/>
          <w:i/>
          <w:iCs/>
          <w:color w:val="C45911" w:themeColor="accent2" w:themeShade="BF"/>
          <w:szCs w:val="20"/>
        </w:rPr>
      </w:pPr>
      <w:r w:rsidRPr="00C84E79">
        <w:rPr>
          <w:rFonts w:eastAsiaTheme="minorHAnsi" w:cs="Segoe UI"/>
          <w:i/>
          <w:iCs/>
          <w:color w:val="C45911" w:themeColor="accent2" w:themeShade="BF"/>
          <w:szCs w:val="20"/>
        </w:rPr>
        <w:t>Transformace je koordinovaný, pečlivě plánovaný proces, s maximálním zapojením všech, kterých se týká.</w:t>
      </w:r>
    </w:p>
    <w:p w:rsidR="00AF4350" w:rsidRPr="00EB799B" w:rsidRDefault="00AF4350" w:rsidP="00A34764">
      <w:r w:rsidRPr="00EB799B">
        <w:t>Nelze opomenout fakt, že proces transformace s sebou nese i určitá rizika. Riziko lze definovat jako předpokládaný stav, u kterého nelze zcela přesně odhadnout, zda a v jakém rozsahu skutečně nastane. Tento předpoklad klade enormní nároky na proces rozhodování, jak se při rizikových situacích zachovat a jak jim předcházet. Registr rizik, který pro tyto účely vznikl, obsahuje popis příčin jejich vzniku, důsledků jejich dopadu, způsobů jejich odstranění atd. Jako hlavní rizika transformace definuje především obavy zaměstnanců z nového; neočekávaně drahý provoz nové služby; nezájem některých opatrovníků o větší autonomii uživatelů a v neposlední řadě i konflikty s veřejností, které proběhly i</w:t>
      </w:r>
      <w:r>
        <w:t> </w:t>
      </w:r>
      <w:r w:rsidRPr="00EB799B">
        <w:t>v </w:t>
      </w:r>
      <w:r>
        <w:t>OK</w:t>
      </w:r>
      <w:r w:rsidRPr="00EB799B">
        <w:t>.</w:t>
      </w:r>
    </w:p>
    <w:p w:rsidR="00AF4350" w:rsidRPr="00C84E79" w:rsidRDefault="00AF4350" w:rsidP="00C84E79">
      <w:pPr>
        <w:pBdr>
          <w:top w:val="single" w:sz="4" w:space="10" w:color="5B9BD5" w:themeColor="accent1"/>
          <w:bottom w:val="single" w:sz="4" w:space="10" w:color="5B9BD5" w:themeColor="accent1"/>
        </w:pBdr>
        <w:spacing w:before="360" w:after="360"/>
        <w:ind w:left="864" w:right="864"/>
        <w:jc w:val="center"/>
        <w:rPr>
          <w:rFonts w:eastAsiaTheme="minorHAnsi" w:cs="Segoe UI"/>
          <w:i/>
          <w:iCs/>
          <w:color w:val="C45911" w:themeColor="accent2" w:themeShade="BF"/>
          <w:szCs w:val="20"/>
        </w:rPr>
      </w:pPr>
      <w:r w:rsidRPr="00C84E79">
        <w:rPr>
          <w:rFonts w:eastAsiaTheme="minorHAnsi" w:cs="Segoe UI"/>
          <w:i/>
          <w:iCs/>
          <w:color w:val="C45911" w:themeColor="accent2" w:themeShade="BF"/>
          <w:szCs w:val="20"/>
        </w:rPr>
        <w:t>Cílem procesu transformace je stav, kdy lidé s postižením žijí tak, jako všichni ostatní. Žijí v bytech či rodinných domech v běžné zástavbě, žijí tam, kde chtějí a s kým chtějí, starají se o domácnost, využívají všechny dostupné služby, chodí do školy a do práce, prožívají mezilidské vztahy… to znamená – žijí normálně, přičemž mají k dispozici takovou podporu v každodenním životě, kterou skutečně potřebují.</w:t>
      </w:r>
    </w:p>
    <w:p w:rsidR="00AF4350" w:rsidRPr="00EB799B" w:rsidRDefault="00AF4350" w:rsidP="00C84E79">
      <w:pPr>
        <w:pStyle w:val="Tun"/>
      </w:pPr>
      <w:r w:rsidRPr="00EB799B">
        <w:lastRenderedPageBreak/>
        <w:t>Transformace v Olomouckém kraji</w:t>
      </w:r>
    </w:p>
    <w:p w:rsidR="00AF4350" w:rsidRPr="00EB799B" w:rsidRDefault="00AF4350" w:rsidP="00A34764">
      <w:r w:rsidRPr="00EB799B">
        <w:t xml:space="preserve">Olomoucký kraj stejně jako ostatní kraje ČR postupně realizuje transformační projekty v souladu s výše uvedenými základními principy a strategiemi. </w:t>
      </w:r>
    </w:p>
    <w:p w:rsidR="00AF4350" w:rsidRPr="00EB799B" w:rsidRDefault="00AF4350" w:rsidP="00A34764">
      <w:r w:rsidRPr="00EB799B">
        <w:t xml:space="preserve">Díky již realizované (částečné) transformaci služeb organizace </w:t>
      </w:r>
      <w:proofErr w:type="spellStart"/>
      <w:r w:rsidRPr="00EB799B">
        <w:t>Vincentinum</w:t>
      </w:r>
      <w:proofErr w:type="spellEnd"/>
      <w:r w:rsidRPr="00EB799B">
        <w:t xml:space="preserve"> – poskytovatel sociálních služeb Šternberk, p. o, bylo v letech 2013</w:t>
      </w:r>
      <w:r>
        <w:t>–</w:t>
      </w:r>
      <w:r w:rsidRPr="00EB799B">
        <w:t>2015 celkem 68 uživatelům (osob s mentálním, příp. kombinovaným postižením) umožněno přestěhovat se do nových objektů – rodinných domů nebo bytů v běžné zástavbě ve Šternberku, Šum</w:t>
      </w:r>
      <w:r w:rsidR="00BA3253">
        <w:t>perku, Uničově a v obci Lužice.</w:t>
      </w:r>
      <w:r w:rsidRPr="00EB799B">
        <w:t xml:space="preserve"> O jejím průběhu i výsledcích byl Českou televizí natočen</w:t>
      </w:r>
      <w:r>
        <w:t xml:space="preserve"> časosběrný dokument, který je dostupný online</w:t>
      </w:r>
      <w:r>
        <w:rPr>
          <w:rStyle w:val="Znakapoznpodarou"/>
          <w:rFonts w:cs="Segoe UI"/>
          <w:szCs w:val="20"/>
        </w:rPr>
        <w:footnoteReference w:id="9"/>
      </w:r>
      <w:r>
        <w:t>.</w:t>
      </w:r>
      <w:r w:rsidRPr="00EB799B">
        <w:t xml:space="preserve"> </w:t>
      </w:r>
    </w:p>
    <w:p w:rsidR="00AF4350" w:rsidRPr="00EB799B" w:rsidRDefault="00AF4350" w:rsidP="00C84E79">
      <w:pPr>
        <w:pStyle w:val="Tun"/>
      </w:pPr>
      <w:r w:rsidRPr="00EB799B">
        <w:t>Transformace vybraných příspěvkových organizací OK</w:t>
      </w:r>
    </w:p>
    <w:p w:rsidR="00AF4350" w:rsidRPr="00EB799B" w:rsidRDefault="00AF4350" w:rsidP="00A34764">
      <w:r w:rsidRPr="00EB799B">
        <w:t>V rámci připravovaných výzev IROP pro programové období 2021+ činí alokace pro </w:t>
      </w:r>
      <w:r>
        <w:t>OK</w:t>
      </w:r>
      <w:r w:rsidRPr="00EB799B">
        <w:t xml:space="preserve"> na projekty realizované v rámci aktivit </w:t>
      </w:r>
      <w:proofErr w:type="spellStart"/>
      <w:r w:rsidRPr="00EB799B">
        <w:t>deinstitucionalizace</w:t>
      </w:r>
      <w:proofErr w:type="spellEnd"/>
      <w:r w:rsidRPr="00EB799B">
        <w:t xml:space="preserve"> a transformace pobytových sociálních služeb cca 374</w:t>
      </w:r>
      <w:r>
        <w:t> </w:t>
      </w:r>
      <w:r w:rsidRPr="00EB799B">
        <w:t>mil</w:t>
      </w:r>
      <w:r>
        <w:t>. </w:t>
      </w:r>
      <w:r w:rsidRPr="00EB799B">
        <w:t>Kč. Avizovanou podmínkou pro čerpání finančních prostředků z připravovaných výzev pro programové období 2021+ je zpracovaný transformační plán včetně studie proveditelnosti v něm uvedených realizačních záměrů.</w:t>
      </w:r>
    </w:p>
    <w:p w:rsidR="00AF4350" w:rsidRPr="00EB799B" w:rsidRDefault="00AF4350" w:rsidP="00A34764">
      <w:r>
        <w:t>ROK</w:t>
      </w:r>
      <w:r w:rsidRPr="00EB799B">
        <w:t xml:space="preserve"> svým usnesením UR/26/64/2021 ze dne 26. 7. 2021 schválila záměr pokračování v transformaci služeb domov pro osoby se zdravotním postižením poskytovaných příspěvkovými organizacemi Olomouckého kraje Nové Zámky – poskytovatel sociálních služeb, p.</w:t>
      </w:r>
      <w:r>
        <w:t xml:space="preserve"> </w:t>
      </w:r>
      <w:r w:rsidRPr="00EB799B">
        <w:t>o., Domov „Na Zámku“, p.</w:t>
      </w:r>
      <w:r>
        <w:t xml:space="preserve"> </w:t>
      </w:r>
      <w:r w:rsidRPr="00EB799B">
        <w:t>o., Domov Paprsek Olšany, p.</w:t>
      </w:r>
      <w:r>
        <w:t xml:space="preserve"> </w:t>
      </w:r>
      <w:r w:rsidRPr="00EB799B">
        <w:t>o., Centrum Dominika Kokory, p.</w:t>
      </w:r>
      <w:r>
        <w:t xml:space="preserve"> </w:t>
      </w:r>
      <w:r w:rsidRPr="00EB799B">
        <w:t>o., Domov Na zámečku Rokytnice, p.</w:t>
      </w:r>
      <w:r>
        <w:t xml:space="preserve"> </w:t>
      </w:r>
      <w:r w:rsidRPr="00EB799B">
        <w:t>o., Domov Větrný mlýn Skalička, p.</w:t>
      </w:r>
      <w:r>
        <w:t xml:space="preserve"> </w:t>
      </w:r>
      <w:r w:rsidRPr="00EB799B">
        <w:t xml:space="preserve">o., </w:t>
      </w:r>
      <w:proofErr w:type="spellStart"/>
      <w:r w:rsidRPr="00EB799B">
        <w:t>Vincentinum</w:t>
      </w:r>
      <w:proofErr w:type="spellEnd"/>
      <w:r w:rsidRPr="00EB799B">
        <w:t xml:space="preserve"> – poskytovatel sociálních služeb Šternberk, p.</w:t>
      </w:r>
      <w:r>
        <w:t xml:space="preserve"> </w:t>
      </w:r>
      <w:r w:rsidRPr="00EB799B">
        <w:t xml:space="preserve">o. </w:t>
      </w:r>
    </w:p>
    <w:p w:rsidR="00AF4350" w:rsidRPr="00EB799B" w:rsidRDefault="00AF4350" w:rsidP="00A34764">
      <w:r w:rsidRPr="00EB799B">
        <w:t>V</w:t>
      </w:r>
      <w:r>
        <w:t> průběhu roku 2022</w:t>
      </w:r>
      <w:r w:rsidRPr="00EB799B">
        <w:t xml:space="preserve"> probíha</w:t>
      </w:r>
      <w:r>
        <w:t>la</w:t>
      </w:r>
      <w:r w:rsidRPr="00EB799B">
        <w:t xml:space="preserve"> intenzivní práce na dokončení transformačních plánů. Cílem </w:t>
      </w:r>
      <w:r>
        <w:t>bylo</w:t>
      </w:r>
      <w:r w:rsidRPr="00EB799B">
        <w:t xml:space="preserve"> zpracovat transformační plány včetně studií proveditelnosti, které budou podkladem pro čerpání finančních prostředků z IROP. Sama o sobě náročná příprava </w:t>
      </w:r>
      <w:r>
        <w:t>byla</w:t>
      </w:r>
      <w:r w:rsidRPr="00EB799B">
        <w:t xml:space="preserve"> komplikována tím, že </w:t>
      </w:r>
      <w:r>
        <w:t>nebyly</w:t>
      </w:r>
      <w:r w:rsidRPr="00EB799B">
        <w:t xml:space="preserve"> známy definitivní podmínky výzvy a zároveň </w:t>
      </w:r>
      <w:r>
        <w:t>bylo</w:t>
      </w:r>
      <w:r w:rsidRPr="00EB799B">
        <w:t xml:space="preserve"> avizováno posunutí termínu vyhlášení výzvy</w:t>
      </w:r>
      <w:r>
        <w:t>.</w:t>
      </w:r>
      <w:r w:rsidRPr="00EB799B">
        <w:t xml:space="preserve"> </w:t>
      </w:r>
    </w:p>
    <w:p w:rsidR="00AF4350" w:rsidRPr="00EB799B" w:rsidRDefault="00AF4350" w:rsidP="00C84E79">
      <w:pPr>
        <w:pStyle w:val="Tun"/>
      </w:pPr>
      <w:r w:rsidRPr="00EB799B">
        <w:t>Transformace příspěvkové organizace Nové Zámky - příprava a průběh</w:t>
      </w:r>
    </w:p>
    <w:p w:rsidR="00AF4350" w:rsidRPr="00EB799B" w:rsidRDefault="00AF4350" w:rsidP="00A34764">
      <w:r w:rsidRPr="00EB799B">
        <w:t>Účelem transformace je zvýšení kvality života klientů domova pro osoby  se zdravotním postižením a</w:t>
      </w:r>
      <w:r>
        <w:t> </w:t>
      </w:r>
      <w:r w:rsidRPr="00EB799B">
        <w:t xml:space="preserve">domova se zvláštním režimem, kteří nyní žijí v budově zámku v Nových Zámcích a v budově v Litovli (celkem 145 uživatelů). Zahájení přípravy transformace příspěvkové organizace Nové Zámky - poskytovatel sociálních služeb bylo schváleno usnesením </w:t>
      </w:r>
      <w:r>
        <w:t>ROK</w:t>
      </w:r>
      <w:r w:rsidRPr="00EB799B">
        <w:t xml:space="preserve"> č. UR/83/37/2015 ze dne 10. 12. 2015.</w:t>
      </w:r>
    </w:p>
    <w:p w:rsidR="00AF4350" w:rsidRPr="00EB799B" w:rsidRDefault="00AF4350" w:rsidP="00A34764">
      <w:r w:rsidRPr="00EB799B">
        <w:t>Vzhledem k náročnosti projektu z hlediska výběru vhodného typu nemovitostí, z hlediska poskytované sociální služby, počtu přemísťovaných klientů  a personálu a s ohledem na omezenou finanční alokaci jednotlivých výzev byla navržená transformace rozdělena do 5 samostatných etap.</w:t>
      </w:r>
    </w:p>
    <w:p w:rsidR="00AF4350" w:rsidRPr="00EB799B" w:rsidRDefault="00AF4350" w:rsidP="00A34764">
      <w:r w:rsidRPr="00EB799B">
        <w:t xml:space="preserve">Velikost jednotlivé domácnosti je dána „Kritérii sociálních služeb komunitního charakteru a kritérii transformace a </w:t>
      </w:r>
      <w:proofErr w:type="spellStart"/>
      <w:r w:rsidRPr="00EB799B">
        <w:t>deinstitucionalizace</w:t>
      </w:r>
      <w:proofErr w:type="spellEnd"/>
      <w:r w:rsidRPr="00EB799B">
        <w:t>“, které jsou specifickým dokumentem Integrovaného regionálního operačního programu (dále jen IROP) a navazují na Doporučené postupy MPSV č. 2/2016 a 4/2018 - Materiálně-technický standard pro služby sociální péče poskytované pobytovou formou. Velikost domácnosti se pohybuje od 6 do 18 klientů, dle specifika služby; doporučený postup definuje mimo jiné i požadavek na maximálně dvoulůžkové pokoje. Ze strany MPSV je opakovaně deklarován předpoklad ukotvení doporučeného materiálně technického standardu do právně závazné legislativní podoby.</w:t>
      </w:r>
    </w:p>
    <w:p w:rsidR="00AF4350" w:rsidRPr="00396ACC" w:rsidRDefault="00AF4350" w:rsidP="00C84E79">
      <w:pPr>
        <w:pStyle w:val="popistabulkySPRSS2024"/>
      </w:pPr>
      <w:bookmarkStart w:id="129" w:name="_Toc117607023"/>
      <w:r w:rsidRPr="00396ACC">
        <w:lastRenderedPageBreak/>
        <w:t xml:space="preserve">Obrázek </w:t>
      </w:r>
      <w:r w:rsidR="00412C70">
        <w:fldChar w:fldCharType="begin"/>
      </w:r>
      <w:r w:rsidR="00412C70">
        <w:instrText xml:space="preserve"> SEQ Obrázek \* ARABIC </w:instrText>
      </w:r>
      <w:r w:rsidR="00412C70">
        <w:fldChar w:fldCharType="separate"/>
      </w:r>
      <w:r w:rsidR="003A12AF">
        <w:rPr>
          <w:noProof/>
        </w:rPr>
        <w:t>3</w:t>
      </w:r>
      <w:r w:rsidR="00412C70">
        <w:rPr>
          <w:noProof/>
        </w:rPr>
        <w:fldChar w:fldCharType="end"/>
      </w:r>
      <w:r w:rsidRPr="00396ACC">
        <w:rPr>
          <w:noProof/>
        </w:rPr>
        <w:t>:</w:t>
      </w:r>
      <w:r w:rsidRPr="00396ACC">
        <w:t xml:space="preserve"> Schéma procesu transformace Nových Zámků</w:t>
      </w:r>
      <w:bookmarkEnd w:id="129"/>
    </w:p>
    <w:p w:rsidR="00AF4350" w:rsidRPr="00EB799B" w:rsidRDefault="00AF4350" w:rsidP="00C84E79">
      <w:pPr>
        <w:pStyle w:val="Zdrojobjektu"/>
      </w:pPr>
      <w:r w:rsidRPr="00EB799B">
        <w:rPr>
          <w:noProof/>
        </w:rPr>
        <w:drawing>
          <wp:inline distT="0" distB="0" distL="0" distR="0" wp14:anchorId="54C5FDFC" wp14:editId="163B2DC0">
            <wp:extent cx="6011545" cy="6159260"/>
            <wp:effectExtent l="38100" t="0" r="2730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Pr="008022FF">
        <w:t xml:space="preserve">Zdroj: vlastní podklady </w:t>
      </w:r>
      <w:proofErr w:type="spellStart"/>
      <w:r w:rsidRPr="008022FF">
        <w:t>OdPSS</w:t>
      </w:r>
      <w:proofErr w:type="spellEnd"/>
      <w:r w:rsidRPr="008022FF">
        <w:t xml:space="preserve"> OSV KÚOK.</w:t>
      </w:r>
    </w:p>
    <w:p w:rsidR="00AF4350" w:rsidRDefault="00AF4350" w:rsidP="00A34764"/>
    <w:p w:rsidR="00AF4350" w:rsidRPr="00EB799B" w:rsidRDefault="00AF4350" w:rsidP="00C84E79">
      <w:pPr>
        <w:pStyle w:val="Tun"/>
      </w:pPr>
      <w:r w:rsidRPr="00EB799B">
        <w:t>Regionální transformační tým</w:t>
      </w:r>
    </w:p>
    <w:p w:rsidR="00AF4350" w:rsidRPr="00EB799B" w:rsidRDefault="00AF4350" w:rsidP="00A34764">
      <w:r w:rsidRPr="00EB799B">
        <w:t xml:space="preserve">Proces transformace služeb pro osoby se zdravotním postižením poskytovaných příspěvkovými organizacemi </w:t>
      </w:r>
      <w:r>
        <w:t>OK</w:t>
      </w:r>
      <w:r w:rsidRPr="00EB799B">
        <w:t xml:space="preserve"> je řízen na úrovni zapojených organizací (poskytovatelů služby) i</w:t>
      </w:r>
      <w:r>
        <w:t> </w:t>
      </w:r>
      <w:r w:rsidRPr="00EB799B">
        <w:t>zřizovatele. Platformou pro přenos informací mezi organizacemi zapojenými do procesu transformace a</w:t>
      </w:r>
      <w:r>
        <w:t> </w:t>
      </w:r>
      <w:r w:rsidRPr="00EB799B">
        <w:t xml:space="preserve">zřizovatelem, zajištění multidisciplinární spolupráce a odbornou podporu procesu transformace je Regionální transformační tým (dále jen „RTT“). </w:t>
      </w:r>
    </w:p>
    <w:p w:rsidR="00AF4350" w:rsidRPr="00EB799B" w:rsidRDefault="00AF4350" w:rsidP="00A34764">
      <w:r w:rsidRPr="00EB799B">
        <w:t xml:space="preserve">RTT byl schválen </w:t>
      </w:r>
      <w:r>
        <w:t>ROK</w:t>
      </w:r>
      <w:r w:rsidRPr="00EB799B">
        <w:t xml:space="preserve"> usnesením č. UR 91/35/2016 ze dne 3. 3. 2016 jako součást transformačního plánu organizace Nové Zámky – poskytovatel sociálních služeb, p.</w:t>
      </w:r>
      <w:r>
        <w:t xml:space="preserve"> </w:t>
      </w:r>
      <w:r w:rsidRPr="00EB799B">
        <w:t xml:space="preserve">o. Poslední aktualizace personálního složení týmu proběhla v roce 2022. </w:t>
      </w:r>
    </w:p>
    <w:p w:rsidR="00AF4350" w:rsidRPr="00EB799B" w:rsidRDefault="00AF4350" w:rsidP="00C84E79">
      <w:pPr>
        <w:pStyle w:val="popistabulkySPRSS2024"/>
      </w:pPr>
      <w:bookmarkStart w:id="130" w:name="_Toc113616166"/>
      <w:bookmarkStart w:id="131" w:name="_Toc117607091"/>
      <w:r w:rsidRPr="00EB799B">
        <w:lastRenderedPageBreak/>
        <w:t xml:space="preserve">Tabulka </w:t>
      </w:r>
      <w:r w:rsidR="00412C70">
        <w:fldChar w:fldCharType="begin"/>
      </w:r>
      <w:r w:rsidR="00412C70">
        <w:instrText xml:space="preserve"> SEQ Tabulka \* ARABIC </w:instrText>
      </w:r>
      <w:r w:rsidR="00412C70">
        <w:fldChar w:fldCharType="separate"/>
      </w:r>
      <w:r w:rsidR="003A12AF">
        <w:rPr>
          <w:noProof/>
        </w:rPr>
        <w:t>31</w:t>
      </w:r>
      <w:r w:rsidR="00412C70">
        <w:rPr>
          <w:noProof/>
        </w:rPr>
        <w:fldChar w:fldCharType="end"/>
      </w:r>
      <w:r>
        <w:t>:</w:t>
      </w:r>
      <w:r w:rsidRPr="00EB799B">
        <w:t xml:space="preserve"> Personální složení Regionálního transformačního týmu</w:t>
      </w:r>
      <w:bookmarkEnd w:id="130"/>
      <w:bookmarkEnd w:id="131"/>
    </w:p>
    <w:tbl>
      <w:tblPr>
        <w:tblpPr w:leftFromText="141" w:rightFromText="141" w:bottomFromText="160" w:vertAnchor="text"/>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3"/>
        <w:gridCol w:w="6548"/>
      </w:tblGrid>
      <w:tr w:rsidR="00AF4350" w:rsidRPr="00C84E79" w:rsidTr="00C84E79">
        <w:trPr>
          <w:trHeight w:val="20"/>
        </w:trPr>
        <w:tc>
          <w:tcPr>
            <w:tcW w:w="1422" w:type="pct"/>
            <w:shd w:val="clear" w:color="auto" w:fill="F2F2F2"/>
            <w:tcMar>
              <w:top w:w="0" w:type="dxa"/>
              <w:left w:w="108" w:type="dxa"/>
              <w:bottom w:w="0" w:type="dxa"/>
              <w:right w:w="108" w:type="dxa"/>
            </w:tcMar>
            <w:vAlign w:val="center"/>
            <w:hideMark/>
          </w:tcPr>
          <w:p w:rsidR="00AF4350" w:rsidRPr="00C84E79" w:rsidRDefault="00AF4350" w:rsidP="00C84E79">
            <w:pPr>
              <w:spacing w:before="60" w:after="60"/>
              <w:jc w:val="center"/>
              <w:rPr>
                <w:b/>
                <w:sz w:val="18"/>
              </w:rPr>
            </w:pPr>
            <w:r w:rsidRPr="00C84E79">
              <w:rPr>
                <w:b/>
                <w:sz w:val="18"/>
              </w:rPr>
              <w:t>Jméno</w:t>
            </w:r>
          </w:p>
        </w:tc>
        <w:tc>
          <w:tcPr>
            <w:tcW w:w="3578" w:type="pct"/>
            <w:shd w:val="clear" w:color="auto" w:fill="F2F2F2"/>
            <w:tcMar>
              <w:top w:w="0" w:type="dxa"/>
              <w:left w:w="108" w:type="dxa"/>
              <w:bottom w:w="0" w:type="dxa"/>
              <w:right w:w="108" w:type="dxa"/>
            </w:tcMar>
            <w:vAlign w:val="center"/>
            <w:hideMark/>
          </w:tcPr>
          <w:p w:rsidR="00AF4350" w:rsidRPr="00C84E79" w:rsidRDefault="00A456E8" w:rsidP="00C84E79">
            <w:pPr>
              <w:spacing w:before="60" w:after="60"/>
              <w:jc w:val="center"/>
              <w:rPr>
                <w:b/>
                <w:sz w:val="18"/>
              </w:rPr>
            </w:pPr>
            <w:r w:rsidRPr="00C84E79">
              <w:rPr>
                <w:b/>
                <w:sz w:val="18"/>
              </w:rPr>
              <w:t>Organizace, pozice</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 xml:space="preserve">Mgr. Ivo Slavotínek </w:t>
            </w:r>
          </w:p>
        </w:tc>
        <w:tc>
          <w:tcPr>
            <w:tcW w:w="3578" w:type="pct"/>
            <w:tcMar>
              <w:top w:w="0" w:type="dxa"/>
              <w:left w:w="108" w:type="dxa"/>
              <w:bottom w:w="0" w:type="dxa"/>
              <w:right w:w="108" w:type="dxa"/>
            </w:tcMar>
            <w:vAlign w:val="center"/>
            <w:hideMark/>
          </w:tcPr>
          <w:p w:rsidR="00AF4350" w:rsidRPr="00C84E79" w:rsidRDefault="00BA3253" w:rsidP="00C84E79">
            <w:pPr>
              <w:spacing w:before="60" w:after="60"/>
              <w:rPr>
                <w:sz w:val="18"/>
              </w:rPr>
            </w:pPr>
            <w:r>
              <w:rPr>
                <w:sz w:val="18"/>
              </w:rPr>
              <w:t>Olomoucký kraj, 1.</w:t>
            </w:r>
            <w:r w:rsidR="00AF4350" w:rsidRPr="00C84E79">
              <w:rPr>
                <w:sz w:val="18"/>
              </w:rPr>
              <w:t xml:space="preserve"> náměstek hejtmana Olomouckého kraje</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 xml:space="preserve">Mgr. Karel </w:t>
            </w:r>
            <w:proofErr w:type="spellStart"/>
            <w:r w:rsidRPr="00C84E79">
              <w:rPr>
                <w:sz w:val="18"/>
              </w:rPr>
              <w:t>Ryjáček</w:t>
            </w:r>
            <w:proofErr w:type="spellEnd"/>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proofErr w:type="spellStart"/>
            <w:r w:rsidRPr="00C84E79">
              <w:rPr>
                <w:sz w:val="18"/>
              </w:rPr>
              <w:t>Vincentinum</w:t>
            </w:r>
            <w:proofErr w:type="spellEnd"/>
            <w:r w:rsidRPr="00C84E79">
              <w:rPr>
                <w:sz w:val="18"/>
              </w:rPr>
              <w:t xml:space="preserve"> Šternberk – poskytovatel sociálních služeb, p. o., ředitel</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Mgr. Jan Šenk</w:t>
            </w:r>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Nové Zámky – poskytovatel sociálních služeb, p. o., ředitel</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Ing. Bc. Monika Orel</w:t>
            </w:r>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Centrum Dominika Kokory, p. o., ředitelka</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 xml:space="preserve">JUDr. Eva </w:t>
            </w:r>
            <w:proofErr w:type="spellStart"/>
            <w:r w:rsidRPr="00C84E79">
              <w:rPr>
                <w:sz w:val="18"/>
              </w:rPr>
              <w:t>Fabová</w:t>
            </w:r>
            <w:proofErr w:type="spellEnd"/>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Domov Na zámečku Rokytnice, p. o., ředitelka </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Ing. Jiřina Krejčí</w:t>
            </w:r>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Domov "Na Zámku“, p. o., ředitelka</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Jarmila Koubková</w:t>
            </w:r>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Domov Paprsek Olšany, p. o., ředitelka</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Mgr. Antonín Němec</w:t>
            </w:r>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Domov Větrný mlýn Skalička, p. o., ředitel</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Mgr. Bc. Zbyněk Vočka</w:t>
            </w:r>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Odbor sociálních věcí KÚOK, vedoucí odboru</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Mgr. Valerie Navrátilová</w:t>
            </w:r>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 xml:space="preserve">Odbor sociálních věcí KÚOK, vedoucí oddělení plánování sociálních služeb  </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Bc. Kateřina Gajdošová</w:t>
            </w:r>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Odbor sociálních věcí KÚOK, zaměstnanec oddělení plánování sociálních služeb</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 xml:space="preserve">Mgr. Hana </w:t>
            </w:r>
            <w:proofErr w:type="spellStart"/>
            <w:r w:rsidRPr="00C84E79">
              <w:rPr>
                <w:sz w:val="18"/>
              </w:rPr>
              <w:t>Kamasová</w:t>
            </w:r>
            <w:proofErr w:type="spellEnd"/>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Odbor majetkový, právní a správních činností KÚOK, vedoucí odboru</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Ing. Radomír Daněk</w:t>
            </w:r>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Odbor investic KÚOK, zaměstnanec oddělení financování investic</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 xml:space="preserve">Ing. Marta </w:t>
            </w:r>
            <w:proofErr w:type="spellStart"/>
            <w:r w:rsidRPr="00C84E79">
              <w:rPr>
                <w:sz w:val="18"/>
              </w:rPr>
              <w:t>Kypusová</w:t>
            </w:r>
            <w:proofErr w:type="spellEnd"/>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Odbor investic KÚOK, vedoucí oddělení financování investic</w:t>
            </w:r>
          </w:p>
        </w:tc>
      </w:tr>
      <w:tr w:rsidR="00AF4350" w:rsidRPr="00C84E79" w:rsidTr="00C84E79">
        <w:trPr>
          <w:trHeight w:val="20"/>
        </w:trPr>
        <w:tc>
          <w:tcPr>
            <w:tcW w:w="1422"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Mgr. Dominika Doláková</w:t>
            </w:r>
          </w:p>
        </w:tc>
        <w:tc>
          <w:tcPr>
            <w:tcW w:w="3578" w:type="pct"/>
            <w:tcMar>
              <w:top w:w="0" w:type="dxa"/>
              <w:left w:w="108" w:type="dxa"/>
              <w:bottom w:w="0" w:type="dxa"/>
              <w:right w:w="108" w:type="dxa"/>
            </w:tcMar>
            <w:vAlign w:val="center"/>
            <w:hideMark/>
          </w:tcPr>
          <w:p w:rsidR="00AF4350" w:rsidRPr="00C84E79" w:rsidRDefault="00AF4350" w:rsidP="00C84E79">
            <w:pPr>
              <w:spacing w:before="60" w:after="60"/>
              <w:rPr>
                <w:sz w:val="18"/>
              </w:rPr>
            </w:pPr>
            <w:r w:rsidRPr="00C84E79">
              <w:rPr>
                <w:sz w:val="18"/>
              </w:rPr>
              <w:t>Odborný konzultant pro oblast transformace</w:t>
            </w:r>
          </w:p>
        </w:tc>
      </w:tr>
    </w:tbl>
    <w:p w:rsidR="00AF4350" w:rsidRPr="00EB799B" w:rsidRDefault="00AF4350" w:rsidP="00A34764">
      <w:r w:rsidRPr="00EB799B">
        <w:t>Náročný proces realizace transformace nezřídka komplikují i ambivalentní postoje veřejnosti</w:t>
      </w:r>
      <w:r>
        <w:t>, které již na několika místech vedly k zastavení příprav investiční akce</w:t>
      </w:r>
      <w:r w:rsidRPr="00EB799B">
        <w:t xml:space="preserve">. </w:t>
      </w:r>
      <w:r>
        <w:t>Na druhé straně jsou však i obce, které samy aktivně vystupují se zájmem o transformované služby na svém území. V tomto směru je celostátně před MPSV, sociálními službami a jejich zřizovali hodně práce, vedoucí k odstranění mýtů či stereotypů u</w:t>
      </w:r>
      <w:r w:rsidR="00BA3253">
        <w:t> </w:t>
      </w:r>
      <w:r>
        <w:t>veřejnosti.</w:t>
      </w:r>
    </w:p>
    <w:p w:rsidR="00AF4350" w:rsidRPr="0039748C" w:rsidRDefault="00AF4350" w:rsidP="00A34764">
      <w:pPr>
        <w:pStyle w:val="Nadpis2"/>
      </w:pPr>
      <w:bookmarkStart w:id="132" w:name="_Toc117606974"/>
      <w:r w:rsidRPr="0039748C">
        <w:t>Národní plán vytváření rovných příležitostí pro osoby se zdravotním postižením na období 2021–2025</w:t>
      </w:r>
      <w:bookmarkEnd w:id="132"/>
      <w:r w:rsidRPr="0039748C">
        <w:t xml:space="preserve">   </w:t>
      </w:r>
    </w:p>
    <w:p w:rsidR="00AF4350" w:rsidRPr="0039748C" w:rsidRDefault="00AF4350" w:rsidP="00A34764">
      <w:r w:rsidRPr="0039748C">
        <w:t>Národní plán vytváření rovných příležitostí pro osoby se zdrav</w:t>
      </w:r>
      <w:r>
        <w:t>otním postižením na období 2021–</w:t>
      </w:r>
      <w:r w:rsidRPr="0039748C">
        <w:t>2025 (dále jen „Národní plán“) je výchozím krokem k nastavení dalšího strategického směřování ČR vedoucího k naplňování práv osob se zdravotním postižením a podkladem k systematickým krokům v procesu odstraňování bariér a integrace této skupiny osob do plnohodnotného života společnosti. Navazuje na dokumenty mezinárodního práva - Úmluvu o právech osob se zdravotním postižením (dále jen „Úmluva“) a její Opční protokol přijatými Valným shromážděním OSN dne 13. 12. 2006 (v platnost v ČR vstoupily dne 3. 5. 2008).</w:t>
      </w:r>
    </w:p>
    <w:p w:rsidR="00AF4350" w:rsidRPr="0039748C" w:rsidRDefault="00AF4350" w:rsidP="00A34764">
      <w:r w:rsidRPr="0039748C">
        <w:t>Národní plán je rozdělen do tematických oblastí navazujících na vybrané články Úmluvy, jejichž naplňování je pro toto období z hlediska potřeb osob se zdravot</w:t>
      </w:r>
      <w:r>
        <w:t xml:space="preserve">ním postižením nejaktuálnější. </w:t>
      </w:r>
    </w:p>
    <w:p w:rsidR="00AF4350" w:rsidRDefault="00AF4350" w:rsidP="00A34764">
      <w:r w:rsidRPr="0039748C">
        <w:t>S pomocí Národního plánu jsou řešeny všechny oblasti života osob se zdravotním postižením v rámci meziresortní spolupráce příslušných ministerstev.</w:t>
      </w:r>
      <w:r>
        <w:t xml:space="preserve"> </w:t>
      </w:r>
      <w:r w:rsidRPr="0039748C">
        <w:t>Opatření směřující k naplňování Národního plánu jsou uložená usnesením vlády ČR a jsou závazná pro ministerstva i podřízené organizace, proto i aktivity tohoto střednědobého plánu reagují na opatření stanovená v dílčích cílech vymezených v daných oblastech.</w:t>
      </w:r>
    </w:p>
    <w:p w:rsidR="00AF4350" w:rsidRPr="0039748C" w:rsidRDefault="00AF4350" w:rsidP="00A34764">
      <w:pPr>
        <w:pStyle w:val="Nadpis2"/>
      </w:pPr>
      <w:bookmarkStart w:id="133" w:name="_Toc117606975"/>
      <w:r w:rsidRPr="0039748C">
        <w:lastRenderedPageBreak/>
        <w:t>Strategický rámec přípravy na stárnutí společnosti 2021</w:t>
      </w:r>
      <w:r>
        <w:t>–</w:t>
      </w:r>
      <w:r w:rsidRPr="0039748C">
        <w:t>2025</w:t>
      </w:r>
      <w:bookmarkEnd w:id="133"/>
      <w:r w:rsidRPr="0039748C">
        <w:t xml:space="preserve"> </w:t>
      </w:r>
    </w:p>
    <w:p w:rsidR="00AF4350" w:rsidRPr="0039748C" w:rsidRDefault="00AF4350" w:rsidP="00A34764">
      <w:pPr>
        <w:rPr>
          <w:lang w:eastAsia="cs-CZ"/>
        </w:rPr>
      </w:pPr>
      <w:r w:rsidRPr="0039748C">
        <w:rPr>
          <w:lang w:eastAsia="cs-CZ"/>
        </w:rPr>
        <w:t>Strategie přípravy na stárnutí společnosti 2021</w:t>
      </w:r>
      <w:r>
        <w:rPr>
          <w:lang w:eastAsia="cs-CZ"/>
        </w:rPr>
        <w:t>–</w:t>
      </w:r>
      <w:r w:rsidRPr="0039748C">
        <w:rPr>
          <w:lang w:eastAsia="cs-CZ"/>
        </w:rPr>
        <w:t>2025 (dále jen „STRAPS 2021</w:t>
      </w:r>
      <w:r>
        <w:rPr>
          <w:lang w:eastAsia="cs-CZ"/>
        </w:rPr>
        <w:t>–</w:t>
      </w:r>
      <w:r w:rsidRPr="0039748C">
        <w:rPr>
          <w:lang w:eastAsia="cs-CZ"/>
        </w:rPr>
        <w:t>2025“) navazuje na Národní akční plán podporující pozitivní stárnutí 2013 až 2017 a Strategii přípravy na stárnutí společnosti 2018 až 2022. OSV KÚOK zpracovalo každý</w:t>
      </w:r>
      <w:r>
        <w:rPr>
          <w:lang w:eastAsia="cs-CZ"/>
        </w:rPr>
        <w:t xml:space="preserve"> </w:t>
      </w:r>
      <w:r w:rsidRPr="0039748C">
        <w:rPr>
          <w:lang w:eastAsia="cs-CZ"/>
        </w:rPr>
        <w:t>rok za OK plnění cílů a opatření uvedených v Národním akčním plánu podporujícím pozitivní stárnutí. Zástupci OSV KÚOK jsou členy regionální platformy OK – Implementace politiky stárnutí na krajskou úroveň, kde aktivně vystupují při jednání platformy a  připomínkovali strategický dokument STRAPS. OK vnímá STRAPS 2021</w:t>
      </w:r>
      <w:r>
        <w:rPr>
          <w:lang w:eastAsia="cs-CZ"/>
        </w:rPr>
        <w:t>–</w:t>
      </w:r>
      <w:r w:rsidRPr="0039748C">
        <w:rPr>
          <w:lang w:eastAsia="cs-CZ"/>
        </w:rPr>
        <w:t>2025 jako jeden ze zásadních celorepublikových dokumentů, jehož cíle a opatření implementuje do svých strategických dokumentů dotýkajících se cílové skupiny seniorů.</w:t>
      </w:r>
    </w:p>
    <w:p w:rsidR="00AF4350" w:rsidRPr="0039748C" w:rsidRDefault="00AF4350" w:rsidP="00A34764">
      <w:pPr>
        <w:rPr>
          <w:lang w:eastAsia="cs-CZ"/>
        </w:rPr>
      </w:pPr>
      <w:r w:rsidRPr="0039748C">
        <w:rPr>
          <w:lang w:eastAsia="cs-CZ"/>
        </w:rPr>
        <w:t>Z demografických prognóz vyplývá, že v roce 2050 budou senioři tvořit až cca 30 procent všech obyvatel. V návaznosti na tuto skutečnost</w:t>
      </w:r>
      <w:r>
        <w:rPr>
          <w:lang w:eastAsia="cs-CZ"/>
        </w:rPr>
        <w:t>,</w:t>
      </w:r>
      <w:r w:rsidRPr="0039748C">
        <w:rPr>
          <w:lang w:eastAsia="cs-CZ"/>
        </w:rPr>
        <w:t xml:space="preserve"> dokument obsahuje desatero</w:t>
      </w:r>
      <w:r>
        <w:rPr>
          <w:lang w:eastAsia="cs-CZ"/>
        </w:rPr>
        <w:t>,</w:t>
      </w:r>
      <w:r w:rsidRPr="0039748C">
        <w:rPr>
          <w:lang w:eastAsia="cs-CZ"/>
        </w:rPr>
        <w:t xml:space="preserve"> zajišťující seniorům v budoucnu prožít důstojné, spravedlivé a komfortní stáří. K prosperující a soudržné dlouhověké společnosti vede cesta přes komplexní přístup a vzájemně provázané veřejné politiky. Příprava na stárnutí společnosti by měla být chápána jako aktuální ce</w:t>
      </w:r>
      <w:r>
        <w:rPr>
          <w:lang w:eastAsia="cs-CZ"/>
        </w:rPr>
        <w:t>lospolečenské téma. STRAPS 2021–</w:t>
      </w:r>
      <w:r w:rsidRPr="0039748C">
        <w:rPr>
          <w:lang w:eastAsia="cs-CZ"/>
        </w:rPr>
        <w:t>2025 řeší také zaměstnávání osob ve věku 50+ a celoživotní vzdělávání s důrazem na digitální gramotnost a rovněž rozšiřování možností flexibilní práce.</w:t>
      </w:r>
    </w:p>
    <w:p w:rsidR="00AF4350" w:rsidRDefault="00AF4350" w:rsidP="00A34764">
      <w:pPr>
        <w:rPr>
          <w:lang w:eastAsia="cs-CZ"/>
        </w:rPr>
      </w:pPr>
      <w:r w:rsidRPr="0039748C">
        <w:rPr>
          <w:lang w:eastAsia="cs-CZ"/>
        </w:rPr>
        <w:t>Účelem nového dokumentu je formulovat strategický přístup k přípravě společnosti na stárnutí, která je ze své podstaty agendou průřezovou a týká se různých oblastí života jedince a společnosti, a tedy i</w:t>
      </w:r>
      <w:r>
        <w:rPr>
          <w:lang w:eastAsia="cs-CZ"/>
        </w:rPr>
        <w:t> </w:t>
      </w:r>
      <w:r w:rsidRPr="0039748C">
        <w:rPr>
          <w:lang w:eastAsia="cs-CZ"/>
        </w:rPr>
        <w:t>různých oblastí veřejných politik. Dokument by měl reagovat nejen na problémy, které se týkají dnešních seniorů, ale také formulovat opatření přípravy na stárnutí společnosti jako celku a zahrnovat tak obyvatele všech věkových kategorií.</w:t>
      </w:r>
    </w:p>
    <w:p w:rsidR="00AF4350" w:rsidRPr="00881E2C" w:rsidRDefault="00AF4350" w:rsidP="00A34764">
      <w:pPr>
        <w:pStyle w:val="Nadpis2"/>
      </w:pPr>
      <w:bookmarkStart w:id="134" w:name="_Toc117606976"/>
      <w:r w:rsidRPr="00881E2C">
        <w:t>Oblast služeb pro ohrožené rodiny a děti, prevence kriminality</w:t>
      </w:r>
      <w:bookmarkEnd w:id="134"/>
    </w:p>
    <w:p w:rsidR="00AF4350" w:rsidRPr="00BC7287" w:rsidRDefault="00AF4350" w:rsidP="00A34764">
      <w:pPr>
        <w:rPr>
          <w:lang w:eastAsia="cs-CZ"/>
        </w:rPr>
      </w:pPr>
      <w:r w:rsidRPr="00BC7287">
        <w:rPr>
          <w:lang w:eastAsia="cs-CZ"/>
        </w:rPr>
        <w:t>Ohrožení rodin a dětí spočívá v absenci funkčního rodinného systému či v přítomnosti nepříznivých sociálních či výchovných podmínek. Kvalitu a odbornost péče o ohrožené děti v regionu OK podporuje mimo jiné činnost PS 1 Děti, mládež a rodina. V rámci jednání PS, ale i dalších multidisciplinárních setkání se jako klíčov</w:t>
      </w:r>
      <w:r>
        <w:rPr>
          <w:lang w:eastAsia="cs-CZ"/>
        </w:rPr>
        <w:t>á</w:t>
      </w:r>
      <w:r w:rsidRPr="00BC7287">
        <w:rPr>
          <w:lang w:eastAsia="cs-CZ"/>
        </w:rPr>
        <w:t xml:space="preserve"> ukazuje vzájemná spolupráce všech zainteresovaných subjektů působících v této oblasti, a to s ohledem na možnost reagovat bezprostředně na měnící se potřeby dítěte a rodiny. OK proto realizuje aktivity, reagující na aktuální vývoj sociálně-právní ochrany dětí, ale také na běžné rodiny v</w:t>
      </w:r>
      <w:r>
        <w:rPr>
          <w:lang w:eastAsia="cs-CZ"/>
        </w:rPr>
        <w:t> </w:t>
      </w:r>
      <w:r w:rsidRPr="00BC7287">
        <w:rPr>
          <w:lang w:eastAsia="cs-CZ"/>
        </w:rPr>
        <w:t xml:space="preserve">rámci preventivních aktivit. </w:t>
      </w:r>
    </w:p>
    <w:p w:rsidR="00AF4350" w:rsidRPr="00BC7287" w:rsidRDefault="00AF4350" w:rsidP="00A34764">
      <w:pPr>
        <w:rPr>
          <w:lang w:eastAsia="cs-CZ"/>
        </w:rPr>
      </w:pPr>
      <w:r w:rsidRPr="00BC7287">
        <w:rPr>
          <w:lang w:eastAsia="cs-CZ"/>
        </w:rPr>
        <w:t xml:space="preserve">V rámci přípravy </w:t>
      </w:r>
      <w:r>
        <w:rPr>
          <w:lang w:eastAsia="cs-CZ"/>
        </w:rPr>
        <w:t>Střednědobého plánu 2024–2026, pracovní sk</w:t>
      </w:r>
      <w:r w:rsidRPr="00BC7287">
        <w:rPr>
          <w:lang w:eastAsia="cs-CZ"/>
        </w:rPr>
        <w:t>upina a další aktéři v oblasti práce s</w:t>
      </w:r>
      <w:r>
        <w:rPr>
          <w:lang w:eastAsia="cs-CZ"/>
        </w:rPr>
        <w:t> </w:t>
      </w:r>
      <w:r w:rsidRPr="00BC7287">
        <w:rPr>
          <w:lang w:eastAsia="cs-CZ"/>
        </w:rPr>
        <w:t>ohroženými rodinami a dětmi reflektovala legislativní změny, které byly přijaty v rámci novely zákona č. 359/1999 Sb., o sociálně-právní ochraně dětí, ve znění pozdějších předpisů a také dalších souvisejících právních předpisů, jakými jsou novely zákona o poskytování zdravotních služeb, novela zákona o</w:t>
      </w:r>
      <w:r>
        <w:rPr>
          <w:lang w:eastAsia="cs-CZ"/>
        </w:rPr>
        <w:t> </w:t>
      </w:r>
      <w:r w:rsidRPr="00BC7287">
        <w:rPr>
          <w:lang w:eastAsia="cs-CZ"/>
        </w:rPr>
        <w:t>sociálních službách a novela zákona o ústavní výchově. Legislativní změny mají, v návaznosti na tuto aktivitu projektu, jeden společný ukazatel</w:t>
      </w:r>
      <w:r>
        <w:rPr>
          <w:lang w:eastAsia="cs-CZ"/>
        </w:rPr>
        <w:t>,</w:t>
      </w:r>
      <w:r w:rsidRPr="00BC7287">
        <w:rPr>
          <w:lang w:eastAsia="cs-CZ"/>
        </w:rPr>
        <w:t xml:space="preserve"> a tím je zákaz umisťování dětí do 3 let věku do zařízení pro děti vyžadující okamžitou pomoc od 1. 1. 2024 a</w:t>
      </w:r>
      <w:r w:rsidRPr="00D46F1F">
        <w:rPr>
          <w:lang w:eastAsia="cs-CZ"/>
        </w:rPr>
        <w:t xml:space="preserve"> od 1. 1. 2025 </w:t>
      </w:r>
      <w:r w:rsidRPr="00BC7287">
        <w:rPr>
          <w:lang w:eastAsia="cs-CZ"/>
        </w:rPr>
        <w:t xml:space="preserve">zákaz umisťování dětí do 3 let věku do dětských domovů do 3 let věku, jako zdravotnických zařízení dle zákona o zdravotních službách, zákaz umisťování dětí do 3 let věku do domovů pro osoby se zdravotním postižením s výjimkou dětí, </w:t>
      </w:r>
      <w:r>
        <w:rPr>
          <w:lang w:eastAsia="cs-CZ"/>
        </w:rPr>
        <w:t>u kterých</w:t>
      </w:r>
      <w:r w:rsidRPr="00BC7287">
        <w:rPr>
          <w:lang w:eastAsia="cs-CZ"/>
        </w:rPr>
        <w:t xml:space="preserve"> je předpoklad, že bude mít nárok na příspěvek na péči ve stupni 3 a 4 po dosažení jednoho roku věku, a</w:t>
      </w:r>
      <w:r>
        <w:rPr>
          <w:lang w:eastAsia="cs-CZ"/>
        </w:rPr>
        <w:t> </w:t>
      </w:r>
      <w:r w:rsidRPr="00BC7287">
        <w:rPr>
          <w:lang w:eastAsia="cs-CZ"/>
        </w:rPr>
        <w:t>zákaz umisťování dětí do 4 let věku do dětských domovů dle zákona o ústavní výchově. Všechny tyto legislativní změny byly schváleny s ohledem na neoddiskutovatelnou výhodu péče o děti v rodinné</w:t>
      </w:r>
      <w:r>
        <w:rPr>
          <w:lang w:eastAsia="cs-CZ"/>
        </w:rPr>
        <w:t>m</w:t>
      </w:r>
      <w:r w:rsidRPr="00BC7287">
        <w:rPr>
          <w:lang w:eastAsia="cs-CZ"/>
        </w:rPr>
        <w:t xml:space="preserve"> prostředí, které má zásadní vliv na jeho další vývoj. </w:t>
      </w:r>
    </w:p>
    <w:p w:rsidR="00AF4350" w:rsidRPr="00BC7287" w:rsidRDefault="00AF4350" w:rsidP="00A34764">
      <w:pPr>
        <w:rPr>
          <w:lang w:eastAsia="cs-CZ"/>
        </w:rPr>
      </w:pPr>
      <w:r w:rsidRPr="00BC7287">
        <w:rPr>
          <w:lang w:eastAsia="cs-CZ"/>
        </w:rPr>
        <w:t xml:space="preserve">Od počátku roku 2016 se OK systematicky věnuje rodinné politice. V současné době je platná koncepce na období 2019–2022 (od roku 2023 pak koncepce na období 2023-2027, která byla schválena na jednání ZOK dne 26. 9. 2022), jejímž hlavním cílem je podpora prorodinných opatření, která budou podmínky pro život nejen zlepšovat, ale i zpřístupňovat, dále pak podpora prorodinných opatření na </w:t>
      </w:r>
      <w:r w:rsidRPr="00BC7287">
        <w:rPr>
          <w:lang w:eastAsia="cs-CZ"/>
        </w:rPr>
        <w:lastRenderedPageBreak/>
        <w:t>regionální úrovni prostřednictvím zvýšení účinnosti již realizovaných aktivit a opatření a užší spoluprací s obcemi, městy a dalšími participujícími organizacemi na území OK. Pro kvalitní život stávajících i dalších generací i pro zachování tradic jsou důležité stabilní a dobře fungující rodiny, v nichž se děti mohou naučit etické</w:t>
      </w:r>
      <w:r>
        <w:rPr>
          <w:lang w:eastAsia="cs-CZ"/>
        </w:rPr>
        <w:t>mu jednání, vzájemné toleranci,</w:t>
      </w:r>
      <w:r w:rsidRPr="00BC7287">
        <w:rPr>
          <w:lang w:eastAsia="cs-CZ"/>
        </w:rPr>
        <w:t xml:space="preserve"> úctě k práci i úctě k životu ve všech jeho fázích. V</w:t>
      </w:r>
      <w:r>
        <w:rPr>
          <w:lang w:eastAsia="cs-CZ"/>
        </w:rPr>
        <w:t> </w:t>
      </w:r>
      <w:r w:rsidRPr="00BC7287">
        <w:rPr>
          <w:lang w:eastAsia="cs-CZ"/>
        </w:rPr>
        <w:t>posledních letech se OK zaměřuje také na oblast mezigeneračního soužití a podpory náhradní rodinné péče, kde každoročně realizuje osvětové akce Týden/den (pro) pěstounství, kdy cílem těchto aktivit je zvýšení prestiže a veřejného ocenění pěstounů, zvýšení povědomí laické veřejnosti o pěstounské péči jako jedné z forem náhradní rodinné péče, výměna zkušeností, sdílení a vzájemná podpora, veřejné ocenění práce pěstounů pro a s dětmi, které se ocitly bez rodinného zázemí a v neposlední řadě získání potenciálních zájemců o výkon pěstounství.</w:t>
      </w:r>
    </w:p>
    <w:p w:rsidR="00AF4350" w:rsidRPr="00BC7287" w:rsidRDefault="00AF4350" w:rsidP="00A34764">
      <w:pPr>
        <w:rPr>
          <w:lang w:eastAsia="cs-CZ"/>
        </w:rPr>
      </w:pPr>
      <w:r w:rsidRPr="00BC7287">
        <w:rPr>
          <w:lang w:eastAsia="cs-CZ"/>
        </w:rPr>
        <w:t xml:space="preserve">Rodinná politika je tématem průřezovým, </w:t>
      </w:r>
      <w:r>
        <w:rPr>
          <w:lang w:eastAsia="cs-CZ"/>
        </w:rPr>
        <w:t>neboť</w:t>
      </w:r>
      <w:r w:rsidRPr="00BC7287">
        <w:rPr>
          <w:lang w:eastAsia="cs-CZ"/>
        </w:rPr>
        <w:t xml:space="preserve"> aktivity, které podporují rodinu, se prolínají mnoha oblastmi veřejného života. Proto je nezbytné zejména návrhová opatření vhodně koordinovat, a to prostřednictvím pracovních skupin, které pracují za účelem definování cílů a opatření rodinné politiky OK. </w:t>
      </w:r>
    </w:p>
    <w:p w:rsidR="00AF4350" w:rsidRPr="0039748C" w:rsidRDefault="00AF4350" w:rsidP="00A34764">
      <w:pPr>
        <w:rPr>
          <w:lang w:eastAsia="cs-CZ"/>
        </w:rPr>
      </w:pPr>
      <w:r w:rsidRPr="00BC7287">
        <w:rPr>
          <w:lang w:eastAsia="cs-CZ"/>
        </w:rPr>
        <w:t>Další klíčovou oblastí, kam OK směřuje svou pozornost, je oblast prevence kriminality, a to prostřednictvím Strategie prevence kriminality Olomouckého kraje pro roky 2022–2027</w:t>
      </w:r>
      <w:r>
        <w:rPr>
          <w:lang w:eastAsia="cs-CZ"/>
        </w:rPr>
        <w:t xml:space="preserve"> (dále jen „Strategie“)</w:t>
      </w:r>
      <w:r w:rsidRPr="00BC7287">
        <w:rPr>
          <w:lang w:eastAsia="cs-CZ"/>
        </w:rPr>
        <w:t xml:space="preserve">. Na tvorbě Strategie se podílela Pracovní skupina prevence kriminality složená z vybraných odborných agend krajského úřadu, které se věnují problematikám sociálně rizikových jevů. Rámcovou vizí celého dokumentu je vyvážit realizovaná represivní opatření, aktivizovat společnost a usilovat o to, aby se </w:t>
      </w:r>
      <w:r>
        <w:rPr>
          <w:lang w:eastAsia="cs-CZ"/>
        </w:rPr>
        <w:t>OK</w:t>
      </w:r>
      <w:r w:rsidRPr="00BC7287">
        <w:rPr>
          <w:lang w:eastAsia="cs-CZ"/>
        </w:rPr>
        <w:t xml:space="preserve"> stal bezpečným místem pro rodinný život, práci i zábavu. Za tímto účelem je v rámci Strategie navrhováno několik vzájemně provázaných tematických cílů, které usilují o dotační a materiální podporu, o edukaci odborníků, o rozvoj prevence zaměřené na kyberprostor, o zacílení na sociálně vyloučené lokality a o realizaci krajských preventivních aktivit.</w:t>
      </w:r>
    </w:p>
    <w:p w:rsidR="00AF4350" w:rsidRPr="0039748C" w:rsidRDefault="00AF4350" w:rsidP="00A34764">
      <w:pPr>
        <w:pStyle w:val="Nadpis2"/>
      </w:pPr>
      <w:bookmarkStart w:id="135" w:name="_Toc117606977"/>
      <w:r w:rsidRPr="0039748C">
        <w:t>Protidrogová politika OK</w:t>
      </w:r>
      <w:bookmarkEnd w:id="135"/>
    </w:p>
    <w:p w:rsidR="00AF4350" w:rsidRPr="009E4F4A" w:rsidRDefault="00AF4350" w:rsidP="00A34764">
      <w:pPr>
        <w:rPr>
          <w:lang w:eastAsia="cs-CZ"/>
        </w:rPr>
      </w:pPr>
      <w:r w:rsidRPr="009E4F4A">
        <w:rPr>
          <w:lang w:eastAsia="cs-CZ"/>
        </w:rPr>
        <w:t>Protidrogová politika OK je integrovaná. Kromě nelegálních drog je zaměřena také na problematiku užívání alkoholu, tabáku a závislostního chování. Vychází z Národní strategie prevence a snižován</w:t>
      </w:r>
      <w:r>
        <w:rPr>
          <w:lang w:eastAsia="cs-CZ"/>
        </w:rPr>
        <w:t>í škod spojených se závislostním</w:t>
      </w:r>
      <w:r w:rsidRPr="009E4F4A">
        <w:rPr>
          <w:lang w:eastAsia="cs-CZ"/>
        </w:rPr>
        <w:t xml:space="preserve"> chováním 2019–2027. </w:t>
      </w:r>
    </w:p>
    <w:p w:rsidR="00AF4350" w:rsidRPr="009E4F4A" w:rsidRDefault="00AF4350" w:rsidP="00A34764">
      <w:pPr>
        <w:rPr>
          <w:lang w:eastAsia="cs-CZ"/>
        </w:rPr>
      </w:pPr>
      <w:r w:rsidRPr="009E4F4A">
        <w:rPr>
          <w:lang w:eastAsia="cs-CZ"/>
        </w:rPr>
        <w:t>Národní strategie je klíčový koncepční dokument vlády České republiky, a zároveň i programové vyjádření záměrů a postupu vlády při uplatňování opatření za účelem předcházení a snižování škod vyplývajících z užívání návykových látek, patologického hráčství a nadužívání moderních technologií v</w:t>
      </w:r>
      <w:r w:rsidR="00F276BC">
        <w:rPr>
          <w:lang w:eastAsia="cs-CZ"/>
        </w:rPr>
        <w:t> </w:t>
      </w:r>
      <w:r w:rsidRPr="009E4F4A">
        <w:rPr>
          <w:lang w:eastAsia="cs-CZ"/>
        </w:rPr>
        <w:t>české společnosti.</w:t>
      </w:r>
    </w:p>
    <w:p w:rsidR="00AF4350" w:rsidRPr="009E4F4A" w:rsidRDefault="00AF4350" w:rsidP="00A34764">
      <w:pPr>
        <w:rPr>
          <w:highlight w:val="green"/>
          <w:lang w:eastAsia="cs-CZ"/>
        </w:rPr>
      </w:pPr>
      <w:r w:rsidRPr="009E4F4A">
        <w:rPr>
          <w:lang w:eastAsia="cs-CZ"/>
        </w:rPr>
        <w:t xml:space="preserve">Základním strategickým dokumentem protidrogové politiky </w:t>
      </w:r>
      <w:r>
        <w:rPr>
          <w:lang w:eastAsia="cs-CZ"/>
        </w:rPr>
        <w:t>OK</w:t>
      </w:r>
      <w:r w:rsidRPr="009E4F4A">
        <w:rPr>
          <w:lang w:eastAsia="cs-CZ"/>
        </w:rPr>
        <w:t xml:space="preserve"> je Strategie prevence a snižování škod spojených se závislostním chováním v Olomouckém kraji 2023–2026. Cílem tohoto strategického dokumentu je především předcházení a snižování zejména zdravotních, sociálních, ekonomických a</w:t>
      </w:r>
      <w:r>
        <w:rPr>
          <w:lang w:eastAsia="cs-CZ"/>
        </w:rPr>
        <w:t> </w:t>
      </w:r>
      <w:r w:rsidRPr="009E4F4A">
        <w:rPr>
          <w:lang w:eastAsia="cs-CZ"/>
        </w:rPr>
        <w:t>nehmotných škod vyplývajících z užívání návykových látek, hazardního hraní a dalšího závislostního chování. Prevence závislostního chování je tvořena dvěma základními pilíři – primární prevencí a oblastí snižování rizik, léčby a resocializace.</w:t>
      </w:r>
    </w:p>
    <w:p w:rsidR="00AF4350" w:rsidRPr="0039748C" w:rsidRDefault="00AF4350" w:rsidP="00A34764">
      <w:pPr>
        <w:rPr>
          <w:highlight w:val="green"/>
          <w:lang w:eastAsia="cs-CZ"/>
        </w:rPr>
      </w:pPr>
      <w:r w:rsidRPr="0039748C">
        <w:rPr>
          <w:highlight w:val="green"/>
          <w:lang w:eastAsia="cs-CZ"/>
        </w:rPr>
        <w:br w:type="page"/>
      </w:r>
    </w:p>
    <w:p w:rsidR="00AF4350" w:rsidRPr="0039748C" w:rsidRDefault="00AF4350" w:rsidP="00A34764">
      <w:pPr>
        <w:pStyle w:val="Nadpis1"/>
      </w:pPr>
      <w:bookmarkStart w:id="136" w:name="_Toc117606978"/>
      <w:r w:rsidRPr="0039748C">
        <w:lastRenderedPageBreak/>
        <w:t>Výkon sociální práce na úrovni obcí a kraje</w:t>
      </w:r>
      <w:bookmarkEnd w:id="136"/>
    </w:p>
    <w:p w:rsidR="00AF4350" w:rsidRPr="0039748C" w:rsidRDefault="00AF4350" w:rsidP="00A34764">
      <w:pPr>
        <w:rPr>
          <w:lang w:eastAsia="cs-CZ"/>
        </w:rPr>
      </w:pPr>
      <w:r w:rsidRPr="0039748C">
        <w:rPr>
          <w:lang w:eastAsia="cs-CZ"/>
        </w:rPr>
        <w:t>Sociální práci v rámci OK vykonávají sociální pracovníci pověřených obecních úřadů (obecní úřady II. typu), sociální pracovníci obecních úřadů obcí s rozšířenou působností (obecní úřady III. typu) a také sociální pracovníci KÚOK.</w:t>
      </w:r>
    </w:p>
    <w:p w:rsidR="00AF4350" w:rsidRPr="0039748C" w:rsidRDefault="00AF4350" w:rsidP="00A34764">
      <w:pPr>
        <w:rPr>
          <w:lang w:eastAsia="cs-CZ"/>
        </w:rPr>
      </w:pPr>
      <w:r w:rsidRPr="0039748C">
        <w:rPr>
          <w:lang w:eastAsia="cs-CZ"/>
        </w:rPr>
        <w:t>V OK je 7 pověřených obecních úřadů a 13 obecních úřadů obcí s rozšířenou působností.</w:t>
      </w:r>
    </w:p>
    <w:p w:rsidR="00AF4350" w:rsidRPr="0039748C" w:rsidRDefault="00AF4350" w:rsidP="00C84E79">
      <w:pPr>
        <w:pStyle w:val="popistabulkySPRSS2024"/>
      </w:pPr>
      <w:r w:rsidRPr="0039748C">
        <w:t xml:space="preserve">Tabulka </w:t>
      </w:r>
      <w:r w:rsidRPr="000D4F38">
        <w:rPr>
          <w:color w:val="000000"/>
        </w:rPr>
        <w:t>31</w:t>
      </w:r>
      <w:r>
        <w:rPr>
          <w:color w:val="000000"/>
        </w:rPr>
        <w:t>:</w:t>
      </w:r>
      <w:r w:rsidRPr="0039748C">
        <w:t xml:space="preserve"> Počet sociálních pracovníků obecních úřadů</w:t>
      </w:r>
    </w:p>
    <w:tbl>
      <w:tblPr>
        <w:tblW w:w="9065" w:type="dxa"/>
        <w:tblInd w:w="-3" w:type="dxa"/>
        <w:tblCellMar>
          <w:left w:w="0" w:type="dxa"/>
          <w:right w:w="0" w:type="dxa"/>
        </w:tblCellMar>
        <w:tblLook w:val="04A0" w:firstRow="1" w:lastRow="0" w:firstColumn="1" w:lastColumn="0" w:noHBand="0" w:noVBand="1"/>
      </w:tblPr>
      <w:tblGrid>
        <w:gridCol w:w="2900"/>
        <w:gridCol w:w="2196"/>
        <w:gridCol w:w="2127"/>
        <w:gridCol w:w="1842"/>
      </w:tblGrid>
      <w:tr w:rsidR="00AF4350" w:rsidRPr="00C84E79" w:rsidTr="00C84E79">
        <w:trPr>
          <w:trHeight w:val="300"/>
        </w:trPr>
        <w:tc>
          <w:tcPr>
            <w:tcW w:w="290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rsidR="00AF4350" w:rsidRPr="00C84E79" w:rsidRDefault="00AF4350" w:rsidP="00C84E79">
            <w:pPr>
              <w:spacing w:before="0"/>
              <w:jc w:val="center"/>
              <w:rPr>
                <w:rFonts w:cs="Segoe UI"/>
                <w:b/>
                <w:sz w:val="18"/>
                <w:szCs w:val="18"/>
                <w:lang w:eastAsia="cs-CZ"/>
              </w:rPr>
            </w:pPr>
            <w:r w:rsidRPr="00C84E79">
              <w:rPr>
                <w:rFonts w:cs="Segoe UI"/>
                <w:b/>
                <w:sz w:val="18"/>
                <w:szCs w:val="18"/>
                <w:lang w:eastAsia="cs-CZ"/>
              </w:rPr>
              <w:t>Počty sociálních pracovníků</w:t>
            </w:r>
          </w:p>
        </w:tc>
        <w:tc>
          <w:tcPr>
            <w:tcW w:w="6165" w:type="dxa"/>
            <w:gridSpan w:val="3"/>
            <w:tcBorders>
              <w:top w:val="single" w:sz="8" w:space="0" w:color="auto"/>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rsidR="00AF4350" w:rsidRPr="00C84E79" w:rsidRDefault="00AF4350" w:rsidP="00C84E79">
            <w:pPr>
              <w:spacing w:before="0"/>
              <w:jc w:val="center"/>
              <w:rPr>
                <w:rFonts w:cs="Segoe UI"/>
                <w:b/>
                <w:sz w:val="18"/>
                <w:szCs w:val="18"/>
                <w:lang w:eastAsia="cs-CZ"/>
              </w:rPr>
            </w:pPr>
            <w:r w:rsidRPr="00C84E79">
              <w:rPr>
                <w:rFonts w:cs="Segoe UI"/>
                <w:b/>
                <w:sz w:val="18"/>
                <w:szCs w:val="18"/>
                <w:lang w:eastAsia="cs-CZ"/>
              </w:rPr>
              <w:t>Rok</w:t>
            </w:r>
          </w:p>
        </w:tc>
      </w:tr>
      <w:tr w:rsidR="00AF4350" w:rsidRPr="00C84E79" w:rsidTr="00C84E79">
        <w:trPr>
          <w:trHeight w:val="300"/>
        </w:trPr>
        <w:tc>
          <w:tcPr>
            <w:tcW w:w="2900"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rsidR="00AF4350" w:rsidRPr="00C84E79" w:rsidRDefault="00AF4350" w:rsidP="00C84E79">
            <w:pPr>
              <w:spacing w:before="0"/>
              <w:jc w:val="center"/>
              <w:rPr>
                <w:rFonts w:cs="Segoe UI"/>
                <w:b/>
                <w:sz w:val="18"/>
                <w:szCs w:val="18"/>
                <w:lang w:eastAsia="cs-CZ"/>
              </w:rPr>
            </w:pPr>
            <w:r w:rsidRPr="00C84E79">
              <w:rPr>
                <w:rFonts w:cs="Segoe UI"/>
                <w:b/>
                <w:sz w:val="18"/>
                <w:szCs w:val="18"/>
                <w:lang w:eastAsia="cs-CZ"/>
              </w:rPr>
              <w:t>Obce</w:t>
            </w:r>
          </w:p>
        </w:tc>
        <w:tc>
          <w:tcPr>
            <w:tcW w:w="2196"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rsidR="00AF4350" w:rsidRPr="00C84E79" w:rsidRDefault="00AF4350" w:rsidP="00C84E79">
            <w:pPr>
              <w:spacing w:before="0"/>
              <w:jc w:val="center"/>
              <w:rPr>
                <w:rFonts w:cs="Segoe UI"/>
                <w:b/>
                <w:sz w:val="18"/>
                <w:szCs w:val="18"/>
                <w:lang w:eastAsia="cs-CZ"/>
              </w:rPr>
            </w:pPr>
            <w:r w:rsidRPr="00C84E79">
              <w:rPr>
                <w:rFonts w:cs="Segoe UI"/>
                <w:b/>
                <w:sz w:val="18"/>
                <w:szCs w:val="18"/>
                <w:lang w:eastAsia="cs-CZ"/>
              </w:rPr>
              <w:t>2020</w:t>
            </w:r>
          </w:p>
        </w:tc>
        <w:tc>
          <w:tcPr>
            <w:tcW w:w="2127"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rsidR="00AF4350" w:rsidRPr="00C84E79" w:rsidRDefault="00AF4350" w:rsidP="00C84E79">
            <w:pPr>
              <w:spacing w:before="0"/>
              <w:jc w:val="center"/>
              <w:rPr>
                <w:rFonts w:cs="Segoe UI"/>
                <w:b/>
                <w:sz w:val="18"/>
                <w:szCs w:val="18"/>
                <w:lang w:eastAsia="cs-CZ"/>
              </w:rPr>
            </w:pPr>
            <w:r w:rsidRPr="00C84E79">
              <w:rPr>
                <w:rFonts w:cs="Segoe UI"/>
                <w:b/>
                <w:sz w:val="18"/>
                <w:szCs w:val="18"/>
                <w:lang w:eastAsia="cs-CZ"/>
              </w:rPr>
              <w:t>2021</w:t>
            </w:r>
          </w:p>
        </w:tc>
        <w:tc>
          <w:tcPr>
            <w:tcW w:w="1842" w:type="dxa"/>
            <w:tcBorders>
              <w:top w:val="nil"/>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center"/>
            <w:hideMark/>
          </w:tcPr>
          <w:p w:rsidR="00AF4350" w:rsidRPr="00C84E79" w:rsidRDefault="00AF4350" w:rsidP="00C84E79">
            <w:pPr>
              <w:spacing w:before="0"/>
              <w:jc w:val="center"/>
              <w:rPr>
                <w:rFonts w:cs="Segoe UI"/>
                <w:b/>
                <w:sz w:val="18"/>
                <w:szCs w:val="18"/>
                <w:lang w:eastAsia="cs-CZ"/>
              </w:rPr>
            </w:pPr>
            <w:r w:rsidRPr="00C84E79">
              <w:rPr>
                <w:rFonts w:cs="Segoe UI"/>
                <w:b/>
                <w:sz w:val="18"/>
                <w:szCs w:val="18"/>
                <w:lang w:eastAsia="cs-CZ"/>
              </w:rPr>
              <w:t>2022</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Hanušovice</w:t>
            </w:r>
          </w:p>
        </w:tc>
        <w:tc>
          <w:tcPr>
            <w:tcW w:w="2196"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c>
          <w:tcPr>
            <w:tcW w:w="2127"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Hlubočky</w:t>
            </w:r>
          </w:p>
        </w:tc>
        <w:tc>
          <w:tcPr>
            <w:tcW w:w="2196"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c>
          <w:tcPr>
            <w:tcW w:w="2127"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Hranice</w:t>
            </w:r>
          </w:p>
        </w:tc>
        <w:tc>
          <w:tcPr>
            <w:tcW w:w="2196" w:type="dxa"/>
            <w:tcBorders>
              <w:top w:val="single" w:sz="4" w:space="0" w:color="auto"/>
              <w:left w:val="single" w:sz="4" w:space="0" w:color="auto"/>
              <w:bottom w:val="single" w:sz="4" w:space="0" w:color="auto"/>
              <w:right w:val="single" w:sz="4" w:space="0" w:color="auto"/>
            </w:tcBorders>
            <w:shd w:val="clear" w:color="000000" w:fill="FCDFE2"/>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5</w:t>
            </w:r>
          </w:p>
        </w:tc>
        <w:tc>
          <w:tcPr>
            <w:tcW w:w="2127" w:type="dxa"/>
            <w:tcBorders>
              <w:top w:val="single" w:sz="4" w:space="0" w:color="auto"/>
              <w:left w:val="single" w:sz="4" w:space="0" w:color="auto"/>
              <w:bottom w:val="single" w:sz="4" w:space="0" w:color="auto"/>
              <w:right w:val="single" w:sz="4" w:space="0" w:color="auto"/>
            </w:tcBorders>
            <w:shd w:val="clear" w:color="000000" w:fill="FCDFE2"/>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5</w:t>
            </w:r>
          </w:p>
        </w:tc>
        <w:tc>
          <w:tcPr>
            <w:tcW w:w="1842" w:type="dxa"/>
            <w:tcBorders>
              <w:top w:val="single" w:sz="4" w:space="0" w:color="auto"/>
              <w:left w:val="single" w:sz="4" w:space="0" w:color="auto"/>
              <w:bottom w:val="single" w:sz="4" w:space="0" w:color="auto"/>
              <w:right w:val="single" w:sz="4" w:space="0" w:color="auto"/>
            </w:tcBorders>
            <w:shd w:val="clear" w:color="000000" w:fill="FCDFE2"/>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5</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Javorník</w:t>
            </w:r>
          </w:p>
        </w:tc>
        <w:tc>
          <w:tcPr>
            <w:tcW w:w="2196"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c>
          <w:tcPr>
            <w:tcW w:w="2127"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Jeseník</w:t>
            </w:r>
          </w:p>
        </w:tc>
        <w:tc>
          <w:tcPr>
            <w:tcW w:w="2196" w:type="dxa"/>
            <w:tcBorders>
              <w:top w:val="single" w:sz="4" w:space="0" w:color="auto"/>
              <w:left w:val="single" w:sz="4" w:space="0" w:color="auto"/>
              <w:bottom w:val="single" w:sz="4" w:space="0" w:color="auto"/>
              <w:right w:val="single" w:sz="4" w:space="0" w:color="auto"/>
            </w:tcBorders>
            <w:shd w:val="clear" w:color="000000" w:fill="FBD5D8"/>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6</w:t>
            </w:r>
          </w:p>
        </w:tc>
        <w:tc>
          <w:tcPr>
            <w:tcW w:w="2127" w:type="dxa"/>
            <w:tcBorders>
              <w:top w:val="single" w:sz="4" w:space="0" w:color="auto"/>
              <w:left w:val="single" w:sz="4" w:space="0" w:color="auto"/>
              <w:bottom w:val="single" w:sz="4" w:space="0" w:color="auto"/>
              <w:right w:val="single" w:sz="4" w:space="0" w:color="auto"/>
            </w:tcBorders>
            <w:shd w:val="clear" w:color="000000" w:fill="FBD5D8"/>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6</w:t>
            </w:r>
          </w:p>
        </w:tc>
        <w:tc>
          <w:tcPr>
            <w:tcW w:w="1842" w:type="dxa"/>
            <w:tcBorders>
              <w:top w:val="single" w:sz="4" w:space="0" w:color="auto"/>
              <w:left w:val="single" w:sz="4" w:space="0" w:color="auto"/>
              <w:bottom w:val="single" w:sz="4" w:space="0" w:color="auto"/>
              <w:right w:val="single" w:sz="4" w:space="0" w:color="auto"/>
            </w:tcBorders>
            <w:shd w:val="clear" w:color="000000" w:fill="FBD5D8"/>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6</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Kojetín</w:t>
            </w:r>
          </w:p>
        </w:tc>
        <w:tc>
          <w:tcPr>
            <w:tcW w:w="2196"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c>
          <w:tcPr>
            <w:tcW w:w="2127"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c>
          <w:tcPr>
            <w:tcW w:w="1842"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Konice</w:t>
            </w:r>
          </w:p>
        </w:tc>
        <w:tc>
          <w:tcPr>
            <w:tcW w:w="2196"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c>
          <w:tcPr>
            <w:tcW w:w="2127"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c>
          <w:tcPr>
            <w:tcW w:w="1842"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Lipník n. B.</w:t>
            </w:r>
          </w:p>
        </w:tc>
        <w:tc>
          <w:tcPr>
            <w:tcW w:w="2196"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c>
          <w:tcPr>
            <w:tcW w:w="2127"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c>
          <w:tcPr>
            <w:tcW w:w="1842"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Litovel</w:t>
            </w:r>
          </w:p>
        </w:tc>
        <w:tc>
          <w:tcPr>
            <w:tcW w:w="2196"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c>
          <w:tcPr>
            <w:tcW w:w="2127"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Mohelnice</w:t>
            </w:r>
          </w:p>
        </w:tc>
        <w:tc>
          <w:tcPr>
            <w:tcW w:w="2196" w:type="dxa"/>
            <w:tcBorders>
              <w:top w:val="single" w:sz="4" w:space="0" w:color="auto"/>
              <w:left w:val="single" w:sz="4" w:space="0" w:color="auto"/>
              <w:bottom w:val="single" w:sz="4" w:space="0" w:color="auto"/>
              <w:right w:val="single" w:sz="4" w:space="0" w:color="auto"/>
            </w:tcBorders>
            <w:shd w:val="clear" w:color="000000" w:fill="FCF3F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3</w:t>
            </w:r>
          </w:p>
        </w:tc>
        <w:tc>
          <w:tcPr>
            <w:tcW w:w="2127" w:type="dxa"/>
            <w:tcBorders>
              <w:top w:val="single" w:sz="4" w:space="0" w:color="auto"/>
              <w:left w:val="single" w:sz="4" w:space="0" w:color="auto"/>
              <w:bottom w:val="single" w:sz="4" w:space="0" w:color="auto"/>
              <w:right w:val="single" w:sz="4" w:space="0" w:color="auto"/>
            </w:tcBorders>
            <w:shd w:val="clear" w:color="000000" w:fill="FCF3F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3</w:t>
            </w:r>
          </w:p>
        </w:tc>
        <w:tc>
          <w:tcPr>
            <w:tcW w:w="1842" w:type="dxa"/>
            <w:tcBorders>
              <w:top w:val="single" w:sz="4" w:space="0" w:color="auto"/>
              <w:left w:val="single" w:sz="4" w:space="0" w:color="auto"/>
              <w:bottom w:val="single" w:sz="4" w:space="0" w:color="auto"/>
              <w:right w:val="single" w:sz="4" w:space="0" w:color="auto"/>
            </w:tcBorders>
            <w:shd w:val="clear" w:color="000000" w:fill="FCF3F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3</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Mor. Beroun</w:t>
            </w:r>
          </w:p>
        </w:tc>
        <w:tc>
          <w:tcPr>
            <w:tcW w:w="2196"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c>
          <w:tcPr>
            <w:tcW w:w="2127"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c>
          <w:tcPr>
            <w:tcW w:w="1842"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Němčice n. H.</w:t>
            </w:r>
          </w:p>
        </w:tc>
        <w:tc>
          <w:tcPr>
            <w:tcW w:w="2196"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c>
          <w:tcPr>
            <w:tcW w:w="2127"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c>
          <w:tcPr>
            <w:tcW w:w="1842"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Olomouc</w:t>
            </w:r>
          </w:p>
        </w:tc>
        <w:tc>
          <w:tcPr>
            <w:tcW w:w="2196" w:type="dxa"/>
            <w:tcBorders>
              <w:top w:val="single" w:sz="4" w:space="0" w:color="auto"/>
              <w:left w:val="single" w:sz="4" w:space="0" w:color="auto"/>
              <w:bottom w:val="single" w:sz="4" w:space="0" w:color="auto"/>
              <w:right w:val="single" w:sz="4" w:space="0" w:color="auto"/>
            </w:tcBorders>
            <w:shd w:val="clear" w:color="000000" w:fill="F8696B"/>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17</w:t>
            </w:r>
          </w:p>
        </w:tc>
        <w:tc>
          <w:tcPr>
            <w:tcW w:w="2127" w:type="dxa"/>
            <w:tcBorders>
              <w:top w:val="single" w:sz="4" w:space="0" w:color="auto"/>
              <w:left w:val="single" w:sz="4" w:space="0" w:color="auto"/>
              <w:bottom w:val="single" w:sz="4" w:space="0" w:color="auto"/>
              <w:right w:val="single" w:sz="4" w:space="0" w:color="auto"/>
            </w:tcBorders>
            <w:shd w:val="clear" w:color="000000" w:fill="F8696B"/>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17</w:t>
            </w:r>
          </w:p>
        </w:tc>
        <w:tc>
          <w:tcPr>
            <w:tcW w:w="1842" w:type="dxa"/>
            <w:tcBorders>
              <w:top w:val="single" w:sz="4" w:space="0" w:color="auto"/>
              <w:left w:val="single" w:sz="4" w:space="0" w:color="auto"/>
              <w:bottom w:val="single" w:sz="4" w:space="0" w:color="auto"/>
              <w:right w:val="single" w:sz="4" w:space="0" w:color="auto"/>
            </w:tcBorders>
            <w:shd w:val="clear" w:color="000000" w:fill="F8696B"/>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17</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Prostějov</w:t>
            </w:r>
          </w:p>
        </w:tc>
        <w:tc>
          <w:tcPr>
            <w:tcW w:w="2196" w:type="dxa"/>
            <w:tcBorders>
              <w:top w:val="single" w:sz="4" w:space="0" w:color="auto"/>
              <w:left w:val="single" w:sz="4" w:space="0" w:color="auto"/>
              <w:bottom w:val="single" w:sz="4" w:space="0" w:color="auto"/>
              <w:right w:val="single" w:sz="4" w:space="0" w:color="auto"/>
            </w:tcBorders>
            <w:shd w:val="clear" w:color="000000" w:fill="FA9193"/>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13</w:t>
            </w:r>
          </w:p>
        </w:tc>
        <w:tc>
          <w:tcPr>
            <w:tcW w:w="2127" w:type="dxa"/>
            <w:tcBorders>
              <w:top w:val="single" w:sz="4" w:space="0" w:color="auto"/>
              <w:left w:val="single" w:sz="4" w:space="0" w:color="auto"/>
              <w:bottom w:val="single" w:sz="4" w:space="0" w:color="auto"/>
              <w:right w:val="single" w:sz="4" w:space="0" w:color="auto"/>
            </w:tcBorders>
            <w:shd w:val="clear" w:color="000000" w:fill="FA9B9D"/>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12</w:t>
            </w:r>
          </w:p>
        </w:tc>
        <w:tc>
          <w:tcPr>
            <w:tcW w:w="1842" w:type="dxa"/>
            <w:tcBorders>
              <w:top w:val="single" w:sz="4" w:space="0" w:color="auto"/>
              <w:left w:val="single" w:sz="4" w:space="0" w:color="auto"/>
              <w:bottom w:val="single" w:sz="4" w:space="0" w:color="auto"/>
              <w:right w:val="single" w:sz="4" w:space="0" w:color="auto"/>
            </w:tcBorders>
            <w:shd w:val="clear" w:color="000000" w:fill="FA9193"/>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13</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Přerov</w:t>
            </w:r>
          </w:p>
        </w:tc>
        <w:tc>
          <w:tcPr>
            <w:tcW w:w="2196" w:type="dxa"/>
            <w:tcBorders>
              <w:top w:val="single" w:sz="4" w:space="0" w:color="auto"/>
              <w:left w:val="single" w:sz="4" w:space="0" w:color="auto"/>
              <w:bottom w:val="single" w:sz="4" w:space="0" w:color="auto"/>
              <w:right w:val="single" w:sz="4" w:space="0" w:color="auto"/>
            </w:tcBorders>
            <w:shd w:val="clear" w:color="000000" w:fill="FA9193"/>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13</w:t>
            </w:r>
          </w:p>
        </w:tc>
        <w:tc>
          <w:tcPr>
            <w:tcW w:w="2127" w:type="dxa"/>
            <w:tcBorders>
              <w:top w:val="single" w:sz="4" w:space="0" w:color="auto"/>
              <w:left w:val="single" w:sz="4" w:space="0" w:color="auto"/>
              <w:bottom w:val="single" w:sz="4" w:space="0" w:color="auto"/>
              <w:right w:val="single" w:sz="4" w:space="0" w:color="auto"/>
            </w:tcBorders>
            <w:shd w:val="clear" w:color="000000" w:fill="FAA4A7"/>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11</w:t>
            </w:r>
          </w:p>
        </w:tc>
        <w:tc>
          <w:tcPr>
            <w:tcW w:w="1842" w:type="dxa"/>
            <w:tcBorders>
              <w:top w:val="single" w:sz="4" w:space="0" w:color="auto"/>
              <w:left w:val="single" w:sz="4" w:space="0" w:color="auto"/>
              <w:bottom w:val="single" w:sz="4" w:space="0" w:color="auto"/>
              <w:right w:val="single" w:sz="4" w:space="0" w:color="auto"/>
            </w:tcBorders>
            <w:shd w:val="clear" w:color="000000" w:fill="FAA4A7"/>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11</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Šternberk</w:t>
            </w:r>
          </w:p>
        </w:tc>
        <w:tc>
          <w:tcPr>
            <w:tcW w:w="2196" w:type="dxa"/>
            <w:tcBorders>
              <w:top w:val="single" w:sz="4" w:space="0" w:color="auto"/>
              <w:left w:val="single" w:sz="4" w:space="0" w:color="auto"/>
              <w:bottom w:val="single" w:sz="4" w:space="0" w:color="auto"/>
              <w:right w:val="single" w:sz="4" w:space="0" w:color="auto"/>
            </w:tcBorders>
            <w:shd w:val="clear" w:color="000000" w:fill="FCDFE2"/>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5</w:t>
            </w:r>
          </w:p>
        </w:tc>
        <w:tc>
          <w:tcPr>
            <w:tcW w:w="2127" w:type="dxa"/>
            <w:tcBorders>
              <w:top w:val="single" w:sz="4" w:space="0" w:color="auto"/>
              <w:left w:val="single" w:sz="4" w:space="0" w:color="auto"/>
              <w:bottom w:val="single" w:sz="4" w:space="0" w:color="auto"/>
              <w:right w:val="single" w:sz="4" w:space="0" w:color="auto"/>
            </w:tcBorders>
            <w:shd w:val="clear" w:color="000000" w:fill="FCDFE2"/>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5</w:t>
            </w:r>
          </w:p>
        </w:tc>
        <w:tc>
          <w:tcPr>
            <w:tcW w:w="1842" w:type="dxa"/>
            <w:tcBorders>
              <w:top w:val="single" w:sz="4" w:space="0" w:color="auto"/>
              <w:left w:val="single" w:sz="4" w:space="0" w:color="auto"/>
              <w:bottom w:val="single" w:sz="4" w:space="0" w:color="auto"/>
              <w:right w:val="single" w:sz="4" w:space="0" w:color="auto"/>
            </w:tcBorders>
            <w:shd w:val="clear" w:color="000000" w:fill="FCDFE2"/>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5</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Šumperk</w:t>
            </w:r>
          </w:p>
        </w:tc>
        <w:tc>
          <w:tcPr>
            <w:tcW w:w="2196" w:type="dxa"/>
            <w:tcBorders>
              <w:top w:val="single" w:sz="4" w:space="0" w:color="auto"/>
              <w:left w:val="single" w:sz="4" w:space="0" w:color="auto"/>
              <w:bottom w:val="single" w:sz="4" w:space="0" w:color="auto"/>
              <w:right w:val="single" w:sz="4" w:space="0" w:color="auto"/>
            </w:tcBorders>
            <w:shd w:val="clear" w:color="000000" w:fill="FBCCCE"/>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7</w:t>
            </w:r>
          </w:p>
        </w:tc>
        <w:tc>
          <w:tcPr>
            <w:tcW w:w="2127" w:type="dxa"/>
            <w:tcBorders>
              <w:top w:val="single" w:sz="4" w:space="0" w:color="auto"/>
              <w:left w:val="single" w:sz="4" w:space="0" w:color="auto"/>
              <w:bottom w:val="single" w:sz="4" w:space="0" w:color="auto"/>
              <w:right w:val="single" w:sz="4" w:space="0" w:color="auto"/>
            </w:tcBorders>
            <w:shd w:val="clear" w:color="000000" w:fill="FBCCCE"/>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7</w:t>
            </w:r>
          </w:p>
        </w:tc>
        <w:tc>
          <w:tcPr>
            <w:tcW w:w="1842" w:type="dxa"/>
            <w:tcBorders>
              <w:top w:val="single" w:sz="4" w:space="0" w:color="auto"/>
              <w:left w:val="single" w:sz="4" w:space="0" w:color="auto"/>
              <w:bottom w:val="single" w:sz="4" w:space="0" w:color="auto"/>
              <w:right w:val="single" w:sz="4" w:space="0" w:color="auto"/>
            </w:tcBorders>
            <w:shd w:val="clear" w:color="000000" w:fill="FBCCCE"/>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7</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Uničov</w:t>
            </w:r>
          </w:p>
        </w:tc>
        <w:tc>
          <w:tcPr>
            <w:tcW w:w="2196"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c>
          <w:tcPr>
            <w:tcW w:w="2127" w:type="dxa"/>
            <w:tcBorders>
              <w:top w:val="single" w:sz="4" w:space="0" w:color="auto"/>
              <w:left w:val="single" w:sz="4" w:space="0" w:color="auto"/>
              <w:bottom w:val="single" w:sz="4" w:space="0" w:color="auto"/>
              <w:right w:val="single" w:sz="4" w:space="0" w:color="auto"/>
            </w:tcBorders>
            <w:shd w:val="clear" w:color="000000" w:fill="FCFCFF"/>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2</w:t>
            </w:r>
          </w:p>
        </w:tc>
        <w:tc>
          <w:tcPr>
            <w:tcW w:w="1842" w:type="dxa"/>
            <w:tcBorders>
              <w:top w:val="single" w:sz="4" w:space="0" w:color="auto"/>
              <w:left w:val="single" w:sz="4" w:space="0" w:color="auto"/>
              <w:bottom w:val="single" w:sz="4" w:space="0" w:color="auto"/>
              <w:right w:val="single" w:sz="4" w:space="0" w:color="auto"/>
            </w:tcBorders>
            <w:shd w:val="clear" w:color="000000" w:fill="FCF3F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3</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Zábřeh</w:t>
            </w:r>
          </w:p>
        </w:tc>
        <w:tc>
          <w:tcPr>
            <w:tcW w:w="2196" w:type="dxa"/>
            <w:tcBorders>
              <w:top w:val="single" w:sz="4" w:space="0" w:color="auto"/>
              <w:left w:val="single" w:sz="4" w:space="0" w:color="auto"/>
              <w:bottom w:val="single" w:sz="4" w:space="0" w:color="auto"/>
              <w:right w:val="single" w:sz="4" w:space="0" w:color="auto"/>
            </w:tcBorders>
            <w:shd w:val="clear" w:color="000000" w:fill="FCDFE2"/>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5</w:t>
            </w:r>
          </w:p>
        </w:tc>
        <w:tc>
          <w:tcPr>
            <w:tcW w:w="2127" w:type="dxa"/>
            <w:tcBorders>
              <w:top w:val="single" w:sz="4" w:space="0" w:color="auto"/>
              <w:left w:val="single" w:sz="4" w:space="0" w:color="auto"/>
              <w:bottom w:val="single" w:sz="4" w:space="0" w:color="auto"/>
              <w:right w:val="single" w:sz="4" w:space="0" w:color="auto"/>
            </w:tcBorders>
            <w:shd w:val="clear" w:color="000000" w:fill="FCDFE2"/>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5</w:t>
            </w:r>
          </w:p>
        </w:tc>
        <w:tc>
          <w:tcPr>
            <w:tcW w:w="1842" w:type="dxa"/>
            <w:tcBorders>
              <w:top w:val="single" w:sz="4" w:space="0" w:color="auto"/>
              <w:left w:val="single" w:sz="4" w:space="0" w:color="auto"/>
              <w:bottom w:val="single" w:sz="4" w:space="0" w:color="auto"/>
              <w:right w:val="single" w:sz="4" w:space="0" w:color="auto"/>
            </w:tcBorders>
            <w:shd w:val="clear" w:color="000000" w:fill="FCDFE2"/>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5</w:t>
            </w:r>
          </w:p>
        </w:tc>
      </w:tr>
      <w:tr w:rsidR="00C84E79" w:rsidRPr="00C84E79" w:rsidTr="00C84E79">
        <w:trPr>
          <w:trHeight w:val="30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84E79" w:rsidRPr="00C84E79" w:rsidRDefault="00C84E79" w:rsidP="00C84E79">
            <w:pPr>
              <w:spacing w:before="0"/>
              <w:rPr>
                <w:rFonts w:cs="Segoe UI"/>
                <w:sz w:val="18"/>
                <w:szCs w:val="18"/>
                <w:lang w:eastAsia="cs-CZ"/>
              </w:rPr>
            </w:pPr>
            <w:r w:rsidRPr="00C84E79">
              <w:rPr>
                <w:rFonts w:cs="Segoe UI"/>
                <w:sz w:val="18"/>
                <w:szCs w:val="18"/>
                <w:lang w:eastAsia="cs-CZ"/>
              </w:rPr>
              <w:t>Zlaté Hory</w:t>
            </w:r>
          </w:p>
        </w:tc>
        <w:tc>
          <w:tcPr>
            <w:tcW w:w="2196"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c>
          <w:tcPr>
            <w:tcW w:w="2127"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c>
          <w:tcPr>
            <w:tcW w:w="1842" w:type="dxa"/>
            <w:tcBorders>
              <w:top w:val="single" w:sz="4" w:space="0" w:color="auto"/>
              <w:left w:val="single" w:sz="4" w:space="0" w:color="auto"/>
              <w:bottom w:val="single" w:sz="4" w:space="0" w:color="auto"/>
              <w:right w:val="single" w:sz="4" w:space="0" w:color="auto"/>
            </w:tcBorders>
            <w:shd w:val="clear" w:color="000000" w:fill="5A8AC6"/>
            <w:noWrap/>
            <w:tcMar>
              <w:top w:w="0" w:type="dxa"/>
              <w:left w:w="70" w:type="dxa"/>
              <w:bottom w:w="0" w:type="dxa"/>
              <w:right w:w="70" w:type="dxa"/>
            </w:tcMar>
            <w:vAlign w:val="center"/>
            <w:hideMark/>
          </w:tcPr>
          <w:p w:rsidR="00C84E79" w:rsidRPr="00C84E79" w:rsidRDefault="00C84E79" w:rsidP="00C84E79">
            <w:pPr>
              <w:spacing w:before="0"/>
              <w:jc w:val="right"/>
              <w:rPr>
                <w:rFonts w:cs="Segoe UI"/>
                <w:sz w:val="18"/>
                <w:szCs w:val="18"/>
                <w:lang w:eastAsia="cs-CZ"/>
              </w:rPr>
            </w:pPr>
            <w:r>
              <w:rPr>
                <w:rFonts w:cs="Segoe UI"/>
                <w:color w:val="000000"/>
                <w:sz w:val="18"/>
                <w:szCs w:val="18"/>
              </w:rPr>
              <w:t>1</w:t>
            </w:r>
          </w:p>
        </w:tc>
      </w:tr>
      <w:tr w:rsidR="00AF4350" w:rsidRPr="00C84E79" w:rsidTr="00AF4350">
        <w:trPr>
          <w:trHeight w:val="60"/>
        </w:trPr>
        <w:tc>
          <w:tcPr>
            <w:tcW w:w="29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F4350" w:rsidRPr="00C84E79" w:rsidRDefault="00AF4350" w:rsidP="00C84E79">
            <w:pPr>
              <w:spacing w:before="0"/>
              <w:rPr>
                <w:rFonts w:cs="Segoe UI"/>
                <w:sz w:val="18"/>
                <w:szCs w:val="18"/>
                <w:lang w:eastAsia="cs-CZ"/>
              </w:rPr>
            </w:pPr>
            <w:r w:rsidRPr="00C84E79">
              <w:rPr>
                <w:rFonts w:cs="Segoe UI"/>
                <w:sz w:val="18"/>
                <w:szCs w:val="18"/>
                <w:lang w:eastAsia="cs-CZ"/>
              </w:rPr>
              <w:t>Celkem</w:t>
            </w:r>
          </w:p>
        </w:tc>
        <w:tc>
          <w:tcPr>
            <w:tcW w:w="219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F4350" w:rsidRPr="00C84E79" w:rsidRDefault="00AF4350" w:rsidP="00C84E79">
            <w:pPr>
              <w:spacing w:before="0"/>
              <w:jc w:val="right"/>
              <w:rPr>
                <w:rFonts w:cs="Segoe UI"/>
                <w:sz w:val="18"/>
                <w:szCs w:val="18"/>
                <w:lang w:eastAsia="cs-CZ"/>
              </w:rPr>
            </w:pPr>
            <w:r w:rsidRPr="00C84E79">
              <w:rPr>
                <w:rFonts w:cs="Segoe UI"/>
                <w:sz w:val="18"/>
                <w:szCs w:val="18"/>
                <w:lang w:eastAsia="cs-CZ"/>
              </w:rPr>
              <w:t>91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F4350" w:rsidRPr="00C84E79" w:rsidRDefault="00AF4350" w:rsidP="00C84E79">
            <w:pPr>
              <w:spacing w:before="0"/>
              <w:jc w:val="right"/>
              <w:rPr>
                <w:rFonts w:cs="Segoe UI"/>
                <w:sz w:val="18"/>
                <w:szCs w:val="18"/>
                <w:lang w:eastAsia="cs-CZ"/>
              </w:rPr>
            </w:pPr>
            <w:r w:rsidRPr="00C84E79">
              <w:rPr>
                <w:rFonts w:cs="Segoe UI"/>
                <w:sz w:val="18"/>
                <w:szCs w:val="18"/>
                <w:lang w:eastAsia="cs-CZ"/>
              </w:rPr>
              <w:t>88</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F4350" w:rsidRPr="00C84E79" w:rsidRDefault="00AF4350" w:rsidP="00C84E79">
            <w:pPr>
              <w:spacing w:before="0"/>
              <w:jc w:val="right"/>
              <w:rPr>
                <w:rFonts w:cs="Segoe UI"/>
                <w:sz w:val="18"/>
                <w:szCs w:val="18"/>
                <w:lang w:eastAsia="cs-CZ"/>
              </w:rPr>
            </w:pPr>
            <w:r w:rsidRPr="00C84E79">
              <w:rPr>
                <w:rFonts w:cs="Segoe UI"/>
                <w:sz w:val="18"/>
                <w:szCs w:val="18"/>
                <w:lang w:eastAsia="cs-CZ"/>
              </w:rPr>
              <w:t>90</w:t>
            </w:r>
          </w:p>
        </w:tc>
      </w:tr>
    </w:tbl>
    <w:p w:rsidR="00AF4350" w:rsidRPr="008022FF" w:rsidRDefault="00AF4350" w:rsidP="002643C1">
      <w:pPr>
        <w:pStyle w:val="Zdrojobjektu"/>
      </w:pPr>
      <w:r w:rsidRPr="008022FF">
        <w:t>Zdroj: OSV KÚOK</w:t>
      </w:r>
      <w:r w:rsidR="002643C1">
        <w:t xml:space="preserve"> (2022)</w:t>
      </w:r>
      <w:r w:rsidRPr="008022FF">
        <w:t>.</w:t>
      </w:r>
    </w:p>
    <w:p w:rsidR="00AF4350" w:rsidRDefault="00AF4350" w:rsidP="00A34764">
      <w:pPr>
        <w:rPr>
          <w:lang w:eastAsia="cs-CZ"/>
        </w:rPr>
      </w:pPr>
    </w:p>
    <w:p w:rsidR="00AF4350" w:rsidRPr="0039748C" w:rsidRDefault="00AF4350" w:rsidP="00A34764">
      <w:pPr>
        <w:rPr>
          <w:lang w:eastAsia="cs-CZ"/>
        </w:rPr>
      </w:pPr>
      <w:r w:rsidRPr="0039748C">
        <w:rPr>
          <w:lang w:eastAsia="cs-CZ"/>
        </w:rPr>
        <w:t>Dle ustanovení § 64 odst. 1 až 3 zákona č. 111/2006 Sb., o pomoci v hmotné nouzi, ve znění pozdějších předpisů, jsou sociální pracovníci (pověřených obecních úřadů i obecních úřadů obcí s rozšířenou působností) při výkonu sociální práce povinni:</w:t>
      </w:r>
    </w:p>
    <w:p w:rsidR="00AF4350" w:rsidRPr="0039748C" w:rsidRDefault="00AF4350" w:rsidP="002643C1">
      <w:pPr>
        <w:pStyle w:val="SPRSodrky"/>
      </w:pPr>
      <w:r w:rsidRPr="0039748C">
        <w:t xml:space="preserve">chránit práva a zájmy osob v hmotné nouzi, přitom respektovat jejich důstojnost, soukromí </w:t>
      </w:r>
      <w:r w:rsidRPr="0039748C">
        <w:br/>
        <w:t>a důvěrnost sdělení a zachovávat mlčenlivost, nestanoví-li tento zákon nebo zvláštní právní předpis jinak,</w:t>
      </w:r>
    </w:p>
    <w:p w:rsidR="00AF4350" w:rsidRPr="0039748C" w:rsidRDefault="00AF4350" w:rsidP="002643C1">
      <w:pPr>
        <w:pStyle w:val="SPRSodrky"/>
      </w:pPr>
      <w:r w:rsidRPr="0039748C">
        <w:t>informovat každou osobu o možných postupech řešení hmotné nouze a zapojovat ji do řešení její situace a vést ji k vlastní odpovědnosti,</w:t>
      </w:r>
    </w:p>
    <w:p w:rsidR="00AF4350" w:rsidRPr="0039748C" w:rsidRDefault="00AF4350" w:rsidP="002643C1">
      <w:pPr>
        <w:pStyle w:val="SPRSodrky"/>
      </w:pPr>
      <w:r w:rsidRPr="0039748C">
        <w:t>respektovat jedinečnost každé osoby bez ohledu na její původ, etnickou příslušnost, rasu či barvu pleti, mateřský jazyk, ekonomickou situaci, věk, zdravotní stav, sexuální orientaci, náboženské a politické přesvědčení, a to bez ohledu na skutečnost, jak se tato osoba podílí na životě společnosti,</w:t>
      </w:r>
    </w:p>
    <w:p w:rsidR="00AF4350" w:rsidRPr="0039748C" w:rsidRDefault="00AF4350" w:rsidP="002643C1">
      <w:pPr>
        <w:pStyle w:val="SPRSodrky"/>
      </w:pPr>
      <w:r w:rsidRPr="0039748C">
        <w:lastRenderedPageBreak/>
        <w:t>vyhledávat aktivně osoby, které jsou ohroženy hmotnou nouzí, nebo se již ve stavu hmotné nouze nacházejí,</w:t>
      </w:r>
    </w:p>
    <w:p w:rsidR="00AF4350" w:rsidRPr="0039748C" w:rsidRDefault="00AF4350" w:rsidP="002643C1">
      <w:pPr>
        <w:pStyle w:val="SPRSodrky"/>
      </w:pPr>
      <w:r w:rsidRPr="0039748C">
        <w:t>spolupracovat s obcí, v jejíž působnosti se bydliště osoby v hmotné nouzi nachází,</w:t>
      </w:r>
    </w:p>
    <w:p w:rsidR="00AF4350" w:rsidRPr="0039748C" w:rsidRDefault="00AF4350" w:rsidP="00A34764">
      <w:pPr>
        <w:rPr>
          <w:lang w:eastAsia="cs-CZ"/>
        </w:rPr>
      </w:pPr>
      <w:r w:rsidRPr="0039748C">
        <w:rPr>
          <w:lang w:eastAsia="cs-CZ"/>
        </w:rPr>
        <w:t>a dále</w:t>
      </w:r>
    </w:p>
    <w:p w:rsidR="00AF4350" w:rsidRPr="0039748C" w:rsidRDefault="00AF4350" w:rsidP="002643C1">
      <w:pPr>
        <w:pStyle w:val="SPRSodrky"/>
      </w:pPr>
      <w:r w:rsidRPr="0039748C">
        <w:t>shromažďovat a analyzovat údaje o osobách v hmotné nouzi, potřebné pro posouzení jejich situace,</w:t>
      </w:r>
    </w:p>
    <w:p w:rsidR="00AF4350" w:rsidRPr="0039748C" w:rsidRDefault="00AF4350" w:rsidP="002643C1">
      <w:pPr>
        <w:pStyle w:val="SPRSodrky"/>
      </w:pPr>
      <w:r w:rsidRPr="0039748C">
        <w:t>dohodnout ve spolupráci s osobami v hmotné nouzi postup řešení jejich situace hmotné nouze,</w:t>
      </w:r>
    </w:p>
    <w:p w:rsidR="00AF4350" w:rsidRPr="0039748C" w:rsidRDefault="00AF4350" w:rsidP="002643C1">
      <w:pPr>
        <w:pStyle w:val="SPRSodrky"/>
      </w:pPr>
      <w:r w:rsidRPr="0039748C">
        <w:t>používat při řešení situace hmotné nouze osoby metody a postupy, které jsou vhodné pro tyto osoby,</w:t>
      </w:r>
    </w:p>
    <w:p w:rsidR="00AF4350" w:rsidRPr="0039748C" w:rsidRDefault="00AF4350" w:rsidP="002643C1">
      <w:pPr>
        <w:pStyle w:val="SPRSodrky"/>
      </w:pPr>
      <w:r w:rsidRPr="0039748C">
        <w:t>vést nezbytnou dokumentaci o metodách a postupech řešení situace hmotné nouze osob včetně zhodnocení při ukončení spolupráce s osobami v hmotné nouzi,</w:t>
      </w:r>
    </w:p>
    <w:p w:rsidR="00AF4350" w:rsidRPr="0039748C" w:rsidRDefault="00AF4350" w:rsidP="002643C1">
      <w:pPr>
        <w:pStyle w:val="SPRSodrky"/>
      </w:pPr>
      <w:r w:rsidRPr="0039748C">
        <w:t>spolupracovat s dalšími zaměstnanci orgánu pomoci v hmotné nouzi při řešení situace osob v hmotné nouzi a umožňovat kontrolu použitých metod a postupů,</w:t>
      </w:r>
    </w:p>
    <w:p w:rsidR="00AF4350" w:rsidRPr="0039748C" w:rsidRDefault="00AF4350" w:rsidP="002643C1">
      <w:pPr>
        <w:pStyle w:val="SPRSodrky"/>
      </w:pPr>
      <w:r w:rsidRPr="0039748C">
        <w:t>spolupracovat při řešení situace hmotné nouze osob s provozovateli sociálních služeb, s poradenskými zařízeními a organizacemi, které osobám v hmotné nouzi v obci pomáhají.</w:t>
      </w:r>
    </w:p>
    <w:p w:rsidR="00AF4350" w:rsidRPr="0039748C" w:rsidRDefault="00AF4350" w:rsidP="00A34764">
      <w:pPr>
        <w:rPr>
          <w:lang w:eastAsia="cs-CZ"/>
        </w:rPr>
      </w:pPr>
    </w:p>
    <w:p w:rsidR="00AF4350" w:rsidRPr="0039748C" w:rsidRDefault="00AF4350" w:rsidP="002643C1">
      <w:pPr>
        <w:rPr>
          <w:lang w:eastAsia="cs-CZ"/>
        </w:rPr>
      </w:pPr>
      <w:r w:rsidRPr="0039748C">
        <w:rPr>
          <w:lang w:eastAsia="cs-CZ"/>
        </w:rPr>
        <w:t>Sociální pracovníci jsou v souvislosti s výkonem činností sociální práce povinni vést Standardizovaný záznam sociálního pracovníka, který je součástí Jednotného informačního systému práce a sociálních věcí.</w:t>
      </w:r>
    </w:p>
    <w:p w:rsidR="00AF4350" w:rsidRPr="0039748C" w:rsidRDefault="00AF4350" w:rsidP="002643C1">
      <w:pPr>
        <w:rPr>
          <w:lang w:eastAsia="cs-CZ"/>
        </w:rPr>
      </w:pPr>
      <w:r w:rsidRPr="0039748C">
        <w:rPr>
          <w:lang w:eastAsia="cs-CZ"/>
        </w:rPr>
        <w:t>V souladu s ustanovením § 92 zákona sociálních službách, sociální pracovník obecního úřadu obcí s rozšířenou působností (obecní úřady III. typu) v rámci výkonu sociální práce obcí v OK:</w:t>
      </w:r>
    </w:p>
    <w:p w:rsidR="00AF4350" w:rsidRPr="0039748C" w:rsidRDefault="00AF4350" w:rsidP="002643C1">
      <w:pPr>
        <w:pStyle w:val="SPRSodrky"/>
      </w:pPr>
      <w:r w:rsidRPr="0039748C">
        <w:t>zajišťuje osobě, které není poskytována sociální služba, a je v takové situaci, kdy neposkytnutí okamžité pomoci by ohrozilo její život nebo zdraví, poskytnutí sociální služby nebo jiné formy pomoci, a to v nezbytném rozsahu; místní příslušnost se řídí místem trvalého nebo hlášeného pobytu osoby,</w:t>
      </w:r>
    </w:p>
    <w:p w:rsidR="00AF4350" w:rsidRPr="0039748C" w:rsidRDefault="00AF4350" w:rsidP="002643C1">
      <w:pPr>
        <w:pStyle w:val="SPRSodrky"/>
      </w:pPr>
      <w:r w:rsidRPr="0039748C">
        <w:t>koordinuje poskytování sociálních služeb a poskytuje odborné sociální poradenství osobám ohroženým sociálním vyloučením z důvodu předchozí ústavní nebo ochranné výchovy nebo výkonu trestu, osobám, jejichž práva a zájmy jsou ohroženy trestnou činností jiné osoby, a osobám, jejichž způsob života může vést ke konfliktu se společností; přitom spolupracuje se zařízeními pro výkon ústavní nebo ochranné výchovy, s Vězeňskou službou České republiky, Probační a mediační službou České republiky, správními úřady a územními samosprávnými celky,</w:t>
      </w:r>
    </w:p>
    <w:p w:rsidR="00AF4350" w:rsidRPr="0039748C" w:rsidRDefault="00AF4350" w:rsidP="002643C1">
      <w:pPr>
        <w:pStyle w:val="SPRSodrky"/>
      </w:pPr>
      <w:r w:rsidRPr="0039748C">
        <w:t>na základě oznámení poskytovatele zdravotních služeb zjišťuje, zda je nezbytné poskytnout osobě umístěné ve zdravotnickém zařízení služby sociální péče a zprostředkovává možnost jejich poskytnutí; v případě, že nelze služby sociální péče osobě poskytnout, sděluje neprodleně tuto skutečnost poskytovateli zdravotních služeb, v jehož zdravotnickém zařízení je osoba umístěna,</w:t>
      </w:r>
    </w:p>
    <w:p w:rsidR="00AF4350" w:rsidRPr="0039748C" w:rsidRDefault="00AF4350" w:rsidP="002643C1">
      <w:pPr>
        <w:pStyle w:val="SPRSodrky"/>
      </w:pPr>
      <w:r w:rsidRPr="0039748C">
        <w:t>na území svého správního obvodu koordinuje poskytování sociálních služeb a realizuje činnosti sociální práce vedoucí k řešení nepříznivé sociální situace a k sociálnímu začleňování osob; přitom spolupracuje s krajskou pobočkou Úřadu práce a krajským úřadem.</w:t>
      </w:r>
    </w:p>
    <w:p w:rsidR="00AF4350" w:rsidRPr="0039748C" w:rsidRDefault="00AF4350" w:rsidP="00BA3253">
      <w:pPr>
        <w:pStyle w:val="SPRSodrky"/>
        <w:numPr>
          <w:ilvl w:val="0"/>
          <w:numId w:val="0"/>
        </w:numPr>
        <w:ind w:left="720"/>
      </w:pPr>
    </w:p>
    <w:p w:rsidR="00AF4350" w:rsidRPr="0039748C" w:rsidRDefault="00AF4350" w:rsidP="00BA3253">
      <w:pPr>
        <w:pStyle w:val="SPRSodrky"/>
        <w:numPr>
          <w:ilvl w:val="0"/>
          <w:numId w:val="0"/>
        </w:numPr>
        <w:ind w:left="720" w:hanging="360"/>
      </w:pPr>
      <w:r w:rsidRPr="0039748C">
        <w:t>Dle ustanovení § 93 zákona o sociálních službách, sociální pracovník krajského úřadu:</w:t>
      </w:r>
    </w:p>
    <w:p w:rsidR="00AF4350" w:rsidRPr="0039748C" w:rsidRDefault="00AF4350" w:rsidP="002643C1">
      <w:pPr>
        <w:pStyle w:val="SPRSodrky"/>
      </w:pPr>
      <w:r w:rsidRPr="0039748C">
        <w:t xml:space="preserve">zajišťuje ve spolupráci s ostatními poskytovateli sociálních služeb a obecním úřadem obce s rozšířenou působností, příslušným podle místa hlášeného pobytu osob, poskytnutí sociálních služeb v případě, kdy poskytovatel sociálních služeb ukončil poskytování sociálních služeb z důvodu zrušení jeho registrace, pozbytí její platnosti, popřípadě z jiného důvodu, a osoby, kterým tento poskytovatel dosud poskytoval sociální služby, se nacházejí v bezprostředním </w:t>
      </w:r>
      <w:r w:rsidRPr="0039748C">
        <w:lastRenderedPageBreak/>
        <w:t>ohrožení jejich práv a zájmů a nejsou schopny samy si zajistit pokračující poskytování sociálních služeb,</w:t>
      </w:r>
    </w:p>
    <w:p w:rsidR="00AF4350" w:rsidRPr="0039748C" w:rsidRDefault="00AF4350" w:rsidP="002643C1">
      <w:pPr>
        <w:pStyle w:val="SPRSodrky"/>
      </w:pPr>
      <w:r w:rsidRPr="0039748C">
        <w:t>koordinuje poskytování sociálních služeb osobám, jejichž práva a zájmy jsou ohroženy trestnou činností jiné osoby; přitom spolupracuje s obecními úřady obcí s rozšířenou působností,</w:t>
      </w:r>
    </w:p>
    <w:p w:rsidR="00AF4350" w:rsidRPr="0039748C" w:rsidRDefault="00AF4350" w:rsidP="002643C1">
      <w:pPr>
        <w:pStyle w:val="SPRSodrky"/>
      </w:pPr>
      <w:r w:rsidRPr="0039748C">
        <w:t>na území svého správního obvodu koordinuje poskytování sociálních služeb a realizuje a koordinuje činnosti sociální práce vedoucí k řešení nepříznivé sociální situace a k sociálnímu začleňování osob.</w:t>
      </w:r>
    </w:p>
    <w:p w:rsidR="00AF4350" w:rsidRPr="0039748C" w:rsidRDefault="00AF4350" w:rsidP="00A34764">
      <w:pPr>
        <w:rPr>
          <w:lang w:eastAsia="cs-CZ"/>
        </w:rPr>
      </w:pPr>
      <w:r w:rsidRPr="0039748C">
        <w:rPr>
          <w:lang w:eastAsia="cs-CZ"/>
        </w:rPr>
        <w:t xml:space="preserve">Na KÚOK  zajišťují činnost sociální práce 3 sociální pracovníci, kteří vykonávají kontrolu, poskytují odbornou a metodickou pomoc obcím při výkonu sociální práce v působnosti kraje a další činnosti svěřené jim zákonem (viz výše). Realizace sociální práce na obecní a krajské úrovni spolu s dalšími aktivitami spadá do výkonu přenesené působnosti územních samosprávných celků. Na zajištění činností sociální práce se pověřeným obcím, obcím s rozšířenou působností a krajům poskytuje příspěvek formou účelové dotace. Dotaci poskytuje </w:t>
      </w:r>
      <w:r w:rsidR="00BA3253">
        <w:rPr>
          <w:lang w:eastAsia="cs-CZ"/>
        </w:rPr>
        <w:t>MPSV</w:t>
      </w:r>
      <w:r w:rsidRPr="0039748C">
        <w:rPr>
          <w:lang w:eastAsia="cs-CZ"/>
        </w:rPr>
        <w:t xml:space="preserve"> ČR podle zvláštního právního předpisu. Dotace ze státního rozpočtu je pověřeným obecním úřadům a obecním úřadům obcí s rozšířenou působností poskytována prostřednictvím rozpočtu kraje.</w:t>
      </w:r>
    </w:p>
    <w:p w:rsidR="00AF4350" w:rsidRPr="0039748C" w:rsidRDefault="00AF4350" w:rsidP="002643C1">
      <w:pPr>
        <w:pStyle w:val="popistabulkySPRSS2024"/>
      </w:pPr>
      <w:r w:rsidRPr="0039748C">
        <w:t xml:space="preserve">Tabulka </w:t>
      </w:r>
      <w:r w:rsidRPr="000D4F38">
        <w:t>32</w:t>
      </w:r>
      <w:r>
        <w:t>:</w:t>
      </w:r>
      <w:r w:rsidRPr="0039748C">
        <w:t xml:space="preserve"> Přehled poskytnuté dotace na výkon sociální práce v letech 2020</w:t>
      </w:r>
      <w:r>
        <w:t>–</w:t>
      </w:r>
      <w:r w:rsidRPr="0039748C">
        <w:t>2022</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2835"/>
        <w:gridCol w:w="1559"/>
        <w:gridCol w:w="1559"/>
        <w:gridCol w:w="1701"/>
      </w:tblGrid>
      <w:tr w:rsidR="00AF4350" w:rsidRPr="002643C1" w:rsidTr="002643C1">
        <w:trPr>
          <w:trHeight w:val="20"/>
        </w:trPr>
        <w:tc>
          <w:tcPr>
            <w:tcW w:w="3681" w:type="dxa"/>
            <w:gridSpan w:val="2"/>
            <w:vMerge w:val="restart"/>
            <w:shd w:val="clear" w:color="auto" w:fill="F2F2F2" w:themeFill="background1" w:themeFillShade="F2"/>
            <w:noWrap/>
            <w:vAlign w:val="center"/>
          </w:tcPr>
          <w:p w:rsidR="00AF4350" w:rsidRPr="002643C1" w:rsidRDefault="00AF4350" w:rsidP="002643C1">
            <w:pPr>
              <w:spacing w:before="60" w:after="60"/>
              <w:jc w:val="center"/>
              <w:rPr>
                <w:rFonts w:cs="Segoe UI"/>
                <w:b/>
                <w:sz w:val="18"/>
                <w:szCs w:val="18"/>
                <w:lang w:eastAsia="cs-CZ"/>
              </w:rPr>
            </w:pPr>
            <w:r w:rsidRPr="002643C1">
              <w:rPr>
                <w:rFonts w:cs="Segoe UI"/>
                <w:b/>
                <w:sz w:val="18"/>
                <w:szCs w:val="18"/>
                <w:lang w:eastAsia="cs-CZ"/>
              </w:rPr>
              <w:t>Příjemce dotace</w:t>
            </w:r>
          </w:p>
        </w:tc>
        <w:tc>
          <w:tcPr>
            <w:tcW w:w="4819" w:type="dxa"/>
            <w:gridSpan w:val="3"/>
            <w:shd w:val="clear" w:color="auto" w:fill="F2F2F2" w:themeFill="background1" w:themeFillShade="F2"/>
            <w:vAlign w:val="center"/>
          </w:tcPr>
          <w:p w:rsidR="00AF4350" w:rsidRPr="002643C1" w:rsidRDefault="00AF4350" w:rsidP="002643C1">
            <w:pPr>
              <w:spacing w:before="60" w:after="60"/>
              <w:jc w:val="center"/>
              <w:rPr>
                <w:rFonts w:cs="Segoe UI"/>
                <w:b/>
                <w:sz w:val="18"/>
                <w:szCs w:val="18"/>
                <w:lang w:eastAsia="cs-CZ"/>
              </w:rPr>
            </w:pPr>
            <w:r w:rsidRPr="002643C1">
              <w:rPr>
                <w:rFonts w:cs="Segoe UI"/>
                <w:b/>
                <w:sz w:val="18"/>
                <w:szCs w:val="18"/>
                <w:lang w:eastAsia="cs-CZ"/>
              </w:rPr>
              <w:t>Dotace</w:t>
            </w:r>
          </w:p>
        </w:tc>
      </w:tr>
      <w:tr w:rsidR="00AF4350" w:rsidRPr="002643C1" w:rsidTr="002643C1">
        <w:trPr>
          <w:trHeight w:val="20"/>
        </w:trPr>
        <w:tc>
          <w:tcPr>
            <w:tcW w:w="3681" w:type="dxa"/>
            <w:gridSpan w:val="2"/>
            <w:vMerge/>
            <w:shd w:val="clear" w:color="auto" w:fill="F2F2F2" w:themeFill="background1" w:themeFillShade="F2"/>
            <w:noWrap/>
            <w:vAlign w:val="center"/>
          </w:tcPr>
          <w:p w:rsidR="00AF4350" w:rsidRPr="002643C1" w:rsidRDefault="00AF4350" w:rsidP="002643C1">
            <w:pPr>
              <w:spacing w:before="60" w:after="60"/>
              <w:jc w:val="center"/>
              <w:rPr>
                <w:rFonts w:cs="Segoe UI"/>
                <w:b/>
                <w:sz w:val="18"/>
                <w:szCs w:val="18"/>
                <w:lang w:eastAsia="cs-CZ"/>
              </w:rPr>
            </w:pPr>
          </w:p>
        </w:tc>
        <w:tc>
          <w:tcPr>
            <w:tcW w:w="1559" w:type="dxa"/>
            <w:shd w:val="clear" w:color="auto" w:fill="F2F2F2" w:themeFill="background1" w:themeFillShade="F2"/>
            <w:vAlign w:val="center"/>
          </w:tcPr>
          <w:p w:rsidR="00AF4350" w:rsidRPr="002643C1" w:rsidRDefault="00AF4350" w:rsidP="002643C1">
            <w:pPr>
              <w:spacing w:before="60" w:after="60"/>
              <w:jc w:val="center"/>
              <w:rPr>
                <w:rFonts w:cs="Segoe UI"/>
                <w:b/>
                <w:sz w:val="18"/>
                <w:szCs w:val="18"/>
                <w:lang w:eastAsia="cs-CZ"/>
              </w:rPr>
            </w:pPr>
            <w:r w:rsidRPr="002643C1">
              <w:rPr>
                <w:rFonts w:cs="Segoe UI"/>
                <w:b/>
                <w:sz w:val="18"/>
                <w:szCs w:val="18"/>
                <w:lang w:eastAsia="cs-CZ"/>
              </w:rPr>
              <w:t>2020</w:t>
            </w:r>
          </w:p>
        </w:tc>
        <w:tc>
          <w:tcPr>
            <w:tcW w:w="1559" w:type="dxa"/>
            <w:shd w:val="clear" w:color="auto" w:fill="F2F2F2" w:themeFill="background1" w:themeFillShade="F2"/>
            <w:vAlign w:val="center"/>
          </w:tcPr>
          <w:p w:rsidR="00AF4350" w:rsidRPr="002643C1" w:rsidRDefault="00AF4350" w:rsidP="002643C1">
            <w:pPr>
              <w:spacing w:before="60" w:after="60"/>
              <w:jc w:val="center"/>
              <w:rPr>
                <w:rFonts w:cs="Segoe UI"/>
                <w:b/>
                <w:sz w:val="18"/>
                <w:szCs w:val="18"/>
                <w:lang w:eastAsia="cs-CZ"/>
              </w:rPr>
            </w:pPr>
            <w:r w:rsidRPr="002643C1">
              <w:rPr>
                <w:rFonts w:cs="Segoe UI"/>
                <w:b/>
                <w:sz w:val="18"/>
                <w:szCs w:val="18"/>
                <w:lang w:eastAsia="cs-CZ"/>
              </w:rPr>
              <w:t>2021*</w:t>
            </w:r>
          </w:p>
        </w:tc>
        <w:tc>
          <w:tcPr>
            <w:tcW w:w="1701" w:type="dxa"/>
            <w:shd w:val="clear" w:color="auto" w:fill="F2F2F2" w:themeFill="background1" w:themeFillShade="F2"/>
            <w:noWrap/>
            <w:vAlign w:val="center"/>
          </w:tcPr>
          <w:p w:rsidR="00AF4350" w:rsidRPr="002643C1" w:rsidRDefault="00AF4350" w:rsidP="002643C1">
            <w:pPr>
              <w:spacing w:before="60" w:after="60"/>
              <w:jc w:val="center"/>
              <w:rPr>
                <w:rFonts w:cs="Segoe UI"/>
                <w:b/>
                <w:sz w:val="18"/>
                <w:szCs w:val="18"/>
                <w:lang w:eastAsia="cs-CZ"/>
              </w:rPr>
            </w:pPr>
            <w:r w:rsidRPr="002643C1">
              <w:rPr>
                <w:rFonts w:cs="Segoe UI"/>
                <w:b/>
                <w:sz w:val="18"/>
                <w:szCs w:val="18"/>
                <w:lang w:eastAsia="cs-CZ"/>
              </w:rPr>
              <w:t>2022</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POU</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Hanušovice</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479 698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646 344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657 313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POU</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Obec Hlubočky</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188 701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247 348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255 483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Hranice</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744 904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961 845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997 588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POU</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Javorník</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500 000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528 000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854 500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Jeseník</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1 419 748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1 618 619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1 636 943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POU</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Kojetín</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529 603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686 157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618 263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Konice</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295 508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356 306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368 881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Lipník nad Bečvou</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216 136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322 598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318 328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Litovel</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276 470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321 263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324 241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Mohelnice</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481 108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870 061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844 608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POU</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Moravský Beroun</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512 427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693 671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586 981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POU</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Němčice nad Hanou</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354 218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495 144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504 780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Statutární město Olomouc</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4 493 266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5 250 119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5 007 304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kraj</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Olomoucký kraj</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805 834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983 877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978 568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Statutární město Prostějov</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3 109 058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3 711 447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3 582 763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Statutární město Přerov</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3 570 851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4 200 798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3 973 191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Šternberk</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700 511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913 750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987 372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Šumperk</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2 946 946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3 700 524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3 687 591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Uničov</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329 567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369 658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389 819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ORP</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Zábřeh</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1 284 683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1 456 163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1 518 498 Kč</w:t>
            </w:r>
          </w:p>
        </w:tc>
      </w:tr>
      <w:tr w:rsidR="00AF4350" w:rsidRPr="002643C1" w:rsidTr="002643C1">
        <w:trPr>
          <w:trHeight w:val="20"/>
        </w:trPr>
        <w:tc>
          <w:tcPr>
            <w:tcW w:w="846"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POU</w:t>
            </w:r>
          </w:p>
        </w:tc>
        <w:tc>
          <w:tcPr>
            <w:tcW w:w="2835"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Město Zlaté Hory</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460 345 Kč</w:t>
            </w:r>
          </w:p>
        </w:tc>
        <w:tc>
          <w:tcPr>
            <w:tcW w:w="1559" w:type="dxa"/>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573 674 Kč</w:t>
            </w:r>
          </w:p>
        </w:tc>
        <w:tc>
          <w:tcPr>
            <w:tcW w:w="1701" w:type="dxa"/>
            <w:shd w:val="clear" w:color="auto" w:fill="auto"/>
            <w:noWrap/>
            <w:vAlign w:val="bottom"/>
            <w:hideMark/>
          </w:tcPr>
          <w:p w:rsidR="00AF4350" w:rsidRPr="002643C1" w:rsidRDefault="00AF4350" w:rsidP="002643C1">
            <w:pPr>
              <w:spacing w:before="60" w:after="60"/>
              <w:rPr>
                <w:rFonts w:cs="Segoe UI"/>
                <w:sz w:val="18"/>
                <w:szCs w:val="18"/>
                <w:lang w:eastAsia="cs-CZ"/>
              </w:rPr>
            </w:pPr>
            <w:r w:rsidRPr="002643C1">
              <w:rPr>
                <w:rFonts w:cs="Segoe UI"/>
                <w:sz w:val="18"/>
                <w:szCs w:val="18"/>
                <w:lang w:eastAsia="cs-CZ"/>
              </w:rPr>
              <w:t>557 346 Kč</w:t>
            </w:r>
          </w:p>
        </w:tc>
      </w:tr>
    </w:tbl>
    <w:p w:rsidR="00AF4350" w:rsidRPr="008022FF" w:rsidRDefault="00AF4350" w:rsidP="002643C1">
      <w:pPr>
        <w:pStyle w:val="Zdrojobjektu"/>
      </w:pPr>
      <w:r w:rsidRPr="008022FF">
        <w:t>Zdroj: OSV KÚOK</w:t>
      </w:r>
      <w:r w:rsidR="002643C1">
        <w:t xml:space="preserve"> (2022)</w:t>
      </w:r>
      <w:r w:rsidRPr="008022FF">
        <w:t>.</w:t>
      </w:r>
    </w:p>
    <w:p w:rsidR="00AF4350" w:rsidRPr="008022FF" w:rsidRDefault="00AF4350" w:rsidP="002643C1">
      <w:pPr>
        <w:pStyle w:val="Zdrojobjektu"/>
      </w:pPr>
      <w:r w:rsidRPr="008022FF">
        <w:t xml:space="preserve">* V roce 2021 byla pověřeným obecním úřadům, obecním úřadům obcí s rozšířenou působností a krajským úřadům navíc poskytnuta mimořádná dotace v období pandemie </w:t>
      </w:r>
      <w:r>
        <w:t>COVID</w:t>
      </w:r>
      <w:r w:rsidRPr="008022FF">
        <w:t>-19 na odměny sociálních pracovníků</w:t>
      </w:r>
      <w:r>
        <w:t>.</w:t>
      </w:r>
    </w:p>
    <w:p w:rsidR="00AF4350" w:rsidRPr="0039748C" w:rsidRDefault="00AF4350" w:rsidP="002643C1">
      <w:pPr>
        <w:pStyle w:val="popistabulkySPRSS2024"/>
      </w:pPr>
      <w:r w:rsidRPr="0039748C">
        <w:lastRenderedPageBreak/>
        <w:t xml:space="preserve">Tabulka </w:t>
      </w:r>
      <w:r>
        <w:t>33:</w:t>
      </w:r>
      <w:r w:rsidRPr="0039748C">
        <w:t xml:space="preserve"> Počty klientů sociálních pracovníků</w:t>
      </w:r>
    </w:p>
    <w:tbl>
      <w:tblPr>
        <w:tblW w:w="5000" w:type="pct"/>
        <w:tblCellMar>
          <w:left w:w="70" w:type="dxa"/>
          <w:right w:w="70" w:type="dxa"/>
        </w:tblCellMar>
        <w:tblLook w:val="04A0" w:firstRow="1" w:lastRow="0" w:firstColumn="1" w:lastColumn="0" w:noHBand="0" w:noVBand="1"/>
      </w:tblPr>
      <w:tblGrid>
        <w:gridCol w:w="5524"/>
        <w:gridCol w:w="1180"/>
        <w:gridCol w:w="1180"/>
        <w:gridCol w:w="1178"/>
      </w:tblGrid>
      <w:tr w:rsidR="002643C1" w:rsidRPr="002643C1" w:rsidTr="002643C1">
        <w:trPr>
          <w:trHeight w:val="283"/>
        </w:trPr>
        <w:tc>
          <w:tcPr>
            <w:tcW w:w="304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43C1" w:rsidRPr="002643C1" w:rsidRDefault="002643C1" w:rsidP="002643C1">
            <w:pPr>
              <w:spacing w:before="60" w:after="60"/>
              <w:jc w:val="center"/>
              <w:rPr>
                <w:rFonts w:ascii="Calibri" w:hAnsi="Calibri" w:cs="Calibri"/>
                <w:b/>
                <w:bCs/>
                <w:color w:val="000000"/>
                <w:sz w:val="22"/>
                <w:lang w:eastAsia="cs-CZ"/>
              </w:rPr>
            </w:pPr>
            <w:r w:rsidRPr="002643C1">
              <w:rPr>
                <w:rFonts w:ascii="Calibri" w:hAnsi="Calibri" w:cs="Calibri"/>
                <w:b/>
                <w:bCs/>
                <w:color w:val="000000"/>
                <w:sz w:val="22"/>
                <w:lang w:eastAsia="cs-CZ"/>
              </w:rPr>
              <w:t>Typ klientů</w:t>
            </w:r>
          </w:p>
        </w:tc>
        <w:tc>
          <w:tcPr>
            <w:tcW w:w="1952" w:type="pct"/>
            <w:gridSpan w:val="3"/>
            <w:tcBorders>
              <w:top w:val="single" w:sz="4" w:space="0" w:color="auto"/>
              <w:left w:val="nil"/>
              <w:bottom w:val="single" w:sz="4" w:space="0" w:color="auto"/>
              <w:right w:val="single" w:sz="4" w:space="0" w:color="auto"/>
            </w:tcBorders>
            <w:shd w:val="clear" w:color="000000" w:fill="F2F2F2"/>
            <w:noWrap/>
            <w:vAlign w:val="center"/>
            <w:hideMark/>
          </w:tcPr>
          <w:p w:rsidR="002643C1" w:rsidRPr="002643C1" w:rsidRDefault="002643C1" w:rsidP="002643C1">
            <w:pPr>
              <w:spacing w:before="60" w:after="60"/>
              <w:jc w:val="center"/>
              <w:rPr>
                <w:rFonts w:ascii="Calibri" w:hAnsi="Calibri" w:cs="Calibri"/>
                <w:b/>
                <w:bCs/>
                <w:color w:val="000000"/>
                <w:sz w:val="22"/>
                <w:lang w:eastAsia="cs-CZ"/>
              </w:rPr>
            </w:pPr>
            <w:r w:rsidRPr="002643C1">
              <w:rPr>
                <w:rFonts w:ascii="Calibri" w:hAnsi="Calibri" w:cs="Calibri"/>
                <w:b/>
                <w:bCs/>
                <w:color w:val="000000"/>
                <w:sz w:val="22"/>
                <w:lang w:eastAsia="cs-CZ"/>
              </w:rPr>
              <w:t>Počet klientů</w:t>
            </w:r>
          </w:p>
        </w:tc>
      </w:tr>
      <w:tr w:rsidR="002643C1" w:rsidRPr="002643C1" w:rsidTr="002643C1">
        <w:trPr>
          <w:trHeight w:val="283"/>
        </w:trPr>
        <w:tc>
          <w:tcPr>
            <w:tcW w:w="3048" w:type="pct"/>
            <w:vMerge/>
            <w:tcBorders>
              <w:top w:val="single" w:sz="4" w:space="0" w:color="auto"/>
              <w:left w:val="single" w:sz="4" w:space="0" w:color="auto"/>
              <w:bottom w:val="single" w:sz="4" w:space="0" w:color="auto"/>
              <w:right w:val="single" w:sz="4" w:space="0" w:color="auto"/>
            </w:tcBorders>
            <w:vAlign w:val="center"/>
            <w:hideMark/>
          </w:tcPr>
          <w:p w:rsidR="002643C1" w:rsidRPr="002643C1" w:rsidRDefault="002643C1" w:rsidP="002643C1">
            <w:pPr>
              <w:spacing w:before="60" w:after="60"/>
              <w:jc w:val="left"/>
              <w:rPr>
                <w:rFonts w:ascii="Calibri" w:hAnsi="Calibri" w:cs="Calibri"/>
                <w:b/>
                <w:bCs/>
                <w:color w:val="000000"/>
                <w:sz w:val="22"/>
                <w:lang w:eastAsia="cs-CZ"/>
              </w:rPr>
            </w:pPr>
          </w:p>
        </w:tc>
        <w:tc>
          <w:tcPr>
            <w:tcW w:w="651" w:type="pct"/>
            <w:tcBorders>
              <w:top w:val="nil"/>
              <w:left w:val="nil"/>
              <w:bottom w:val="single" w:sz="4" w:space="0" w:color="auto"/>
              <w:right w:val="single" w:sz="4" w:space="0" w:color="auto"/>
            </w:tcBorders>
            <w:shd w:val="clear" w:color="000000" w:fill="F2F2F2"/>
            <w:noWrap/>
            <w:vAlign w:val="center"/>
            <w:hideMark/>
          </w:tcPr>
          <w:p w:rsidR="002643C1" w:rsidRPr="002643C1" w:rsidRDefault="002643C1" w:rsidP="002643C1">
            <w:pPr>
              <w:spacing w:before="60" w:after="60"/>
              <w:jc w:val="center"/>
              <w:rPr>
                <w:rFonts w:cs="Segoe UI"/>
                <w:b/>
                <w:bCs/>
                <w:color w:val="000000"/>
                <w:sz w:val="18"/>
                <w:szCs w:val="18"/>
                <w:lang w:eastAsia="cs-CZ"/>
              </w:rPr>
            </w:pPr>
            <w:r w:rsidRPr="002643C1">
              <w:rPr>
                <w:rFonts w:cs="Segoe UI"/>
                <w:b/>
                <w:bCs/>
                <w:color w:val="000000"/>
                <w:sz w:val="18"/>
                <w:szCs w:val="18"/>
                <w:lang w:eastAsia="cs-CZ"/>
              </w:rPr>
              <w:t>2019</w:t>
            </w:r>
          </w:p>
        </w:tc>
        <w:tc>
          <w:tcPr>
            <w:tcW w:w="651" w:type="pct"/>
            <w:tcBorders>
              <w:top w:val="nil"/>
              <w:left w:val="nil"/>
              <w:bottom w:val="single" w:sz="4" w:space="0" w:color="auto"/>
              <w:right w:val="single" w:sz="4" w:space="0" w:color="auto"/>
            </w:tcBorders>
            <w:shd w:val="clear" w:color="000000" w:fill="F2F2F2"/>
            <w:noWrap/>
            <w:vAlign w:val="center"/>
            <w:hideMark/>
          </w:tcPr>
          <w:p w:rsidR="002643C1" w:rsidRPr="002643C1" w:rsidRDefault="002643C1" w:rsidP="002643C1">
            <w:pPr>
              <w:spacing w:before="60" w:after="60"/>
              <w:jc w:val="center"/>
              <w:rPr>
                <w:rFonts w:cs="Segoe UI"/>
                <w:b/>
                <w:bCs/>
                <w:color w:val="000000"/>
                <w:sz w:val="18"/>
                <w:szCs w:val="18"/>
                <w:lang w:eastAsia="cs-CZ"/>
              </w:rPr>
            </w:pPr>
            <w:r w:rsidRPr="002643C1">
              <w:rPr>
                <w:rFonts w:cs="Segoe UI"/>
                <w:b/>
                <w:bCs/>
                <w:color w:val="000000"/>
                <w:sz w:val="18"/>
                <w:szCs w:val="18"/>
                <w:lang w:eastAsia="cs-CZ"/>
              </w:rPr>
              <w:t>2020</w:t>
            </w:r>
          </w:p>
        </w:tc>
        <w:tc>
          <w:tcPr>
            <w:tcW w:w="651" w:type="pct"/>
            <w:tcBorders>
              <w:top w:val="nil"/>
              <w:left w:val="nil"/>
              <w:bottom w:val="single" w:sz="4" w:space="0" w:color="auto"/>
              <w:right w:val="single" w:sz="4" w:space="0" w:color="auto"/>
            </w:tcBorders>
            <w:shd w:val="clear" w:color="000000" w:fill="F2F2F2"/>
            <w:noWrap/>
            <w:vAlign w:val="center"/>
            <w:hideMark/>
          </w:tcPr>
          <w:p w:rsidR="002643C1" w:rsidRPr="002643C1" w:rsidRDefault="002643C1" w:rsidP="002643C1">
            <w:pPr>
              <w:spacing w:before="60" w:after="60"/>
              <w:jc w:val="center"/>
              <w:rPr>
                <w:rFonts w:cs="Segoe UI"/>
                <w:b/>
                <w:bCs/>
                <w:color w:val="000000"/>
                <w:sz w:val="18"/>
                <w:szCs w:val="18"/>
                <w:lang w:eastAsia="cs-CZ"/>
              </w:rPr>
            </w:pPr>
            <w:r w:rsidRPr="002643C1">
              <w:rPr>
                <w:rFonts w:cs="Segoe UI"/>
                <w:b/>
                <w:bCs/>
                <w:color w:val="000000"/>
                <w:sz w:val="18"/>
                <w:szCs w:val="18"/>
                <w:lang w:eastAsia="cs-CZ"/>
              </w:rPr>
              <w:t>2021</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osoby se zdravotním postižením včetně osob s duševní poruchou</w:t>
            </w:r>
          </w:p>
        </w:tc>
        <w:tc>
          <w:tcPr>
            <w:tcW w:w="651"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2 712</w:t>
            </w:r>
          </w:p>
        </w:tc>
        <w:tc>
          <w:tcPr>
            <w:tcW w:w="651" w:type="pct"/>
            <w:tcBorders>
              <w:top w:val="single" w:sz="4" w:space="0" w:color="auto"/>
              <w:left w:val="single" w:sz="4" w:space="0" w:color="auto"/>
              <w:bottom w:val="single" w:sz="4" w:space="0" w:color="auto"/>
              <w:right w:val="single" w:sz="4" w:space="0" w:color="auto"/>
            </w:tcBorders>
            <w:shd w:val="clear" w:color="000000" w:fill="FA9D9F"/>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2 026</w:t>
            </w:r>
          </w:p>
        </w:tc>
        <w:tc>
          <w:tcPr>
            <w:tcW w:w="651" w:type="pct"/>
            <w:tcBorders>
              <w:top w:val="single" w:sz="4" w:space="0" w:color="auto"/>
              <w:left w:val="single" w:sz="4" w:space="0" w:color="auto"/>
              <w:bottom w:val="single" w:sz="4" w:space="0" w:color="auto"/>
              <w:right w:val="single" w:sz="4" w:space="0" w:color="auto"/>
            </w:tcBorders>
            <w:shd w:val="clear" w:color="000000" w:fill="FA9B9E"/>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2 047</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osoby pečující o osoby závislé na péči jiné osoby</w:t>
            </w:r>
          </w:p>
        </w:tc>
        <w:tc>
          <w:tcPr>
            <w:tcW w:w="651" w:type="pct"/>
            <w:tcBorders>
              <w:top w:val="single" w:sz="4" w:space="0" w:color="auto"/>
              <w:left w:val="single" w:sz="4" w:space="0" w:color="auto"/>
              <w:bottom w:val="single" w:sz="4" w:space="0" w:color="auto"/>
              <w:right w:val="single" w:sz="4" w:space="0" w:color="auto"/>
            </w:tcBorders>
            <w:shd w:val="clear" w:color="000000" w:fill="A3BDDF"/>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352</w:t>
            </w:r>
          </w:p>
        </w:tc>
        <w:tc>
          <w:tcPr>
            <w:tcW w:w="651" w:type="pct"/>
            <w:tcBorders>
              <w:top w:val="single" w:sz="4" w:space="0" w:color="auto"/>
              <w:left w:val="single" w:sz="4" w:space="0" w:color="auto"/>
              <w:bottom w:val="single" w:sz="4" w:space="0" w:color="auto"/>
              <w:right w:val="single" w:sz="4" w:space="0" w:color="auto"/>
            </w:tcBorders>
            <w:shd w:val="clear" w:color="000000" w:fill="97B5DB"/>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297</w:t>
            </w:r>
          </w:p>
        </w:tc>
        <w:tc>
          <w:tcPr>
            <w:tcW w:w="651" w:type="pct"/>
            <w:tcBorders>
              <w:top w:val="single" w:sz="4" w:space="0" w:color="auto"/>
              <w:left w:val="single" w:sz="4" w:space="0" w:color="auto"/>
              <w:bottom w:val="single" w:sz="4" w:space="0" w:color="auto"/>
              <w:right w:val="single" w:sz="4" w:space="0" w:color="auto"/>
            </w:tcBorders>
            <w:shd w:val="clear" w:color="000000" w:fill="91B1D9"/>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270</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osoby s různým rozsahem omezení svéprávnosti</w:t>
            </w:r>
          </w:p>
        </w:tc>
        <w:tc>
          <w:tcPr>
            <w:tcW w:w="651" w:type="pct"/>
            <w:tcBorders>
              <w:top w:val="single" w:sz="4" w:space="0" w:color="auto"/>
              <w:left w:val="single" w:sz="4" w:space="0" w:color="auto"/>
              <w:bottom w:val="single" w:sz="4" w:space="0" w:color="auto"/>
              <w:right w:val="single" w:sz="4" w:space="0" w:color="auto"/>
            </w:tcBorders>
            <w:shd w:val="clear" w:color="000000" w:fill="B0C6E4"/>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408</w:t>
            </w:r>
          </w:p>
        </w:tc>
        <w:tc>
          <w:tcPr>
            <w:tcW w:w="651" w:type="pct"/>
            <w:tcBorders>
              <w:top w:val="single" w:sz="4" w:space="0" w:color="auto"/>
              <w:left w:val="single" w:sz="4" w:space="0" w:color="auto"/>
              <w:bottom w:val="single" w:sz="4" w:space="0" w:color="auto"/>
              <w:right w:val="single" w:sz="4" w:space="0" w:color="auto"/>
            </w:tcBorders>
            <w:shd w:val="clear" w:color="000000" w:fill="A6BFE0"/>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363</w:t>
            </w:r>
          </w:p>
        </w:tc>
        <w:tc>
          <w:tcPr>
            <w:tcW w:w="651" w:type="pct"/>
            <w:tcBorders>
              <w:top w:val="single" w:sz="4" w:space="0" w:color="auto"/>
              <w:left w:val="single" w:sz="4" w:space="0" w:color="auto"/>
              <w:bottom w:val="single" w:sz="4" w:space="0" w:color="auto"/>
              <w:right w:val="single" w:sz="4" w:space="0" w:color="auto"/>
            </w:tcBorders>
            <w:shd w:val="clear" w:color="000000" w:fill="9CB8DD"/>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319</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osoby ohrožené sociálním vyloučením</w:t>
            </w:r>
          </w:p>
        </w:tc>
        <w:tc>
          <w:tcPr>
            <w:tcW w:w="651" w:type="pct"/>
            <w:tcBorders>
              <w:top w:val="single" w:sz="4" w:space="0" w:color="auto"/>
              <w:left w:val="single" w:sz="4" w:space="0" w:color="auto"/>
              <w:bottom w:val="single" w:sz="4" w:space="0" w:color="auto"/>
              <w:right w:val="single" w:sz="4" w:space="0" w:color="auto"/>
            </w:tcBorders>
            <w:shd w:val="clear" w:color="000000" w:fill="FCF7FA"/>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826</w:t>
            </w:r>
          </w:p>
        </w:tc>
        <w:tc>
          <w:tcPr>
            <w:tcW w:w="651" w:type="pct"/>
            <w:tcBorders>
              <w:top w:val="single" w:sz="4" w:space="0" w:color="auto"/>
              <w:left w:val="single" w:sz="4" w:space="0" w:color="auto"/>
              <w:bottom w:val="single" w:sz="4" w:space="0" w:color="auto"/>
              <w:right w:val="single" w:sz="4" w:space="0" w:color="auto"/>
            </w:tcBorders>
            <w:shd w:val="clear" w:color="000000" w:fill="CBD9ED"/>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531</w:t>
            </w:r>
          </w:p>
        </w:tc>
        <w:tc>
          <w:tcPr>
            <w:tcW w:w="651" w:type="pct"/>
            <w:tcBorders>
              <w:top w:val="single" w:sz="4" w:space="0" w:color="auto"/>
              <w:left w:val="single" w:sz="4" w:space="0" w:color="auto"/>
              <w:bottom w:val="single" w:sz="4" w:space="0" w:color="auto"/>
              <w:right w:val="single" w:sz="4" w:space="0" w:color="auto"/>
            </w:tcBorders>
            <w:shd w:val="clear" w:color="000000" w:fill="FCFCFF"/>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751</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osoby ohrožené rizikovým způsobem života</w:t>
            </w:r>
          </w:p>
        </w:tc>
        <w:tc>
          <w:tcPr>
            <w:tcW w:w="651" w:type="pct"/>
            <w:tcBorders>
              <w:top w:val="single" w:sz="4" w:space="0" w:color="auto"/>
              <w:left w:val="single" w:sz="4" w:space="0" w:color="auto"/>
              <w:bottom w:val="single" w:sz="4" w:space="0" w:color="auto"/>
              <w:right w:val="single" w:sz="4" w:space="0" w:color="auto"/>
            </w:tcBorders>
            <w:shd w:val="clear" w:color="000000" w:fill="FBB5B8"/>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1 705</w:t>
            </w:r>
          </w:p>
        </w:tc>
        <w:tc>
          <w:tcPr>
            <w:tcW w:w="651" w:type="pct"/>
            <w:tcBorders>
              <w:top w:val="single" w:sz="4" w:space="0" w:color="auto"/>
              <w:left w:val="single" w:sz="4" w:space="0" w:color="auto"/>
              <w:bottom w:val="single" w:sz="4" w:space="0" w:color="auto"/>
              <w:right w:val="single" w:sz="4" w:space="0" w:color="auto"/>
            </w:tcBorders>
            <w:shd w:val="clear" w:color="000000" w:fill="FBB5B7"/>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1 709</w:t>
            </w:r>
          </w:p>
        </w:tc>
        <w:tc>
          <w:tcPr>
            <w:tcW w:w="651" w:type="pct"/>
            <w:tcBorders>
              <w:top w:val="single" w:sz="4" w:space="0" w:color="auto"/>
              <w:left w:val="single" w:sz="4" w:space="0" w:color="auto"/>
              <w:bottom w:val="single" w:sz="4" w:space="0" w:color="auto"/>
              <w:right w:val="single" w:sz="4" w:space="0" w:color="auto"/>
            </w:tcBorders>
            <w:shd w:val="clear" w:color="000000" w:fill="FBBCBE"/>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1 615</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oběti agrese, trestné činnosti a domácího násilí</w:t>
            </w:r>
          </w:p>
        </w:tc>
        <w:tc>
          <w:tcPr>
            <w:tcW w:w="651" w:type="pct"/>
            <w:tcBorders>
              <w:top w:val="single" w:sz="4" w:space="0" w:color="auto"/>
              <w:left w:val="single" w:sz="4" w:space="0" w:color="auto"/>
              <w:bottom w:val="single" w:sz="4" w:space="0" w:color="auto"/>
              <w:right w:val="single" w:sz="4" w:space="0" w:color="auto"/>
            </w:tcBorders>
            <w:shd w:val="clear" w:color="000000" w:fill="5B8BC6"/>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25</w:t>
            </w:r>
          </w:p>
        </w:tc>
        <w:tc>
          <w:tcPr>
            <w:tcW w:w="651" w:type="pct"/>
            <w:tcBorders>
              <w:top w:val="single" w:sz="4" w:space="0" w:color="auto"/>
              <w:left w:val="single" w:sz="4" w:space="0" w:color="auto"/>
              <w:bottom w:val="single" w:sz="4" w:space="0" w:color="auto"/>
              <w:right w:val="single" w:sz="4" w:space="0" w:color="auto"/>
            </w:tcBorders>
            <w:shd w:val="clear" w:color="000000" w:fill="5A8AC6"/>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18</w:t>
            </w:r>
          </w:p>
        </w:tc>
        <w:tc>
          <w:tcPr>
            <w:tcW w:w="651" w:type="pct"/>
            <w:tcBorders>
              <w:top w:val="single" w:sz="4" w:space="0" w:color="auto"/>
              <w:left w:val="single" w:sz="4" w:space="0" w:color="auto"/>
              <w:bottom w:val="single" w:sz="4" w:space="0" w:color="auto"/>
              <w:right w:val="single" w:sz="4" w:space="0" w:color="auto"/>
            </w:tcBorders>
            <w:shd w:val="clear" w:color="000000" w:fill="5B8AC6"/>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24</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osoby, které se nacházejí v nejistém či neadekvátním bydlení</w:t>
            </w:r>
          </w:p>
        </w:tc>
        <w:tc>
          <w:tcPr>
            <w:tcW w:w="651" w:type="pct"/>
            <w:tcBorders>
              <w:top w:val="single" w:sz="4" w:space="0" w:color="auto"/>
              <w:left w:val="single" w:sz="4" w:space="0" w:color="auto"/>
              <w:bottom w:val="single" w:sz="4" w:space="0" w:color="auto"/>
              <w:right w:val="single" w:sz="4" w:space="0" w:color="auto"/>
            </w:tcBorders>
            <w:shd w:val="clear" w:color="000000" w:fill="FBD2D4"/>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1 323</w:t>
            </w:r>
          </w:p>
        </w:tc>
        <w:tc>
          <w:tcPr>
            <w:tcW w:w="651" w:type="pct"/>
            <w:tcBorders>
              <w:top w:val="single" w:sz="4" w:space="0" w:color="auto"/>
              <w:left w:val="single" w:sz="4" w:space="0" w:color="auto"/>
              <w:bottom w:val="single" w:sz="4" w:space="0" w:color="auto"/>
              <w:right w:val="single" w:sz="4" w:space="0" w:color="auto"/>
            </w:tcBorders>
            <w:shd w:val="clear" w:color="000000" w:fill="FCE3E6"/>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1 094</w:t>
            </w:r>
          </w:p>
        </w:tc>
        <w:tc>
          <w:tcPr>
            <w:tcW w:w="651" w:type="pct"/>
            <w:tcBorders>
              <w:top w:val="single" w:sz="4" w:space="0" w:color="auto"/>
              <w:left w:val="single" w:sz="4" w:space="0" w:color="auto"/>
              <w:bottom w:val="single" w:sz="4" w:space="0" w:color="auto"/>
              <w:right w:val="single" w:sz="4" w:space="0" w:color="auto"/>
            </w:tcBorders>
            <w:shd w:val="clear" w:color="000000" w:fill="FCE3E6"/>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1 092</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nezaměstnaní</w:t>
            </w:r>
          </w:p>
        </w:tc>
        <w:tc>
          <w:tcPr>
            <w:tcW w:w="651" w:type="pct"/>
            <w:tcBorders>
              <w:top w:val="single" w:sz="4" w:space="0" w:color="auto"/>
              <w:left w:val="single" w:sz="4" w:space="0" w:color="auto"/>
              <w:bottom w:val="single" w:sz="4" w:space="0" w:color="auto"/>
              <w:right w:val="single" w:sz="4" w:space="0" w:color="auto"/>
            </w:tcBorders>
            <w:shd w:val="clear" w:color="000000" w:fill="F97779"/>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2 531</w:t>
            </w:r>
          </w:p>
        </w:tc>
        <w:tc>
          <w:tcPr>
            <w:tcW w:w="651" w:type="pct"/>
            <w:tcBorders>
              <w:top w:val="single" w:sz="4" w:space="0" w:color="auto"/>
              <w:left w:val="single" w:sz="4" w:space="0" w:color="auto"/>
              <w:bottom w:val="single" w:sz="4" w:space="0" w:color="auto"/>
              <w:right w:val="single" w:sz="4" w:space="0" w:color="auto"/>
            </w:tcBorders>
            <w:shd w:val="clear" w:color="000000" w:fill="FAAFB1"/>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1 791</w:t>
            </w:r>
          </w:p>
        </w:tc>
        <w:tc>
          <w:tcPr>
            <w:tcW w:w="651" w:type="pct"/>
            <w:tcBorders>
              <w:top w:val="single" w:sz="4" w:space="0" w:color="auto"/>
              <w:left w:val="single" w:sz="4" w:space="0" w:color="auto"/>
              <w:bottom w:val="single" w:sz="4" w:space="0" w:color="auto"/>
              <w:right w:val="single" w:sz="4" w:space="0" w:color="auto"/>
            </w:tcBorders>
            <w:shd w:val="clear" w:color="000000" w:fill="FCDFE2"/>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1 144</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rodiny s dětmi</w:t>
            </w:r>
          </w:p>
        </w:tc>
        <w:tc>
          <w:tcPr>
            <w:tcW w:w="651" w:type="pct"/>
            <w:tcBorders>
              <w:top w:val="single" w:sz="4" w:space="0" w:color="auto"/>
              <w:left w:val="single" w:sz="4" w:space="0" w:color="auto"/>
              <w:bottom w:val="single" w:sz="4" w:space="0" w:color="auto"/>
              <w:right w:val="single" w:sz="4" w:space="0" w:color="auto"/>
            </w:tcBorders>
            <w:shd w:val="clear" w:color="000000" w:fill="BED0E9"/>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471</w:t>
            </w:r>
          </w:p>
        </w:tc>
        <w:tc>
          <w:tcPr>
            <w:tcW w:w="651" w:type="pct"/>
            <w:tcBorders>
              <w:top w:val="single" w:sz="4" w:space="0" w:color="auto"/>
              <w:left w:val="single" w:sz="4" w:space="0" w:color="auto"/>
              <w:bottom w:val="single" w:sz="4" w:space="0" w:color="auto"/>
              <w:right w:val="single" w:sz="4" w:space="0" w:color="auto"/>
            </w:tcBorders>
            <w:shd w:val="clear" w:color="000000" w:fill="A8C0E1"/>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371</w:t>
            </w:r>
          </w:p>
        </w:tc>
        <w:tc>
          <w:tcPr>
            <w:tcW w:w="651" w:type="pct"/>
            <w:tcBorders>
              <w:top w:val="single" w:sz="4" w:space="0" w:color="auto"/>
              <w:left w:val="single" w:sz="4" w:space="0" w:color="auto"/>
              <w:bottom w:val="single" w:sz="4" w:space="0" w:color="auto"/>
              <w:right w:val="single" w:sz="4" w:space="0" w:color="auto"/>
            </w:tcBorders>
            <w:shd w:val="clear" w:color="000000" w:fill="BDCFE8"/>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466</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další skupiny osoby neuvedené výše</w:t>
            </w:r>
          </w:p>
        </w:tc>
        <w:tc>
          <w:tcPr>
            <w:tcW w:w="651" w:type="pct"/>
            <w:tcBorders>
              <w:top w:val="single" w:sz="4" w:space="0" w:color="auto"/>
              <w:left w:val="single" w:sz="4" w:space="0" w:color="auto"/>
              <w:bottom w:val="single" w:sz="4" w:space="0" w:color="auto"/>
              <w:right w:val="single" w:sz="4" w:space="0" w:color="auto"/>
            </w:tcBorders>
            <w:shd w:val="clear" w:color="000000" w:fill="D0DDEF"/>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554</w:t>
            </w:r>
          </w:p>
        </w:tc>
        <w:tc>
          <w:tcPr>
            <w:tcW w:w="651" w:type="pct"/>
            <w:tcBorders>
              <w:top w:val="single" w:sz="4" w:space="0" w:color="auto"/>
              <w:left w:val="single" w:sz="4" w:space="0" w:color="auto"/>
              <w:bottom w:val="single" w:sz="4" w:space="0" w:color="auto"/>
              <w:right w:val="single" w:sz="4" w:space="0" w:color="auto"/>
            </w:tcBorders>
            <w:shd w:val="clear" w:color="000000" w:fill="FCDDE0"/>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1 168</w:t>
            </w:r>
          </w:p>
        </w:tc>
        <w:tc>
          <w:tcPr>
            <w:tcW w:w="651" w:type="pct"/>
            <w:tcBorders>
              <w:top w:val="single" w:sz="4" w:space="0" w:color="auto"/>
              <w:left w:val="single" w:sz="4" w:space="0" w:color="auto"/>
              <w:bottom w:val="single" w:sz="4" w:space="0" w:color="auto"/>
              <w:right w:val="single" w:sz="4" w:space="0" w:color="auto"/>
            </w:tcBorders>
            <w:shd w:val="clear" w:color="000000" w:fill="FCEEF0"/>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951</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senioři (65 let a výše)</w:t>
            </w:r>
          </w:p>
        </w:tc>
        <w:tc>
          <w:tcPr>
            <w:tcW w:w="651" w:type="pct"/>
            <w:tcBorders>
              <w:top w:val="single" w:sz="4" w:space="0" w:color="auto"/>
              <w:left w:val="single" w:sz="4" w:space="0" w:color="auto"/>
              <w:bottom w:val="single" w:sz="4" w:space="0" w:color="auto"/>
              <w:right w:val="single" w:sz="4" w:space="0" w:color="auto"/>
            </w:tcBorders>
            <w:shd w:val="clear" w:color="000000" w:fill="FBD2D4"/>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1 322</w:t>
            </w:r>
          </w:p>
        </w:tc>
        <w:tc>
          <w:tcPr>
            <w:tcW w:w="651" w:type="pct"/>
            <w:tcBorders>
              <w:top w:val="single" w:sz="4" w:space="0" w:color="auto"/>
              <w:left w:val="single" w:sz="4" w:space="0" w:color="auto"/>
              <w:bottom w:val="single" w:sz="4" w:space="0" w:color="auto"/>
              <w:right w:val="single" w:sz="4" w:space="0" w:color="auto"/>
            </w:tcBorders>
            <w:shd w:val="clear" w:color="000000" w:fill="F97173"/>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2 612</w:t>
            </w:r>
          </w:p>
        </w:tc>
        <w:tc>
          <w:tcPr>
            <w:tcW w:w="651" w:type="pct"/>
            <w:tcBorders>
              <w:top w:val="single" w:sz="4" w:space="0" w:color="auto"/>
              <w:left w:val="single" w:sz="4" w:space="0" w:color="auto"/>
              <w:bottom w:val="single" w:sz="4" w:space="0" w:color="auto"/>
              <w:right w:val="single" w:sz="4" w:space="0" w:color="auto"/>
            </w:tcBorders>
            <w:shd w:val="clear" w:color="000000" w:fill="FBB5B8"/>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1 700</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osoby neschopné splácet závazky a pohledávky</w:t>
            </w:r>
          </w:p>
        </w:tc>
        <w:tc>
          <w:tcPr>
            <w:tcW w:w="651" w:type="pct"/>
            <w:tcBorders>
              <w:top w:val="single" w:sz="4" w:space="0" w:color="auto"/>
              <w:left w:val="single" w:sz="4" w:space="0" w:color="auto"/>
              <w:bottom w:val="single" w:sz="4" w:space="0" w:color="auto"/>
              <w:right w:val="single" w:sz="4" w:space="0" w:color="auto"/>
            </w:tcBorders>
            <w:shd w:val="clear" w:color="000000" w:fill="E8EEF8"/>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665</w:t>
            </w:r>
          </w:p>
        </w:tc>
        <w:tc>
          <w:tcPr>
            <w:tcW w:w="651" w:type="pct"/>
            <w:tcBorders>
              <w:top w:val="single" w:sz="4" w:space="0" w:color="auto"/>
              <w:left w:val="single" w:sz="4" w:space="0" w:color="auto"/>
              <w:bottom w:val="single" w:sz="4" w:space="0" w:color="auto"/>
              <w:right w:val="single" w:sz="4" w:space="0" w:color="auto"/>
            </w:tcBorders>
            <w:shd w:val="clear" w:color="000000" w:fill="E6ECF7"/>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653</w:t>
            </w:r>
          </w:p>
        </w:tc>
        <w:tc>
          <w:tcPr>
            <w:tcW w:w="651" w:type="pct"/>
            <w:tcBorders>
              <w:top w:val="single" w:sz="4" w:space="0" w:color="auto"/>
              <w:left w:val="single" w:sz="4" w:space="0" w:color="auto"/>
              <w:bottom w:val="single" w:sz="4" w:space="0" w:color="auto"/>
              <w:right w:val="single" w:sz="4" w:space="0" w:color="auto"/>
            </w:tcBorders>
            <w:shd w:val="clear" w:color="000000" w:fill="FCFAFD"/>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785</w:t>
            </w:r>
          </w:p>
        </w:tc>
      </w:tr>
      <w:tr w:rsidR="002643C1" w:rsidRPr="002643C1" w:rsidTr="002643C1">
        <w:trPr>
          <w:trHeight w:val="283"/>
        </w:trPr>
        <w:tc>
          <w:tcPr>
            <w:tcW w:w="3048" w:type="pct"/>
            <w:tcBorders>
              <w:top w:val="nil"/>
              <w:left w:val="single" w:sz="4" w:space="0" w:color="auto"/>
              <w:bottom w:val="single" w:sz="4" w:space="0" w:color="auto"/>
              <w:right w:val="single" w:sz="4" w:space="0" w:color="auto"/>
            </w:tcBorders>
            <w:shd w:val="clear" w:color="auto" w:fill="auto"/>
            <w:vAlign w:val="center"/>
            <w:hideMark/>
          </w:tcPr>
          <w:p w:rsidR="002643C1" w:rsidRPr="002643C1" w:rsidRDefault="002643C1" w:rsidP="002643C1">
            <w:pPr>
              <w:spacing w:before="60" w:after="60"/>
              <w:jc w:val="left"/>
              <w:rPr>
                <w:rFonts w:cs="Segoe UI"/>
                <w:color w:val="000000"/>
                <w:sz w:val="18"/>
                <w:szCs w:val="18"/>
                <w:lang w:eastAsia="cs-CZ"/>
              </w:rPr>
            </w:pPr>
            <w:r w:rsidRPr="002643C1">
              <w:rPr>
                <w:rFonts w:cs="Segoe UI"/>
                <w:color w:val="000000"/>
                <w:sz w:val="18"/>
                <w:szCs w:val="18"/>
                <w:lang w:eastAsia="cs-CZ"/>
              </w:rPr>
              <w:t>osoby bez přístřeší (bez domova)</w:t>
            </w:r>
          </w:p>
        </w:tc>
        <w:tc>
          <w:tcPr>
            <w:tcW w:w="651" w:type="pct"/>
            <w:tcBorders>
              <w:top w:val="single" w:sz="4" w:space="0" w:color="auto"/>
              <w:left w:val="single" w:sz="4" w:space="0" w:color="auto"/>
              <w:bottom w:val="single" w:sz="4" w:space="0" w:color="auto"/>
              <w:right w:val="single" w:sz="4" w:space="0" w:color="auto"/>
            </w:tcBorders>
            <w:shd w:val="clear" w:color="000000" w:fill="B5CAE6"/>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431</w:t>
            </w:r>
          </w:p>
        </w:tc>
        <w:tc>
          <w:tcPr>
            <w:tcW w:w="651" w:type="pct"/>
            <w:tcBorders>
              <w:top w:val="single" w:sz="4" w:space="0" w:color="auto"/>
              <w:left w:val="single" w:sz="4" w:space="0" w:color="auto"/>
              <w:bottom w:val="single" w:sz="4" w:space="0" w:color="auto"/>
              <w:right w:val="single" w:sz="4" w:space="0" w:color="auto"/>
            </w:tcBorders>
            <w:shd w:val="clear" w:color="000000" w:fill="A8C1E1"/>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375</w:t>
            </w:r>
          </w:p>
        </w:tc>
        <w:tc>
          <w:tcPr>
            <w:tcW w:w="651" w:type="pct"/>
            <w:tcBorders>
              <w:top w:val="single" w:sz="4" w:space="0" w:color="auto"/>
              <w:left w:val="single" w:sz="4" w:space="0" w:color="auto"/>
              <w:bottom w:val="single" w:sz="4" w:space="0" w:color="auto"/>
              <w:right w:val="single" w:sz="4" w:space="0" w:color="auto"/>
            </w:tcBorders>
            <w:shd w:val="clear" w:color="000000" w:fill="BFD1E9"/>
            <w:noWrap/>
            <w:vAlign w:val="center"/>
            <w:hideMark/>
          </w:tcPr>
          <w:p w:rsidR="002643C1" w:rsidRPr="002643C1" w:rsidRDefault="002643C1" w:rsidP="002643C1">
            <w:pPr>
              <w:spacing w:before="60" w:after="60"/>
              <w:jc w:val="right"/>
              <w:rPr>
                <w:rFonts w:cs="Segoe UI"/>
                <w:color w:val="000000"/>
                <w:sz w:val="18"/>
                <w:szCs w:val="18"/>
                <w:lang w:eastAsia="cs-CZ"/>
              </w:rPr>
            </w:pPr>
            <w:r w:rsidRPr="002643C1">
              <w:rPr>
                <w:rFonts w:cs="Segoe UI"/>
                <w:color w:val="000000"/>
                <w:sz w:val="18"/>
                <w:szCs w:val="18"/>
                <w:lang w:eastAsia="cs-CZ"/>
              </w:rPr>
              <w:t>475</w:t>
            </w:r>
          </w:p>
        </w:tc>
      </w:tr>
    </w:tbl>
    <w:p w:rsidR="00AF4350" w:rsidRPr="0039748C" w:rsidRDefault="00AF4350" w:rsidP="002643C1">
      <w:pPr>
        <w:pStyle w:val="Zdrojobjektu"/>
      </w:pPr>
      <w:r w:rsidRPr="0039748C">
        <w:t>Zdroj: OSV KÚOK</w:t>
      </w:r>
      <w:r w:rsidR="002643C1">
        <w:t xml:space="preserve"> (2022)</w:t>
      </w:r>
      <w:r>
        <w:t>.</w:t>
      </w:r>
    </w:p>
    <w:p w:rsidR="00AF4350" w:rsidRPr="0039748C" w:rsidRDefault="00AF4350" w:rsidP="00A34764">
      <w:pPr>
        <w:rPr>
          <w:lang w:eastAsia="cs-CZ"/>
        </w:rPr>
      </w:pPr>
      <w:r w:rsidRPr="0039748C">
        <w:rPr>
          <w:lang w:eastAsia="cs-CZ"/>
        </w:rPr>
        <w:t>Aktuální celospolečenské problémy proměňují strukturu klientů sociálních pracovníků a promítají se do problémů, se kterými se klienti obrací na sociálního pracovníka. V období let 2020 až 2022 sociální pracovníci mimo běžně řešené zakázky poskytovali intervence v souvislosti</w:t>
      </w:r>
      <w:r>
        <w:rPr>
          <w:lang w:eastAsia="cs-CZ"/>
        </w:rPr>
        <w:t xml:space="preserve"> s dopadem pandemie nemoci </w:t>
      </w:r>
      <w:proofErr w:type="gramStart"/>
      <w:r>
        <w:rPr>
          <w:lang w:eastAsia="cs-CZ"/>
        </w:rPr>
        <w:t>COVID</w:t>
      </w:r>
      <w:proofErr w:type="gramEnd"/>
      <w:r w:rsidRPr="0039748C">
        <w:rPr>
          <w:lang w:eastAsia="cs-CZ"/>
        </w:rPr>
        <w:t>–</w:t>
      </w:r>
      <w:proofErr w:type="gramStart"/>
      <w:r w:rsidRPr="0039748C">
        <w:rPr>
          <w:lang w:eastAsia="cs-CZ"/>
        </w:rPr>
        <w:t>19</w:t>
      </w:r>
      <w:proofErr w:type="gramEnd"/>
      <w:r w:rsidRPr="0039748C">
        <w:rPr>
          <w:lang w:eastAsia="cs-CZ"/>
        </w:rPr>
        <w:t xml:space="preserve"> na životy občanů. Dalšími výzvami, kterým sociální pracovníci v uplynulém období museli čelit, byly energetická krize, vysoká inflace a z toho vyplývající neschopnost klientů splácet své běžné závazky. V neposlední řadě se sociální pracovníci museli vypořádat s následky válečného konfliktu na Ukrajině a následnou uprchlickou krizí. </w:t>
      </w:r>
    </w:p>
    <w:p w:rsidR="00AF4350" w:rsidRPr="0039748C" w:rsidRDefault="00AF4350" w:rsidP="00A34764">
      <w:r w:rsidRPr="0039748C">
        <w:br w:type="page"/>
      </w:r>
    </w:p>
    <w:p w:rsidR="00AF4350" w:rsidRPr="0039748C" w:rsidRDefault="00AF4350" w:rsidP="00A34764">
      <w:pPr>
        <w:pStyle w:val="Nadpis1"/>
      </w:pPr>
      <w:bookmarkStart w:id="137" w:name="_Toc117606979"/>
      <w:r w:rsidRPr="0039748C">
        <w:lastRenderedPageBreak/>
        <w:t>Finanční plán pro oblast sociálních služeb</w:t>
      </w:r>
      <w:bookmarkEnd w:id="137"/>
      <w:r w:rsidRPr="0039748C">
        <w:t xml:space="preserve"> </w:t>
      </w:r>
    </w:p>
    <w:p w:rsidR="00AF4350" w:rsidRPr="0039748C" w:rsidRDefault="00AF4350" w:rsidP="00A34764">
      <w:pPr>
        <w:rPr>
          <w:rFonts w:eastAsia="Calibri"/>
          <w:lang w:eastAsia="cs-CZ"/>
        </w:rPr>
      </w:pPr>
      <w:r w:rsidRPr="0039748C">
        <w:rPr>
          <w:rFonts w:eastAsia="Calibri"/>
          <w:lang w:eastAsia="cs-CZ"/>
        </w:rPr>
        <w:t>Financování sociálních služeb je jedním z nezbytných východisek pro realizaci strategických cílů kraje v oblasti sociálních služeb nejen z hlediska jejich potřebnosti a udržitelnosti, ale rovněž z hlediska efektivního nakládání s veřejnými prostředky. Obecně je v této části dokumentu prezentován vývoj financování sociálních služeb v období předcházejícím tvorbě Střednědobého plánu 2024</w:t>
      </w:r>
      <w:r>
        <w:rPr>
          <w:rFonts w:eastAsia="Calibri"/>
          <w:lang w:eastAsia="cs-CZ"/>
        </w:rPr>
        <w:t>–</w:t>
      </w:r>
      <w:r w:rsidRPr="0039748C">
        <w:rPr>
          <w:rFonts w:eastAsia="Calibri"/>
          <w:lang w:eastAsia="cs-CZ"/>
        </w:rPr>
        <w:t>2026, popsán je rovněž systém financování sociálních služeb v OK – prostřednictvím Programu finanční podpory poskytování sociálních služeb v Olomouckém kraji. Dále se kapitola zabývá obecným rámcem postupu při konkretizaci reálné podoby sítě sociálních služeb a finančního plánu na její zajištění, včetně výsledků analýzy finančních dopadů navržených cílů a opatření po dobu platnosti střednědobého plánu.</w:t>
      </w:r>
    </w:p>
    <w:p w:rsidR="00AF4350" w:rsidRPr="0039748C" w:rsidRDefault="00AF4350" w:rsidP="00A34764">
      <w:pPr>
        <w:rPr>
          <w:rFonts w:eastAsia="Calibri"/>
          <w:lang w:eastAsia="cs-CZ"/>
        </w:rPr>
      </w:pPr>
      <w:r w:rsidRPr="0039748C">
        <w:rPr>
          <w:rFonts w:eastAsia="Calibri"/>
          <w:lang w:eastAsia="cs-CZ"/>
        </w:rPr>
        <w:t>Kapitola zahrnuje informace uve</w:t>
      </w:r>
      <w:r>
        <w:rPr>
          <w:rFonts w:eastAsia="Calibri"/>
          <w:lang w:eastAsia="cs-CZ"/>
        </w:rPr>
        <w:t>dené v § 39a odst. 3. písm. b) v</w:t>
      </w:r>
      <w:r w:rsidRPr="0039748C">
        <w:rPr>
          <w:rFonts w:eastAsia="Calibri"/>
          <w:lang w:eastAsia="cs-CZ"/>
        </w:rPr>
        <w:t xml:space="preserve">yhlášky </w:t>
      </w:r>
      <w:r w:rsidR="00DF44B9">
        <w:rPr>
          <w:rFonts w:eastAsia="Calibri"/>
          <w:lang w:eastAsia="cs-CZ"/>
        </w:rPr>
        <w:t xml:space="preserve">č. </w:t>
      </w:r>
      <w:r w:rsidR="00747471">
        <w:rPr>
          <w:rFonts w:eastAsia="Calibri"/>
          <w:lang w:eastAsia="cs-CZ"/>
        </w:rPr>
        <w:t>505</w:t>
      </w:r>
      <w:r w:rsidRPr="0039748C">
        <w:rPr>
          <w:rFonts w:eastAsia="Calibri"/>
          <w:lang w:eastAsia="cs-CZ"/>
        </w:rPr>
        <w:t>/20</w:t>
      </w:r>
      <w:r w:rsidR="00747471">
        <w:rPr>
          <w:rFonts w:eastAsia="Calibri"/>
          <w:lang w:eastAsia="cs-CZ"/>
        </w:rPr>
        <w:t>06</w:t>
      </w:r>
      <w:r w:rsidRPr="0039748C">
        <w:rPr>
          <w:rFonts w:eastAsia="Calibri"/>
          <w:lang w:eastAsia="cs-CZ"/>
        </w:rPr>
        <w:t xml:space="preserve"> Sb., </w:t>
      </w:r>
      <w:r w:rsidR="00747471">
        <w:rPr>
          <w:rFonts w:eastAsia="Calibri"/>
          <w:lang w:eastAsia="cs-CZ"/>
        </w:rPr>
        <w:t xml:space="preserve">ve znění pozdějších předpisů </w:t>
      </w:r>
      <w:r w:rsidRPr="0039748C">
        <w:rPr>
          <w:rFonts w:eastAsia="Calibri"/>
          <w:lang w:eastAsia="cs-CZ"/>
        </w:rPr>
        <w:t>a to:</w:t>
      </w:r>
    </w:p>
    <w:p w:rsidR="00AF4350" w:rsidRPr="002643C1" w:rsidRDefault="00AF4350" w:rsidP="002643C1">
      <w:pPr>
        <w:pStyle w:val="Odstavecseseznamem"/>
        <w:numPr>
          <w:ilvl w:val="0"/>
          <w:numId w:val="262"/>
        </w:numPr>
        <w:rPr>
          <w:rFonts w:eastAsia="Calibri"/>
        </w:rPr>
      </w:pPr>
      <w:r w:rsidRPr="002643C1">
        <w:rPr>
          <w:rFonts w:eastAsia="Calibri"/>
        </w:rPr>
        <w:t>shrnutí výsledků analýzy finančních dopadů navržených cílů a opatření minimálně po dobu platnosti střednědobého plánu,</w:t>
      </w:r>
    </w:p>
    <w:p w:rsidR="00AF4350" w:rsidRPr="002643C1" w:rsidRDefault="00AF4350" w:rsidP="002643C1">
      <w:pPr>
        <w:pStyle w:val="Odstavecseseznamem"/>
        <w:numPr>
          <w:ilvl w:val="0"/>
          <w:numId w:val="262"/>
        </w:numPr>
        <w:rPr>
          <w:rFonts w:eastAsia="Calibri"/>
        </w:rPr>
      </w:pPr>
      <w:r w:rsidRPr="002643C1">
        <w:rPr>
          <w:rFonts w:eastAsia="Calibri"/>
        </w:rPr>
        <w:t>aktuální nákladovost jednotlivých druhů sociálních služeb včetně uvedení obvyklých nákladů,</w:t>
      </w:r>
    </w:p>
    <w:p w:rsidR="00AF4350" w:rsidRPr="002643C1" w:rsidRDefault="00AF4350" w:rsidP="002643C1">
      <w:pPr>
        <w:pStyle w:val="Odstavecseseznamem"/>
        <w:numPr>
          <w:ilvl w:val="0"/>
          <w:numId w:val="262"/>
        </w:numPr>
        <w:rPr>
          <w:rFonts w:eastAsia="Calibri"/>
        </w:rPr>
      </w:pPr>
      <w:r w:rsidRPr="002643C1">
        <w:rPr>
          <w:rFonts w:eastAsia="Calibri"/>
        </w:rPr>
        <w:t>analýzu struktury zdrojů financování sociálních služeb včetně výhledu na období platnosti střednědobého plánu,</w:t>
      </w:r>
    </w:p>
    <w:p w:rsidR="00AF4350" w:rsidRPr="002643C1" w:rsidRDefault="00AF4350" w:rsidP="002643C1">
      <w:pPr>
        <w:pStyle w:val="Odstavecseseznamem"/>
        <w:numPr>
          <w:ilvl w:val="0"/>
          <w:numId w:val="262"/>
        </w:numPr>
        <w:rPr>
          <w:rFonts w:eastAsia="Calibri"/>
        </w:rPr>
      </w:pPr>
      <w:r w:rsidRPr="002643C1">
        <w:rPr>
          <w:rFonts w:eastAsia="Calibri"/>
        </w:rPr>
        <w:t>předpokládanou výši celkových nákladů na jednotlivé druhy sociálních služeb (plán nákladovosti sociálních služeb se sesta</w:t>
      </w:r>
      <w:r w:rsidR="00BA3253">
        <w:rPr>
          <w:rFonts w:eastAsia="Calibri"/>
        </w:rPr>
        <w:t>vuje podle přílohy č. 3 vyhlášky</w:t>
      </w:r>
      <w:r w:rsidRPr="002643C1">
        <w:rPr>
          <w:rFonts w:eastAsia="Calibri"/>
        </w:rPr>
        <w:t xml:space="preserve"> 505/2006 Sb.).</w:t>
      </w:r>
    </w:p>
    <w:p w:rsidR="00AF4350" w:rsidRPr="0039748C" w:rsidRDefault="00AF4350" w:rsidP="00A34764">
      <w:pPr>
        <w:rPr>
          <w:rFonts w:eastAsia="Calibri"/>
          <w:lang w:eastAsia="cs-CZ"/>
        </w:rPr>
      </w:pPr>
      <w:r w:rsidRPr="0039748C">
        <w:rPr>
          <w:rFonts w:eastAsia="Calibri"/>
          <w:lang w:eastAsia="cs-CZ"/>
        </w:rPr>
        <w:t>Financování sociálních služeb se řídí celou řadou právních předpisů, a to zákonem o rozpočtových p</w:t>
      </w:r>
      <w:r>
        <w:rPr>
          <w:rFonts w:eastAsia="Calibri"/>
          <w:lang w:eastAsia="cs-CZ"/>
        </w:rPr>
        <w:t xml:space="preserve">ravidlech </w:t>
      </w:r>
      <w:r w:rsidRPr="0039748C">
        <w:rPr>
          <w:rFonts w:eastAsia="Calibri"/>
          <w:lang w:eastAsia="cs-CZ"/>
        </w:rPr>
        <w:t>územních rozpočtů a již uvedeným zákonem o sociálních službách. Rovněž na tuto oblast dopadá i právo Evropské unie. Podle čl. 107 odst. 1 Smlouvy o fungování Evropské unie</w:t>
      </w:r>
      <w:r>
        <w:rPr>
          <w:rFonts w:eastAsia="Calibri"/>
          <w:lang w:eastAsia="cs-CZ"/>
        </w:rPr>
        <w:t>:</w:t>
      </w:r>
      <w:r w:rsidRPr="0039748C">
        <w:rPr>
          <w:rFonts w:eastAsia="Calibri"/>
          <w:lang w:eastAsia="cs-CZ"/>
        </w:rPr>
        <w:t xml:space="preserve"> podpory poskytované v jakékoliv formě státem nebo ze státních prostředků, které narušují nebo mohou narušit hospodářskou soutěž tím, že zvýhodňují určité podniky nebo určitá odvětví výroby, jsou, pokud ovlivňují obchod mezi členskými státy, neslučitelné s vnitřním trhem, nestanoví-li Smlouvy jinak. Významný je rovněž čl. 106 a na něj navazující Rozhodnutí Evropské komise č. 2012/21/EU o použití čl. 106 odst. 2 Smlouvy o fungování Evropské unie na státní podporu ve formě vyrovnávací platby za závazek veřejné služby udělené určitým podnikům pověřeným poskytováním služeb obecného hospodářského zájmu, které je v ČR aplikováno na sociální služby.</w:t>
      </w:r>
    </w:p>
    <w:p w:rsidR="00AF4350" w:rsidRPr="0039748C" w:rsidRDefault="00AF4350" w:rsidP="00A34764">
      <w:pPr>
        <w:pStyle w:val="Nadpis2"/>
      </w:pPr>
      <w:bookmarkStart w:id="138" w:name="_Toc117606980"/>
      <w:r w:rsidRPr="0039748C">
        <w:t>Zdroje financování a náklady sociálních služeb v Olomouckém kraji</w:t>
      </w:r>
      <w:bookmarkEnd w:id="138"/>
    </w:p>
    <w:p w:rsidR="00AF4350" w:rsidRPr="0039748C" w:rsidRDefault="00AF4350" w:rsidP="00A34764">
      <w:pPr>
        <w:rPr>
          <w:rFonts w:eastAsia="Calibri"/>
          <w:lang w:eastAsia="cs-CZ"/>
        </w:rPr>
      </w:pPr>
      <w:r w:rsidRPr="0039748C">
        <w:rPr>
          <w:rFonts w:eastAsia="Calibri"/>
          <w:lang w:eastAsia="cs-CZ"/>
        </w:rPr>
        <w:t>Podkapitola podrobněji shrnuje zdroje financování a náklady sociálních služeb, dále pak je prezentován vývoj financování sociálních služeb v období předcházejícím tvorbě Střednědobého plánu 2024</w:t>
      </w:r>
      <w:r>
        <w:rPr>
          <w:rFonts w:eastAsia="Calibri"/>
          <w:lang w:eastAsia="cs-CZ"/>
        </w:rPr>
        <w:t>–</w:t>
      </w:r>
      <w:r w:rsidRPr="0039748C">
        <w:rPr>
          <w:rFonts w:eastAsia="Calibri"/>
          <w:lang w:eastAsia="cs-CZ"/>
        </w:rPr>
        <w:t>2026; tzn., jsou zde uvedena data z let 2019</w:t>
      </w:r>
      <w:r>
        <w:rPr>
          <w:rFonts w:eastAsia="Calibri"/>
          <w:lang w:eastAsia="cs-CZ"/>
        </w:rPr>
        <w:t>–</w:t>
      </w:r>
      <w:r w:rsidRPr="0039748C">
        <w:rPr>
          <w:rFonts w:eastAsia="Calibri"/>
          <w:lang w:eastAsia="cs-CZ"/>
        </w:rPr>
        <w:t>2021, která navazují na Střednědobý plán 2021</w:t>
      </w:r>
      <w:r>
        <w:rPr>
          <w:rFonts w:eastAsia="Calibri"/>
          <w:lang w:eastAsia="cs-CZ"/>
        </w:rPr>
        <w:t>–</w:t>
      </w:r>
      <w:r w:rsidRPr="0039748C">
        <w:rPr>
          <w:rFonts w:eastAsia="Calibri"/>
          <w:lang w:eastAsia="cs-CZ"/>
        </w:rPr>
        <w:t>2023 (ve kterém byla konečná data uvedena z roku 2018).</w:t>
      </w:r>
    </w:p>
    <w:p w:rsidR="00AF4350" w:rsidRPr="0039748C" w:rsidRDefault="00AF4350" w:rsidP="00A34764">
      <w:pPr>
        <w:rPr>
          <w:rFonts w:eastAsia="Calibri"/>
          <w:lang w:eastAsia="cs-CZ"/>
        </w:rPr>
      </w:pPr>
      <w:r w:rsidRPr="0039748C">
        <w:rPr>
          <w:rFonts w:eastAsia="Calibri"/>
          <w:lang w:eastAsia="cs-CZ"/>
        </w:rPr>
        <w:t>Je rovněž nutno uvést, že uvedené zdroje financování a náklady sociálních služeb nezahrnují mimořádné dotace poskytnuté poskytovatelům sociálních služeb v sou</w:t>
      </w:r>
      <w:r>
        <w:rPr>
          <w:rFonts w:eastAsia="Calibri"/>
          <w:lang w:eastAsia="cs-CZ"/>
        </w:rPr>
        <w:t>vislosti s pandemií onemocnění COVID</w:t>
      </w:r>
      <w:r w:rsidRPr="0039748C">
        <w:rPr>
          <w:rFonts w:eastAsia="Calibri"/>
          <w:lang w:eastAsia="cs-CZ"/>
        </w:rPr>
        <w:t xml:space="preserve">-19 v letech 2020 a 2021. Z přehledů byly tyto mimořádné dotace eliminovány a nadále s nimi nebylo nakládáno, a to vzhledem ke skutečnosti, že se jednalo o nezanedbatelnou výši finančních prostředků, která by podstatně ovlivnila celkové náklady na provoz sociálních služeb.  </w:t>
      </w:r>
    </w:p>
    <w:p w:rsidR="00AF4350" w:rsidRPr="0039748C" w:rsidRDefault="00AF4350" w:rsidP="00A34764">
      <w:pPr>
        <w:pStyle w:val="Nadpis3"/>
      </w:pPr>
      <w:bookmarkStart w:id="139" w:name="_Toc117606981"/>
      <w:r w:rsidRPr="0039748C">
        <w:t>Zdroje financování</w:t>
      </w:r>
      <w:bookmarkEnd w:id="139"/>
      <w:r w:rsidRPr="0039748C">
        <w:t xml:space="preserve"> </w:t>
      </w:r>
    </w:p>
    <w:p w:rsidR="00AF4350" w:rsidRPr="0039748C" w:rsidRDefault="00AF4350" w:rsidP="00A34764">
      <w:pPr>
        <w:rPr>
          <w:rFonts w:eastAsia="Arial Unicode MS"/>
          <w:lang w:eastAsia="cs-CZ"/>
        </w:rPr>
      </w:pPr>
      <w:r w:rsidRPr="0039748C">
        <w:rPr>
          <w:rFonts w:eastAsia="Calibri"/>
          <w:lang w:eastAsia="cs-CZ"/>
        </w:rPr>
        <w:t xml:space="preserve">Financování sociálních služeb je v teorii (a rovněž je tomu tak i v praxi, neboť finanční zdroje ze státního rozpočtu nepokryjí veškeré náklady) označováno za vícezdrojové. </w:t>
      </w:r>
      <w:r w:rsidRPr="0039748C">
        <w:rPr>
          <w:rFonts w:eastAsia="Arial Unicode MS"/>
          <w:lang w:eastAsia="cs-CZ"/>
        </w:rPr>
        <w:t xml:space="preserve">Sociální služby jsou financovány prostřednictvím úhrad od uživatelů, z veřejného zdravotního pojištění (zejména u služeb sociální péče), ze strukturálních fondů EU a z veřejných rozpočtů, které jsou zcela zásadním zdrojem financování služeb. Rámcové schéma financování sociálních služeb je uveden na </w:t>
      </w:r>
      <w:r>
        <w:rPr>
          <w:rFonts w:eastAsia="Arial Unicode MS"/>
          <w:lang w:eastAsia="cs-CZ"/>
        </w:rPr>
        <w:t xml:space="preserve">následujícím </w:t>
      </w:r>
      <w:r w:rsidRPr="0039748C">
        <w:rPr>
          <w:rFonts w:eastAsia="Arial Unicode MS"/>
          <w:lang w:eastAsia="cs-CZ"/>
        </w:rPr>
        <w:t>obrázku.</w:t>
      </w:r>
    </w:p>
    <w:p w:rsidR="00AF4350" w:rsidRDefault="00AF4350" w:rsidP="00A34764">
      <w:pPr>
        <w:pStyle w:val="Titulek"/>
      </w:pPr>
      <w:bookmarkStart w:id="140" w:name="_Toc117607024"/>
      <w:r>
        <w:lastRenderedPageBreak/>
        <w:t xml:space="preserve">Obrázek </w:t>
      </w:r>
      <w:r w:rsidR="00C140D0">
        <w:rPr>
          <w:noProof/>
        </w:rPr>
        <w:fldChar w:fldCharType="begin"/>
      </w:r>
      <w:r w:rsidR="00C140D0">
        <w:rPr>
          <w:noProof/>
        </w:rPr>
        <w:instrText xml:space="preserve"> SEQ Obrázek \* ARABIC </w:instrText>
      </w:r>
      <w:r w:rsidR="00C140D0">
        <w:rPr>
          <w:noProof/>
        </w:rPr>
        <w:fldChar w:fldCharType="separate"/>
      </w:r>
      <w:r w:rsidR="003A12AF">
        <w:rPr>
          <w:noProof/>
        </w:rPr>
        <w:t>4</w:t>
      </w:r>
      <w:r w:rsidR="00C140D0">
        <w:rPr>
          <w:noProof/>
        </w:rPr>
        <w:fldChar w:fldCharType="end"/>
      </w:r>
      <w:r>
        <w:t xml:space="preserve">: </w:t>
      </w:r>
      <w:r w:rsidRPr="0090597A">
        <w:t>Schéma financování sociálních služeb</w:t>
      </w:r>
      <w:bookmarkEnd w:id="140"/>
    </w:p>
    <w:p w:rsidR="00AF4350" w:rsidRPr="0039748C" w:rsidRDefault="00AF4350" w:rsidP="00A34764">
      <w:pPr>
        <w:rPr>
          <w:rFonts w:eastAsia="Arial Unicode MS" w:cs="Segoe UI"/>
          <w:szCs w:val="20"/>
          <w:lang w:eastAsia="cs-CZ"/>
        </w:rPr>
      </w:pPr>
      <w:r w:rsidRPr="0039748C">
        <w:rPr>
          <w:noProof/>
          <w:lang w:eastAsia="cs-CZ"/>
        </w:rPr>
        <w:drawing>
          <wp:inline distT="0" distB="0" distL="0" distR="0" wp14:anchorId="7E0F1560" wp14:editId="054C5987">
            <wp:extent cx="5760597" cy="7603066"/>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98779" cy="7653461"/>
                    </a:xfrm>
                    <a:prstGeom prst="rect">
                      <a:avLst/>
                    </a:prstGeom>
                  </pic:spPr>
                </pic:pic>
              </a:graphicData>
            </a:graphic>
          </wp:inline>
        </w:drawing>
      </w:r>
    </w:p>
    <w:p w:rsidR="00AF4350" w:rsidRPr="0039748C" w:rsidRDefault="00AF4350" w:rsidP="00A34764">
      <w:pPr>
        <w:rPr>
          <w:rFonts w:eastAsia="Calibri"/>
          <w:lang w:eastAsia="cs-CZ"/>
        </w:rPr>
      </w:pPr>
      <w:r w:rsidRPr="0039748C">
        <w:rPr>
          <w:rFonts w:eastAsia="Calibri"/>
          <w:lang w:eastAsia="cs-CZ"/>
        </w:rPr>
        <w:t>V žádném právním předpise se o „vícezdrojovém“ způsobu finančního zajištění sociálních služeb nehovoří. Část šestá zákona o sociálních službách, která definuje financování sociálních služeb (jako jediný zákon řešící v právním řádu České republiky financování sociálních služeb), systém vícezdrojového financování výslovně nezmiňuje (a to ani tak, že by tento princip vyjadřoval jinými slovy).</w:t>
      </w:r>
    </w:p>
    <w:p w:rsidR="00AF4350" w:rsidRPr="0039748C" w:rsidRDefault="00AF4350" w:rsidP="00A34764">
      <w:pPr>
        <w:rPr>
          <w:rFonts w:eastAsia="Arial Unicode MS"/>
          <w:lang w:eastAsia="cs-CZ"/>
        </w:rPr>
      </w:pPr>
      <w:r w:rsidRPr="0039748C">
        <w:rPr>
          <w:rFonts w:eastAsia="Arial Unicode MS"/>
          <w:lang w:eastAsia="cs-CZ"/>
        </w:rPr>
        <w:lastRenderedPageBreak/>
        <w:t xml:space="preserve">Bezesporu nejvýznamnějším veřejným zdrojem financování je účelová dotace na zajištění sociálních služeb poskytnutá krajům a hlavnímu městu Praze ze státního rozpočtu na základě zákona o sociálních službách. Tato účelová dotace je určena na financování běžných výdajů související s poskytováním základních druhů a forem sociálních služeb v rozsahu stanoveném základními činnostmi u jednotlivých druhů sociálních služeb. V OK je tato dotace přerozdělována prostřednictvím Programu finanční podpory poskytování sociálních služeb v Olomouckém kraji (dále jen „Program“), Podprogramu č. 1. </w:t>
      </w:r>
    </w:p>
    <w:p w:rsidR="00AF4350" w:rsidRPr="0039748C" w:rsidRDefault="00AF4350" w:rsidP="00A34764">
      <w:pPr>
        <w:rPr>
          <w:rFonts w:eastAsia="Arial Unicode MS"/>
          <w:lang w:eastAsia="cs-CZ"/>
        </w:rPr>
      </w:pPr>
      <w:r w:rsidRPr="0039748C">
        <w:rPr>
          <w:rFonts w:eastAsia="Arial Unicode MS"/>
          <w:lang w:eastAsia="cs-CZ"/>
        </w:rPr>
        <w:t xml:space="preserve">Dalším z neopomenutelných zdrojů financování sociálních služeb jsou finanční prostředky z rozpočtů municipalit, které poskytují příspěvek zřizovatele svým zřizovaným organizacím na základě zákona č. 250/2000 Sb., o rozpočtových pravidlech územních rozpočtů, ve znění pozdějších předpisů, a nezřizovaným organizacím dotace prostřednictvím vyhlašovaných dotačních programů. </w:t>
      </w:r>
    </w:p>
    <w:p w:rsidR="00AF4350" w:rsidRPr="0039748C" w:rsidRDefault="00AF4350" w:rsidP="00A34764">
      <w:pPr>
        <w:rPr>
          <w:rFonts w:eastAsia="Arial Unicode MS"/>
          <w:lang w:eastAsia="cs-CZ"/>
        </w:rPr>
      </w:pPr>
      <w:r w:rsidRPr="0039748C">
        <w:rPr>
          <w:rFonts w:eastAsia="Arial Unicode MS"/>
          <w:lang w:eastAsia="cs-CZ"/>
        </w:rPr>
        <w:t xml:space="preserve">Spolufinancování sociálních služeb ze strany rozpočtů krajů a obcí vychází pouze z obecných ustanovení právních předpisů upravujících územní samosprávu, resp. z faktu, že územním samosprávným celkům je uloženo zajišťování potřeb svých občanů. U krajů uvedenou skutečnost vyjadřuje ustanovení § 1 odst. 4 zákona č. 129/2000 Sb., o krajích (krajské zřízení), ve znění pozdějších předpisů, podle kterého kraj pečuje o všestranný rozvoj svého území a o potřeby svých občanů. Obce, dle ustanovení § 35 odst. 2 zákona č  128/2000 Sb., o obcích (obecní zřízení), ve znění pozdějších předpisů, mají stanoveno pečovat v souladu s místními předpoklady a s místními zvyklostmi o vytváření podmínek pro rozvoj sociální péče a pro uspokojování potřeb svých občanů, především jde o uspokojování potřeby bydlení, ochrany a rozvoje zdraví, dopravy a spojů, potřeby informací, výchovy a vzdělávání, celkového kulturního rozvoje a ochrany veřejného pořádku. </w:t>
      </w:r>
    </w:p>
    <w:p w:rsidR="00AF4350" w:rsidRPr="0039748C" w:rsidRDefault="00AF4350" w:rsidP="00A34764">
      <w:pPr>
        <w:rPr>
          <w:rFonts w:eastAsia="Arial Unicode MS"/>
          <w:lang w:eastAsia="cs-CZ"/>
        </w:rPr>
      </w:pPr>
      <w:r w:rsidRPr="0039748C">
        <w:rPr>
          <w:rFonts w:eastAsia="Arial Unicode MS"/>
          <w:lang w:eastAsia="cs-CZ"/>
        </w:rPr>
        <w:t xml:space="preserve">Přerozdělování finančních prostředků z rozpočtu kraje je v OK administrováno prostřednictvím Podprogramů č. 2 a </w:t>
      </w:r>
      <w:r>
        <w:rPr>
          <w:rFonts w:eastAsia="Arial Unicode MS"/>
          <w:lang w:eastAsia="cs-CZ"/>
        </w:rPr>
        <w:t xml:space="preserve">č. </w:t>
      </w:r>
      <w:r w:rsidRPr="0039748C">
        <w:rPr>
          <w:rFonts w:eastAsia="Arial Unicode MS"/>
          <w:lang w:eastAsia="cs-CZ"/>
        </w:rPr>
        <w:t>3 Programu.</w:t>
      </w:r>
    </w:p>
    <w:p w:rsidR="00AF4350" w:rsidRPr="0039748C" w:rsidRDefault="00AF4350" w:rsidP="00A34764">
      <w:pPr>
        <w:rPr>
          <w:rFonts w:eastAsia="Arial Unicode MS"/>
          <w:lang w:eastAsia="cs-CZ"/>
        </w:rPr>
      </w:pPr>
      <w:r w:rsidRPr="0039748C">
        <w:rPr>
          <w:rFonts w:eastAsia="Arial Unicode MS"/>
          <w:lang w:eastAsia="cs-CZ"/>
        </w:rPr>
        <w:t xml:space="preserve">Program a jeho podprogramy budou podrobněji rozvedeny v kapitole </w:t>
      </w:r>
      <w:r w:rsidRPr="009A6D06">
        <w:rPr>
          <w:rFonts w:eastAsia="Arial Unicode MS"/>
          <w:lang w:eastAsia="cs-CZ"/>
        </w:rPr>
        <w:t>5.2.</w:t>
      </w:r>
      <w:r w:rsidRPr="0039748C">
        <w:rPr>
          <w:rFonts w:eastAsia="Arial Unicode MS"/>
          <w:lang w:eastAsia="cs-CZ"/>
        </w:rPr>
        <w:t xml:space="preserve">  </w:t>
      </w:r>
    </w:p>
    <w:p w:rsidR="00AF4350" w:rsidRPr="0039748C" w:rsidRDefault="00AF4350" w:rsidP="00A34764">
      <w:pPr>
        <w:rPr>
          <w:rFonts w:eastAsia="Arial Unicode MS"/>
          <w:lang w:eastAsia="cs-CZ"/>
        </w:rPr>
      </w:pPr>
      <w:r w:rsidRPr="0039748C">
        <w:rPr>
          <w:rFonts w:eastAsia="Arial Unicode MS"/>
          <w:lang w:eastAsia="cs-CZ"/>
        </w:rPr>
        <w:t>Dodatečným zdrojem financování jsou dary fyzických a právnických osob nebo církví, prostředky z fondů EU, případně ad hoc granty na národní úrovni, příjmy z prodeje vlastních služeb, výrobků a zboží, prostředky na podporu aktivní politiky zaměstnanosti a ostatní nezařazené příjmy.</w:t>
      </w:r>
    </w:p>
    <w:p w:rsidR="00AF4350" w:rsidRPr="0039748C" w:rsidRDefault="00AF4350" w:rsidP="00A34764">
      <w:pPr>
        <w:rPr>
          <w:rFonts w:eastAsia="Arial Unicode MS"/>
          <w:lang w:eastAsia="cs-CZ"/>
        </w:rPr>
      </w:pPr>
      <w:r w:rsidRPr="0039748C">
        <w:rPr>
          <w:rFonts w:eastAsia="Arial Unicode MS"/>
          <w:lang w:eastAsia="cs-CZ"/>
        </w:rPr>
        <w:t xml:space="preserve">Přehled zdrojů financování sociálních služeb v OK je uveden v následující tabulce a grafech. </w:t>
      </w:r>
    </w:p>
    <w:p w:rsidR="00AF4350" w:rsidRPr="0039748C" w:rsidRDefault="00AF4350" w:rsidP="002643C1">
      <w:pPr>
        <w:pStyle w:val="popistabulkySPRSS2024"/>
      </w:pPr>
      <w:bookmarkStart w:id="141" w:name="_Toc117607092"/>
      <w:r w:rsidRPr="0039748C">
        <w:t xml:space="preserve">Tabulka </w:t>
      </w:r>
      <w:r w:rsidR="00412C70">
        <w:fldChar w:fldCharType="begin"/>
      </w:r>
      <w:r w:rsidR="00412C70">
        <w:instrText xml:space="preserve"> SEQ Tabulka \* ARABIC </w:instrText>
      </w:r>
      <w:r w:rsidR="00412C70">
        <w:fldChar w:fldCharType="separate"/>
      </w:r>
      <w:r w:rsidR="003A12AF">
        <w:rPr>
          <w:noProof/>
        </w:rPr>
        <w:t>32</w:t>
      </w:r>
      <w:r w:rsidR="00412C70">
        <w:rPr>
          <w:noProof/>
        </w:rPr>
        <w:fldChar w:fldCharType="end"/>
      </w:r>
      <w:r>
        <w:t>:</w:t>
      </w:r>
      <w:r w:rsidRPr="0039748C">
        <w:t xml:space="preserve"> Přehled zdrojů financování </w:t>
      </w:r>
      <w:r>
        <w:t>sociálních služeb v letech 2019</w:t>
      </w:r>
      <w:r w:rsidRPr="0039748C">
        <w:t>–2021</w:t>
      </w:r>
      <w:bookmarkEnd w:id="141"/>
    </w:p>
    <w:tbl>
      <w:tblPr>
        <w:tblW w:w="9266" w:type="dxa"/>
        <w:tblLayout w:type="fixed"/>
        <w:tblCellMar>
          <w:left w:w="70" w:type="dxa"/>
          <w:right w:w="70" w:type="dxa"/>
        </w:tblCellMar>
        <w:tblLook w:val="04A0" w:firstRow="1" w:lastRow="0" w:firstColumn="1" w:lastColumn="0" w:noHBand="0" w:noVBand="1"/>
      </w:tblPr>
      <w:tblGrid>
        <w:gridCol w:w="633"/>
        <w:gridCol w:w="3190"/>
        <w:gridCol w:w="1105"/>
        <w:gridCol w:w="1106"/>
        <w:gridCol w:w="1106"/>
        <w:gridCol w:w="709"/>
        <w:gridCol w:w="708"/>
        <w:gridCol w:w="709"/>
      </w:tblGrid>
      <w:tr w:rsidR="002643C1" w:rsidRPr="0039748C" w:rsidTr="00191D51">
        <w:trPr>
          <w:cantSplit/>
          <w:trHeight w:val="283"/>
          <w:tblHeader/>
        </w:trPr>
        <w:tc>
          <w:tcPr>
            <w:tcW w:w="382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2643C1" w:rsidRPr="0039748C" w:rsidRDefault="002643C1" w:rsidP="00191D51">
            <w:pPr>
              <w:keepNext/>
              <w:spacing w:before="0"/>
              <w:jc w:val="center"/>
              <w:rPr>
                <w:rFonts w:cs="Segoe UI"/>
                <w:b/>
                <w:bCs/>
                <w:color w:val="000000"/>
                <w:sz w:val="18"/>
                <w:szCs w:val="18"/>
                <w:lang w:eastAsia="cs-CZ"/>
              </w:rPr>
            </w:pPr>
            <w:r w:rsidRPr="0039748C">
              <w:rPr>
                <w:rFonts w:cs="Segoe UI"/>
                <w:b/>
                <w:bCs/>
                <w:color w:val="000000"/>
                <w:sz w:val="18"/>
                <w:szCs w:val="18"/>
                <w:lang w:eastAsia="cs-CZ"/>
              </w:rPr>
              <w:t xml:space="preserve">Zdroj financování </w:t>
            </w:r>
          </w:p>
        </w:tc>
        <w:tc>
          <w:tcPr>
            <w:tcW w:w="3317"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643C1" w:rsidRPr="0039748C" w:rsidRDefault="002643C1" w:rsidP="00191D51">
            <w:pPr>
              <w:keepNext/>
              <w:spacing w:before="0"/>
              <w:jc w:val="center"/>
              <w:rPr>
                <w:rFonts w:cs="Segoe UI"/>
                <w:b/>
                <w:bCs/>
                <w:color w:val="000000"/>
                <w:sz w:val="18"/>
                <w:szCs w:val="18"/>
                <w:lang w:eastAsia="cs-CZ"/>
              </w:rPr>
            </w:pPr>
            <w:r w:rsidRPr="0039748C">
              <w:rPr>
                <w:rFonts w:cs="Segoe UI"/>
                <w:b/>
                <w:bCs/>
                <w:color w:val="000000"/>
                <w:sz w:val="18"/>
                <w:szCs w:val="18"/>
                <w:lang w:eastAsia="cs-CZ"/>
              </w:rPr>
              <w:t>Absolutně (v tis. Kč)</w:t>
            </w:r>
          </w:p>
        </w:tc>
        <w:tc>
          <w:tcPr>
            <w:tcW w:w="2126"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643C1" w:rsidRPr="0039748C" w:rsidRDefault="002643C1" w:rsidP="00191D51">
            <w:pPr>
              <w:keepNext/>
              <w:spacing w:before="0"/>
              <w:jc w:val="center"/>
              <w:rPr>
                <w:rFonts w:cs="Segoe UI"/>
                <w:b/>
                <w:bCs/>
                <w:color w:val="000000"/>
                <w:sz w:val="18"/>
                <w:szCs w:val="18"/>
                <w:lang w:eastAsia="cs-CZ"/>
              </w:rPr>
            </w:pPr>
            <w:r w:rsidRPr="0039748C">
              <w:rPr>
                <w:rFonts w:cs="Segoe UI"/>
                <w:b/>
                <w:bCs/>
                <w:color w:val="000000"/>
                <w:sz w:val="18"/>
                <w:szCs w:val="18"/>
                <w:lang w:eastAsia="cs-CZ"/>
              </w:rPr>
              <w:t>Relativně v %</w:t>
            </w:r>
          </w:p>
        </w:tc>
      </w:tr>
      <w:tr w:rsidR="00191D51" w:rsidRPr="0039748C" w:rsidTr="00191D51">
        <w:trPr>
          <w:trHeight w:val="283"/>
          <w:tblHeader/>
        </w:trPr>
        <w:tc>
          <w:tcPr>
            <w:tcW w:w="3823"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643C1" w:rsidRPr="0039748C" w:rsidRDefault="002643C1" w:rsidP="00191D51">
            <w:pPr>
              <w:keepNext/>
              <w:spacing w:before="0"/>
              <w:rPr>
                <w:rFonts w:cs="Segoe UI"/>
                <w:b/>
                <w:bCs/>
                <w:color w:val="000000"/>
                <w:sz w:val="18"/>
                <w:szCs w:val="18"/>
                <w:lang w:eastAsia="cs-CZ"/>
              </w:rPr>
            </w:pPr>
          </w:p>
        </w:tc>
        <w:tc>
          <w:tcPr>
            <w:tcW w:w="1105" w:type="dxa"/>
            <w:tcBorders>
              <w:top w:val="nil"/>
              <w:left w:val="nil"/>
              <w:bottom w:val="single" w:sz="4" w:space="0" w:color="auto"/>
              <w:right w:val="single" w:sz="4" w:space="0" w:color="auto"/>
            </w:tcBorders>
            <w:shd w:val="clear" w:color="auto" w:fill="F2F2F2" w:themeFill="background1" w:themeFillShade="F2"/>
            <w:noWrap/>
            <w:vAlign w:val="center"/>
            <w:hideMark/>
          </w:tcPr>
          <w:p w:rsidR="002643C1" w:rsidRPr="0039748C" w:rsidRDefault="002643C1" w:rsidP="00191D51">
            <w:pPr>
              <w:keepNext/>
              <w:spacing w:before="0"/>
              <w:jc w:val="center"/>
              <w:rPr>
                <w:rFonts w:cs="Segoe UI"/>
                <w:b/>
                <w:bCs/>
                <w:color w:val="000000"/>
                <w:sz w:val="18"/>
                <w:szCs w:val="18"/>
                <w:lang w:eastAsia="cs-CZ"/>
              </w:rPr>
            </w:pPr>
            <w:r w:rsidRPr="0039748C">
              <w:rPr>
                <w:rFonts w:cs="Segoe UI"/>
                <w:b/>
                <w:bCs/>
                <w:color w:val="000000"/>
                <w:sz w:val="18"/>
                <w:szCs w:val="18"/>
                <w:lang w:eastAsia="cs-CZ"/>
              </w:rPr>
              <w:t>2019</w:t>
            </w:r>
          </w:p>
        </w:tc>
        <w:tc>
          <w:tcPr>
            <w:tcW w:w="1106" w:type="dxa"/>
            <w:tcBorders>
              <w:top w:val="nil"/>
              <w:left w:val="nil"/>
              <w:bottom w:val="single" w:sz="4" w:space="0" w:color="auto"/>
              <w:right w:val="single" w:sz="4" w:space="0" w:color="auto"/>
            </w:tcBorders>
            <w:shd w:val="clear" w:color="auto" w:fill="F2F2F2" w:themeFill="background1" w:themeFillShade="F2"/>
            <w:noWrap/>
            <w:vAlign w:val="center"/>
            <w:hideMark/>
          </w:tcPr>
          <w:p w:rsidR="002643C1" w:rsidRPr="0039748C" w:rsidRDefault="002643C1" w:rsidP="00191D51">
            <w:pPr>
              <w:keepNext/>
              <w:spacing w:before="0"/>
              <w:jc w:val="center"/>
              <w:rPr>
                <w:rFonts w:cs="Segoe UI"/>
                <w:b/>
                <w:bCs/>
                <w:color w:val="000000"/>
                <w:sz w:val="18"/>
                <w:szCs w:val="18"/>
                <w:lang w:eastAsia="cs-CZ"/>
              </w:rPr>
            </w:pPr>
            <w:r w:rsidRPr="0039748C">
              <w:rPr>
                <w:rFonts w:cs="Segoe UI"/>
                <w:b/>
                <w:bCs/>
                <w:color w:val="000000"/>
                <w:sz w:val="18"/>
                <w:szCs w:val="18"/>
                <w:lang w:eastAsia="cs-CZ"/>
              </w:rPr>
              <w:t>2020</w:t>
            </w:r>
          </w:p>
        </w:tc>
        <w:tc>
          <w:tcPr>
            <w:tcW w:w="1106" w:type="dxa"/>
            <w:tcBorders>
              <w:top w:val="nil"/>
              <w:left w:val="nil"/>
              <w:bottom w:val="single" w:sz="4" w:space="0" w:color="auto"/>
              <w:right w:val="single" w:sz="4" w:space="0" w:color="auto"/>
            </w:tcBorders>
            <w:shd w:val="clear" w:color="auto" w:fill="F2F2F2" w:themeFill="background1" w:themeFillShade="F2"/>
            <w:noWrap/>
            <w:vAlign w:val="center"/>
            <w:hideMark/>
          </w:tcPr>
          <w:p w:rsidR="002643C1" w:rsidRPr="0039748C" w:rsidRDefault="002643C1" w:rsidP="00191D51">
            <w:pPr>
              <w:keepNext/>
              <w:spacing w:before="0"/>
              <w:jc w:val="center"/>
              <w:rPr>
                <w:rFonts w:cs="Segoe UI"/>
                <w:b/>
                <w:bCs/>
                <w:color w:val="000000"/>
                <w:sz w:val="18"/>
                <w:szCs w:val="18"/>
                <w:lang w:eastAsia="cs-CZ"/>
              </w:rPr>
            </w:pPr>
            <w:r w:rsidRPr="0039748C">
              <w:rPr>
                <w:rFonts w:cs="Segoe UI"/>
                <w:b/>
                <w:bCs/>
                <w:color w:val="000000"/>
                <w:sz w:val="18"/>
                <w:szCs w:val="18"/>
                <w:lang w:eastAsia="cs-CZ"/>
              </w:rPr>
              <w:t>2021</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2643C1" w:rsidRPr="0039748C" w:rsidRDefault="002643C1" w:rsidP="00191D51">
            <w:pPr>
              <w:keepNext/>
              <w:spacing w:before="0"/>
              <w:jc w:val="center"/>
              <w:rPr>
                <w:rFonts w:cs="Segoe UI"/>
                <w:b/>
                <w:bCs/>
                <w:color w:val="000000"/>
                <w:sz w:val="18"/>
                <w:szCs w:val="18"/>
                <w:lang w:eastAsia="cs-CZ"/>
              </w:rPr>
            </w:pPr>
            <w:r w:rsidRPr="0039748C">
              <w:rPr>
                <w:rFonts w:cs="Segoe UI"/>
                <w:b/>
                <w:bCs/>
                <w:color w:val="000000"/>
                <w:sz w:val="18"/>
                <w:szCs w:val="18"/>
                <w:lang w:eastAsia="cs-CZ"/>
              </w:rPr>
              <w:t>2019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rsidR="002643C1" w:rsidRPr="0039748C" w:rsidRDefault="002643C1" w:rsidP="00191D51">
            <w:pPr>
              <w:keepNext/>
              <w:spacing w:before="0"/>
              <w:jc w:val="center"/>
              <w:rPr>
                <w:rFonts w:cs="Segoe UI"/>
                <w:b/>
                <w:bCs/>
                <w:color w:val="000000"/>
                <w:sz w:val="18"/>
                <w:szCs w:val="18"/>
                <w:lang w:eastAsia="cs-CZ"/>
              </w:rPr>
            </w:pPr>
            <w:r w:rsidRPr="0039748C">
              <w:rPr>
                <w:rFonts w:cs="Segoe UI"/>
                <w:b/>
                <w:bCs/>
                <w:color w:val="000000"/>
                <w:sz w:val="18"/>
                <w:szCs w:val="18"/>
                <w:lang w:eastAsia="cs-CZ"/>
              </w:rPr>
              <w:t>2020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rsidR="002643C1" w:rsidRPr="0039748C" w:rsidRDefault="002643C1" w:rsidP="00191D51">
            <w:pPr>
              <w:keepNext/>
              <w:spacing w:before="0"/>
              <w:jc w:val="center"/>
              <w:rPr>
                <w:rFonts w:cs="Segoe UI"/>
                <w:b/>
                <w:bCs/>
                <w:color w:val="000000"/>
                <w:sz w:val="18"/>
                <w:szCs w:val="18"/>
                <w:lang w:eastAsia="cs-CZ"/>
              </w:rPr>
            </w:pPr>
            <w:r w:rsidRPr="0039748C">
              <w:rPr>
                <w:rFonts w:cs="Segoe UI"/>
                <w:b/>
                <w:bCs/>
                <w:color w:val="000000"/>
                <w:sz w:val="18"/>
                <w:szCs w:val="18"/>
                <w:lang w:eastAsia="cs-CZ"/>
              </w:rPr>
              <w:t>2021</w:t>
            </w:r>
          </w:p>
        </w:tc>
      </w:tr>
      <w:tr w:rsidR="002643C1" w:rsidRPr="0039748C" w:rsidTr="00191D51">
        <w:trPr>
          <w:cantSplit/>
          <w:trHeight w:val="283"/>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Úhrady uživatelů sociálních služeb</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635 693</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646 076</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647 789</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20,9%</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20,0%</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18,5%</w:t>
            </w:r>
          </w:p>
        </w:tc>
      </w:tr>
      <w:tr w:rsidR="002643C1" w:rsidRPr="0039748C" w:rsidTr="00191D51">
        <w:trPr>
          <w:cantSplit/>
          <w:trHeight w:val="283"/>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 xml:space="preserve">Příspěvek na péči </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416 991</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419 027</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422 863</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13,7%</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13,0%</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12,0%</w:t>
            </w:r>
          </w:p>
        </w:tc>
      </w:tr>
      <w:tr w:rsidR="002643C1" w:rsidRPr="0039748C" w:rsidTr="00191D51">
        <w:trPr>
          <w:cantSplit/>
          <w:trHeight w:val="283"/>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Veřejné zdravotní pojištění</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124 057</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144 838</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187 114</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4,1%</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4,5%</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5,3%</w:t>
            </w:r>
          </w:p>
        </w:tc>
      </w:tr>
      <w:tr w:rsidR="002643C1" w:rsidRPr="0039748C" w:rsidTr="00191D51">
        <w:trPr>
          <w:cantSplit/>
          <w:trHeight w:val="283"/>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b/>
                <w:bCs/>
                <w:color w:val="000000"/>
                <w:sz w:val="18"/>
                <w:szCs w:val="18"/>
                <w:lang w:eastAsia="cs-CZ"/>
              </w:rPr>
            </w:pPr>
            <w:r w:rsidRPr="0039748C">
              <w:rPr>
                <w:rFonts w:cs="Segoe UI"/>
                <w:b/>
                <w:bCs/>
                <w:color w:val="000000"/>
                <w:sz w:val="18"/>
                <w:szCs w:val="18"/>
                <w:lang w:eastAsia="cs-CZ"/>
              </w:rPr>
              <w:t>OK celkem</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b/>
                <w:bCs/>
                <w:color w:val="000000"/>
                <w:sz w:val="18"/>
                <w:szCs w:val="18"/>
                <w:lang w:eastAsia="cs-CZ"/>
              </w:rPr>
            </w:pPr>
            <w:r w:rsidRPr="0039748C">
              <w:rPr>
                <w:rFonts w:cs="Segoe UI"/>
                <w:b/>
                <w:bCs/>
                <w:color w:val="000000"/>
                <w:sz w:val="18"/>
                <w:szCs w:val="18"/>
                <w:lang w:eastAsia="cs-CZ"/>
              </w:rPr>
              <w:t>1 609 905</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b/>
                <w:bCs/>
                <w:color w:val="000000"/>
                <w:sz w:val="18"/>
                <w:szCs w:val="18"/>
                <w:lang w:eastAsia="cs-CZ"/>
              </w:rPr>
            </w:pPr>
            <w:r w:rsidRPr="0039748C">
              <w:rPr>
                <w:rFonts w:cs="Segoe UI"/>
                <w:b/>
                <w:bCs/>
                <w:color w:val="000000"/>
                <w:sz w:val="18"/>
                <w:szCs w:val="18"/>
                <w:lang w:eastAsia="cs-CZ"/>
              </w:rPr>
              <w:t>1 736 609</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b/>
                <w:bCs/>
                <w:color w:val="000000"/>
                <w:sz w:val="18"/>
                <w:szCs w:val="18"/>
                <w:lang w:eastAsia="cs-CZ"/>
              </w:rPr>
            </w:pPr>
            <w:r w:rsidRPr="0039748C">
              <w:rPr>
                <w:rFonts w:cs="Segoe UI"/>
                <w:b/>
                <w:bCs/>
                <w:color w:val="000000"/>
                <w:sz w:val="18"/>
                <w:szCs w:val="18"/>
                <w:lang w:eastAsia="cs-CZ"/>
              </w:rPr>
              <w:t>1 971 388</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52,9%</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53,8%</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56,2%</w:t>
            </w:r>
          </w:p>
        </w:tc>
      </w:tr>
      <w:tr w:rsidR="002643C1" w:rsidRPr="0039748C" w:rsidTr="00191D51">
        <w:trPr>
          <w:cantSplit/>
          <w:trHeight w:val="283"/>
        </w:trPr>
        <w:tc>
          <w:tcPr>
            <w:tcW w:w="63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z toho</w:t>
            </w:r>
          </w:p>
        </w:tc>
        <w:tc>
          <w:tcPr>
            <w:tcW w:w="3190"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Program, Podprogram č. 1</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1 247 611</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1 371 897</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191D51" w:rsidP="00191D51">
            <w:pPr>
              <w:keepNext/>
              <w:spacing w:before="0"/>
              <w:jc w:val="right"/>
              <w:rPr>
                <w:rFonts w:cs="Segoe UI"/>
                <w:color w:val="000000"/>
                <w:sz w:val="18"/>
                <w:szCs w:val="18"/>
                <w:lang w:eastAsia="cs-CZ"/>
              </w:rPr>
            </w:pPr>
            <w:r>
              <w:rPr>
                <w:rFonts w:cs="Segoe UI"/>
                <w:color w:val="000000"/>
                <w:sz w:val="18"/>
                <w:szCs w:val="18"/>
                <w:lang w:eastAsia="cs-CZ"/>
              </w:rPr>
              <w:t>1 623 678</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41,0%</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42,5%</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46,3%</w:t>
            </w:r>
          </w:p>
        </w:tc>
      </w:tr>
      <w:tr w:rsidR="002643C1" w:rsidRPr="0039748C" w:rsidTr="00191D51">
        <w:trPr>
          <w:trHeight w:val="283"/>
        </w:trPr>
        <w:tc>
          <w:tcPr>
            <w:tcW w:w="633" w:type="dxa"/>
            <w:vMerge/>
            <w:tcBorders>
              <w:top w:val="nil"/>
              <w:left w:val="single" w:sz="4" w:space="0" w:color="auto"/>
              <w:bottom w:val="single" w:sz="4" w:space="0" w:color="auto"/>
              <w:right w:val="single" w:sz="4" w:space="0" w:color="auto"/>
            </w:tcBorders>
            <w:vAlign w:val="center"/>
            <w:hideMark/>
          </w:tcPr>
          <w:p w:rsidR="002643C1" w:rsidRPr="0039748C" w:rsidRDefault="002643C1" w:rsidP="00191D51">
            <w:pPr>
              <w:keepNext/>
              <w:spacing w:before="0"/>
              <w:jc w:val="left"/>
              <w:rPr>
                <w:rFonts w:cs="Segoe UI"/>
                <w:color w:val="000000"/>
                <w:sz w:val="18"/>
                <w:szCs w:val="18"/>
                <w:lang w:eastAsia="cs-CZ"/>
              </w:rPr>
            </w:pPr>
          </w:p>
        </w:tc>
        <w:tc>
          <w:tcPr>
            <w:tcW w:w="3190"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Program, Podprogram č. 2</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68 577</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42 506</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191D51" w:rsidP="00191D51">
            <w:pPr>
              <w:keepNext/>
              <w:spacing w:before="0"/>
              <w:jc w:val="right"/>
              <w:rPr>
                <w:rFonts w:cs="Segoe UI"/>
                <w:color w:val="000000"/>
                <w:sz w:val="18"/>
                <w:szCs w:val="18"/>
                <w:lang w:eastAsia="cs-CZ"/>
              </w:rPr>
            </w:pPr>
            <w:r>
              <w:rPr>
                <w:rFonts w:cs="Segoe UI"/>
                <w:color w:val="000000"/>
                <w:sz w:val="18"/>
                <w:szCs w:val="18"/>
                <w:lang w:eastAsia="cs-CZ"/>
              </w:rPr>
              <w:t>39 844 tis</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2,3%</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1,3%</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1,1%</w:t>
            </w:r>
          </w:p>
        </w:tc>
      </w:tr>
      <w:tr w:rsidR="002643C1" w:rsidRPr="0039748C" w:rsidTr="00191D51">
        <w:trPr>
          <w:trHeight w:val="283"/>
        </w:trPr>
        <w:tc>
          <w:tcPr>
            <w:tcW w:w="633" w:type="dxa"/>
            <w:vMerge/>
            <w:tcBorders>
              <w:top w:val="nil"/>
              <w:left w:val="single" w:sz="4" w:space="0" w:color="auto"/>
              <w:bottom w:val="single" w:sz="4" w:space="0" w:color="auto"/>
              <w:right w:val="single" w:sz="4" w:space="0" w:color="auto"/>
            </w:tcBorders>
            <w:vAlign w:val="center"/>
            <w:hideMark/>
          </w:tcPr>
          <w:p w:rsidR="002643C1" w:rsidRPr="0039748C" w:rsidRDefault="002643C1" w:rsidP="00191D51">
            <w:pPr>
              <w:keepNext/>
              <w:spacing w:before="0"/>
              <w:jc w:val="left"/>
              <w:rPr>
                <w:rFonts w:cs="Segoe UI"/>
                <w:color w:val="000000"/>
                <w:sz w:val="18"/>
                <w:szCs w:val="18"/>
                <w:lang w:eastAsia="cs-CZ"/>
              </w:rPr>
            </w:pPr>
          </w:p>
        </w:tc>
        <w:tc>
          <w:tcPr>
            <w:tcW w:w="3190"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Program, Podprogram č. 3</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293 717</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322 206</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191D51" w:rsidP="00191D51">
            <w:pPr>
              <w:keepNext/>
              <w:spacing w:before="0"/>
              <w:jc w:val="right"/>
              <w:rPr>
                <w:rFonts w:cs="Segoe UI"/>
                <w:color w:val="000000"/>
                <w:sz w:val="18"/>
                <w:szCs w:val="18"/>
                <w:lang w:eastAsia="cs-CZ"/>
              </w:rPr>
            </w:pPr>
            <w:r>
              <w:rPr>
                <w:rFonts w:cs="Segoe UI"/>
                <w:color w:val="000000"/>
                <w:sz w:val="18"/>
                <w:szCs w:val="18"/>
                <w:lang w:eastAsia="cs-CZ"/>
              </w:rPr>
              <w:t>307 865</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9,6%</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10,0%</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8,8%</w:t>
            </w:r>
          </w:p>
        </w:tc>
      </w:tr>
      <w:tr w:rsidR="002643C1" w:rsidRPr="0039748C" w:rsidTr="00191D51">
        <w:trPr>
          <w:cantSplit/>
          <w:trHeight w:val="283"/>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b/>
                <w:bCs/>
                <w:color w:val="000000"/>
                <w:sz w:val="18"/>
                <w:szCs w:val="18"/>
                <w:lang w:eastAsia="cs-CZ"/>
              </w:rPr>
            </w:pPr>
            <w:r w:rsidRPr="0039748C">
              <w:rPr>
                <w:rFonts w:cs="Segoe UI"/>
                <w:b/>
                <w:bCs/>
                <w:color w:val="000000"/>
                <w:sz w:val="18"/>
                <w:szCs w:val="18"/>
                <w:lang w:eastAsia="cs-CZ"/>
              </w:rPr>
              <w:t>Obce celkem</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b/>
                <w:bCs/>
                <w:color w:val="000000"/>
                <w:sz w:val="18"/>
                <w:szCs w:val="18"/>
                <w:lang w:eastAsia="cs-CZ"/>
              </w:rPr>
            </w:pPr>
            <w:r w:rsidRPr="0039748C">
              <w:rPr>
                <w:rFonts w:cs="Segoe UI"/>
                <w:b/>
                <w:bCs/>
                <w:color w:val="000000"/>
                <w:sz w:val="18"/>
                <w:szCs w:val="18"/>
                <w:lang w:eastAsia="cs-CZ"/>
              </w:rPr>
              <w:t>88 651</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b/>
                <w:bCs/>
                <w:color w:val="000000"/>
                <w:sz w:val="18"/>
                <w:szCs w:val="18"/>
                <w:lang w:eastAsia="cs-CZ"/>
              </w:rPr>
            </w:pPr>
            <w:r w:rsidRPr="0039748C">
              <w:rPr>
                <w:rFonts w:cs="Segoe UI"/>
                <w:b/>
                <w:bCs/>
                <w:color w:val="000000"/>
                <w:sz w:val="18"/>
                <w:szCs w:val="18"/>
                <w:lang w:eastAsia="cs-CZ"/>
              </w:rPr>
              <w:t>87 354</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b/>
                <w:bCs/>
                <w:color w:val="000000"/>
                <w:sz w:val="18"/>
                <w:szCs w:val="18"/>
                <w:lang w:eastAsia="cs-CZ"/>
              </w:rPr>
            </w:pPr>
            <w:r w:rsidRPr="0039748C">
              <w:rPr>
                <w:rFonts w:cs="Segoe UI"/>
                <w:b/>
                <w:bCs/>
                <w:color w:val="000000"/>
                <w:sz w:val="18"/>
                <w:szCs w:val="18"/>
                <w:lang w:eastAsia="cs-CZ"/>
              </w:rPr>
              <w:t>92 972</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2,9%</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2,7%</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2,6%</w:t>
            </w:r>
          </w:p>
        </w:tc>
      </w:tr>
      <w:tr w:rsidR="002643C1" w:rsidRPr="0039748C" w:rsidTr="00191D51">
        <w:trPr>
          <w:cantSplit/>
          <w:trHeight w:val="283"/>
        </w:trPr>
        <w:tc>
          <w:tcPr>
            <w:tcW w:w="63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z toho</w:t>
            </w:r>
          </w:p>
        </w:tc>
        <w:tc>
          <w:tcPr>
            <w:tcW w:w="3190"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Plnění zřizovatelských funkcí obcí</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58 021</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54 689</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191D51" w:rsidP="00191D51">
            <w:pPr>
              <w:keepNext/>
              <w:spacing w:before="0"/>
              <w:jc w:val="right"/>
              <w:rPr>
                <w:rFonts w:cs="Segoe UI"/>
                <w:color w:val="000000"/>
                <w:sz w:val="18"/>
                <w:szCs w:val="18"/>
                <w:lang w:eastAsia="cs-CZ"/>
              </w:rPr>
            </w:pPr>
            <w:r>
              <w:rPr>
                <w:rFonts w:cs="Segoe UI"/>
                <w:color w:val="000000"/>
                <w:sz w:val="18"/>
                <w:szCs w:val="18"/>
                <w:lang w:eastAsia="cs-CZ"/>
              </w:rPr>
              <w:t>58 123</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1,9%</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1,7%</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1,7%</w:t>
            </w:r>
          </w:p>
        </w:tc>
      </w:tr>
      <w:tr w:rsidR="002643C1" w:rsidRPr="0039748C" w:rsidTr="00191D51">
        <w:trPr>
          <w:trHeight w:val="283"/>
        </w:trPr>
        <w:tc>
          <w:tcPr>
            <w:tcW w:w="633" w:type="dxa"/>
            <w:vMerge/>
            <w:tcBorders>
              <w:top w:val="nil"/>
              <w:left w:val="single" w:sz="4" w:space="0" w:color="auto"/>
              <w:bottom w:val="single" w:sz="4" w:space="0" w:color="auto"/>
              <w:right w:val="single" w:sz="4" w:space="0" w:color="auto"/>
            </w:tcBorders>
            <w:vAlign w:val="center"/>
            <w:hideMark/>
          </w:tcPr>
          <w:p w:rsidR="002643C1" w:rsidRPr="0039748C" w:rsidRDefault="002643C1" w:rsidP="00191D51">
            <w:pPr>
              <w:keepNext/>
              <w:spacing w:before="0"/>
              <w:jc w:val="left"/>
              <w:rPr>
                <w:rFonts w:cs="Segoe UI"/>
                <w:color w:val="000000"/>
                <w:sz w:val="18"/>
                <w:szCs w:val="18"/>
                <w:lang w:eastAsia="cs-CZ"/>
              </w:rPr>
            </w:pPr>
          </w:p>
        </w:tc>
        <w:tc>
          <w:tcPr>
            <w:tcW w:w="3190"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Obce (dotační programy)</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30 630</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32 666</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191D51" w:rsidP="00191D51">
            <w:pPr>
              <w:keepNext/>
              <w:spacing w:before="0"/>
              <w:jc w:val="right"/>
              <w:rPr>
                <w:rFonts w:cs="Segoe UI"/>
                <w:color w:val="000000"/>
                <w:sz w:val="18"/>
                <w:szCs w:val="18"/>
                <w:lang w:eastAsia="cs-CZ"/>
              </w:rPr>
            </w:pPr>
            <w:r>
              <w:rPr>
                <w:rFonts w:cs="Segoe UI"/>
                <w:color w:val="000000"/>
                <w:sz w:val="18"/>
                <w:szCs w:val="18"/>
                <w:lang w:eastAsia="cs-CZ"/>
              </w:rPr>
              <w:t>34 849</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1,0%</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1,0%</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1,0%</w:t>
            </w:r>
          </w:p>
        </w:tc>
      </w:tr>
      <w:tr w:rsidR="002643C1" w:rsidRPr="0039748C" w:rsidTr="00191D51">
        <w:trPr>
          <w:cantSplit/>
          <w:trHeight w:val="283"/>
        </w:trPr>
        <w:tc>
          <w:tcPr>
            <w:tcW w:w="3823"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Individuální projekt kraje</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76 265</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76 790</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74 716</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2,5%</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2,4%</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2,1%</w:t>
            </w:r>
          </w:p>
        </w:tc>
      </w:tr>
      <w:tr w:rsidR="002643C1" w:rsidRPr="0039748C" w:rsidTr="00191D51">
        <w:trPr>
          <w:trHeight w:val="283"/>
        </w:trPr>
        <w:tc>
          <w:tcPr>
            <w:tcW w:w="3823"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Zdroje EU</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11 156</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7 723</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10 700</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0,4%</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0,2%</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0,3%</w:t>
            </w:r>
          </w:p>
        </w:tc>
      </w:tr>
      <w:tr w:rsidR="002643C1" w:rsidRPr="0039748C" w:rsidTr="00191D51">
        <w:trPr>
          <w:trHeight w:val="283"/>
        </w:trPr>
        <w:tc>
          <w:tcPr>
            <w:tcW w:w="3823"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Ostatní veřejné zdroje</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30 951</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49 364</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37 383</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1,0%</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1,5%</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1,1%</w:t>
            </w:r>
          </w:p>
        </w:tc>
      </w:tr>
      <w:tr w:rsidR="002643C1" w:rsidRPr="0039748C" w:rsidTr="00191D51">
        <w:trPr>
          <w:cantSplit/>
          <w:trHeight w:val="283"/>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color w:val="000000"/>
                <w:sz w:val="18"/>
                <w:szCs w:val="18"/>
                <w:lang w:eastAsia="cs-CZ"/>
              </w:rPr>
            </w:pPr>
            <w:r w:rsidRPr="0039748C">
              <w:rPr>
                <w:rFonts w:cs="Segoe UI"/>
                <w:color w:val="000000"/>
                <w:sz w:val="18"/>
                <w:szCs w:val="18"/>
                <w:lang w:eastAsia="cs-CZ"/>
              </w:rPr>
              <w:t>Neveřejné zdroje</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50 744</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57 878</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65 025</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1,7%</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1,8%</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1,9%</w:t>
            </w:r>
          </w:p>
        </w:tc>
      </w:tr>
      <w:tr w:rsidR="002643C1" w:rsidRPr="0039748C" w:rsidTr="00191D51">
        <w:trPr>
          <w:cantSplit/>
          <w:trHeight w:val="283"/>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left"/>
              <w:rPr>
                <w:rFonts w:cs="Segoe UI"/>
                <w:b/>
                <w:bCs/>
                <w:color w:val="000000"/>
                <w:sz w:val="18"/>
                <w:szCs w:val="18"/>
                <w:lang w:eastAsia="cs-CZ"/>
              </w:rPr>
            </w:pPr>
            <w:r w:rsidRPr="0039748C">
              <w:rPr>
                <w:rFonts w:cs="Segoe UI"/>
                <w:b/>
                <w:bCs/>
                <w:color w:val="000000"/>
                <w:sz w:val="18"/>
                <w:szCs w:val="18"/>
                <w:lang w:eastAsia="cs-CZ"/>
              </w:rPr>
              <w:t>Celkem</w:t>
            </w:r>
          </w:p>
        </w:tc>
        <w:tc>
          <w:tcPr>
            <w:tcW w:w="1105"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b/>
                <w:bCs/>
                <w:color w:val="000000"/>
                <w:sz w:val="18"/>
                <w:szCs w:val="18"/>
                <w:lang w:eastAsia="cs-CZ"/>
              </w:rPr>
            </w:pPr>
            <w:r w:rsidRPr="0039748C">
              <w:rPr>
                <w:rFonts w:cs="Segoe UI"/>
                <w:b/>
                <w:bCs/>
                <w:color w:val="000000"/>
                <w:sz w:val="18"/>
                <w:szCs w:val="18"/>
                <w:lang w:eastAsia="cs-CZ"/>
              </w:rPr>
              <w:t>3 044 412</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b/>
                <w:bCs/>
                <w:color w:val="000000"/>
                <w:sz w:val="18"/>
                <w:szCs w:val="18"/>
                <w:lang w:eastAsia="cs-CZ"/>
              </w:rPr>
            </w:pPr>
            <w:r w:rsidRPr="0039748C">
              <w:rPr>
                <w:rFonts w:cs="Segoe UI"/>
                <w:b/>
                <w:bCs/>
                <w:color w:val="000000"/>
                <w:sz w:val="18"/>
                <w:szCs w:val="18"/>
                <w:lang w:eastAsia="cs-CZ"/>
              </w:rPr>
              <w:t>3 225 659</w:t>
            </w:r>
          </w:p>
        </w:tc>
        <w:tc>
          <w:tcPr>
            <w:tcW w:w="1106" w:type="dxa"/>
            <w:tcBorders>
              <w:top w:val="nil"/>
              <w:left w:val="nil"/>
              <w:bottom w:val="single" w:sz="4" w:space="0" w:color="auto"/>
              <w:right w:val="single" w:sz="4" w:space="0" w:color="auto"/>
            </w:tcBorders>
            <w:shd w:val="clear" w:color="000000" w:fill="FFFFFF"/>
            <w:noWrap/>
            <w:vAlign w:val="center"/>
            <w:hideMark/>
          </w:tcPr>
          <w:p w:rsidR="002643C1" w:rsidRPr="0039748C" w:rsidRDefault="002643C1" w:rsidP="00191D51">
            <w:pPr>
              <w:keepNext/>
              <w:spacing w:before="0"/>
              <w:jc w:val="right"/>
              <w:rPr>
                <w:rFonts w:cs="Segoe UI"/>
                <w:b/>
                <w:bCs/>
                <w:color w:val="000000"/>
                <w:sz w:val="18"/>
                <w:szCs w:val="18"/>
                <w:lang w:eastAsia="cs-CZ"/>
              </w:rPr>
            </w:pPr>
            <w:r w:rsidRPr="0039748C">
              <w:rPr>
                <w:rFonts w:cs="Segoe UI"/>
                <w:b/>
                <w:bCs/>
                <w:color w:val="000000"/>
                <w:sz w:val="18"/>
                <w:szCs w:val="18"/>
                <w:lang w:eastAsia="cs-CZ"/>
              </w:rPr>
              <w:t>3 509 951</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100%</w:t>
            </w:r>
          </w:p>
        </w:tc>
        <w:tc>
          <w:tcPr>
            <w:tcW w:w="708"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100%</w:t>
            </w:r>
          </w:p>
        </w:tc>
        <w:tc>
          <w:tcPr>
            <w:tcW w:w="709" w:type="dxa"/>
            <w:tcBorders>
              <w:top w:val="nil"/>
              <w:left w:val="nil"/>
              <w:bottom w:val="single" w:sz="4" w:space="0" w:color="auto"/>
              <w:right w:val="single" w:sz="4" w:space="0" w:color="auto"/>
            </w:tcBorders>
            <w:shd w:val="clear" w:color="000000" w:fill="FFFFFF"/>
            <w:vAlign w:val="center"/>
            <w:hideMark/>
          </w:tcPr>
          <w:p w:rsidR="002643C1" w:rsidRPr="0039748C" w:rsidRDefault="002643C1" w:rsidP="00191D51">
            <w:pPr>
              <w:keepNext/>
              <w:spacing w:before="0"/>
              <w:jc w:val="right"/>
              <w:rPr>
                <w:rFonts w:cs="Segoe UI"/>
                <w:color w:val="000000"/>
                <w:sz w:val="18"/>
                <w:szCs w:val="18"/>
                <w:lang w:eastAsia="cs-CZ"/>
              </w:rPr>
            </w:pPr>
            <w:r w:rsidRPr="0039748C">
              <w:rPr>
                <w:rFonts w:cs="Segoe UI"/>
                <w:color w:val="000000"/>
                <w:sz w:val="18"/>
                <w:szCs w:val="18"/>
                <w:lang w:eastAsia="cs-CZ"/>
              </w:rPr>
              <w:t>100%</w:t>
            </w:r>
          </w:p>
        </w:tc>
      </w:tr>
    </w:tbl>
    <w:p w:rsidR="00AF4350" w:rsidRPr="002643C1" w:rsidRDefault="00AF4350" w:rsidP="002643C1">
      <w:pPr>
        <w:pStyle w:val="Zdrojobjektu"/>
      </w:pPr>
      <w:r w:rsidRPr="002643C1">
        <w:t xml:space="preserve">Zdroj: </w:t>
      </w:r>
      <w:proofErr w:type="spellStart"/>
      <w:r w:rsidRPr="002643C1">
        <w:t>KISSoS</w:t>
      </w:r>
      <w:proofErr w:type="spellEnd"/>
      <w:r w:rsidR="00A456E8" w:rsidRPr="002643C1">
        <w:t xml:space="preserve"> (2022)</w:t>
      </w:r>
      <w:r w:rsidRPr="002643C1">
        <w:t>.</w:t>
      </w:r>
    </w:p>
    <w:p w:rsidR="00AF4350" w:rsidRPr="002643C1" w:rsidRDefault="00AF4350" w:rsidP="002643C1">
      <w:pPr>
        <w:pStyle w:val="Zdrojobjektu"/>
      </w:pPr>
      <w:r w:rsidRPr="002643C1">
        <w:t>Pozn.: Relativně – podíl hodnoty na celku.</w:t>
      </w:r>
    </w:p>
    <w:p w:rsidR="00AF4350" w:rsidRPr="0039748C" w:rsidRDefault="00AF4350" w:rsidP="002643C1">
      <w:pPr>
        <w:pStyle w:val="popistabulkySPRSS2024"/>
      </w:pPr>
      <w:bookmarkStart w:id="142" w:name="_Toc117607049"/>
      <w:r w:rsidRPr="0039748C">
        <w:lastRenderedPageBreak/>
        <w:t xml:space="preserve">Graf </w:t>
      </w:r>
      <w:r w:rsidR="00412C70">
        <w:fldChar w:fldCharType="begin"/>
      </w:r>
      <w:r w:rsidR="00412C70">
        <w:instrText xml:space="preserve"> SEQ Graf \* ARABIC </w:instrText>
      </w:r>
      <w:r w:rsidR="00412C70">
        <w:fldChar w:fldCharType="separate"/>
      </w:r>
      <w:r w:rsidR="003A12AF">
        <w:rPr>
          <w:noProof/>
        </w:rPr>
        <w:t>23</w:t>
      </w:r>
      <w:r w:rsidR="00412C70">
        <w:rPr>
          <w:noProof/>
        </w:rPr>
        <w:fldChar w:fldCharType="end"/>
      </w:r>
      <w:r>
        <w:rPr>
          <w:noProof/>
        </w:rPr>
        <w:t>:</w:t>
      </w:r>
      <w:r w:rsidRPr="0039748C">
        <w:t xml:space="preserve"> Podíl zdrojů financování sociálních služeb v letech 2019</w:t>
      </w:r>
      <w:r>
        <w:t>–</w:t>
      </w:r>
      <w:r w:rsidRPr="0039748C">
        <w:t>2021</w:t>
      </w:r>
      <w:bookmarkEnd w:id="142"/>
    </w:p>
    <w:p w:rsidR="00AF4350" w:rsidRPr="0039748C" w:rsidRDefault="00AF4350" w:rsidP="002643C1">
      <w:pPr>
        <w:spacing w:before="0"/>
        <w:rPr>
          <w:rFonts w:eastAsia="Arial Unicode MS"/>
          <w:lang w:eastAsia="cs-CZ"/>
        </w:rPr>
      </w:pPr>
      <w:r w:rsidRPr="0039748C">
        <w:rPr>
          <w:rFonts w:eastAsia="Arial Unicode MS"/>
          <w:noProof/>
          <w:lang w:eastAsia="cs-CZ"/>
        </w:rPr>
        <w:drawing>
          <wp:inline distT="0" distB="0" distL="0" distR="0" wp14:anchorId="4ABFD404" wp14:editId="3C356922">
            <wp:extent cx="5762962" cy="4166559"/>
            <wp:effectExtent l="0" t="0" r="0" b="571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4153" cy="4174650"/>
                    </a:xfrm>
                    <a:prstGeom prst="rect">
                      <a:avLst/>
                    </a:prstGeom>
                    <a:noFill/>
                  </pic:spPr>
                </pic:pic>
              </a:graphicData>
            </a:graphic>
          </wp:inline>
        </w:drawing>
      </w:r>
    </w:p>
    <w:p w:rsidR="00AF4350" w:rsidRPr="0039748C" w:rsidRDefault="00AF4350" w:rsidP="002643C1">
      <w:pPr>
        <w:pStyle w:val="Zdrojobjektu"/>
        <w:rPr>
          <w:rFonts w:eastAsia="Calibri"/>
          <w:bCs/>
          <w:sz w:val="16"/>
          <w:szCs w:val="18"/>
        </w:rPr>
      </w:pPr>
      <w:r w:rsidRPr="0039748C">
        <w:t xml:space="preserve">Zdroj: </w:t>
      </w:r>
      <w:proofErr w:type="spellStart"/>
      <w:r w:rsidRPr="0039748C">
        <w:t>KISSoS</w:t>
      </w:r>
      <w:proofErr w:type="spellEnd"/>
      <w:r w:rsidR="00A456E8">
        <w:t xml:space="preserve"> (2022)</w:t>
      </w:r>
      <w:r w:rsidR="00186257">
        <w:t>.</w:t>
      </w:r>
    </w:p>
    <w:p w:rsidR="00AF4350" w:rsidRDefault="00AF4350" w:rsidP="00A34764"/>
    <w:p w:rsidR="00AF4350" w:rsidRPr="0039748C" w:rsidRDefault="00AF4350" w:rsidP="002643C1">
      <w:pPr>
        <w:pStyle w:val="Tun"/>
      </w:pPr>
      <w:r w:rsidRPr="0039748C">
        <w:t>Shrnutí:</w:t>
      </w:r>
    </w:p>
    <w:p w:rsidR="00AF4350" w:rsidRPr="0039748C" w:rsidRDefault="00AF4350" w:rsidP="00A34764">
      <w:pPr>
        <w:rPr>
          <w:rFonts w:eastAsia="Arial Unicode MS"/>
          <w:lang w:eastAsia="cs-CZ"/>
        </w:rPr>
      </w:pPr>
      <w:r w:rsidRPr="0039748C">
        <w:rPr>
          <w:rFonts w:eastAsia="Arial Unicode MS"/>
          <w:lang w:eastAsia="cs-CZ"/>
        </w:rPr>
        <w:t xml:space="preserve">Struktura výnosů sociálních služeb se meziročně mírně mění s ohledem na výši příjmů z jednotlivých uvedených oblastí a další vlivy, které mají dopad na situaci v sociálních službách. </w:t>
      </w:r>
    </w:p>
    <w:p w:rsidR="00AF4350" w:rsidRPr="0039748C" w:rsidRDefault="00AF4350" w:rsidP="00A34764">
      <w:pPr>
        <w:rPr>
          <w:rFonts w:eastAsia="Arial Unicode MS"/>
          <w:lang w:eastAsia="cs-CZ"/>
        </w:rPr>
      </w:pPr>
      <w:r w:rsidRPr="0039748C">
        <w:rPr>
          <w:rFonts w:eastAsia="Arial Unicode MS"/>
          <w:lang w:eastAsia="cs-CZ"/>
        </w:rPr>
        <w:t>V uvedeném období došlo ke zvýšení výno</w:t>
      </w:r>
      <w:r>
        <w:rPr>
          <w:rFonts w:eastAsia="Arial Unicode MS"/>
          <w:lang w:eastAsia="cs-CZ"/>
        </w:rPr>
        <w:t>sů (a potažmo nákladů) služeb. M</w:t>
      </w:r>
      <w:r w:rsidRPr="0039748C">
        <w:rPr>
          <w:rFonts w:eastAsia="Arial Unicode MS"/>
          <w:lang w:eastAsia="cs-CZ"/>
        </w:rPr>
        <w:t xml:space="preserve">ezi </w:t>
      </w:r>
      <w:r>
        <w:rPr>
          <w:rFonts w:eastAsia="Arial Unicode MS"/>
          <w:lang w:eastAsia="cs-CZ"/>
        </w:rPr>
        <w:t>roky</w:t>
      </w:r>
      <w:r w:rsidRPr="0039748C">
        <w:rPr>
          <w:rFonts w:eastAsia="Arial Unicode MS"/>
          <w:lang w:eastAsia="cs-CZ"/>
        </w:rPr>
        <w:t xml:space="preserve"> 2019 a 2021 se jednalo celkem o 465 538 tis. Kč. I přes meziroční zvýšení výnosů služeb v absolutních číslech se však snížil procentní podíl zdrojů plynoucích z úhrad od uživatelů služeb na celkových výnosech služeb. Tento trend pokračuje již dlouhodobě a je determinován nejen zvyšujícími se náklady sociálních služeb, ale rovněž skutečností, že úhrady za poskytnuté sociální služby prostřednictvím Vyhlášky </w:t>
      </w:r>
      <w:r w:rsidR="00DF44B9">
        <w:rPr>
          <w:rFonts w:eastAsia="Arial Unicode MS"/>
          <w:lang w:eastAsia="cs-CZ"/>
        </w:rPr>
        <w:t xml:space="preserve">č. </w:t>
      </w:r>
      <w:r w:rsidRPr="0039748C">
        <w:rPr>
          <w:rFonts w:eastAsia="Arial Unicode MS"/>
          <w:lang w:eastAsia="cs-CZ"/>
        </w:rPr>
        <w:t xml:space="preserve">387/2017 Sb., jejímž cílem je ochrana uživatelů sociálních služeb před stanovením nepřiměřené výše úhrady s ohledem na jejich nepříznivou sociální situaci, nejsou pravidelně valorizovány, a to v souvislosti s výši starobních a invalidních důchodů, při zohlednění dalších socioekonomických vlivů ve společnosti.  </w:t>
      </w:r>
    </w:p>
    <w:p w:rsidR="00AF4350" w:rsidRPr="0039748C" w:rsidRDefault="00AF4350" w:rsidP="00A34764">
      <w:pPr>
        <w:rPr>
          <w:rFonts w:eastAsia="Arial Unicode MS"/>
          <w:lang w:eastAsia="cs-CZ"/>
        </w:rPr>
      </w:pPr>
      <w:r w:rsidRPr="0039748C">
        <w:rPr>
          <w:rFonts w:eastAsia="Arial Unicode MS"/>
          <w:lang w:eastAsia="cs-CZ"/>
        </w:rPr>
        <w:t>Na celkových výnosech služeb se rovněž meziročně snižuje procentní podíl výnosů z příspěvku na péči upraveného zákonem o sociálních službách, který je určen osobám, které z důvodu dlouhodobě nepříznivého zdravotního stavu potřebují pomoc jiné fyzické osoby při zvládání základních životních potřeb v rozsahu stanoveném stupněm závislosti; tato skutečnost, obdobně jako</w:t>
      </w:r>
      <w:r>
        <w:rPr>
          <w:rFonts w:eastAsia="Arial Unicode MS"/>
          <w:lang w:eastAsia="cs-CZ"/>
        </w:rPr>
        <w:t xml:space="preserve"> u zdroje úhrady od uživatelů, </w:t>
      </w:r>
      <w:r w:rsidRPr="0039748C">
        <w:rPr>
          <w:rFonts w:eastAsia="Arial Unicode MS"/>
          <w:lang w:eastAsia="cs-CZ"/>
        </w:rPr>
        <w:t>souvisí s výší příspěvku na péči určenou zákonem o sociálních službách.</w:t>
      </w:r>
    </w:p>
    <w:p w:rsidR="00AF4350" w:rsidRPr="0039748C" w:rsidRDefault="00AF4350" w:rsidP="00A34764">
      <w:pPr>
        <w:rPr>
          <w:rFonts w:eastAsia="Arial Unicode MS"/>
          <w:lang w:eastAsia="cs-CZ"/>
        </w:rPr>
      </w:pPr>
      <w:r w:rsidRPr="0039748C">
        <w:rPr>
          <w:rFonts w:eastAsia="Arial Unicode MS"/>
          <w:lang w:eastAsia="cs-CZ"/>
        </w:rPr>
        <w:t>Podíl výnosů z veřejného zdravotního pojištění se vzhledem k celkovým výnosům služeb v jednotlivých sledovaných letech mírně zvýšil; na tento trend může mít vliv hned několik skutečností, a to např. zhoršující se zdravotní stav uživatelů sociálních služeb, ale rovněž vlivy pandemie onemocněn</w:t>
      </w:r>
      <w:r>
        <w:rPr>
          <w:rFonts w:eastAsia="Arial Unicode MS"/>
          <w:lang w:eastAsia="cs-CZ"/>
        </w:rPr>
        <w:t>í</w:t>
      </w:r>
      <w:r w:rsidRPr="0039748C">
        <w:rPr>
          <w:rFonts w:eastAsia="Arial Unicode MS"/>
          <w:lang w:eastAsia="cs-CZ"/>
        </w:rPr>
        <w:t xml:space="preserve"> </w:t>
      </w:r>
      <w:r>
        <w:rPr>
          <w:rFonts w:eastAsia="Arial Unicode MS"/>
          <w:lang w:eastAsia="cs-CZ"/>
        </w:rPr>
        <w:t>COVID</w:t>
      </w:r>
      <w:r w:rsidRPr="0039748C">
        <w:rPr>
          <w:rFonts w:eastAsia="Arial Unicode MS"/>
          <w:lang w:eastAsia="cs-CZ"/>
        </w:rPr>
        <w:t>-19. Je však nutno uvést, že v letech 2014</w:t>
      </w:r>
      <w:r>
        <w:rPr>
          <w:rFonts w:eastAsia="Arial Unicode MS"/>
          <w:lang w:eastAsia="cs-CZ"/>
        </w:rPr>
        <w:t>–</w:t>
      </w:r>
      <w:r w:rsidRPr="0039748C">
        <w:rPr>
          <w:rFonts w:eastAsia="Arial Unicode MS"/>
          <w:lang w:eastAsia="cs-CZ"/>
        </w:rPr>
        <w:t xml:space="preserve">2015 realizoval VÚPSV, </w:t>
      </w:r>
      <w:proofErr w:type="spellStart"/>
      <w:proofErr w:type="gramStart"/>
      <w:r w:rsidRPr="0039748C">
        <w:rPr>
          <w:rFonts w:eastAsia="Arial Unicode MS"/>
          <w:lang w:eastAsia="cs-CZ"/>
        </w:rPr>
        <w:t>v.v.</w:t>
      </w:r>
      <w:proofErr w:type="gramEnd"/>
      <w:r w:rsidRPr="0039748C">
        <w:rPr>
          <w:rFonts w:eastAsia="Arial Unicode MS"/>
          <w:lang w:eastAsia="cs-CZ"/>
        </w:rPr>
        <w:t>i</w:t>
      </w:r>
      <w:proofErr w:type="spellEnd"/>
      <w:r w:rsidRPr="0039748C">
        <w:rPr>
          <w:rFonts w:eastAsia="Arial Unicode MS"/>
          <w:lang w:eastAsia="cs-CZ"/>
        </w:rPr>
        <w:t xml:space="preserve">. šetření, v jehož rámci bylo zjištěno, že úhrady zdravotních pojišťoven za poskytovanou ošetřovatelskou péči nepokrývají skutečné náklady pobytových zařízení vynaložené na zajištění této péče. V těchto zařízeních tak dochází dlouhodobě ke </w:t>
      </w:r>
      <w:r w:rsidRPr="0039748C">
        <w:rPr>
          <w:rFonts w:eastAsia="Arial Unicode MS"/>
          <w:lang w:eastAsia="cs-CZ"/>
        </w:rPr>
        <w:lastRenderedPageBreak/>
        <w:t>skrytému financování zdravotní péče z jiných zdrojů, pravděpodobně z příspěvků poskytovaných jejich zřizovateli.</w:t>
      </w:r>
    </w:p>
    <w:p w:rsidR="00AF4350" w:rsidRPr="0039748C" w:rsidRDefault="00AF4350" w:rsidP="00A34764">
      <w:pPr>
        <w:rPr>
          <w:rFonts w:eastAsia="Arial Unicode MS"/>
          <w:lang w:eastAsia="cs-CZ"/>
        </w:rPr>
      </w:pPr>
      <w:r w:rsidRPr="0039748C">
        <w:rPr>
          <w:rFonts w:eastAsia="Arial Unicode MS"/>
          <w:lang w:eastAsia="cs-CZ"/>
        </w:rPr>
        <w:t xml:space="preserve">Rovněž se mírně zvýšil podíl dotace z MPSV na celkových výnosech služeb, a to o 5,3 procentních bodů. Na navýšení dotace ze státního rozpočtu měly vliv zejména změny v oblasti odměňování; v této oblasti došlo k několika novelám příslušných právních předpisů, na základě kterých je regulováno financování pracovníků ve veřejném sektoru. </w:t>
      </w:r>
    </w:p>
    <w:p w:rsidR="00AF4350" w:rsidRPr="0039748C" w:rsidRDefault="00AF4350" w:rsidP="00A34764">
      <w:pPr>
        <w:rPr>
          <w:rFonts w:eastAsia="Arial Unicode MS"/>
          <w:lang w:eastAsia="cs-CZ"/>
        </w:rPr>
      </w:pPr>
      <w:r w:rsidRPr="0039748C">
        <w:rPr>
          <w:rFonts w:eastAsia="Calibri"/>
          <w:lang w:eastAsia="cs-CZ"/>
        </w:rPr>
        <w:t xml:space="preserve">Výhled struktury zdrojů financování sociálních služeb na období platnosti Střednědobého plánu </w:t>
      </w:r>
      <w:r w:rsidRPr="0039748C">
        <w:rPr>
          <w:rFonts w:eastAsia="Calibri"/>
          <w:lang w:eastAsia="cs-CZ"/>
        </w:rPr>
        <w:br/>
        <w:t>2024</w:t>
      </w:r>
      <w:r>
        <w:rPr>
          <w:rFonts w:eastAsia="Calibri"/>
          <w:lang w:eastAsia="cs-CZ"/>
        </w:rPr>
        <w:t>–</w:t>
      </w:r>
      <w:r w:rsidRPr="0039748C">
        <w:rPr>
          <w:rFonts w:eastAsia="Calibri"/>
          <w:lang w:eastAsia="cs-CZ"/>
        </w:rPr>
        <w:t xml:space="preserve">2026 </w:t>
      </w:r>
      <w:r w:rsidRPr="0039748C">
        <w:rPr>
          <w:rFonts w:eastAsia="Arial Unicode MS"/>
          <w:lang w:eastAsia="cs-CZ"/>
        </w:rPr>
        <w:t>lze v období tvorby plánu na další období predikovat značně obtížně – dle zákona o sociálních službách je sice známá výše procentního podílu kraje na celkovém ročním objemu finančních prostředků vyčleněných ve státním rozpočtu na podporu sociálních služeb pro příslušný rozpočtový rok (pro OK je to 7,81 %), není však známa výše finančních prostředků schválená ve státním rozpočtu pro danou kapitolu, ze které bude alokace pro daný kraj vypočtena</w:t>
      </w:r>
      <w:r>
        <w:rPr>
          <w:rFonts w:eastAsia="Arial Unicode MS"/>
          <w:lang w:eastAsia="cs-CZ"/>
        </w:rPr>
        <w:t>. R</w:t>
      </w:r>
      <w:r w:rsidRPr="0039748C">
        <w:rPr>
          <w:rFonts w:eastAsia="Arial Unicode MS"/>
          <w:lang w:eastAsia="cs-CZ"/>
        </w:rPr>
        <w:t>ovněž nejsou známy další proměnné – inflace, objem finančních prostředků a dotací z municipalit i ze soukromých zdrojů, změny v oblasti odměňování, změny v oblasti příspěvku na péči, úhrad od uživatelů, atd. Rovněž se již delší dobu hovoří o novele zákona o sociálních službách, která, pokud bude schválena, může přinést zásadní změny do systému financování sociálních služeb. V obecné rovině lze však konstatovat, že struktura výnosů dle zdrojů financování nedosáhne významných odchylek v letech následujících (potažmo letech platnosti tohoto střednědobého plánu).</w:t>
      </w:r>
    </w:p>
    <w:p w:rsidR="00AF4350" w:rsidRPr="0039748C" w:rsidRDefault="00AF4350" w:rsidP="00A34764">
      <w:pPr>
        <w:pStyle w:val="Nadpis3"/>
      </w:pPr>
      <w:bookmarkStart w:id="143" w:name="_Toc117606982"/>
      <w:r w:rsidRPr="0039748C">
        <w:t>Náklady sociálních služeb</w:t>
      </w:r>
      <w:bookmarkEnd w:id="143"/>
    </w:p>
    <w:p w:rsidR="00AF4350" w:rsidRPr="0039748C" w:rsidRDefault="00AF4350" w:rsidP="00A34764">
      <w:r w:rsidRPr="0039748C">
        <w:rPr>
          <w:rFonts w:eastAsia="Arial Unicode MS"/>
          <w:lang w:eastAsia="cs-CZ"/>
        </w:rPr>
        <w:t xml:space="preserve">Tato podkapitola si neklade za cíl prezentovat podrobný rozbor ekonomiky jednotlivých sociálních služeb; jejím cílem je poskytnout pouze rámcový přehled o struktuře nákladů sociálních služeb zařazených do sítě sociálních služeb, nákladovosti jednotlivých druhů sociálních služeb </w:t>
      </w:r>
      <w:r w:rsidRPr="0039748C">
        <w:t>a uvést základní skutečnosti, které mají přímý vliv na zvyšování nákladů sociálních služeb nad hodnoty průměrné míry inflace.</w:t>
      </w:r>
    </w:p>
    <w:p w:rsidR="00AF4350" w:rsidRPr="0039748C" w:rsidRDefault="00AF4350" w:rsidP="00A34764">
      <w:pPr>
        <w:rPr>
          <w:rFonts w:eastAsia="Calibri"/>
          <w:lang w:eastAsia="cs-CZ"/>
        </w:rPr>
      </w:pPr>
      <w:r w:rsidRPr="0039748C">
        <w:rPr>
          <w:rFonts w:eastAsia="Arial Unicode MS"/>
          <w:lang w:eastAsia="cs-CZ"/>
        </w:rPr>
        <w:t>Finanční náročnost poskytovaných sociálních služeb se od sebe liší nejen v návaznosti na druh poskytované služby, ale rovněž v rámci jednotlivých druhů – a to často dosti výrazně – v závislosti na různorodosti vstupů (sociálních podmínkách lokality, poskytování služby v historických budovách, panelových domech i novostavbách, počtu dislokovaných pracovišť, transformaci organizace, specifik cílové skupiny uživatelů, atd.), které často nelze změnit či výrazně ovlivnit a které se ve značné míře podílí na výši provozních nákladů těchto poskytovatelů. Níže uvedená tabulka uvádí celkové náklady v členění dle druhů sociálních služeb přepočtené na jednotku stanovenou pro výpočet výše dotace u jednotlivých druhů sociálních služeb – tedy na lůžko nebo přepočtené úvazky pracovníků v přímé péči. Tento rámcový přehled je možno považovat za přehled obvyklých nákladů sociálních služeb přepočtených na jednotku v daném dané období</w:t>
      </w:r>
      <w:r w:rsidRPr="0039748C">
        <w:rPr>
          <w:rFonts w:eastAsia="Calibri"/>
          <w:lang w:eastAsia="cs-CZ"/>
        </w:rPr>
        <w:t>.</w:t>
      </w:r>
    </w:p>
    <w:p w:rsidR="00AF4350" w:rsidRPr="0039748C" w:rsidRDefault="00AF4350" w:rsidP="00191D51">
      <w:pPr>
        <w:pStyle w:val="popistabulkySPRSS2024"/>
      </w:pPr>
      <w:bookmarkStart w:id="144" w:name="_Toc117607093"/>
      <w:r w:rsidRPr="0039748C">
        <w:lastRenderedPageBreak/>
        <w:t xml:space="preserve">Tabulka </w:t>
      </w:r>
      <w:r w:rsidR="00412C70">
        <w:fldChar w:fldCharType="begin"/>
      </w:r>
      <w:r w:rsidR="00412C70">
        <w:instrText xml:space="preserve"> SEQ Tabulka \* ARABIC </w:instrText>
      </w:r>
      <w:r w:rsidR="00412C70">
        <w:fldChar w:fldCharType="separate"/>
      </w:r>
      <w:r w:rsidR="003A12AF">
        <w:rPr>
          <w:noProof/>
        </w:rPr>
        <w:t>33</w:t>
      </w:r>
      <w:r w:rsidR="00412C70">
        <w:rPr>
          <w:noProof/>
        </w:rPr>
        <w:fldChar w:fldCharType="end"/>
      </w:r>
      <w:r>
        <w:t>:</w:t>
      </w:r>
      <w:r w:rsidRPr="0039748C">
        <w:t xml:space="preserve"> Rámcový přehled nákladovosti jednotlivých druhů sociálních služeb v přepočtu na jednotku</w:t>
      </w:r>
      <w:bookmarkEnd w:id="144"/>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4"/>
        <w:gridCol w:w="2006"/>
        <w:gridCol w:w="1810"/>
        <w:gridCol w:w="1563"/>
      </w:tblGrid>
      <w:tr w:rsidR="00191D51" w:rsidRPr="00191D51" w:rsidTr="00191D51">
        <w:trPr>
          <w:trHeight w:val="487"/>
          <w:tblHeader/>
        </w:trPr>
        <w:tc>
          <w:tcPr>
            <w:tcW w:w="1903" w:type="pct"/>
            <w:shd w:val="clear" w:color="auto" w:fill="F2F2F2" w:themeFill="background1" w:themeFillShade="F2"/>
            <w:vAlign w:val="center"/>
            <w:hideMark/>
          </w:tcPr>
          <w:p w:rsidR="00191D51" w:rsidRPr="00191D51" w:rsidRDefault="00191D51" w:rsidP="00191D51">
            <w:pPr>
              <w:keepNext/>
              <w:spacing w:before="0"/>
              <w:jc w:val="center"/>
              <w:rPr>
                <w:rFonts w:cs="Segoe UI"/>
                <w:b/>
                <w:color w:val="000000"/>
                <w:sz w:val="18"/>
                <w:szCs w:val="18"/>
                <w:lang w:eastAsia="cs-CZ"/>
              </w:rPr>
            </w:pPr>
            <w:r w:rsidRPr="00191D51">
              <w:rPr>
                <w:rFonts w:cs="Segoe UI"/>
                <w:b/>
                <w:color w:val="000000"/>
                <w:sz w:val="18"/>
                <w:szCs w:val="18"/>
                <w:lang w:eastAsia="cs-CZ"/>
              </w:rPr>
              <w:t>Druh služby (specifikum)/rok</w:t>
            </w:r>
          </w:p>
        </w:tc>
        <w:tc>
          <w:tcPr>
            <w:tcW w:w="1155" w:type="pct"/>
            <w:shd w:val="clear" w:color="auto" w:fill="F2F2F2" w:themeFill="background1" w:themeFillShade="F2"/>
            <w:noWrap/>
            <w:vAlign w:val="center"/>
            <w:hideMark/>
          </w:tcPr>
          <w:p w:rsidR="00191D51" w:rsidRPr="00191D51" w:rsidRDefault="00191D51" w:rsidP="00191D51">
            <w:pPr>
              <w:keepNext/>
              <w:spacing w:before="0"/>
              <w:jc w:val="center"/>
              <w:rPr>
                <w:rFonts w:cs="Segoe UI"/>
                <w:b/>
                <w:color w:val="000000"/>
                <w:sz w:val="18"/>
                <w:szCs w:val="18"/>
                <w:lang w:eastAsia="cs-CZ"/>
              </w:rPr>
            </w:pPr>
            <w:r w:rsidRPr="00191D51">
              <w:rPr>
                <w:rFonts w:cs="Segoe UI"/>
                <w:b/>
                <w:color w:val="000000"/>
                <w:sz w:val="18"/>
                <w:szCs w:val="18"/>
                <w:lang w:eastAsia="cs-CZ"/>
              </w:rPr>
              <w:t>2019</w:t>
            </w:r>
          </w:p>
        </w:tc>
        <w:tc>
          <w:tcPr>
            <w:tcW w:w="1042" w:type="pct"/>
            <w:shd w:val="clear" w:color="auto" w:fill="F2F2F2" w:themeFill="background1" w:themeFillShade="F2"/>
            <w:noWrap/>
            <w:vAlign w:val="center"/>
            <w:hideMark/>
          </w:tcPr>
          <w:p w:rsidR="00191D51" w:rsidRPr="00191D51" w:rsidRDefault="00191D51" w:rsidP="00191D51">
            <w:pPr>
              <w:keepNext/>
              <w:spacing w:before="0"/>
              <w:jc w:val="center"/>
              <w:rPr>
                <w:rFonts w:cs="Segoe UI"/>
                <w:b/>
                <w:color w:val="000000"/>
                <w:sz w:val="18"/>
                <w:szCs w:val="18"/>
                <w:lang w:eastAsia="cs-CZ"/>
              </w:rPr>
            </w:pPr>
            <w:r w:rsidRPr="00191D51">
              <w:rPr>
                <w:rFonts w:cs="Segoe UI"/>
                <w:b/>
                <w:color w:val="000000"/>
                <w:sz w:val="18"/>
                <w:szCs w:val="18"/>
                <w:lang w:eastAsia="cs-CZ"/>
              </w:rPr>
              <w:t>2020</w:t>
            </w:r>
          </w:p>
        </w:tc>
        <w:tc>
          <w:tcPr>
            <w:tcW w:w="900" w:type="pct"/>
            <w:shd w:val="clear" w:color="auto" w:fill="F2F2F2" w:themeFill="background1" w:themeFillShade="F2"/>
            <w:noWrap/>
            <w:vAlign w:val="center"/>
            <w:hideMark/>
          </w:tcPr>
          <w:p w:rsidR="00191D51" w:rsidRPr="00191D51" w:rsidRDefault="00191D51" w:rsidP="00191D51">
            <w:pPr>
              <w:keepNext/>
              <w:spacing w:before="0"/>
              <w:jc w:val="center"/>
              <w:rPr>
                <w:rFonts w:cs="Segoe UI"/>
                <w:b/>
                <w:color w:val="000000"/>
                <w:sz w:val="18"/>
                <w:szCs w:val="18"/>
                <w:lang w:eastAsia="cs-CZ"/>
              </w:rPr>
            </w:pPr>
            <w:r w:rsidRPr="00191D51">
              <w:rPr>
                <w:rFonts w:cs="Segoe UI"/>
                <w:b/>
                <w:color w:val="000000"/>
                <w:sz w:val="18"/>
                <w:szCs w:val="18"/>
                <w:lang w:eastAsia="cs-CZ"/>
              </w:rPr>
              <w:t>2021</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Azylové domy (§ 57)</w:t>
            </w:r>
          </w:p>
        </w:tc>
        <w:tc>
          <w:tcPr>
            <w:tcW w:w="1155" w:type="pct"/>
            <w:tcBorders>
              <w:top w:val="single" w:sz="4" w:space="0" w:color="auto"/>
              <w:left w:val="single" w:sz="4" w:space="0" w:color="auto"/>
              <w:bottom w:val="single" w:sz="4" w:space="0" w:color="auto"/>
              <w:right w:val="single" w:sz="4" w:space="0" w:color="auto"/>
            </w:tcBorders>
            <w:shd w:val="clear" w:color="000000" w:fill="769ED0"/>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209 340</w:t>
            </w:r>
          </w:p>
        </w:tc>
        <w:tc>
          <w:tcPr>
            <w:tcW w:w="1042" w:type="pct"/>
            <w:tcBorders>
              <w:top w:val="single" w:sz="4" w:space="0" w:color="auto"/>
              <w:left w:val="single" w:sz="4" w:space="0" w:color="auto"/>
              <w:bottom w:val="single" w:sz="4" w:space="0" w:color="auto"/>
              <w:right w:val="single" w:sz="4" w:space="0" w:color="auto"/>
            </w:tcBorders>
            <w:shd w:val="clear" w:color="000000" w:fill="779ED0"/>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212 290</w:t>
            </w:r>
          </w:p>
        </w:tc>
        <w:tc>
          <w:tcPr>
            <w:tcW w:w="900" w:type="pct"/>
            <w:tcBorders>
              <w:top w:val="single" w:sz="4" w:space="0" w:color="auto"/>
              <w:left w:val="single" w:sz="4" w:space="0" w:color="auto"/>
              <w:bottom w:val="single" w:sz="4" w:space="0" w:color="auto"/>
              <w:right w:val="single" w:sz="4" w:space="0" w:color="auto"/>
            </w:tcBorders>
            <w:shd w:val="clear" w:color="000000" w:fill="789FD0"/>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216 870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Centra denních služeb (§ 45)</w:t>
            </w:r>
          </w:p>
        </w:tc>
        <w:tc>
          <w:tcPr>
            <w:tcW w:w="1155" w:type="pct"/>
            <w:tcBorders>
              <w:top w:val="single" w:sz="4" w:space="0" w:color="auto"/>
              <w:left w:val="single" w:sz="4" w:space="0" w:color="auto"/>
              <w:bottom w:val="single" w:sz="4" w:space="0" w:color="auto"/>
              <w:right w:val="single" w:sz="4" w:space="0" w:color="auto"/>
            </w:tcBorders>
            <w:shd w:val="clear" w:color="000000" w:fill="FCE3E6"/>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749 900</w:t>
            </w:r>
          </w:p>
        </w:tc>
        <w:tc>
          <w:tcPr>
            <w:tcW w:w="1042" w:type="pct"/>
            <w:tcBorders>
              <w:top w:val="single" w:sz="4" w:space="0" w:color="auto"/>
              <w:left w:val="single" w:sz="4" w:space="0" w:color="auto"/>
              <w:bottom w:val="single" w:sz="4" w:space="0" w:color="auto"/>
              <w:right w:val="single" w:sz="4" w:space="0" w:color="auto"/>
            </w:tcBorders>
            <w:shd w:val="clear" w:color="000000" w:fill="FCEFF2"/>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721 040</w:t>
            </w:r>
          </w:p>
        </w:tc>
        <w:tc>
          <w:tcPr>
            <w:tcW w:w="900" w:type="pct"/>
            <w:tcBorders>
              <w:top w:val="single" w:sz="4" w:space="0" w:color="auto"/>
              <w:left w:val="single" w:sz="4" w:space="0" w:color="auto"/>
              <w:bottom w:val="single" w:sz="4" w:space="0" w:color="auto"/>
              <w:right w:val="single" w:sz="4" w:space="0" w:color="auto"/>
            </w:tcBorders>
            <w:shd w:val="clear" w:color="000000" w:fill="FCE0E3"/>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758 510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Denní stacionáře (§ 46)</w:t>
            </w:r>
          </w:p>
        </w:tc>
        <w:tc>
          <w:tcPr>
            <w:tcW w:w="1155" w:type="pct"/>
            <w:tcBorders>
              <w:top w:val="single" w:sz="4" w:space="0" w:color="auto"/>
              <w:left w:val="single" w:sz="4" w:space="0" w:color="auto"/>
              <w:bottom w:val="single" w:sz="4" w:space="0" w:color="auto"/>
              <w:right w:val="single" w:sz="4" w:space="0" w:color="auto"/>
            </w:tcBorders>
            <w:shd w:val="clear" w:color="000000" w:fill="FBCACD"/>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814 810</w:t>
            </w:r>
          </w:p>
        </w:tc>
        <w:tc>
          <w:tcPr>
            <w:tcW w:w="1042" w:type="pct"/>
            <w:tcBorders>
              <w:top w:val="single" w:sz="4" w:space="0" w:color="auto"/>
              <w:left w:val="single" w:sz="4" w:space="0" w:color="auto"/>
              <w:bottom w:val="single" w:sz="4" w:space="0" w:color="auto"/>
              <w:right w:val="single" w:sz="4" w:space="0" w:color="auto"/>
            </w:tcBorders>
            <w:shd w:val="clear" w:color="000000" w:fill="FCD9DC"/>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775 470</w:t>
            </w:r>
          </w:p>
        </w:tc>
        <w:tc>
          <w:tcPr>
            <w:tcW w:w="900" w:type="pct"/>
            <w:tcBorders>
              <w:top w:val="single" w:sz="4" w:space="0" w:color="auto"/>
              <w:left w:val="single" w:sz="4" w:space="0" w:color="auto"/>
              <w:bottom w:val="single" w:sz="4" w:space="0" w:color="auto"/>
              <w:right w:val="single" w:sz="4" w:space="0" w:color="auto"/>
            </w:tcBorders>
            <w:shd w:val="clear" w:color="000000" w:fill="FBB8BA"/>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860 720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Domovy pro osoby se zdravotním postižením (§ 48)</w:t>
            </w:r>
          </w:p>
        </w:tc>
        <w:tc>
          <w:tcPr>
            <w:tcW w:w="1155" w:type="pct"/>
            <w:tcBorders>
              <w:top w:val="single" w:sz="4" w:space="0" w:color="auto"/>
              <w:left w:val="single" w:sz="4" w:space="0" w:color="auto"/>
              <w:bottom w:val="single" w:sz="4" w:space="0" w:color="auto"/>
              <w:right w:val="single" w:sz="4" w:space="0" w:color="auto"/>
            </w:tcBorders>
            <w:shd w:val="clear" w:color="000000" w:fill="CCDAEE"/>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515 670</w:t>
            </w:r>
          </w:p>
        </w:tc>
        <w:tc>
          <w:tcPr>
            <w:tcW w:w="1042" w:type="pct"/>
            <w:tcBorders>
              <w:top w:val="single" w:sz="4" w:space="0" w:color="auto"/>
              <w:left w:val="single" w:sz="4" w:space="0" w:color="auto"/>
              <w:bottom w:val="single" w:sz="4" w:space="0" w:color="auto"/>
              <w:right w:val="single" w:sz="4" w:space="0" w:color="auto"/>
            </w:tcBorders>
            <w:shd w:val="clear" w:color="000000" w:fill="DAE4F3"/>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566 870</w:t>
            </w:r>
          </w:p>
        </w:tc>
        <w:tc>
          <w:tcPr>
            <w:tcW w:w="900" w:type="pct"/>
            <w:tcBorders>
              <w:top w:val="single" w:sz="4" w:space="0" w:color="auto"/>
              <w:left w:val="single" w:sz="4" w:space="0" w:color="auto"/>
              <w:bottom w:val="single" w:sz="4" w:space="0" w:color="auto"/>
              <w:right w:val="single" w:sz="4" w:space="0" w:color="auto"/>
            </w:tcBorders>
            <w:shd w:val="clear" w:color="000000" w:fill="EFF3FA"/>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642 500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Domovy pro seniory (§ 49)</w:t>
            </w:r>
          </w:p>
        </w:tc>
        <w:tc>
          <w:tcPr>
            <w:tcW w:w="1155" w:type="pct"/>
            <w:tcBorders>
              <w:top w:val="single" w:sz="4" w:space="0" w:color="auto"/>
              <w:left w:val="single" w:sz="4" w:space="0" w:color="auto"/>
              <w:bottom w:val="single" w:sz="4" w:space="0" w:color="auto"/>
              <w:right w:val="single" w:sz="4" w:space="0" w:color="auto"/>
            </w:tcBorders>
            <w:shd w:val="clear" w:color="000000" w:fill="B4C9E5"/>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429 150</w:t>
            </w:r>
          </w:p>
        </w:tc>
        <w:tc>
          <w:tcPr>
            <w:tcW w:w="1042" w:type="pct"/>
            <w:tcBorders>
              <w:top w:val="single" w:sz="4" w:space="0" w:color="auto"/>
              <w:left w:val="single" w:sz="4" w:space="0" w:color="auto"/>
              <w:bottom w:val="single" w:sz="4" w:space="0" w:color="auto"/>
              <w:right w:val="single" w:sz="4" w:space="0" w:color="auto"/>
            </w:tcBorders>
            <w:shd w:val="clear" w:color="000000" w:fill="BCCFE8"/>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458 600</w:t>
            </w:r>
          </w:p>
        </w:tc>
        <w:tc>
          <w:tcPr>
            <w:tcW w:w="900" w:type="pct"/>
            <w:tcBorders>
              <w:top w:val="single" w:sz="4" w:space="0" w:color="auto"/>
              <w:left w:val="single" w:sz="4" w:space="0" w:color="auto"/>
              <w:bottom w:val="single" w:sz="4" w:space="0" w:color="auto"/>
              <w:right w:val="single" w:sz="4" w:space="0" w:color="auto"/>
            </w:tcBorders>
            <w:shd w:val="clear" w:color="000000" w:fill="C4D4EB"/>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486 870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Domovy se zvláštním režimem (§ 50)</w:t>
            </w:r>
          </w:p>
        </w:tc>
        <w:tc>
          <w:tcPr>
            <w:tcW w:w="1155" w:type="pct"/>
            <w:tcBorders>
              <w:top w:val="single" w:sz="4" w:space="0" w:color="auto"/>
              <w:left w:val="single" w:sz="4" w:space="0" w:color="auto"/>
              <w:bottom w:val="single" w:sz="4" w:space="0" w:color="auto"/>
              <w:right w:val="single" w:sz="4" w:space="0" w:color="auto"/>
            </w:tcBorders>
            <w:shd w:val="clear" w:color="000000" w:fill="D4DFF0"/>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543 840</w:t>
            </w:r>
          </w:p>
        </w:tc>
        <w:tc>
          <w:tcPr>
            <w:tcW w:w="1042" w:type="pct"/>
            <w:tcBorders>
              <w:top w:val="single" w:sz="4" w:space="0" w:color="auto"/>
              <w:left w:val="single" w:sz="4" w:space="0" w:color="auto"/>
              <w:bottom w:val="single" w:sz="4" w:space="0" w:color="auto"/>
              <w:right w:val="single" w:sz="4" w:space="0" w:color="auto"/>
            </w:tcBorders>
            <w:shd w:val="clear" w:color="000000" w:fill="DDE6F4"/>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575 940</w:t>
            </w:r>
          </w:p>
        </w:tc>
        <w:tc>
          <w:tcPr>
            <w:tcW w:w="900" w:type="pct"/>
            <w:tcBorders>
              <w:top w:val="single" w:sz="4" w:space="0" w:color="auto"/>
              <w:left w:val="single" w:sz="4" w:space="0" w:color="auto"/>
              <w:bottom w:val="single" w:sz="4" w:space="0" w:color="auto"/>
              <w:right w:val="single" w:sz="4" w:space="0" w:color="auto"/>
            </w:tcBorders>
            <w:shd w:val="clear" w:color="000000" w:fill="EEF2FA"/>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636 650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Domy na půl cesty (§ 58)</w:t>
            </w:r>
          </w:p>
        </w:tc>
        <w:tc>
          <w:tcPr>
            <w:tcW w:w="1155" w:type="pct"/>
            <w:tcBorders>
              <w:top w:val="single" w:sz="4" w:space="0" w:color="auto"/>
              <w:left w:val="single" w:sz="4" w:space="0" w:color="auto"/>
              <w:bottom w:val="single" w:sz="4" w:space="0" w:color="auto"/>
              <w:right w:val="single" w:sz="4" w:space="0" w:color="auto"/>
            </w:tcBorders>
            <w:shd w:val="clear" w:color="000000" w:fill="86A9D5"/>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266 770</w:t>
            </w:r>
          </w:p>
        </w:tc>
        <w:tc>
          <w:tcPr>
            <w:tcW w:w="1042" w:type="pct"/>
            <w:tcBorders>
              <w:top w:val="single" w:sz="4" w:space="0" w:color="auto"/>
              <w:left w:val="single" w:sz="4" w:space="0" w:color="auto"/>
              <w:bottom w:val="single" w:sz="4" w:space="0" w:color="auto"/>
              <w:right w:val="single" w:sz="4" w:space="0" w:color="auto"/>
            </w:tcBorders>
            <w:shd w:val="clear" w:color="000000" w:fill="87A9D5"/>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267 720</w:t>
            </w:r>
          </w:p>
        </w:tc>
        <w:tc>
          <w:tcPr>
            <w:tcW w:w="900" w:type="pct"/>
            <w:tcBorders>
              <w:top w:val="single" w:sz="4" w:space="0" w:color="auto"/>
              <w:left w:val="single" w:sz="4" w:space="0" w:color="auto"/>
              <w:bottom w:val="single" w:sz="4" w:space="0" w:color="auto"/>
              <w:right w:val="single" w:sz="4" w:space="0" w:color="auto"/>
            </w:tcBorders>
            <w:shd w:val="clear" w:color="000000" w:fill="91B0D9"/>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304 120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Chráněné bydlení (§ 51)</w:t>
            </w:r>
          </w:p>
        </w:tc>
        <w:tc>
          <w:tcPr>
            <w:tcW w:w="1155" w:type="pct"/>
            <w:tcBorders>
              <w:top w:val="single" w:sz="4" w:space="0" w:color="auto"/>
              <w:left w:val="single" w:sz="4" w:space="0" w:color="auto"/>
              <w:bottom w:val="single" w:sz="4" w:space="0" w:color="auto"/>
              <w:right w:val="single" w:sz="4" w:space="0" w:color="auto"/>
            </w:tcBorders>
            <w:shd w:val="clear" w:color="000000" w:fill="7DA3D2"/>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234 300</w:t>
            </w:r>
          </w:p>
        </w:tc>
        <w:tc>
          <w:tcPr>
            <w:tcW w:w="1042" w:type="pct"/>
            <w:tcBorders>
              <w:top w:val="single" w:sz="4" w:space="0" w:color="auto"/>
              <w:left w:val="single" w:sz="4" w:space="0" w:color="auto"/>
              <w:bottom w:val="single" w:sz="4" w:space="0" w:color="auto"/>
              <w:right w:val="single" w:sz="4" w:space="0" w:color="auto"/>
            </w:tcBorders>
            <w:shd w:val="clear" w:color="000000" w:fill="80A4D3"/>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242 890</w:t>
            </w:r>
          </w:p>
        </w:tc>
        <w:tc>
          <w:tcPr>
            <w:tcW w:w="900" w:type="pct"/>
            <w:tcBorders>
              <w:top w:val="single" w:sz="4" w:space="0" w:color="auto"/>
              <w:left w:val="single" w:sz="4" w:space="0" w:color="auto"/>
              <w:bottom w:val="single" w:sz="4" w:space="0" w:color="auto"/>
              <w:right w:val="single" w:sz="4" w:space="0" w:color="auto"/>
            </w:tcBorders>
            <w:shd w:val="clear" w:color="000000" w:fill="8EAED8"/>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293 760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Intervenční centra (§ 60a)</w:t>
            </w:r>
          </w:p>
        </w:tc>
        <w:tc>
          <w:tcPr>
            <w:tcW w:w="1155" w:type="pct"/>
            <w:tcBorders>
              <w:top w:val="single" w:sz="4" w:space="0" w:color="auto"/>
              <w:left w:val="single" w:sz="4" w:space="0" w:color="auto"/>
              <w:bottom w:val="single" w:sz="4" w:space="0" w:color="auto"/>
              <w:right w:val="single" w:sz="4" w:space="0" w:color="auto"/>
            </w:tcBorders>
            <w:shd w:val="clear" w:color="000000" w:fill="FCD9DC"/>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776 760</w:t>
            </w:r>
          </w:p>
        </w:tc>
        <w:tc>
          <w:tcPr>
            <w:tcW w:w="1042" w:type="pct"/>
            <w:tcBorders>
              <w:top w:val="single" w:sz="4" w:space="0" w:color="auto"/>
              <w:left w:val="single" w:sz="4" w:space="0" w:color="auto"/>
              <w:bottom w:val="single" w:sz="4" w:space="0" w:color="auto"/>
              <w:right w:val="single" w:sz="4" w:space="0" w:color="auto"/>
            </w:tcBorders>
            <w:shd w:val="clear" w:color="000000" w:fill="FBD6D9"/>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783 240</w:t>
            </w:r>
          </w:p>
        </w:tc>
        <w:tc>
          <w:tcPr>
            <w:tcW w:w="900" w:type="pct"/>
            <w:tcBorders>
              <w:top w:val="single" w:sz="4" w:space="0" w:color="auto"/>
              <w:left w:val="single" w:sz="4" w:space="0" w:color="auto"/>
              <w:bottom w:val="single" w:sz="4" w:space="0" w:color="auto"/>
              <w:right w:val="single" w:sz="4" w:space="0" w:color="auto"/>
            </w:tcBorders>
            <w:shd w:val="clear" w:color="000000" w:fill="FBB4B6"/>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871 780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Kontaktní centra (§ 59)</w:t>
            </w:r>
          </w:p>
        </w:tc>
        <w:tc>
          <w:tcPr>
            <w:tcW w:w="1155" w:type="pct"/>
            <w:tcBorders>
              <w:top w:val="single" w:sz="4" w:space="0" w:color="auto"/>
              <w:left w:val="single" w:sz="4" w:space="0" w:color="auto"/>
              <w:bottom w:val="single" w:sz="4" w:space="0" w:color="auto"/>
              <w:right w:val="single" w:sz="4" w:space="0" w:color="auto"/>
            </w:tcBorders>
            <w:shd w:val="clear" w:color="000000" w:fill="FBCCCF"/>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809 250</w:t>
            </w:r>
          </w:p>
        </w:tc>
        <w:tc>
          <w:tcPr>
            <w:tcW w:w="1042" w:type="pct"/>
            <w:tcBorders>
              <w:top w:val="single" w:sz="4" w:space="0" w:color="auto"/>
              <w:left w:val="single" w:sz="4" w:space="0" w:color="auto"/>
              <w:bottom w:val="single" w:sz="4" w:space="0" w:color="auto"/>
              <w:right w:val="single" w:sz="4" w:space="0" w:color="auto"/>
            </w:tcBorders>
            <w:shd w:val="clear" w:color="000000" w:fill="FBC4C7"/>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830 090</w:t>
            </w:r>
          </w:p>
        </w:tc>
        <w:tc>
          <w:tcPr>
            <w:tcW w:w="900" w:type="pct"/>
            <w:tcBorders>
              <w:top w:val="single" w:sz="4" w:space="0" w:color="auto"/>
              <w:left w:val="single" w:sz="4" w:space="0" w:color="auto"/>
              <w:bottom w:val="single" w:sz="4" w:space="0" w:color="auto"/>
              <w:right w:val="single" w:sz="4" w:space="0" w:color="auto"/>
            </w:tcBorders>
            <w:shd w:val="clear" w:color="000000" w:fill="FBB5B7"/>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868 330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Krizová pomoc (§ 60)</w:t>
            </w:r>
          </w:p>
        </w:tc>
        <w:tc>
          <w:tcPr>
            <w:tcW w:w="1155" w:type="pct"/>
            <w:tcBorders>
              <w:top w:val="single" w:sz="4" w:space="0" w:color="auto"/>
              <w:left w:val="single" w:sz="4" w:space="0" w:color="auto"/>
              <w:bottom w:val="single" w:sz="4" w:space="0" w:color="auto"/>
              <w:right w:val="single" w:sz="4" w:space="0" w:color="auto"/>
            </w:tcBorders>
            <w:shd w:val="clear" w:color="000000" w:fill="FBB4B7"/>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869 700</w:t>
            </w:r>
          </w:p>
        </w:tc>
        <w:tc>
          <w:tcPr>
            <w:tcW w:w="1042" w:type="pct"/>
            <w:tcBorders>
              <w:top w:val="single" w:sz="4" w:space="0" w:color="auto"/>
              <w:left w:val="single" w:sz="4" w:space="0" w:color="auto"/>
              <w:bottom w:val="single" w:sz="4" w:space="0" w:color="auto"/>
              <w:right w:val="single" w:sz="4" w:space="0" w:color="auto"/>
            </w:tcBorders>
            <w:shd w:val="clear" w:color="000000" w:fill="FBD4D6"/>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790 240</w:t>
            </w:r>
          </w:p>
        </w:tc>
        <w:tc>
          <w:tcPr>
            <w:tcW w:w="900" w:type="pct"/>
            <w:tcBorders>
              <w:top w:val="single" w:sz="4" w:space="0" w:color="auto"/>
              <w:left w:val="single" w:sz="4" w:space="0" w:color="auto"/>
              <w:bottom w:val="single" w:sz="4" w:space="0" w:color="auto"/>
              <w:right w:val="single" w:sz="4" w:space="0" w:color="auto"/>
            </w:tcBorders>
            <w:shd w:val="clear" w:color="000000" w:fill="FAA0A2"/>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922 490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Nízkoprahová denní centra (§ 61)</w:t>
            </w:r>
          </w:p>
        </w:tc>
        <w:tc>
          <w:tcPr>
            <w:tcW w:w="1155" w:type="pct"/>
            <w:tcBorders>
              <w:top w:val="single" w:sz="4" w:space="0" w:color="auto"/>
              <w:left w:val="single" w:sz="4" w:space="0" w:color="auto"/>
              <w:bottom w:val="single" w:sz="4" w:space="0" w:color="auto"/>
              <w:right w:val="single" w:sz="4" w:space="0" w:color="auto"/>
            </w:tcBorders>
            <w:shd w:val="clear" w:color="000000" w:fill="FA9D9F"/>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929 170</w:t>
            </w:r>
          </w:p>
        </w:tc>
        <w:tc>
          <w:tcPr>
            <w:tcW w:w="1042" w:type="pct"/>
            <w:tcBorders>
              <w:top w:val="single" w:sz="4" w:space="0" w:color="auto"/>
              <w:left w:val="single" w:sz="4" w:space="0" w:color="auto"/>
              <w:bottom w:val="single" w:sz="4" w:space="0" w:color="auto"/>
              <w:right w:val="single" w:sz="4" w:space="0" w:color="auto"/>
            </w:tcBorders>
            <w:shd w:val="clear" w:color="000000" w:fill="FBB9BB"/>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858 270</w:t>
            </w:r>
          </w:p>
        </w:tc>
        <w:tc>
          <w:tcPr>
            <w:tcW w:w="900" w:type="pct"/>
            <w:tcBorders>
              <w:top w:val="single" w:sz="4" w:space="0" w:color="auto"/>
              <w:left w:val="single" w:sz="4" w:space="0" w:color="auto"/>
              <w:bottom w:val="single" w:sz="4" w:space="0" w:color="auto"/>
              <w:right w:val="single" w:sz="4" w:space="0" w:color="auto"/>
            </w:tcBorders>
            <w:shd w:val="clear" w:color="000000" w:fill="FA999B"/>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939 160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Nízkoprahová zařízení pro děti a mládež (§ 62)</w:t>
            </w:r>
          </w:p>
        </w:tc>
        <w:tc>
          <w:tcPr>
            <w:tcW w:w="1155" w:type="pct"/>
            <w:tcBorders>
              <w:top w:val="single" w:sz="4" w:space="0" w:color="auto"/>
              <w:left w:val="single" w:sz="4" w:space="0" w:color="auto"/>
              <w:bottom w:val="single" w:sz="4" w:space="0" w:color="auto"/>
              <w:right w:val="single" w:sz="4" w:space="0" w:color="auto"/>
            </w:tcBorders>
            <w:shd w:val="clear" w:color="000000" w:fill="FCE8EB"/>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738 130</w:t>
            </w:r>
          </w:p>
        </w:tc>
        <w:tc>
          <w:tcPr>
            <w:tcW w:w="1042" w:type="pct"/>
            <w:tcBorders>
              <w:top w:val="single" w:sz="4" w:space="0" w:color="auto"/>
              <w:left w:val="single" w:sz="4" w:space="0" w:color="auto"/>
              <w:bottom w:val="single" w:sz="4" w:space="0" w:color="auto"/>
              <w:right w:val="single" w:sz="4" w:space="0" w:color="auto"/>
            </w:tcBorders>
            <w:shd w:val="clear" w:color="000000" w:fill="FCDCDF"/>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767 860</w:t>
            </w:r>
          </w:p>
        </w:tc>
        <w:tc>
          <w:tcPr>
            <w:tcW w:w="900" w:type="pct"/>
            <w:tcBorders>
              <w:top w:val="single" w:sz="4" w:space="0" w:color="auto"/>
              <w:left w:val="single" w:sz="4" w:space="0" w:color="auto"/>
              <w:bottom w:val="single" w:sz="4" w:space="0" w:color="auto"/>
              <w:right w:val="single" w:sz="4" w:space="0" w:color="auto"/>
            </w:tcBorders>
            <w:shd w:val="clear" w:color="000000" w:fill="FBBCBF"/>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849 550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Noclehárny (§ 63)</w:t>
            </w:r>
          </w:p>
        </w:tc>
        <w:tc>
          <w:tcPr>
            <w:tcW w:w="1155" w:type="pct"/>
            <w:tcBorders>
              <w:top w:val="single" w:sz="4" w:space="0" w:color="auto"/>
              <w:left w:val="single" w:sz="4" w:space="0" w:color="auto"/>
              <w:bottom w:val="single" w:sz="4" w:space="0" w:color="auto"/>
              <w:right w:val="single" w:sz="4" w:space="0" w:color="auto"/>
            </w:tcBorders>
            <w:shd w:val="clear" w:color="000000" w:fill="5A8AC6"/>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107 790</w:t>
            </w:r>
          </w:p>
        </w:tc>
        <w:tc>
          <w:tcPr>
            <w:tcW w:w="1042" w:type="pct"/>
            <w:tcBorders>
              <w:top w:val="single" w:sz="4" w:space="0" w:color="auto"/>
              <w:left w:val="single" w:sz="4" w:space="0" w:color="auto"/>
              <w:bottom w:val="single" w:sz="4" w:space="0" w:color="auto"/>
              <w:right w:val="single" w:sz="4" w:space="0" w:color="auto"/>
            </w:tcBorders>
            <w:shd w:val="clear" w:color="000000" w:fill="5A8AC6"/>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106 520</w:t>
            </w:r>
          </w:p>
        </w:tc>
        <w:tc>
          <w:tcPr>
            <w:tcW w:w="900" w:type="pct"/>
            <w:tcBorders>
              <w:top w:val="single" w:sz="4" w:space="0" w:color="auto"/>
              <w:left w:val="single" w:sz="4" w:space="0" w:color="auto"/>
              <w:bottom w:val="single" w:sz="4" w:space="0" w:color="auto"/>
              <w:right w:val="single" w:sz="4" w:space="0" w:color="auto"/>
            </w:tcBorders>
            <w:shd w:val="clear" w:color="000000" w:fill="5B8AC6"/>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111 180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Odborné sociální poradenství (§ 37)</w:t>
            </w:r>
          </w:p>
        </w:tc>
        <w:tc>
          <w:tcPr>
            <w:tcW w:w="1155" w:type="pct"/>
            <w:tcBorders>
              <w:top w:val="single" w:sz="4" w:space="0" w:color="auto"/>
              <w:left w:val="single" w:sz="4" w:space="0" w:color="auto"/>
              <w:bottom w:val="single" w:sz="4" w:space="0" w:color="auto"/>
              <w:right w:val="single" w:sz="4" w:space="0" w:color="auto"/>
            </w:tcBorders>
            <w:shd w:val="clear" w:color="000000" w:fill="FBD2D5"/>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794 320</w:t>
            </w:r>
          </w:p>
        </w:tc>
        <w:tc>
          <w:tcPr>
            <w:tcW w:w="1042" w:type="pct"/>
            <w:tcBorders>
              <w:top w:val="single" w:sz="4" w:space="0" w:color="auto"/>
              <w:left w:val="single" w:sz="4" w:space="0" w:color="auto"/>
              <w:bottom w:val="single" w:sz="4" w:space="0" w:color="auto"/>
              <w:right w:val="single" w:sz="4" w:space="0" w:color="auto"/>
            </w:tcBorders>
            <w:shd w:val="clear" w:color="000000" w:fill="FBC0C3"/>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839 050</w:t>
            </w:r>
          </w:p>
        </w:tc>
        <w:tc>
          <w:tcPr>
            <w:tcW w:w="900" w:type="pct"/>
            <w:tcBorders>
              <w:top w:val="single" w:sz="4" w:space="0" w:color="auto"/>
              <w:left w:val="single" w:sz="4" w:space="0" w:color="auto"/>
              <w:bottom w:val="single" w:sz="4" w:space="0" w:color="auto"/>
              <w:right w:val="single" w:sz="4" w:space="0" w:color="auto"/>
            </w:tcBorders>
            <w:shd w:val="clear" w:color="000000" w:fill="FAAAAD"/>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895 710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Odlehčovací služby - Sociální služby poskytované ve specializovaných zdravotnických zařízeních hospicového typu (§ 44)</w:t>
            </w:r>
          </w:p>
        </w:tc>
        <w:tc>
          <w:tcPr>
            <w:tcW w:w="1155" w:type="pct"/>
            <w:tcBorders>
              <w:top w:val="single" w:sz="4" w:space="0" w:color="auto"/>
              <w:left w:val="single" w:sz="4" w:space="0" w:color="auto"/>
              <w:bottom w:val="single" w:sz="4" w:space="0" w:color="auto"/>
              <w:right w:val="single" w:sz="4" w:space="0" w:color="auto"/>
            </w:tcBorders>
            <w:shd w:val="clear" w:color="000000" w:fill="ADC4E3"/>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404 140</w:t>
            </w:r>
          </w:p>
        </w:tc>
        <w:tc>
          <w:tcPr>
            <w:tcW w:w="1042" w:type="pct"/>
            <w:tcBorders>
              <w:top w:val="single" w:sz="4" w:space="0" w:color="auto"/>
              <w:left w:val="single" w:sz="4" w:space="0" w:color="auto"/>
              <w:bottom w:val="single" w:sz="4" w:space="0" w:color="auto"/>
              <w:right w:val="single" w:sz="4" w:space="0" w:color="auto"/>
            </w:tcBorders>
            <w:shd w:val="clear" w:color="000000" w:fill="B8CCE7"/>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446 260</w:t>
            </w:r>
          </w:p>
        </w:tc>
        <w:tc>
          <w:tcPr>
            <w:tcW w:w="900" w:type="pct"/>
            <w:tcBorders>
              <w:top w:val="single" w:sz="4" w:space="0" w:color="auto"/>
              <w:left w:val="single" w:sz="4" w:space="0" w:color="auto"/>
              <w:bottom w:val="single" w:sz="4" w:space="0" w:color="auto"/>
              <w:right w:val="single" w:sz="4" w:space="0" w:color="auto"/>
            </w:tcBorders>
            <w:shd w:val="clear" w:color="000000" w:fill="BCCFE8"/>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460 710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Odlehčovací služby (§ 44)</w:t>
            </w:r>
          </w:p>
        </w:tc>
        <w:tc>
          <w:tcPr>
            <w:tcW w:w="1155" w:type="pct"/>
            <w:tcBorders>
              <w:top w:val="single" w:sz="4" w:space="0" w:color="auto"/>
              <w:left w:val="single" w:sz="4" w:space="0" w:color="auto"/>
              <w:bottom w:val="single" w:sz="4" w:space="0" w:color="auto"/>
              <w:right w:val="single" w:sz="4" w:space="0" w:color="auto"/>
            </w:tcBorders>
            <w:shd w:val="clear" w:color="000000" w:fill="EBF0F9"/>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626 330</w:t>
            </w:r>
          </w:p>
        </w:tc>
        <w:tc>
          <w:tcPr>
            <w:tcW w:w="1042" w:type="pct"/>
            <w:tcBorders>
              <w:top w:val="single" w:sz="4" w:space="0" w:color="auto"/>
              <w:left w:val="single" w:sz="4" w:space="0" w:color="auto"/>
              <w:bottom w:val="single" w:sz="4" w:space="0" w:color="auto"/>
              <w:right w:val="single" w:sz="4" w:space="0" w:color="auto"/>
            </w:tcBorders>
            <w:shd w:val="clear" w:color="000000" w:fill="F5F7FC"/>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664 740</w:t>
            </w:r>
          </w:p>
        </w:tc>
        <w:tc>
          <w:tcPr>
            <w:tcW w:w="900" w:type="pct"/>
            <w:tcBorders>
              <w:top w:val="single" w:sz="4" w:space="0" w:color="auto"/>
              <w:left w:val="single" w:sz="4" w:space="0" w:color="auto"/>
              <w:bottom w:val="single" w:sz="4" w:space="0" w:color="auto"/>
              <w:right w:val="single" w:sz="4" w:space="0" w:color="auto"/>
            </w:tcBorders>
            <w:shd w:val="clear" w:color="000000" w:fill="FCE0E3"/>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758 390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Osobní asistence (§ 39)</w:t>
            </w:r>
          </w:p>
        </w:tc>
        <w:tc>
          <w:tcPr>
            <w:tcW w:w="1155" w:type="pct"/>
            <w:tcBorders>
              <w:top w:val="single" w:sz="4" w:space="0" w:color="auto"/>
              <w:left w:val="single" w:sz="4" w:space="0" w:color="auto"/>
              <w:bottom w:val="single" w:sz="4" w:space="0" w:color="auto"/>
              <w:right w:val="single" w:sz="4" w:space="0" w:color="auto"/>
            </w:tcBorders>
            <w:shd w:val="clear" w:color="000000" w:fill="E4EBF6"/>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601 870</w:t>
            </w:r>
          </w:p>
        </w:tc>
        <w:tc>
          <w:tcPr>
            <w:tcW w:w="1042" w:type="pct"/>
            <w:tcBorders>
              <w:top w:val="single" w:sz="4" w:space="0" w:color="auto"/>
              <w:left w:val="single" w:sz="4" w:space="0" w:color="auto"/>
              <w:bottom w:val="single" w:sz="4" w:space="0" w:color="auto"/>
              <w:right w:val="single" w:sz="4" w:space="0" w:color="auto"/>
            </w:tcBorders>
            <w:shd w:val="clear" w:color="000000" w:fill="F1F4FB"/>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649 110</w:t>
            </w:r>
          </w:p>
        </w:tc>
        <w:tc>
          <w:tcPr>
            <w:tcW w:w="900" w:type="pct"/>
            <w:tcBorders>
              <w:top w:val="single" w:sz="4" w:space="0" w:color="auto"/>
              <w:left w:val="single" w:sz="4" w:space="0" w:color="auto"/>
              <w:bottom w:val="single" w:sz="4" w:space="0" w:color="auto"/>
              <w:right w:val="single" w:sz="4" w:space="0" w:color="auto"/>
            </w:tcBorders>
            <w:shd w:val="clear" w:color="000000" w:fill="F3F5FB"/>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655 790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Pečovatelská služba (§ 40)</w:t>
            </w:r>
          </w:p>
        </w:tc>
        <w:tc>
          <w:tcPr>
            <w:tcW w:w="1155" w:type="pct"/>
            <w:tcBorders>
              <w:top w:val="single" w:sz="4" w:space="0" w:color="auto"/>
              <w:left w:val="single" w:sz="4" w:space="0" w:color="auto"/>
              <w:bottom w:val="single" w:sz="4" w:space="0" w:color="auto"/>
              <w:right w:val="single" w:sz="4" w:space="0" w:color="auto"/>
            </w:tcBorders>
            <w:shd w:val="clear" w:color="000000" w:fill="F3F6FC"/>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657 420</w:t>
            </w:r>
          </w:p>
        </w:tc>
        <w:tc>
          <w:tcPr>
            <w:tcW w:w="1042" w:type="pct"/>
            <w:tcBorders>
              <w:top w:val="single" w:sz="4" w:space="0" w:color="auto"/>
              <w:left w:val="single" w:sz="4" w:space="0" w:color="auto"/>
              <w:bottom w:val="single" w:sz="4" w:space="0" w:color="auto"/>
              <w:right w:val="single" w:sz="4" w:space="0" w:color="auto"/>
            </w:tcBorders>
            <w:shd w:val="clear" w:color="000000" w:fill="FCF8FB"/>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696 600</w:t>
            </w:r>
          </w:p>
        </w:tc>
        <w:tc>
          <w:tcPr>
            <w:tcW w:w="900" w:type="pct"/>
            <w:tcBorders>
              <w:top w:val="single" w:sz="4" w:space="0" w:color="auto"/>
              <w:left w:val="single" w:sz="4" w:space="0" w:color="auto"/>
              <w:bottom w:val="single" w:sz="4" w:space="0" w:color="auto"/>
              <w:right w:val="single" w:sz="4" w:space="0" w:color="auto"/>
            </w:tcBorders>
            <w:shd w:val="clear" w:color="000000" w:fill="FCE2E4"/>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754 520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Podpora samostatného bydlení (§ 43)</w:t>
            </w:r>
          </w:p>
        </w:tc>
        <w:tc>
          <w:tcPr>
            <w:tcW w:w="1155" w:type="pct"/>
            <w:tcBorders>
              <w:top w:val="single" w:sz="4" w:space="0" w:color="auto"/>
              <w:left w:val="single" w:sz="4" w:space="0" w:color="auto"/>
              <w:bottom w:val="single" w:sz="4" w:space="0" w:color="auto"/>
              <w:right w:val="single" w:sz="4" w:space="0" w:color="auto"/>
            </w:tcBorders>
            <w:shd w:val="clear" w:color="000000" w:fill="DBE4F3"/>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568 830</w:t>
            </w:r>
          </w:p>
        </w:tc>
        <w:tc>
          <w:tcPr>
            <w:tcW w:w="1042" w:type="pct"/>
            <w:tcBorders>
              <w:top w:val="single" w:sz="4" w:space="0" w:color="auto"/>
              <w:left w:val="single" w:sz="4" w:space="0" w:color="auto"/>
              <w:bottom w:val="single" w:sz="4" w:space="0" w:color="auto"/>
              <w:right w:val="single" w:sz="4" w:space="0" w:color="auto"/>
            </w:tcBorders>
            <w:shd w:val="clear" w:color="000000" w:fill="DCE6F4"/>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575 010</w:t>
            </w:r>
          </w:p>
        </w:tc>
        <w:tc>
          <w:tcPr>
            <w:tcW w:w="900" w:type="pct"/>
            <w:tcBorders>
              <w:top w:val="single" w:sz="4" w:space="0" w:color="auto"/>
              <w:left w:val="single" w:sz="4" w:space="0" w:color="auto"/>
              <w:bottom w:val="single" w:sz="4" w:space="0" w:color="auto"/>
              <w:right w:val="single" w:sz="4" w:space="0" w:color="auto"/>
            </w:tcBorders>
            <w:shd w:val="clear" w:color="000000" w:fill="EBF0F9"/>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627 540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Raná péče (§ 54)</w:t>
            </w:r>
          </w:p>
        </w:tc>
        <w:tc>
          <w:tcPr>
            <w:tcW w:w="1155" w:type="pct"/>
            <w:tcBorders>
              <w:top w:val="single" w:sz="4" w:space="0" w:color="auto"/>
              <w:left w:val="single" w:sz="4" w:space="0" w:color="auto"/>
              <w:bottom w:val="single" w:sz="4" w:space="0" w:color="auto"/>
              <w:right w:val="single" w:sz="4" w:space="0" w:color="auto"/>
            </w:tcBorders>
            <w:shd w:val="clear" w:color="000000" w:fill="FA9496"/>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951 810</w:t>
            </w:r>
          </w:p>
        </w:tc>
        <w:tc>
          <w:tcPr>
            <w:tcW w:w="1042" w:type="pct"/>
            <w:tcBorders>
              <w:top w:val="single" w:sz="4" w:space="0" w:color="auto"/>
              <w:left w:val="single" w:sz="4" w:space="0" w:color="auto"/>
              <w:bottom w:val="single" w:sz="4" w:space="0" w:color="auto"/>
              <w:right w:val="single" w:sz="4" w:space="0" w:color="auto"/>
            </w:tcBorders>
            <w:shd w:val="clear" w:color="000000" w:fill="FA9496"/>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951 530</w:t>
            </w:r>
          </w:p>
        </w:tc>
        <w:tc>
          <w:tcPr>
            <w:tcW w:w="900" w:type="pct"/>
            <w:tcBorders>
              <w:top w:val="single" w:sz="4" w:space="0" w:color="auto"/>
              <w:left w:val="single" w:sz="4" w:space="0" w:color="auto"/>
              <w:bottom w:val="single" w:sz="4" w:space="0" w:color="auto"/>
              <w:right w:val="single" w:sz="4" w:space="0" w:color="auto"/>
            </w:tcBorders>
            <w:shd w:val="clear" w:color="000000" w:fill="F97173"/>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1 040 760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Služby následné péče (§ 64)</w:t>
            </w:r>
          </w:p>
        </w:tc>
        <w:tc>
          <w:tcPr>
            <w:tcW w:w="1155" w:type="pct"/>
            <w:tcBorders>
              <w:top w:val="single" w:sz="4" w:space="0" w:color="auto"/>
              <w:left w:val="single" w:sz="4" w:space="0" w:color="auto"/>
              <w:bottom w:val="single" w:sz="4" w:space="0" w:color="auto"/>
              <w:right w:val="single" w:sz="4" w:space="0" w:color="auto"/>
            </w:tcBorders>
            <w:shd w:val="clear" w:color="000000" w:fill="FBBFC1"/>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842 990</w:t>
            </w:r>
          </w:p>
        </w:tc>
        <w:tc>
          <w:tcPr>
            <w:tcW w:w="1042" w:type="pct"/>
            <w:tcBorders>
              <w:top w:val="single" w:sz="4" w:space="0" w:color="auto"/>
              <w:left w:val="single" w:sz="4" w:space="0" w:color="auto"/>
              <w:bottom w:val="single" w:sz="4" w:space="0" w:color="auto"/>
              <w:right w:val="single" w:sz="4" w:space="0" w:color="auto"/>
            </w:tcBorders>
            <w:shd w:val="clear" w:color="000000" w:fill="FBBBBE"/>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851 700</w:t>
            </w:r>
          </w:p>
        </w:tc>
        <w:tc>
          <w:tcPr>
            <w:tcW w:w="900" w:type="pct"/>
            <w:tcBorders>
              <w:top w:val="single" w:sz="4" w:space="0" w:color="auto"/>
              <w:left w:val="single" w:sz="4" w:space="0" w:color="auto"/>
              <w:bottom w:val="single" w:sz="4" w:space="0" w:color="auto"/>
              <w:right w:val="single" w:sz="4" w:space="0" w:color="auto"/>
            </w:tcBorders>
            <w:shd w:val="clear" w:color="000000" w:fill="FAA2A5"/>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915 880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Sociálně aktivizační služby pro rodiny s dětmi (§ 65)</w:t>
            </w:r>
          </w:p>
        </w:tc>
        <w:tc>
          <w:tcPr>
            <w:tcW w:w="1155" w:type="pct"/>
            <w:tcBorders>
              <w:top w:val="single" w:sz="4" w:space="0" w:color="auto"/>
              <w:left w:val="single" w:sz="4" w:space="0" w:color="auto"/>
              <w:bottom w:val="single" w:sz="4" w:space="0" w:color="auto"/>
              <w:right w:val="single" w:sz="4" w:space="0" w:color="auto"/>
            </w:tcBorders>
            <w:shd w:val="clear" w:color="000000" w:fill="F3F6FC"/>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657 510</w:t>
            </w:r>
          </w:p>
        </w:tc>
        <w:tc>
          <w:tcPr>
            <w:tcW w:w="1042" w:type="pct"/>
            <w:tcBorders>
              <w:top w:val="single" w:sz="4" w:space="0" w:color="auto"/>
              <w:left w:val="single" w:sz="4" w:space="0" w:color="auto"/>
              <w:bottom w:val="single" w:sz="4" w:space="0" w:color="auto"/>
              <w:right w:val="single" w:sz="4" w:space="0" w:color="auto"/>
            </w:tcBorders>
            <w:shd w:val="clear" w:color="000000" w:fill="F0F3FA"/>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643 850</w:t>
            </w:r>
          </w:p>
        </w:tc>
        <w:tc>
          <w:tcPr>
            <w:tcW w:w="900" w:type="pct"/>
            <w:tcBorders>
              <w:top w:val="single" w:sz="4" w:space="0" w:color="auto"/>
              <w:left w:val="single" w:sz="4" w:space="0" w:color="auto"/>
              <w:bottom w:val="single" w:sz="4" w:space="0" w:color="auto"/>
              <w:right w:val="single" w:sz="4" w:space="0" w:color="auto"/>
            </w:tcBorders>
            <w:shd w:val="clear" w:color="000000" w:fill="FCF1F4"/>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716 350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Sociálně aktivizační služby pro seniory a osoby se zdravotním postižením (§ 66)</w:t>
            </w:r>
          </w:p>
        </w:tc>
        <w:tc>
          <w:tcPr>
            <w:tcW w:w="1155" w:type="pct"/>
            <w:tcBorders>
              <w:top w:val="single" w:sz="4" w:space="0" w:color="auto"/>
              <w:left w:val="single" w:sz="4" w:space="0" w:color="auto"/>
              <w:bottom w:val="single" w:sz="4" w:space="0" w:color="auto"/>
              <w:right w:val="single" w:sz="4" w:space="0" w:color="auto"/>
            </w:tcBorders>
            <w:shd w:val="clear" w:color="000000" w:fill="FCF8FB"/>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698 280</w:t>
            </w:r>
          </w:p>
        </w:tc>
        <w:tc>
          <w:tcPr>
            <w:tcW w:w="1042" w:type="pct"/>
            <w:tcBorders>
              <w:top w:val="single" w:sz="4" w:space="0" w:color="auto"/>
              <w:left w:val="single" w:sz="4" w:space="0" w:color="auto"/>
              <w:bottom w:val="single" w:sz="4" w:space="0" w:color="auto"/>
              <w:right w:val="single" w:sz="4" w:space="0" w:color="auto"/>
            </w:tcBorders>
            <w:shd w:val="clear" w:color="000000" w:fill="FCF0F3"/>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718 280</w:t>
            </w:r>
          </w:p>
        </w:tc>
        <w:tc>
          <w:tcPr>
            <w:tcW w:w="900" w:type="pct"/>
            <w:tcBorders>
              <w:top w:val="single" w:sz="4" w:space="0" w:color="auto"/>
              <w:left w:val="single" w:sz="4" w:space="0" w:color="auto"/>
              <w:bottom w:val="single" w:sz="4" w:space="0" w:color="auto"/>
              <w:right w:val="single" w:sz="4" w:space="0" w:color="auto"/>
            </w:tcBorders>
            <w:shd w:val="clear" w:color="000000" w:fill="FBC7C9"/>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823 110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Sociálně terapeutické dílny (§ 67)</w:t>
            </w:r>
          </w:p>
        </w:tc>
        <w:tc>
          <w:tcPr>
            <w:tcW w:w="1155" w:type="pct"/>
            <w:tcBorders>
              <w:top w:val="single" w:sz="4" w:space="0" w:color="auto"/>
              <w:left w:val="single" w:sz="4" w:space="0" w:color="auto"/>
              <w:bottom w:val="single" w:sz="4" w:space="0" w:color="auto"/>
              <w:right w:val="single" w:sz="4" w:space="0" w:color="auto"/>
            </w:tcBorders>
            <w:shd w:val="clear" w:color="000000" w:fill="FBBABC"/>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855 720</w:t>
            </w:r>
          </w:p>
        </w:tc>
        <w:tc>
          <w:tcPr>
            <w:tcW w:w="1042" w:type="pct"/>
            <w:tcBorders>
              <w:top w:val="single" w:sz="4" w:space="0" w:color="auto"/>
              <w:left w:val="single" w:sz="4" w:space="0" w:color="auto"/>
              <w:bottom w:val="single" w:sz="4" w:space="0" w:color="auto"/>
              <w:right w:val="single" w:sz="4" w:space="0" w:color="auto"/>
            </w:tcBorders>
            <w:shd w:val="clear" w:color="000000" w:fill="FCD9DB"/>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777 350</w:t>
            </w:r>
          </w:p>
        </w:tc>
        <w:tc>
          <w:tcPr>
            <w:tcW w:w="900" w:type="pct"/>
            <w:tcBorders>
              <w:top w:val="single" w:sz="4" w:space="0" w:color="auto"/>
              <w:left w:val="single" w:sz="4" w:space="0" w:color="auto"/>
              <w:bottom w:val="single" w:sz="4" w:space="0" w:color="auto"/>
              <w:right w:val="single" w:sz="4" w:space="0" w:color="auto"/>
            </w:tcBorders>
            <w:shd w:val="clear" w:color="000000" w:fill="FBC0C2"/>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840 530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Sociální rehabilitace (§ 70)</w:t>
            </w:r>
          </w:p>
        </w:tc>
        <w:tc>
          <w:tcPr>
            <w:tcW w:w="1155" w:type="pct"/>
            <w:tcBorders>
              <w:top w:val="single" w:sz="4" w:space="0" w:color="auto"/>
              <w:left w:val="single" w:sz="4" w:space="0" w:color="auto"/>
              <w:bottom w:val="single" w:sz="4" w:space="0" w:color="auto"/>
              <w:right w:val="single" w:sz="4" w:space="0" w:color="auto"/>
            </w:tcBorders>
            <w:shd w:val="clear" w:color="000000" w:fill="FCF9FC"/>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696 070</w:t>
            </w:r>
          </w:p>
        </w:tc>
        <w:tc>
          <w:tcPr>
            <w:tcW w:w="1042" w:type="pct"/>
            <w:tcBorders>
              <w:top w:val="single" w:sz="4" w:space="0" w:color="auto"/>
              <w:left w:val="single" w:sz="4" w:space="0" w:color="auto"/>
              <w:bottom w:val="single" w:sz="4" w:space="0" w:color="auto"/>
              <w:right w:val="single" w:sz="4" w:space="0" w:color="auto"/>
            </w:tcBorders>
            <w:shd w:val="clear" w:color="000000" w:fill="FCF9FC"/>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695 860</w:t>
            </w:r>
          </w:p>
        </w:tc>
        <w:tc>
          <w:tcPr>
            <w:tcW w:w="900" w:type="pct"/>
            <w:tcBorders>
              <w:top w:val="single" w:sz="4" w:space="0" w:color="auto"/>
              <w:left w:val="single" w:sz="4" w:space="0" w:color="auto"/>
              <w:bottom w:val="single" w:sz="4" w:space="0" w:color="auto"/>
              <w:right w:val="single" w:sz="4" w:space="0" w:color="auto"/>
            </w:tcBorders>
            <w:shd w:val="clear" w:color="000000" w:fill="FBD7DA"/>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780 670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Sociální služby poskytované ve zdravotnických zařízeních lůžkové péče (§ 52)</w:t>
            </w:r>
          </w:p>
        </w:tc>
        <w:tc>
          <w:tcPr>
            <w:tcW w:w="1155" w:type="pct"/>
            <w:tcBorders>
              <w:top w:val="single" w:sz="4" w:space="0" w:color="auto"/>
              <w:left w:val="single" w:sz="4" w:space="0" w:color="auto"/>
              <w:bottom w:val="single" w:sz="4" w:space="0" w:color="auto"/>
              <w:right w:val="single" w:sz="4" w:space="0" w:color="auto"/>
            </w:tcBorders>
            <w:shd w:val="clear" w:color="000000" w:fill="A7C0E1"/>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385 060</w:t>
            </w:r>
          </w:p>
        </w:tc>
        <w:tc>
          <w:tcPr>
            <w:tcW w:w="1042" w:type="pct"/>
            <w:tcBorders>
              <w:top w:val="single" w:sz="4" w:space="0" w:color="auto"/>
              <w:left w:val="single" w:sz="4" w:space="0" w:color="auto"/>
              <w:bottom w:val="single" w:sz="4" w:space="0" w:color="auto"/>
              <w:right w:val="single" w:sz="4" w:space="0" w:color="auto"/>
            </w:tcBorders>
            <w:shd w:val="clear" w:color="000000" w:fill="B5CAE6"/>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432 980</w:t>
            </w:r>
          </w:p>
        </w:tc>
        <w:tc>
          <w:tcPr>
            <w:tcW w:w="900" w:type="pct"/>
            <w:tcBorders>
              <w:top w:val="single" w:sz="4" w:space="0" w:color="auto"/>
              <w:left w:val="single" w:sz="4" w:space="0" w:color="auto"/>
              <w:bottom w:val="single" w:sz="4" w:space="0" w:color="auto"/>
              <w:right w:val="single" w:sz="4" w:space="0" w:color="auto"/>
            </w:tcBorders>
            <w:shd w:val="clear" w:color="000000" w:fill="B8CCE7"/>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445 010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Telefonická krizová pomoc (§ 55)</w:t>
            </w:r>
          </w:p>
        </w:tc>
        <w:tc>
          <w:tcPr>
            <w:tcW w:w="1155" w:type="pct"/>
            <w:tcBorders>
              <w:top w:val="single" w:sz="4" w:space="0" w:color="auto"/>
              <w:left w:val="single" w:sz="4" w:space="0" w:color="auto"/>
              <w:bottom w:val="single" w:sz="4" w:space="0" w:color="auto"/>
              <w:right w:val="single" w:sz="4" w:space="0" w:color="auto"/>
            </w:tcBorders>
            <w:shd w:val="clear" w:color="000000" w:fill="BBCEE8"/>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455 590</w:t>
            </w:r>
          </w:p>
        </w:tc>
        <w:tc>
          <w:tcPr>
            <w:tcW w:w="1042" w:type="pct"/>
            <w:tcBorders>
              <w:top w:val="single" w:sz="4" w:space="0" w:color="auto"/>
              <w:left w:val="single" w:sz="4" w:space="0" w:color="auto"/>
              <w:bottom w:val="single" w:sz="4" w:space="0" w:color="auto"/>
              <w:right w:val="single" w:sz="4" w:space="0" w:color="auto"/>
            </w:tcBorders>
            <w:shd w:val="clear" w:color="000000" w:fill="E9EFF8"/>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620 710</w:t>
            </w:r>
          </w:p>
        </w:tc>
        <w:tc>
          <w:tcPr>
            <w:tcW w:w="900" w:type="pct"/>
            <w:tcBorders>
              <w:top w:val="single" w:sz="4" w:space="0" w:color="auto"/>
              <w:left w:val="single" w:sz="4" w:space="0" w:color="auto"/>
              <w:bottom w:val="single" w:sz="4" w:space="0" w:color="auto"/>
              <w:right w:val="single" w:sz="4" w:space="0" w:color="auto"/>
            </w:tcBorders>
            <w:shd w:val="clear" w:color="000000" w:fill="D6E1F1"/>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553 320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Terapeutické komunity (§ 68)</w:t>
            </w:r>
          </w:p>
        </w:tc>
        <w:tc>
          <w:tcPr>
            <w:tcW w:w="1155" w:type="pct"/>
            <w:tcBorders>
              <w:top w:val="single" w:sz="4" w:space="0" w:color="auto"/>
              <w:left w:val="single" w:sz="4" w:space="0" w:color="auto"/>
              <w:bottom w:val="single" w:sz="4" w:space="0" w:color="auto"/>
              <w:right w:val="single" w:sz="4" w:space="0" w:color="auto"/>
            </w:tcBorders>
            <w:shd w:val="clear" w:color="000000" w:fill="85A8D5"/>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263 380</w:t>
            </w:r>
          </w:p>
        </w:tc>
        <w:tc>
          <w:tcPr>
            <w:tcW w:w="1042" w:type="pct"/>
            <w:tcBorders>
              <w:top w:val="single" w:sz="4" w:space="0" w:color="auto"/>
              <w:left w:val="single" w:sz="4" w:space="0" w:color="auto"/>
              <w:bottom w:val="single" w:sz="4" w:space="0" w:color="auto"/>
              <w:right w:val="single" w:sz="4" w:space="0" w:color="auto"/>
            </w:tcBorders>
            <w:shd w:val="clear" w:color="000000" w:fill="7DA3D2"/>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234 790</w:t>
            </w:r>
          </w:p>
        </w:tc>
        <w:tc>
          <w:tcPr>
            <w:tcW w:w="900" w:type="pct"/>
            <w:tcBorders>
              <w:top w:val="single" w:sz="4" w:space="0" w:color="auto"/>
              <w:left w:val="single" w:sz="4" w:space="0" w:color="auto"/>
              <w:bottom w:val="single" w:sz="4" w:space="0" w:color="auto"/>
              <w:right w:val="single" w:sz="4" w:space="0" w:color="auto"/>
            </w:tcBorders>
            <w:shd w:val="clear" w:color="000000" w:fill="8BACD7"/>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282 600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Terénní programy (§ 69)</w:t>
            </w:r>
          </w:p>
        </w:tc>
        <w:tc>
          <w:tcPr>
            <w:tcW w:w="1155" w:type="pct"/>
            <w:tcBorders>
              <w:top w:val="single" w:sz="4" w:space="0" w:color="auto"/>
              <w:left w:val="single" w:sz="4" w:space="0" w:color="auto"/>
              <w:bottom w:val="single" w:sz="4" w:space="0" w:color="auto"/>
              <w:right w:val="single" w:sz="4" w:space="0" w:color="auto"/>
            </w:tcBorders>
            <w:shd w:val="clear" w:color="000000" w:fill="F9FAFE"/>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676 790</w:t>
            </w:r>
          </w:p>
        </w:tc>
        <w:tc>
          <w:tcPr>
            <w:tcW w:w="1042" w:type="pct"/>
            <w:tcBorders>
              <w:top w:val="single" w:sz="4" w:space="0" w:color="auto"/>
              <w:left w:val="single" w:sz="4" w:space="0" w:color="auto"/>
              <w:bottom w:val="single" w:sz="4" w:space="0" w:color="auto"/>
              <w:right w:val="single" w:sz="4" w:space="0" w:color="auto"/>
            </w:tcBorders>
            <w:shd w:val="clear" w:color="000000" w:fill="FCF6F9"/>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702 430</w:t>
            </w:r>
          </w:p>
        </w:tc>
        <w:tc>
          <w:tcPr>
            <w:tcW w:w="900" w:type="pct"/>
            <w:tcBorders>
              <w:top w:val="single" w:sz="4" w:space="0" w:color="auto"/>
              <w:left w:val="single" w:sz="4" w:space="0" w:color="auto"/>
              <w:bottom w:val="single" w:sz="4" w:space="0" w:color="auto"/>
              <w:right w:val="single" w:sz="4" w:space="0" w:color="auto"/>
            </w:tcBorders>
            <w:shd w:val="clear" w:color="000000" w:fill="FCDCDF"/>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768 920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Tlumočnické služby (§ 56)</w:t>
            </w:r>
          </w:p>
        </w:tc>
        <w:tc>
          <w:tcPr>
            <w:tcW w:w="1155" w:type="pct"/>
            <w:tcBorders>
              <w:top w:val="single" w:sz="4" w:space="0" w:color="auto"/>
              <w:left w:val="single" w:sz="4" w:space="0" w:color="auto"/>
              <w:bottom w:val="single" w:sz="4" w:space="0" w:color="auto"/>
              <w:right w:val="single" w:sz="4" w:space="0" w:color="auto"/>
            </w:tcBorders>
            <w:shd w:val="clear" w:color="000000" w:fill="E7EDF7"/>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614 080</w:t>
            </w:r>
          </w:p>
        </w:tc>
        <w:tc>
          <w:tcPr>
            <w:tcW w:w="1042" w:type="pct"/>
            <w:tcBorders>
              <w:top w:val="single" w:sz="4" w:space="0" w:color="auto"/>
              <w:left w:val="single" w:sz="4" w:space="0" w:color="auto"/>
              <w:bottom w:val="single" w:sz="4" w:space="0" w:color="auto"/>
              <w:right w:val="single" w:sz="4" w:space="0" w:color="auto"/>
            </w:tcBorders>
            <w:shd w:val="clear" w:color="000000" w:fill="D5E0F1"/>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548 150</w:t>
            </w:r>
          </w:p>
        </w:tc>
        <w:tc>
          <w:tcPr>
            <w:tcW w:w="900" w:type="pct"/>
            <w:tcBorders>
              <w:top w:val="single" w:sz="4" w:space="0" w:color="auto"/>
              <w:left w:val="single" w:sz="4" w:space="0" w:color="auto"/>
              <w:bottom w:val="single" w:sz="4" w:space="0" w:color="auto"/>
              <w:right w:val="single" w:sz="4" w:space="0" w:color="auto"/>
            </w:tcBorders>
            <w:shd w:val="clear" w:color="000000" w:fill="D8E2F2"/>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559 140</w:t>
            </w:r>
          </w:p>
        </w:tc>
      </w:tr>
      <w:tr w:rsidR="00191D51" w:rsidRPr="00191D51" w:rsidTr="00191D51">
        <w:trPr>
          <w:trHeight w:val="283"/>
        </w:trPr>
        <w:tc>
          <w:tcPr>
            <w:tcW w:w="1903" w:type="pct"/>
            <w:shd w:val="clear" w:color="auto" w:fill="auto"/>
            <w:vAlign w:val="center"/>
            <w:hideMark/>
          </w:tcPr>
          <w:p w:rsidR="00191D51" w:rsidRPr="00191D51" w:rsidRDefault="00191D51" w:rsidP="00191D51">
            <w:pPr>
              <w:keepNext/>
              <w:spacing w:before="0"/>
              <w:rPr>
                <w:rFonts w:cs="Segoe UI"/>
                <w:color w:val="000000"/>
                <w:sz w:val="18"/>
                <w:szCs w:val="18"/>
                <w:lang w:eastAsia="cs-CZ"/>
              </w:rPr>
            </w:pPr>
            <w:r w:rsidRPr="00191D51">
              <w:rPr>
                <w:rFonts w:cs="Segoe UI"/>
                <w:color w:val="000000"/>
                <w:sz w:val="18"/>
                <w:szCs w:val="18"/>
                <w:lang w:eastAsia="cs-CZ"/>
              </w:rPr>
              <w:t>Týdenní stacionáře (§ 47)</w:t>
            </w:r>
          </w:p>
        </w:tc>
        <w:tc>
          <w:tcPr>
            <w:tcW w:w="1155" w:type="pct"/>
            <w:tcBorders>
              <w:top w:val="single" w:sz="4" w:space="0" w:color="auto"/>
              <w:left w:val="single" w:sz="4" w:space="0" w:color="auto"/>
              <w:bottom w:val="single" w:sz="4" w:space="0" w:color="auto"/>
              <w:right w:val="single" w:sz="4" w:space="0" w:color="auto"/>
            </w:tcBorders>
            <w:shd w:val="clear" w:color="000000" w:fill="FAA7AA"/>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902 970</w:t>
            </w:r>
          </w:p>
        </w:tc>
        <w:tc>
          <w:tcPr>
            <w:tcW w:w="1042" w:type="pct"/>
            <w:tcBorders>
              <w:top w:val="single" w:sz="4" w:space="0" w:color="auto"/>
              <w:left w:val="single" w:sz="4" w:space="0" w:color="auto"/>
              <w:bottom w:val="single" w:sz="4" w:space="0" w:color="auto"/>
              <w:right w:val="single" w:sz="4" w:space="0" w:color="auto"/>
            </w:tcBorders>
            <w:shd w:val="clear" w:color="000000" w:fill="FA9FA1"/>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925 190</w:t>
            </w:r>
          </w:p>
        </w:tc>
        <w:tc>
          <w:tcPr>
            <w:tcW w:w="900"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191D51" w:rsidRPr="00191D51" w:rsidRDefault="00191D51" w:rsidP="00191D51">
            <w:pPr>
              <w:keepNext/>
              <w:spacing w:before="0"/>
              <w:jc w:val="right"/>
              <w:rPr>
                <w:rFonts w:cs="Segoe UI"/>
                <w:color w:val="000000"/>
                <w:sz w:val="18"/>
                <w:szCs w:val="18"/>
                <w:lang w:eastAsia="cs-CZ"/>
              </w:rPr>
            </w:pPr>
            <w:r>
              <w:rPr>
                <w:rFonts w:cs="Segoe UI"/>
                <w:color w:val="000000"/>
                <w:sz w:val="18"/>
                <w:szCs w:val="18"/>
              </w:rPr>
              <w:t>1 060 120</w:t>
            </w:r>
          </w:p>
        </w:tc>
      </w:tr>
    </w:tbl>
    <w:p w:rsidR="00AF4350" w:rsidRPr="0039748C" w:rsidRDefault="00AF4350" w:rsidP="00191D51">
      <w:pPr>
        <w:pStyle w:val="Zdrojobjektu"/>
      </w:pPr>
      <w:r w:rsidRPr="0039748C">
        <w:t xml:space="preserve">Zdroj: </w:t>
      </w:r>
      <w:proofErr w:type="spellStart"/>
      <w:r w:rsidRPr="0039748C">
        <w:t>KISSoS</w:t>
      </w:r>
      <w:proofErr w:type="spellEnd"/>
      <w:r w:rsidR="00A456E8">
        <w:t xml:space="preserve"> (2022)</w:t>
      </w:r>
      <w:r w:rsidR="00186257">
        <w:t>.</w:t>
      </w:r>
    </w:p>
    <w:p w:rsidR="00AF4350" w:rsidRPr="0039748C" w:rsidRDefault="00AF4350" w:rsidP="00A34764">
      <w:pPr>
        <w:rPr>
          <w:rFonts w:eastAsia="Arial Unicode MS"/>
          <w:lang w:eastAsia="cs-CZ"/>
        </w:rPr>
      </w:pPr>
      <w:r w:rsidRPr="0039748C">
        <w:rPr>
          <w:rFonts w:eastAsia="Arial Unicode MS"/>
          <w:lang w:eastAsia="cs-CZ"/>
        </w:rPr>
        <w:t>Z výše uvedeného srovnání nákladovosti vyplývá, že mezi uvedenými roky došlo k poměrně výraznému navýšení nákladů sociálních služeb přepočtených na jednotku (a potažmo rovněž nákladů v absolutních číslech). Roční rozpočet poskytovatelů sociálních služeb v OK dosáhl v roce 2019 částky 3 047 285 tis. Kč, v roce 2020 3 231 128 tis. Kč a v roce 2021 3 515 108 tis. Kč.</w:t>
      </w:r>
    </w:p>
    <w:p w:rsidR="00AF4350" w:rsidRPr="0039748C" w:rsidRDefault="00AF4350" w:rsidP="00A34764">
      <w:pPr>
        <w:rPr>
          <w:rFonts w:eastAsia="Arial Unicode MS"/>
          <w:lang w:eastAsia="cs-CZ"/>
        </w:rPr>
      </w:pPr>
      <w:r w:rsidRPr="0039748C">
        <w:rPr>
          <w:rFonts w:eastAsia="Arial Unicode MS"/>
          <w:lang w:eastAsia="cs-CZ"/>
        </w:rPr>
        <w:lastRenderedPageBreak/>
        <w:t>Náklady sociálních služeb se zvyšují v souvislosti s výší inflace, růstem platů a mezd, růstem cen energií, pohonných hmot, spotřebitelských cen, atd.</w:t>
      </w:r>
    </w:p>
    <w:p w:rsidR="00AF4350" w:rsidRPr="0039748C" w:rsidRDefault="00AF4350" w:rsidP="00A34764">
      <w:pPr>
        <w:rPr>
          <w:rFonts w:eastAsia="Arial Unicode MS"/>
          <w:lang w:eastAsia="cs-CZ"/>
        </w:rPr>
      </w:pPr>
      <w:r w:rsidRPr="0039748C">
        <w:rPr>
          <w:rFonts w:eastAsia="Arial Unicode MS"/>
          <w:lang w:eastAsia="cs-CZ"/>
        </w:rPr>
        <w:t xml:space="preserve">Nejvýznamnější vliv na navýšení celkových nákladů služeb mělo bezpochyby hned několik legislativních změn v oblasti odměňování; přičemž tyto legislativní změny jsou právně závazné pro zaměstnance územně samosprávných celků a příspěvkových organizací, avšak do rozpočtu poskytovatelů sociálních služeb jiných právních forem se promítají obdobně. </w:t>
      </w:r>
    </w:p>
    <w:p w:rsidR="00AF4350" w:rsidRPr="0039748C" w:rsidRDefault="00AF4350" w:rsidP="00A34764">
      <w:r w:rsidRPr="0039748C">
        <w:rPr>
          <w:rFonts w:eastAsia="Arial Unicode MS"/>
          <w:lang w:eastAsia="cs-CZ"/>
        </w:rPr>
        <w:t>Význam dopadů legislativních změn v oblasti odměňování na rozpočet poskytovatelů sociálních služeb je determinován skutečností, že osobní náklady jsou největší položkou rozpočtu sociálních služeb. A</w:t>
      </w:r>
      <w:r w:rsidRPr="0039748C">
        <w:t xml:space="preserve">nalýza financování sociálních služeb zpracovaná MPSV mimo jiné uvádí: Největší položkou celkových nákladů jsou samozřejmě mzdové a platové náklady na pracovníky v přímé péči, ale také na další obslužný personál. S tímto tvrzením lze bezezbytku souhlasit, neboť osobní náklady sociálních služeb zařazených do </w:t>
      </w:r>
      <w:r>
        <w:t>s</w:t>
      </w:r>
      <w:r w:rsidRPr="0039748C">
        <w:t>ítě činily v roce 2020 81,9 % z celkových nákladů s</w:t>
      </w:r>
      <w:r>
        <w:t>ociálních služeb zařazených do s</w:t>
      </w:r>
      <w:r w:rsidRPr="0039748C">
        <w:t xml:space="preserve">ítě. </w:t>
      </w:r>
    </w:p>
    <w:p w:rsidR="00AF4350" w:rsidRPr="0039748C" w:rsidRDefault="00AF4350" w:rsidP="00A34764">
      <w:pPr>
        <w:rPr>
          <w:lang w:eastAsia="cs-CZ"/>
        </w:rPr>
      </w:pPr>
      <w:r w:rsidRPr="0039748C">
        <w:rPr>
          <w:lang w:eastAsia="cs-CZ"/>
        </w:rPr>
        <w:t>Na nákladovost sociálních služeb lze pohlížet z</w:t>
      </w:r>
      <w:r w:rsidRPr="0039748C">
        <w:rPr>
          <w:color w:val="1F497D"/>
          <w:lang w:eastAsia="cs-CZ"/>
        </w:rPr>
        <w:t> </w:t>
      </w:r>
      <w:r w:rsidRPr="0039748C">
        <w:rPr>
          <w:lang w:eastAsia="cs-CZ"/>
        </w:rPr>
        <w:t xml:space="preserve">hlediska: </w:t>
      </w:r>
    </w:p>
    <w:p w:rsidR="00AF4350" w:rsidRPr="00A34764" w:rsidRDefault="00AF4350" w:rsidP="00A34764">
      <w:pPr>
        <w:pStyle w:val="Odstavecseseznamem"/>
        <w:numPr>
          <w:ilvl w:val="0"/>
          <w:numId w:val="37"/>
        </w:numPr>
      </w:pPr>
      <w:r w:rsidRPr="00A34764">
        <w:t>nákladů jednotlivých sociálních služeb – dle druhů sociálních služeb určených zákonem o</w:t>
      </w:r>
      <w:r w:rsidR="00F276BC">
        <w:t> </w:t>
      </w:r>
      <w:r w:rsidRPr="00A34764">
        <w:t>sociálních službách;</w:t>
      </w:r>
    </w:p>
    <w:p w:rsidR="00AF4350" w:rsidRPr="00A34764" w:rsidRDefault="00AF4350" w:rsidP="00A34764">
      <w:pPr>
        <w:pStyle w:val="Odstavecseseznamem"/>
        <w:numPr>
          <w:ilvl w:val="0"/>
          <w:numId w:val="37"/>
        </w:numPr>
      </w:pPr>
      <w:r w:rsidRPr="00A34764">
        <w:t>nákladovosti sítě sociálních služeb jako celku.</w:t>
      </w:r>
    </w:p>
    <w:p w:rsidR="00AF4350" w:rsidRPr="0039748C" w:rsidRDefault="00AF4350" w:rsidP="00186257">
      <w:pPr>
        <w:pStyle w:val="Tun"/>
      </w:pPr>
      <w:r w:rsidRPr="0039748C">
        <w:t>Shrnutí:</w:t>
      </w:r>
    </w:p>
    <w:p w:rsidR="00AF4350" w:rsidRPr="0039748C" w:rsidRDefault="00AF4350" w:rsidP="00A34764">
      <w:pPr>
        <w:rPr>
          <w:lang w:eastAsia="cs-CZ"/>
        </w:rPr>
      </w:pPr>
      <w:r w:rsidRPr="0039748C">
        <w:rPr>
          <w:lang w:eastAsia="cs-CZ"/>
        </w:rPr>
        <w:t>Budoucí náklady, resp. finanční náročnost jednotlivých druhů sociálních služeb, nelze na období platnosti Střednědobého plánu 2024</w:t>
      </w:r>
      <w:r>
        <w:rPr>
          <w:lang w:eastAsia="cs-CZ"/>
        </w:rPr>
        <w:t>–2026</w:t>
      </w:r>
      <w:r w:rsidRPr="0039748C">
        <w:rPr>
          <w:lang w:eastAsia="cs-CZ"/>
        </w:rPr>
        <w:t xml:space="preserve"> shodně, jako budoucí strukturu zdrojů financování, v době jeho tvorby predikovat. Již při tvorbě </w:t>
      </w:r>
      <w:r>
        <w:rPr>
          <w:lang w:eastAsia="cs-CZ"/>
        </w:rPr>
        <w:t>předchozích střednědobých plánů, se predikce</w:t>
      </w:r>
      <w:r w:rsidRPr="0039748C">
        <w:rPr>
          <w:lang w:eastAsia="cs-CZ"/>
        </w:rPr>
        <w:t xml:space="preserve"> na pozadí politických, ekonomických a sociálních změn ve společnosti, které zásadním způsobem ovlivnily situaci v oblasti sociálních služeb </w:t>
      </w:r>
      <w:r>
        <w:rPr>
          <w:lang w:eastAsia="cs-CZ"/>
        </w:rPr>
        <w:t>a jejich financování, projevily</w:t>
      </w:r>
      <w:r w:rsidRPr="0039748C">
        <w:rPr>
          <w:lang w:eastAsia="cs-CZ"/>
        </w:rPr>
        <w:t xml:space="preserve"> jako značně nepřesné. V letech 2020 a 2021 byla data sociálních služeb navíc ovlivněna probíhající pandemií onemocnění </w:t>
      </w:r>
      <w:r>
        <w:rPr>
          <w:lang w:eastAsia="cs-CZ"/>
        </w:rPr>
        <w:t>COVID</w:t>
      </w:r>
      <w:r w:rsidRPr="0039748C">
        <w:rPr>
          <w:lang w:eastAsia="cs-CZ"/>
        </w:rPr>
        <w:t>-19 a zpracování tohoto dokumentu je započato v období nástupu nové vlády, rozpočtového provizoria, rostoucí in</w:t>
      </w:r>
      <w:r>
        <w:rPr>
          <w:lang w:eastAsia="cs-CZ"/>
        </w:rPr>
        <w:t>flace, energetické krize a válečného konfliktu</w:t>
      </w:r>
      <w:r w:rsidRPr="0039748C">
        <w:rPr>
          <w:lang w:eastAsia="cs-CZ"/>
        </w:rPr>
        <w:t xml:space="preserve"> na Ukrajině.</w:t>
      </w:r>
    </w:p>
    <w:p w:rsidR="00AF4350" w:rsidRPr="0039748C" w:rsidRDefault="00AF4350" w:rsidP="00A34764">
      <w:pPr>
        <w:rPr>
          <w:lang w:eastAsia="cs-CZ"/>
        </w:rPr>
      </w:pPr>
      <w:r w:rsidRPr="0039748C">
        <w:rPr>
          <w:lang w:eastAsia="cs-CZ"/>
        </w:rPr>
        <w:t>Mimo výše uvedené skutečnosti, které budou mít značný vliv na budoucí nákladovost sociálních služeb, nelze postihnout vývoj finančního ohodnocení zaměstnanců a rovněž další skutečnosti s přímým dopadem do oblasti sociálních služeb; např. legislativní změny (včetně připravované novely zákona o sociálních službách), inflace, situace na trhu práce, kondice české ekonomiky, dopady energetické krize, rozvoj specifických cílových skupin, atd.</w:t>
      </w:r>
    </w:p>
    <w:p w:rsidR="00AF4350" w:rsidRPr="0039748C" w:rsidRDefault="00AF4350" w:rsidP="00A34764">
      <w:pPr>
        <w:rPr>
          <w:lang w:eastAsia="cs-CZ"/>
        </w:rPr>
      </w:pPr>
      <w:r w:rsidRPr="0039748C">
        <w:rPr>
          <w:lang w:eastAsia="cs-CZ"/>
        </w:rPr>
        <w:t>Následující predikce je tedy omezena na předpoklad vývoje nákladů sociálních služeb jako celku od roku 2022.</w:t>
      </w:r>
    </w:p>
    <w:p w:rsidR="00AF4350" w:rsidRPr="008048CB" w:rsidRDefault="00AF4350" w:rsidP="008048CB">
      <w:pPr>
        <w:pStyle w:val="popistabulkySPRSS2024"/>
      </w:pPr>
      <w:bookmarkStart w:id="145" w:name="_Toc117607094"/>
      <w:r w:rsidRPr="008048CB">
        <w:t xml:space="preserve">Tabulka </w:t>
      </w:r>
      <w:r w:rsidR="00412C70">
        <w:fldChar w:fldCharType="begin"/>
      </w:r>
      <w:r w:rsidR="00412C70">
        <w:instrText xml:space="preserve"> SEQ Tabulka \* ARABIC </w:instrText>
      </w:r>
      <w:r w:rsidR="00412C70">
        <w:fldChar w:fldCharType="separate"/>
      </w:r>
      <w:r w:rsidR="003A12AF">
        <w:rPr>
          <w:noProof/>
        </w:rPr>
        <w:t>34</w:t>
      </w:r>
      <w:r w:rsidR="00412C70">
        <w:rPr>
          <w:noProof/>
        </w:rPr>
        <w:fldChar w:fldCharType="end"/>
      </w:r>
      <w:r w:rsidRPr="008048CB">
        <w:t>: Predikce vývoje nákladů sociálních služeb (v tis. Kč)</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4"/>
        <w:gridCol w:w="1159"/>
        <w:gridCol w:w="1117"/>
        <w:gridCol w:w="1117"/>
        <w:gridCol w:w="1117"/>
        <w:gridCol w:w="1116"/>
        <w:gridCol w:w="1116"/>
        <w:gridCol w:w="1116"/>
      </w:tblGrid>
      <w:tr w:rsidR="00186257" w:rsidRPr="00186257" w:rsidTr="00186257">
        <w:trPr>
          <w:trHeight w:val="510"/>
        </w:trPr>
        <w:tc>
          <w:tcPr>
            <w:tcW w:w="664" w:type="pct"/>
            <w:shd w:val="clear" w:color="auto" w:fill="F2F2F2" w:themeFill="background1" w:themeFillShade="F2"/>
            <w:noWrap/>
            <w:vAlign w:val="center"/>
            <w:hideMark/>
          </w:tcPr>
          <w:p w:rsidR="00186257" w:rsidRPr="00186257" w:rsidRDefault="00186257" w:rsidP="00186257">
            <w:pPr>
              <w:spacing w:before="0"/>
              <w:jc w:val="center"/>
              <w:rPr>
                <w:rFonts w:cs="Segoe UI"/>
                <w:b/>
                <w:sz w:val="18"/>
                <w:szCs w:val="18"/>
                <w:lang w:eastAsia="cs-CZ"/>
              </w:rPr>
            </w:pPr>
            <w:r w:rsidRPr="00186257">
              <w:rPr>
                <w:rFonts w:cs="Segoe UI"/>
                <w:b/>
                <w:sz w:val="18"/>
                <w:szCs w:val="18"/>
                <w:lang w:eastAsia="cs-CZ"/>
              </w:rPr>
              <w:t>2019</w:t>
            </w:r>
          </w:p>
        </w:tc>
        <w:tc>
          <w:tcPr>
            <w:tcW w:w="639" w:type="pct"/>
            <w:shd w:val="clear" w:color="auto" w:fill="F2F2F2" w:themeFill="background1" w:themeFillShade="F2"/>
            <w:noWrap/>
            <w:vAlign w:val="center"/>
            <w:hideMark/>
          </w:tcPr>
          <w:p w:rsidR="00186257" w:rsidRPr="00186257" w:rsidRDefault="00186257" w:rsidP="00186257">
            <w:pPr>
              <w:spacing w:before="0"/>
              <w:jc w:val="center"/>
              <w:rPr>
                <w:rFonts w:cs="Segoe UI"/>
                <w:b/>
                <w:sz w:val="18"/>
                <w:szCs w:val="18"/>
                <w:lang w:eastAsia="cs-CZ"/>
              </w:rPr>
            </w:pPr>
            <w:r w:rsidRPr="00186257">
              <w:rPr>
                <w:rFonts w:cs="Segoe UI"/>
                <w:b/>
                <w:sz w:val="18"/>
                <w:szCs w:val="18"/>
                <w:lang w:eastAsia="cs-CZ"/>
              </w:rPr>
              <w:t>2020</w:t>
            </w:r>
          </w:p>
        </w:tc>
        <w:tc>
          <w:tcPr>
            <w:tcW w:w="616" w:type="pct"/>
            <w:shd w:val="clear" w:color="auto" w:fill="F2F2F2" w:themeFill="background1" w:themeFillShade="F2"/>
            <w:noWrap/>
            <w:vAlign w:val="center"/>
            <w:hideMark/>
          </w:tcPr>
          <w:p w:rsidR="00186257" w:rsidRPr="00186257" w:rsidRDefault="00186257" w:rsidP="00186257">
            <w:pPr>
              <w:spacing w:before="0"/>
              <w:jc w:val="center"/>
              <w:rPr>
                <w:rFonts w:cs="Segoe UI"/>
                <w:b/>
                <w:sz w:val="18"/>
                <w:szCs w:val="18"/>
                <w:lang w:eastAsia="cs-CZ"/>
              </w:rPr>
            </w:pPr>
            <w:r w:rsidRPr="00186257">
              <w:rPr>
                <w:rFonts w:cs="Segoe UI"/>
                <w:b/>
                <w:sz w:val="18"/>
                <w:szCs w:val="18"/>
                <w:lang w:eastAsia="cs-CZ"/>
              </w:rPr>
              <w:t>2021</w:t>
            </w:r>
          </w:p>
        </w:tc>
        <w:tc>
          <w:tcPr>
            <w:tcW w:w="616" w:type="pct"/>
            <w:shd w:val="clear" w:color="auto" w:fill="BDD6EE" w:themeFill="accent1" w:themeFillTint="66"/>
            <w:noWrap/>
            <w:vAlign w:val="center"/>
            <w:hideMark/>
          </w:tcPr>
          <w:p w:rsidR="00186257" w:rsidRPr="00186257" w:rsidRDefault="00186257" w:rsidP="00186257">
            <w:pPr>
              <w:spacing w:before="0"/>
              <w:jc w:val="center"/>
              <w:rPr>
                <w:rFonts w:cs="Segoe UI"/>
                <w:b/>
                <w:sz w:val="18"/>
                <w:szCs w:val="18"/>
                <w:lang w:eastAsia="cs-CZ"/>
              </w:rPr>
            </w:pPr>
            <w:r w:rsidRPr="00186257">
              <w:rPr>
                <w:rFonts w:cs="Segoe UI"/>
                <w:b/>
                <w:sz w:val="18"/>
                <w:szCs w:val="18"/>
                <w:lang w:eastAsia="cs-CZ"/>
              </w:rPr>
              <w:t>2022</w:t>
            </w:r>
          </w:p>
        </w:tc>
        <w:tc>
          <w:tcPr>
            <w:tcW w:w="616" w:type="pct"/>
            <w:shd w:val="clear" w:color="auto" w:fill="BDD6EE" w:themeFill="accent1" w:themeFillTint="66"/>
            <w:noWrap/>
            <w:vAlign w:val="center"/>
            <w:hideMark/>
          </w:tcPr>
          <w:p w:rsidR="00186257" w:rsidRPr="00186257" w:rsidRDefault="00186257" w:rsidP="00186257">
            <w:pPr>
              <w:spacing w:before="0"/>
              <w:jc w:val="center"/>
              <w:rPr>
                <w:rFonts w:cs="Segoe UI"/>
                <w:b/>
                <w:sz w:val="18"/>
                <w:szCs w:val="18"/>
                <w:lang w:eastAsia="cs-CZ"/>
              </w:rPr>
            </w:pPr>
            <w:r w:rsidRPr="00186257">
              <w:rPr>
                <w:rFonts w:cs="Segoe UI"/>
                <w:b/>
                <w:sz w:val="18"/>
                <w:szCs w:val="18"/>
                <w:lang w:eastAsia="cs-CZ"/>
              </w:rPr>
              <w:t>2023</w:t>
            </w:r>
          </w:p>
        </w:tc>
        <w:tc>
          <w:tcPr>
            <w:tcW w:w="616" w:type="pct"/>
            <w:shd w:val="clear" w:color="auto" w:fill="BDD6EE" w:themeFill="accent1" w:themeFillTint="66"/>
            <w:noWrap/>
            <w:vAlign w:val="center"/>
            <w:hideMark/>
          </w:tcPr>
          <w:p w:rsidR="00186257" w:rsidRPr="00186257" w:rsidRDefault="00186257" w:rsidP="00186257">
            <w:pPr>
              <w:spacing w:before="0"/>
              <w:jc w:val="center"/>
              <w:rPr>
                <w:rFonts w:cs="Segoe UI"/>
                <w:b/>
                <w:sz w:val="18"/>
                <w:szCs w:val="18"/>
                <w:lang w:eastAsia="cs-CZ"/>
              </w:rPr>
            </w:pPr>
            <w:r w:rsidRPr="00186257">
              <w:rPr>
                <w:rFonts w:cs="Segoe UI"/>
                <w:b/>
                <w:sz w:val="18"/>
                <w:szCs w:val="18"/>
                <w:lang w:eastAsia="cs-CZ"/>
              </w:rPr>
              <w:t>2024</w:t>
            </w:r>
          </w:p>
        </w:tc>
        <w:tc>
          <w:tcPr>
            <w:tcW w:w="616" w:type="pct"/>
            <w:shd w:val="clear" w:color="auto" w:fill="BDD6EE" w:themeFill="accent1" w:themeFillTint="66"/>
            <w:noWrap/>
            <w:vAlign w:val="center"/>
            <w:hideMark/>
          </w:tcPr>
          <w:p w:rsidR="00186257" w:rsidRPr="00186257" w:rsidRDefault="00186257" w:rsidP="00186257">
            <w:pPr>
              <w:spacing w:before="0"/>
              <w:jc w:val="center"/>
              <w:rPr>
                <w:rFonts w:cs="Segoe UI"/>
                <w:b/>
                <w:sz w:val="18"/>
                <w:szCs w:val="18"/>
                <w:lang w:eastAsia="cs-CZ"/>
              </w:rPr>
            </w:pPr>
            <w:r w:rsidRPr="00186257">
              <w:rPr>
                <w:rFonts w:cs="Segoe UI"/>
                <w:b/>
                <w:sz w:val="18"/>
                <w:szCs w:val="18"/>
                <w:lang w:eastAsia="cs-CZ"/>
              </w:rPr>
              <w:t>2025</w:t>
            </w:r>
          </w:p>
        </w:tc>
        <w:tc>
          <w:tcPr>
            <w:tcW w:w="616" w:type="pct"/>
            <w:shd w:val="clear" w:color="auto" w:fill="BDD6EE" w:themeFill="accent1" w:themeFillTint="66"/>
            <w:noWrap/>
            <w:vAlign w:val="center"/>
            <w:hideMark/>
          </w:tcPr>
          <w:p w:rsidR="00186257" w:rsidRPr="00186257" w:rsidRDefault="00186257" w:rsidP="00186257">
            <w:pPr>
              <w:spacing w:before="0"/>
              <w:jc w:val="center"/>
              <w:rPr>
                <w:rFonts w:cs="Segoe UI"/>
                <w:b/>
                <w:sz w:val="18"/>
                <w:szCs w:val="18"/>
                <w:lang w:eastAsia="cs-CZ"/>
              </w:rPr>
            </w:pPr>
            <w:r w:rsidRPr="00186257">
              <w:rPr>
                <w:rFonts w:cs="Segoe UI"/>
                <w:b/>
                <w:sz w:val="18"/>
                <w:szCs w:val="18"/>
                <w:lang w:eastAsia="cs-CZ"/>
              </w:rPr>
              <w:t>2026</w:t>
            </w:r>
          </w:p>
        </w:tc>
      </w:tr>
      <w:tr w:rsidR="00186257" w:rsidRPr="00186257" w:rsidTr="00186257">
        <w:trPr>
          <w:trHeight w:val="510"/>
        </w:trPr>
        <w:tc>
          <w:tcPr>
            <w:tcW w:w="664" w:type="pct"/>
            <w:tcBorders>
              <w:top w:val="single" w:sz="4" w:space="0" w:color="auto"/>
              <w:left w:val="single" w:sz="4" w:space="0" w:color="auto"/>
              <w:bottom w:val="single" w:sz="4" w:space="0" w:color="auto"/>
              <w:right w:val="single" w:sz="4" w:space="0" w:color="auto"/>
            </w:tcBorders>
            <w:shd w:val="clear" w:color="000000" w:fill="5A8AC6"/>
            <w:noWrap/>
            <w:vAlign w:val="center"/>
            <w:hideMark/>
          </w:tcPr>
          <w:p w:rsidR="00186257" w:rsidRPr="00186257" w:rsidRDefault="00186257" w:rsidP="00C75B79">
            <w:pPr>
              <w:spacing w:before="0"/>
              <w:jc w:val="right"/>
              <w:rPr>
                <w:rFonts w:cs="Segoe UI"/>
                <w:sz w:val="18"/>
                <w:szCs w:val="18"/>
                <w:lang w:eastAsia="cs-CZ"/>
              </w:rPr>
            </w:pPr>
            <w:r>
              <w:rPr>
                <w:rFonts w:cs="Segoe UI"/>
                <w:color w:val="000000"/>
                <w:sz w:val="18"/>
                <w:szCs w:val="18"/>
              </w:rPr>
              <w:t>3 047 285</w:t>
            </w:r>
          </w:p>
        </w:tc>
        <w:tc>
          <w:tcPr>
            <w:tcW w:w="639" w:type="pct"/>
            <w:tcBorders>
              <w:top w:val="single" w:sz="4" w:space="0" w:color="auto"/>
              <w:left w:val="single" w:sz="4" w:space="0" w:color="auto"/>
              <w:bottom w:val="single" w:sz="4" w:space="0" w:color="auto"/>
              <w:right w:val="single" w:sz="4" w:space="0" w:color="auto"/>
            </w:tcBorders>
            <w:shd w:val="clear" w:color="000000" w:fill="6F99CD"/>
            <w:noWrap/>
            <w:vAlign w:val="center"/>
            <w:hideMark/>
          </w:tcPr>
          <w:p w:rsidR="00186257" w:rsidRPr="00186257" w:rsidRDefault="00186257" w:rsidP="00C75B79">
            <w:pPr>
              <w:spacing w:before="0"/>
              <w:jc w:val="right"/>
              <w:rPr>
                <w:rFonts w:cs="Segoe UI"/>
                <w:sz w:val="18"/>
                <w:szCs w:val="18"/>
                <w:lang w:eastAsia="cs-CZ"/>
              </w:rPr>
            </w:pPr>
            <w:r>
              <w:rPr>
                <w:rFonts w:cs="Segoe UI"/>
                <w:color w:val="000000"/>
                <w:sz w:val="18"/>
                <w:szCs w:val="18"/>
              </w:rPr>
              <w:t>3 231 128</w:t>
            </w:r>
          </w:p>
        </w:tc>
        <w:tc>
          <w:tcPr>
            <w:tcW w:w="616" w:type="pct"/>
            <w:tcBorders>
              <w:top w:val="single" w:sz="4" w:space="0" w:color="auto"/>
              <w:left w:val="single" w:sz="4" w:space="0" w:color="auto"/>
              <w:bottom w:val="single" w:sz="4" w:space="0" w:color="auto"/>
              <w:right w:val="single" w:sz="4" w:space="0" w:color="auto"/>
            </w:tcBorders>
            <w:shd w:val="clear" w:color="000000" w:fill="90B0D9"/>
            <w:noWrap/>
            <w:vAlign w:val="center"/>
            <w:hideMark/>
          </w:tcPr>
          <w:p w:rsidR="00186257" w:rsidRPr="00186257" w:rsidRDefault="00186257" w:rsidP="00C75B79">
            <w:pPr>
              <w:spacing w:before="0"/>
              <w:jc w:val="right"/>
              <w:rPr>
                <w:rFonts w:cs="Segoe UI"/>
                <w:sz w:val="18"/>
                <w:szCs w:val="18"/>
                <w:lang w:eastAsia="cs-CZ"/>
              </w:rPr>
            </w:pPr>
            <w:r>
              <w:rPr>
                <w:rFonts w:cs="Segoe UI"/>
                <w:color w:val="000000"/>
                <w:sz w:val="18"/>
                <w:szCs w:val="18"/>
              </w:rPr>
              <w:t>3 515 108</w:t>
            </w:r>
          </w:p>
        </w:tc>
        <w:tc>
          <w:tcPr>
            <w:tcW w:w="616" w:type="pct"/>
            <w:tcBorders>
              <w:top w:val="single" w:sz="4" w:space="0" w:color="auto"/>
              <w:left w:val="single" w:sz="4" w:space="0" w:color="auto"/>
              <w:bottom w:val="single" w:sz="4" w:space="0" w:color="auto"/>
              <w:right w:val="single" w:sz="4" w:space="0" w:color="auto"/>
            </w:tcBorders>
            <w:shd w:val="clear" w:color="000000" w:fill="E3EAF6"/>
            <w:noWrap/>
            <w:vAlign w:val="center"/>
            <w:hideMark/>
          </w:tcPr>
          <w:p w:rsidR="00186257" w:rsidRPr="00186257" w:rsidRDefault="00186257" w:rsidP="00C75B79">
            <w:pPr>
              <w:spacing w:before="0"/>
              <w:jc w:val="right"/>
              <w:rPr>
                <w:rFonts w:cs="Segoe UI"/>
                <w:sz w:val="18"/>
                <w:szCs w:val="18"/>
                <w:lang w:eastAsia="cs-CZ"/>
              </w:rPr>
            </w:pPr>
            <w:r>
              <w:rPr>
                <w:rFonts w:cs="Segoe UI"/>
                <w:color w:val="000000"/>
                <w:sz w:val="18"/>
                <w:szCs w:val="18"/>
              </w:rPr>
              <w:t>4 218 130</w:t>
            </w:r>
          </w:p>
        </w:tc>
        <w:tc>
          <w:tcPr>
            <w:tcW w:w="616" w:type="pct"/>
            <w:tcBorders>
              <w:top w:val="single" w:sz="4" w:space="0" w:color="auto"/>
              <w:left w:val="single" w:sz="4" w:space="0" w:color="auto"/>
              <w:bottom w:val="single" w:sz="4" w:space="0" w:color="auto"/>
              <w:right w:val="single" w:sz="4" w:space="0" w:color="auto"/>
            </w:tcBorders>
            <w:shd w:val="clear" w:color="000000" w:fill="FCDCDE"/>
            <w:noWrap/>
            <w:vAlign w:val="center"/>
            <w:hideMark/>
          </w:tcPr>
          <w:p w:rsidR="00186257" w:rsidRPr="00186257" w:rsidRDefault="00186257" w:rsidP="00C75B79">
            <w:pPr>
              <w:spacing w:before="0"/>
              <w:jc w:val="right"/>
              <w:rPr>
                <w:rFonts w:cs="Segoe UI"/>
                <w:sz w:val="18"/>
                <w:szCs w:val="18"/>
                <w:lang w:eastAsia="cs-CZ"/>
              </w:rPr>
            </w:pPr>
            <w:r>
              <w:rPr>
                <w:rFonts w:cs="Segoe UI"/>
                <w:color w:val="000000"/>
                <w:sz w:val="18"/>
                <w:szCs w:val="18"/>
              </w:rPr>
              <w:t>4 639 943</w:t>
            </w:r>
          </w:p>
        </w:tc>
        <w:tc>
          <w:tcPr>
            <w:tcW w:w="616" w:type="pct"/>
            <w:tcBorders>
              <w:top w:val="single" w:sz="4" w:space="0" w:color="auto"/>
              <w:left w:val="single" w:sz="4" w:space="0" w:color="auto"/>
              <w:bottom w:val="single" w:sz="4" w:space="0" w:color="auto"/>
              <w:right w:val="single" w:sz="4" w:space="0" w:color="auto"/>
            </w:tcBorders>
            <w:shd w:val="clear" w:color="000000" w:fill="FBB7BA"/>
            <w:noWrap/>
            <w:vAlign w:val="center"/>
            <w:hideMark/>
          </w:tcPr>
          <w:p w:rsidR="00186257" w:rsidRPr="00186257" w:rsidRDefault="00186257" w:rsidP="00C75B79">
            <w:pPr>
              <w:spacing w:before="0"/>
              <w:jc w:val="right"/>
              <w:rPr>
                <w:rFonts w:cs="Segoe UI"/>
                <w:sz w:val="18"/>
                <w:szCs w:val="18"/>
                <w:lang w:eastAsia="cs-CZ"/>
              </w:rPr>
            </w:pPr>
            <w:r>
              <w:rPr>
                <w:rFonts w:cs="Segoe UI"/>
                <w:color w:val="000000"/>
                <w:sz w:val="18"/>
                <w:szCs w:val="18"/>
              </w:rPr>
              <w:t>4 871 940</w:t>
            </w:r>
          </w:p>
        </w:tc>
        <w:tc>
          <w:tcPr>
            <w:tcW w:w="616" w:type="pct"/>
            <w:tcBorders>
              <w:top w:val="single" w:sz="4" w:space="0" w:color="auto"/>
              <w:left w:val="single" w:sz="4" w:space="0" w:color="auto"/>
              <w:bottom w:val="single" w:sz="4" w:space="0" w:color="auto"/>
              <w:right w:val="single" w:sz="4" w:space="0" w:color="auto"/>
            </w:tcBorders>
            <w:shd w:val="clear" w:color="000000" w:fill="FA9194"/>
            <w:noWrap/>
            <w:vAlign w:val="center"/>
            <w:hideMark/>
          </w:tcPr>
          <w:p w:rsidR="00186257" w:rsidRPr="00186257" w:rsidRDefault="00186257" w:rsidP="00C75B79">
            <w:pPr>
              <w:spacing w:before="0"/>
              <w:jc w:val="right"/>
              <w:rPr>
                <w:rFonts w:cs="Segoe UI"/>
                <w:sz w:val="18"/>
                <w:szCs w:val="18"/>
                <w:lang w:eastAsia="cs-CZ"/>
              </w:rPr>
            </w:pPr>
            <w:r>
              <w:rPr>
                <w:rFonts w:cs="Segoe UI"/>
                <w:color w:val="000000"/>
                <w:sz w:val="18"/>
                <w:szCs w:val="18"/>
              </w:rPr>
              <w:t>5 115 537</w:t>
            </w:r>
          </w:p>
        </w:tc>
        <w:tc>
          <w:tcPr>
            <w:tcW w:w="616"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186257" w:rsidRPr="00186257" w:rsidRDefault="00186257" w:rsidP="00C75B79">
            <w:pPr>
              <w:spacing w:before="0"/>
              <w:jc w:val="right"/>
              <w:rPr>
                <w:rFonts w:cs="Segoe UI"/>
                <w:sz w:val="18"/>
                <w:szCs w:val="18"/>
                <w:lang w:eastAsia="cs-CZ"/>
              </w:rPr>
            </w:pPr>
            <w:r>
              <w:rPr>
                <w:rFonts w:cs="Segoe UI"/>
                <w:color w:val="000000"/>
                <w:sz w:val="18"/>
                <w:szCs w:val="18"/>
              </w:rPr>
              <w:t>5 371 314</w:t>
            </w:r>
          </w:p>
        </w:tc>
      </w:tr>
    </w:tbl>
    <w:p w:rsidR="00AF4350" w:rsidRPr="000A12FB" w:rsidRDefault="00AF4350" w:rsidP="00186257">
      <w:pPr>
        <w:pStyle w:val="Zdrojobjektu"/>
      </w:pPr>
      <w:r w:rsidRPr="000A12FB">
        <w:t xml:space="preserve">Zdroj: </w:t>
      </w:r>
      <w:proofErr w:type="spellStart"/>
      <w:r w:rsidRPr="000A12FB">
        <w:t>KISSoS</w:t>
      </w:r>
      <w:proofErr w:type="spellEnd"/>
      <w:r w:rsidRPr="000A12FB">
        <w:t>, vlastní zpracování</w:t>
      </w:r>
      <w:r w:rsidR="00A456E8">
        <w:t>, (2022)</w:t>
      </w:r>
      <w:r w:rsidR="00186257">
        <w:t>.</w:t>
      </w:r>
    </w:p>
    <w:p w:rsidR="00AF4350" w:rsidRPr="0039748C" w:rsidRDefault="00AF4350" w:rsidP="00A34764">
      <w:pPr>
        <w:rPr>
          <w:lang w:eastAsia="cs-CZ"/>
        </w:rPr>
      </w:pPr>
      <w:r w:rsidRPr="0039748C">
        <w:rPr>
          <w:lang w:eastAsia="cs-CZ"/>
        </w:rPr>
        <w:t>Výhled financování sociálních služeb bude aktualizován v jednotlivých Akčních plánech, a to tak, aby predikce reálněji odrážela aktuální finanční situaci sociálních služeb (jejich náklady a výnosy)</w:t>
      </w:r>
      <w:r>
        <w:rPr>
          <w:lang w:eastAsia="cs-CZ"/>
        </w:rPr>
        <w:t>,</w:t>
      </w:r>
      <w:r w:rsidRPr="0039748C">
        <w:rPr>
          <w:lang w:eastAsia="cs-CZ"/>
        </w:rPr>
        <w:t xml:space="preserve"> a rovněž i výhled makroekonomické situace (inflační očekávání, předpoklady změn v oblasti odměňování, atd.), případně dopady dalších vlivů (např. legislativních změn). </w:t>
      </w:r>
    </w:p>
    <w:p w:rsidR="00AF4350" w:rsidRPr="0039748C" w:rsidRDefault="00AF4350" w:rsidP="00A34764">
      <w:pPr>
        <w:rPr>
          <w:lang w:eastAsia="cs-CZ"/>
        </w:rPr>
      </w:pPr>
      <w:r w:rsidRPr="0039748C">
        <w:rPr>
          <w:lang w:eastAsia="cs-CZ"/>
        </w:rPr>
        <w:t xml:space="preserve">Z hlediska nákladů na zajištění sítě sociálních služeb, které budou ovlivněny výše uvedenými dopady do rozpočtu jednotlivých sociálních služeb, bude dále nákladovost sítě ovlivněna její aktualizací dle </w:t>
      </w:r>
      <w:proofErr w:type="spellStart"/>
      <w:r w:rsidRPr="0039748C">
        <w:rPr>
          <w:lang w:eastAsia="cs-CZ"/>
        </w:rPr>
        <w:t>POSTUPu</w:t>
      </w:r>
      <w:proofErr w:type="spellEnd"/>
      <w:r>
        <w:rPr>
          <w:lang w:eastAsia="cs-CZ"/>
        </w:rPr>
        <w:t>,</w:t>
      </w:r>
      <w:r w:rsidRPr="0039748C">
        <w:rPr>
          <w:lang w:eastAsia="cs-CZ"/>
        </w:rPr>
        <w:t xml:space="preserve"> z důvodu zajištění dostupnosti sociálních služeb osobám sociálně vyloučeným nebo ohroženým sociálním vyloučením; změnou druhů sociálních služeb, které případně přinese novela zákona o sociálních službách a dalšími skutečnostmi. </w:t>
      </w:r>
    </w:p>
    <w:p w:rsidR="00AF4350" w:rsidRPr="0039748C" w:rsidRDefault="00AF4350" w:rsidP="00A34764">
      <w:pPr>
        <w:pStyle w:val="Nadpis2"/>
      </w:pPr>
      <w:bookmarkStart w:id="146" w:name="_Toc117606983"/>
      <w:r w:rsidRPr="0039748C">
        <w:lastRenderedPageBreak/>
        <w:t>Financování sociálních služeb v Olomouckém kraji</w:t>
      </w:r>
      <w:bookmarkEnd w:id="146"/>
    </w:p>
    <w:p w:rsidR="00AF4350" w:rsidRPr="0039748C" w:rsidRDefault="00AF4350" w:rsidP="00A34764">
      <w:pPr>
        <w:rPr>
          <w:rFonts w:eastAsia="Arial Unicode MS"/>
          <w:lang w:eastAsia="cs-CZ"/>
        </w:rPr>
      </w:pPr>
      <w:r w:rsidRPr="0039748C">
        <w:rPr>
          <w:rFonts w:eastAsia="Arial Unicode MS"/>
          <w:lang w:eastAsia="cs-CZ"/>
        </w:rPr>
        <w:t>Financování sociálních služeb v OK je od roku 2015 realizováno prostřednictvím Programu, který stanovuje pravidla pro poskytování finančních prostředků na zajištění sociálních služeb, který byl vypracován v návaznosti na změnu způsobu financování sociálních služeb, kdy odpovědnost za rozhodování o výši dotace ze státního rozpočtu jednotlivým poskytovatelům sociálních služeb</w:t>
      </w:r>
      <w:r>
        <w:rPr>
          <w:rFonts w:eastAsia="Arial Unicode MS"/>
          <w:lang w:eastAsia="cs-CZ"/>
        </w:rPr>
        <w:t>,</w:t>
      </w:r>
      <w:r w:rsidRPr="0039748C">
        <w:rPr>
          <w:rFonts w:eastAsia="Arial Unicode MS"/>
          <w:lang w:eastAsia="cs-CZ"/>
        </w:rPr>
        <w:t xml:space="preserve"> převzaly z gesce MPSV kraje.</w:t>
      </w:r>
    </w:p>
    <w:p w:rsidR="00AF4350" w:rsidRPr="0039748C" w:rsidRDefault="00AF4350" w:rsidP="00A34764">
      <w:pPr>
        <w:rPr>
          <w:rFonts w:eastAsia="Arial Unicode MS"/>
          <w:lang w:eastAsia="cs-CZ"/>
        </w:rPr>
      </w:pPr>
      <w:r w:rsidRPr="0039748C">
        <w:rPr>
          <w:rFonts w:eastAsia="Arial Unicode MS"/>
          <w:lang w:eastAsia="cs-CZ"/>
        </w:rPr>
        <w:t>Program respektuje základní principy určené MPSV v Rozhodnutí o poskytnutí dotace krajům a Metodice, která je jeho součástí. Jeho obecná část definuje pojmy a pravidla společná pro celý Program (jednotlivé podprogramy) a vypořádává se s požadavky legislativy Evropské unie (čl. 106 odst. 2 Smlouvy o fungování Evropské unie) v oblasti veřejné podpory</w:t>
      </w:r>
      <w:r>
        <w:rPr>
          <w:rFonts w:eastAsia="Arial Unicode MS"/>
          <w:lang w:eastAsia="cs-CZ"/>
        </w:rPr>
        <w:t>.</w:t>
      </w:r>
      <w:r w:rsidRPr="0039748C">
        <w:rPr>
          <w:rFonts w:eastAsia="Arial Unicode MS"/>
          <w:lang w:eastAsia="cs-CZ"/>
        </w:rPr>
        <w:t xml:space="preserve"> Podprogram č. 1 stanoví postupy administrace a rozdělení účelové státní dotace poskytnuté OK</w:t>
      </w:r>
      <w:r>
        <w:rPr>
          <w:rFonts w:eastAsia="Arial Unicode MS"/>
          <w:lang w:eastAsia="cs-CZ"/>
        </w:rPr>
        <w:t>.</w:t>
      </w:r>
      <w:r w:rsidRPr="0039748C">
        <w:rPr>
          <w:rFonts w:eastAsia="Arial Unicode MS"/>
          <w:lang w:eastAsia="cs-CZ"/>
        </w:rPr>
        <w:t xml:space="preserve"> Podprogram č. 2 vymezuje způsob poskytování finančních prostředků z rozpočtu OK na poskytování sociálních služeb a Podprogram č. 3 stanoví postup pro poskytnutí neinvestičních příspěvků určených na financování provozních záležitostí příspěvkovým organizacím zřizovaným OK v sociální oblasti.  </w:t>
      </w:r>
    </w:p>
    <w:p w:rsidR="00AF4350" w:rsidRPr="0039748C" w:rsidRDefault="00AF4350" w:rsidP="00A34764">
      <w:pPr>
        <w:rPr>
          <w:rFonts w:eastAsia="Arial Unicode MS"/>
          <w:lang w:eastAsia="cs-CZ"/>
        </w:rPr>
      </w:pPr>
      <w:r w:rsidRPr="0039748C">
        <w:rPr>
          <w:rFonts w:eastAsia="Arial Unicode MS"/>
          <w:lang w:eastAsia="cs-CZ"/>
        </w:rPr>
        <w:t>Výpočet výše dotace ze státního rozpočtu v rámci Podprogramu č. 1 jednotlivým poskytovatelům je postaven na měřitelných jednotkách dle specifik jednotlivých druhů služeb (počet lůžek a počet pracovníků v přímé péči). Výpočty jsou nastaveny tak, aby se co nejvíce blížily mechanismu vyrovnávací platby v souladu s požadavky legislativy Evropské unie (čl. 106 odst. 2 Smlouvy o fungování Evropské unie) v oblasti veřejné podpory při zohlednění vícezdrojového financování v podmínkách ČR. Na výši dotace přiznané sociálním službám v Podprogramu č. 1 přímo navazuje mechanismus poskytování dotací v rámci Podprogramu č. 2.</w:t>
      </w:r>
    </w:p>
    <w:p w:rsidR="00AF4350" w:rsidRPr="0039748C" w:rsidRDefault="00AF4350" w:rsidP="00A34764">
      <w:pPr>
        <w:rPr>
          <w:rFonts w:eastAsia="Arial Unicode MS"/>
          <w:lang w:eastAsia="cs-CZ"/>
        </w:rPr>
      </w:pPr>
      <w:r w:rsidRPr="0039748C">
        <w:rPr>
          <w:rFonts w:eastAsia="Arial Unicode MS"/>
          <w:lang w:eastAsia="cs-CZ"/>
        </w:rPr>
        <w:t>Prostřednictvím Programu jsou financovány registrované sociální služby zařazené do schválené sítě sociálních služeb OK na příslušný rok, která je součástí jednoletého prováděcího dok</w:t>
      </w:r>
      <w:r>
        <w:rPr>
          <w:rFonts w:eastAsia="Arial Unicode MS"/>
          <w:lang w:eastAsia="cs-CZ"/>
        </w:rPr>
        <w:t xml:space="preserve">umentu ke střednědobému plánu - </w:t>
      </w:r>
      <w:r w:rsidRPr="0039748C">
        <w:rPr>
          <w:rFonts w:eastAsia="Arial Unicode MS"/>
          <w:lang w:eastAsia="cs-CZ"/>
        </w:rPr>
        <w:t>Akčního plánu.</w:t>
      </w:r>
    </w:p>
    <w:p w:rsidR="00AF4350" w:rsidRPr="0039748C" w:rsidRDefault="00AF4350" w:rsidP="00A34764">
      <w:pPr>
        <w:pStyle w:val="Nadpis3"/>
      </w:pPr>
      <w:bookmarkStart w:id="147" w:name="_Toc117606984"/>
      <w:r w:rsidRPr="0039748C">
        <w:t>Program finanční podpory poskytování sociálních služeb v Olomouckém kraji</w:t>
      </w:r>
      <w:bookmarkEnd w:id="147"/>
    </w:p>
    <w:p w:rsidR="00AF4350" w:rsidRPr="0039748C" w:rsidRDefault="00AF4350" w:rsidP="00186257">
      <w:pPr>
        <w:pStyle w:val="Tun"/>
      </w:pPr>
      <w:r w:rsidRPr="0039748C">
        <w:t>Podprogram č. 1</w:t>
      </w:r>
    </w:p>
    <w:p w:rsidR="00AF4350" w:rsidRPr="0039748C" w:rsidRDefault="00AF4350" w:rsidP="00A34764">
      <w:pPr>
        <w:rPr>
          <w:rFonts w:eastAsia="Arial Unicode MS"/>
          <w:lang w:eastAsia="cs-CZ"/>
        </w:rPr>
      </w:pPr>
      <w:r w:rsidRPr="0039748C">
        <w:rPr>
          <w:rFonts w:eastAsia="Arial Unicode MS"/>
          <w:lang w:eastAsia="cs-CZ"/>
        </w:rPr>
        <w:t xml:space="preserve">Účelem podprogramu je částečné finanční zajištění poskytování sociálních služeb zařazených do sítě sociálních služeb OK, a to z finančních prostředků účelově určené dotace ze státního rozpočtu poskytnuté OK na základě ustanovení § 101a zákona o sociálních službách.  </w:t>
      </w:r>
    </w:p>
    <w:p w:rsidR="00AF4350" w:rsidRPr="0039748C" w:rsidRDefault="00AF4350" w:rsidP="00A34764">
      <w:pPr>
        <w:rPr>
          <w:rFonts w:eastAsia="Arial Unicode MS"/>
          <w:lang w:eastAsia="cs-CZ"/>
        </w:rPr>
      </w:pPr>
      <w:r w:rsidRPr="0039748C">
        <w:rPr>
          <w:rFonts w:eastAsia="Arial Unicode MS"/>
          <w:lang w:eastAsia="cs-CZ"/>
        </w:rPr>
        <w:t>Souhrnné informace týkající se Podprogramu č. 1 v letech 2019, 2020 a 2021 jsou uvedeny níže.</w:t>
      </w:r>
    </w:p>
    <w:p w:rsidR="00AF4350" w:rsidRPr="00C75B79" w:rsidRDefault="00AF4350" w:rsidP="00186257">
      <w:pPr>
        <w:pStyle w:val="Tun"/>
        <w:rPr>
          <w:b w:val="0"/>
          <w:u w:val="single"/>
        </w:rPr>
      </w:pPr>
      <w:r w:rsidRPr="00C75B79">
        <w:rPr>
          <w:b w:val="0"/>
          <w:u w:val="single"/>
        </w:rPr>
        <w:t>Dotační rok 2019</w:t>
      </w:r>
    </w:p>
    <w:p w:rsidR="00AF4350" w:rsidRPr="0039748C" w:rsidRDefault="00AF4350" w:rsidP="00A34764">
      <w:pPr>
        <w:rPr>
          <w:rFonts w:eastAsia="Arial Unicode MS"/>
          <w:lang w:eastAsia="cs-CZ"/>
        </w:rPr>
      </w:pPr>
      <w:r w:rsidRPr="0039748C">
        <w:rPr>
          <w:rFonts w:eastAsia="Arial Unicode MS"/>
          <w:lang w:eastAsia="cs-CZ"/>
        </w:rPr>
        <w:t>Dotační řízení OK pro jednotlivé poskytovatele sociálních služeb zařazené v síti pro rok 2019 bylo v souladu s Podprogramem č. 1 vyhlášeno v srpnu 2018. Lhůta pro podávání žádostí byla stanovena na období od 20. 10. 2018 do 15. 11. 2018. Ve stanovené lhůtě podalo žádost o dotaci předepsaným způsobem (prostřednictvím webové aplikace MPSV OK služby-poskytovatel) celkem 117 subjektů (poskytovatelů sociálních služeb) pro 302 služeb v celkové částce 1 625 487 102 Kč. Podrobnější</w:t>
      </w:r>
      <w:r>
        <w:rPr>
          <w:rFonts w:eastAsia="Arial Unicode MS"/>
          <w:lang w:eastAsia="cs-CZ"/>
        </w:rPr>
        <w:t xml:space="preserve"> přehled je uveden v následující tabulce</w:t>
      </w:r>
      <w:r w:rsidRPr="0039748C">
        <w:rPr>
          <w:rFonts w:eastAsia="Arial Unicode MS"/>
          <w:lang w:eastAsia="cs-CZ"/>
        </w:rPr>
        <w:t>.</w:t>
      </w:r>
    </w:p>
    <w:p w:rsidR="00AF4350" w:rsidRPr="008048CB" w:rsidRDefault="00AF4350" w:rsidP="008048CB">
      <w:pPr>
        <w:pStyle w:val="popistabulkySPRSS2024"/>
      </w:pPr>
      <w:bookmarkStart w:id="148" w:name="_Toc117607095"/>
      <w:r w:rsidRPr="008048CB">
        <w:t xml:space="preserve">Tabulka </w:t>
      </w:r>
      <w:r w:rsidR="00412C70">
        <w:fldChar w:fldCharType="begin"/>
      </w:r>
      <w:r w:rsidR="00412C70">
        <w:instrText xml:space="preserve"> SEQ Tabulka \* ARABIC </w:instrText>
      </w:r>
      <w:r w:rsidR="00412C70">
        <w:fldChar w:fldCharType="separate"/>
      </w:r>
      <w:r w:rsidR="003A12AF">
        <w:rPr>
          <w:noProof/>
        </w:rPr>
        <w:t>35</w:t>
      </w:r>
      <w:r w:rsidR="00412C70">
        <w:rPr>
          <w:noProof/>
        </w:rPr>
        <w:fldChar w:fldCharType="end"/>
      </w:r>
      <w:r w:rsidRPr="008048CB">
        <w:t>: Požadovaná výše dotace 2019</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5"/>
        <w:gridCol w:w="1146"/>
        <w:gridCol w:w="1272"/>
        <w:gridCol w:w="1359"/>
        <w:gridCol w:w="1325"/>
      </w:tblGrid>
      <w:tr w:rsidR="00186257" w:rsidRPr="00186257" w:rsidTr="00186257">
        <w:trPr>
          <w:trHeight w:val="567"/>
        </w:trPr>
        <w:tc>
          <w:tcPr>
            <w:tcW w:w="2189" w:type="pct"/>
            <w:tcBorders>
              <w:top w:val="nil"/>
              <w:left w:val="nil"/>
              <w:bottom w:val="single" w:sz="4" w:space="0" w:color="auto"/>
              <w:right w:val="single" w:sz="4" w:space="0" w:color="auto"/>
            </w:tcBorders>
            <w:shd w:val="clear" w:color="auto" w:fill="auto"/>
            <w:vAlign w:val="center"/>
            <w:hideMark/>
          </w:tcPr>
          <w:p w:rsidR="00186257" w:rsidRPr="00186257" w:rsidRDefault="00186257" w:rsidP="00186257">
            <w:pPr>
              <w:spacing w:before="0"/>
              <w:jc w:val="center"/>
              <w:rPr>
                <w:rFonts w:eastAsia="Calibri" w:cs="Segoe UI"/>
                <w:b/>
                <w:bCs/>
                <w:sz w:val="18"/>
                <w:szCs w:val="18"/>
                <w:lang w:eastAsia="cs-CZ"/>
              </w:rPr>
            </w:pPr>
          </w:p>
        </w:tc>
        <w:tc>
          <w:tcPr>
            <w:tcW w:w="625" w:type="pct"/>
            <w:tcBorders>
              <w:left w:val="single" w:sz="4" w:space="0" w:color="auto"/>
            </w:tcBorders>
            <w:shd w:val="clear" w:color="auto" w:fill="C6D9F1"/>
            <w:tcMar>
              <w:top w:w="0" w:type="dxa"/>
              <w:left w:w="70" w:type="dxa"/>
              <w:bottom w:w="0" w:type="dxa"/>
              <w:right w:w="70" w:type="dxa"/>
            </w:tcMar>
            <w:vAlign w:val="center"/>
            <w:hideMark/>
          </w:tcPr>
          <w:p w:rsidR="00186257" w:rsidRPr="00186257" w:rsidRDefault="00186257" w:rsidP="00186257">
            <w:pPr>
              <w:spacing w:before="0"/>
              <w:jc w:val="center"/>
              <w:rPr>
                <w:rFonts w:eastAsia="Calibri" w:cs="Segoe UI"/>
                <w:b/>
                <w:sz w:val="18"/>
                <w:szCs w:val="18"/>
                <w:lang w:eastAsia="cs-CZ"/>
              </w:rPr>
            </w:pPr>
            <w:r w:rsidRPr="00186257">
              <w:rPr>
                <w:rFonts w:eastAsiaTheme="minorHAnsi" w:cs="Segoe UI"/>
                <w:b/>
                <w:sz w:val="18"/>
                <w:szCs w:val="18"/>
              </w:rPr>
              <w:t>poradenství</w:t>
            </w:r>
          </w:p>
        </w:tc>
        <w:tc>
          <w:tcPr>
            <w:tcW w:w="704" w:type="pct"/>
            <w:shd w:val="clear" w:color="auto" w:fill="C6D9F1"/>
            <w:tcMar>
              <w:top w:w="0" w:type="dxa"/>
              <w:left w:w="70" w:type="dxa"/>
              <w:bottom w:w="0" w:type="dxa"/>
              <w:right w:w="70" w:type="dxa"/>
            </w:tcMar>
            <w:vAlign w:val="center"/>
            <w:hideMark/>
          </w:tcPr>
          <w:p w:rsidR="00186257" w:rsidRPr="00186257" w:rsidRDefault="00186257" w:rsidP="00186257">
            <w:pPr>
              <w:spacing w:before="0"/>
              <w:jc w:val="center"/>
              <w:rPr>
                <w:rFonts w:eastAsia="Calibri" w:cs="Segoe UI"/>
                <w:b/>
                <w:sz w:val="18"/>
                <w:szCs w:val="18"/>
                <w:lang w:eastAsia="cs-CZ"/>
              </w:rPr>
            </w:pPr>
            <w:r w:rsidRPr="00186257">
              <w:rPr>
                <w:rFonts w:eastAsiaTheme="minorHAnsi" w:cs="Segoe UI"/>
                <w:b/>
                <w:sz w:val="18"/>
                <w:szCs w:val="18"/>
              </w:rPr>
              <w:t>sociální péče</w:t>
            </w:r>
          </w:p>
        </w:tc>
        <w:tc>
          <w:tcPr>
            <w:tcW w:w="751" w:type="pct"/>
            <w:shd w:val="clear" w:color="auto" w:fill="C6D9F1"/>
            <w:tcMar>
              <w:top w:w="0" w:type="dxa"/>
              <w:left w:w="70" w:type="dxa"/>
              <w:bottom w:w="0" w:type="dxa"/>
              <w:right w:w="70" w:type="dxa"/>
            </w:tcMar>
            <w:vAlign w:val="center"/>
            <w:hideMark/>
          </w:tcPr>
          <w:p w:rsidR="00186257" w:rsidRPr="00186257" w:rsidRDefault="00186257" w:rsidP="00186257">
            <w:pPr>
              <w:spacing w:before="0"/>
              <w:jc w:val="center"/>
              <w:rPr>
                <w:rFonts w:eastAsia="Calibri" w:cs="Segoe UI"/>
                <w:b/>
                <w:sz w:val="18"/>
                <w:szCs w:val="18"/>
                <w:lang w:eastAsia="cs-CZ"/>
              </w:rPr>
            </w:pPr>
            <w:r w:rsidRPr="00186257">
              <w:rPr>
                <w:rFonts w:eastAsiaTheme="minorHAnsi" w:cs="Segoe UI"/>
                <w:b/>
                <w:sz w:val="18"/>
                <w:szCs w:val="18"/>
              </w:rPr>
              <w:t>sociální prevence</w:t>
            </w:r>
          </w:p>
        </w:tc>
        <w:tc>
          <w:tcPr>
            <w:tcW w:w="731" w:type="pct"/>
            <w:shd w:val="clear" w:color="auto" w:fill="C6D9F1"/>
            <w:tcMar>
              <w:top w:w="0" w:type="dxa"/>
              <w:left w:w="70" w:type="dxa"/>
              <w:bottom w:w="0" w:type="dxa"/>
              <w:right w:w="70" w:type="dxa"/>
            </w:tcMar>
            <w:vAlign w:val="center"/>
            <w:hideMark/>
          </w:tcPr>
          <w:p w:rsidR="00186257" w:rsidRPr="00186257" w:rsidRDefault="00186257" w:rsidP="00186257">
            <w:pPr>
              <w:spacing w:before="0"/>
              <w:jc w:val="center"/>
              <w:rPr>
                <w:rFonts w:eastAsia="Calibri" w:cs="Segoe UI"/>
                <w:b/>
                <w:sz w:val="18"/>
                <w:szCs w:val="18"/>
                <w:lang w:eastAsia="cs-CZ"/>
              </w:rPr>
            </w:pPr>
            <w:r w:rsidRPr="00186257">
              <w:rPr>
                <w:rFonts w:eastAsia="Calibri" w:cs="Segoe UI"/>
                <w:b/>
                <w:sz w:val="18"/>
                <w:szCs w:val="18"/>
                <w:lang w:eastAsia="cs-CZ"/>
              </w:rPr>
              <w:t>Celkem</w:t>
            </w:r>
          </w:p>
        </w:tc>
      </w:tr>
      <w:tr w:rsidR="00186257" w:rsidRPr="00186257" w:rsidTr="00C75B79">
        <w:trPr>
          <w:trHeight w:val="397"/>
        </w:trPr>
        <w:tc>
          <w:tcPr>
            <w:tcW w:w="2189" w:type="pct"/>
            <w:tcBorders>
              <w:top w:val="single" w:sz="4" w:space="0" w:color="auto"/>
            </w:tcBorders>
            <w:shd w:val="clear" w:color="auto" w:fill="C6D9F1"/>
            <w:tcMar>
              <w:top w:w="0" w:type="dxa"/>
              <w:left w:w="70" w:type="dxa"/>
              <w:bottom w:w="0" w:type="dxa"/>
              <w:right w:w="70" w:type="dxa"/>
            </w:tcMar>
            <w:vAlign w:val="center"/>
            <w:hideMark/>
          </w:tcPr>
          <w:p w:rsidR="00186257" w:rsidRPr="00186257" w:rsidRDefault="00186257" w:rsidP="00186257">
            <w:pPr>
              <w:spacing w:before="0"/>
              <w:jc w:val="left"/>
              <w:rPr>
                <w:rFonts w:eastAsia="Calibri" w:cs="Segoe UI"/>
                <w:sz w:val="18"/>
                <w:szCs w:val="18"/>
                <w:lang w:eastAsia="cs-CZ"/>
              </w:rPr>
            </w:pPr>
            <w:r w:rsidRPr="00186257">
              <w:rPr>
                <w:rFonts w:eastAsia="Calibri" w:cs="Segoe UI"/>
                <w:bCs/>
                <w:sz w:val="18"/>
                <w:szCs w:val="18"/>
                <w:lang w:eastAsia="cs-CZ"/>
              </w:rPr>
              <w:t>Počet služeb, na které je dotace požadována</w:t>
            </w:r>
          </w:p>
        </w:tc>
        <w:tc>
          <w:tcPr>
            <w:tcW w:w="625"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sz w:val="18"/>
                <w:szCs w:val="18"/>
                <w:lang w:eastAsia="cs-CZ"/>
              </w:rPr>
            </w:pPr>
            <w:r w:rsidRPr="00186257">
              <w:rPr>
                <w:rFonts w:eastAsiaTheme="minorHAnsi" w:cs="Segoe UI"/>
                <w:sz w:val="18"/>
                <w:szCs w:val="18"/>
              </w:rPr>
              <w:t>21</w:t>
            </w:r>
          </w:p>
        </w:tc>
        <w:tc>
          <w:tcPr>
            <w:tcW w:w="704"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sz w:val="18"/>
                <w:szCs w:val="18"/>
                <w:lang w:eastAsia="cs-CZ"/>
              </w:rPr>
            </w:pPr>
            <w:r w:rsidRPr="00186257">
              <w:rPr>
                <w:rFonts w:eastAsiaTheme="minorHAnsi" w:cs="Segoe UI"/>
                <w:sz w:val="18"/>
                <w:szCs w:val="18"/>
              </w:rPr>
              <w:t>158</w:t>
            </w:r>
          </w:p>
        </w:tc>
        <w:tc>
          <w:tcPr>
            <w:tcW w:w="751"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sz w:val="18"/>
                <w:szCs w:val="18"/>
                <w:lang w:eastAsia="cs-CZ"/>
              </w:rPr>
            </w:pPr>
            <w:r w:rsidRPr="00186257">
              <w:rPr>
                <w:rFonts w:eastAsiaTheme="minorHAnsi" w:cs="Segoe UI"/>
                <w:sz w:val="18"/>
                <w:szCs w:val="18"/>
              </w:rPr>
              <w:t>123</w:t>
            </w:r>
          </w:p>
        </w:tc>
        <w:tc>
          <w:tcPr>
            <w:tcW w:w="731" w:type="pct"/>
            <w:shd w:val="clear" w:color="auto" w:fill="auto"/>
            <w:tcMar>
              <w:top w:w="0" w:type="dxa"/>
              <w:left w:w="70" w:type="dxa"/>
              <w:bottom w:w="0" w:type="dxa"/>
              <w:right w:w="70" w:type="dxa"/>
            </w:tcMar>
            <w:vAlign w:val="center"/>
            <w:hideMark/>
          </w:tcPr>
          <w:p w:rsidR="00186257" w:rsidRPr="00186257" w:rsidRDefault="00186257" w:rsidP="00C75B79">
            <w:pPr>
              <w:spacing w:before="0"/>
              <w:jc w:val="right"/>
              <w:rPr>
                <w:rFonts w:eastAsia="Calibri" w:cs="Segoe UI"/>
                <w:b/>
                <w:sz w:val="18"/>
                <w:szCs w:val="18"/>
                <w:lang w:eastAsia="cs-CZ"/>
              </w:rPr>
            </w:pPr>
            <w:r w:rsidRPr="00186257">
              <w:rPr>
                <w:rFonts w:eastAsiaTheme="minorHAnsi" w:cs="Segoe UI"/>
                <w:b/>
                <w:sz w:val="18"/>
                <w:szCs w:val="18"/>
              </w:rPr>
              <w:t>302</w:t>
            </w:r>
          </w:p>
        </w:tc>
      </w:tr>
      <w:tr w:rsidR="00186257" w:rsidRPr="00186257" w:rsidTr="00C75B79">
        <w:trPr>
          <w:trHeight w:val="397"/>
        </w:trPr>
        <w:tc>
          <w:tcPr>
            <w:tcW w:w="2189" w:type="pct"/>
            <w:shd w:val="clear" w:color="auto" w:fill="C6D9F1"/>
            <w:tcMar>
              <w:top w:w="0" w:type="dxa"/>
              <w:left w:w="70" w:type="dxa"/>
              <w:bottom w:w="0" w:type="dxa"/>
              <w:right w:w="70" w:type="dxa"/>
            </w:tcMar>
            <w:vAlign w:val="center"/>
          </w:tcPr>
          <w:p w:rsidR="00186257" w:rsidRPr="00186257" w:rsidRDefault="00186257" w:rsidP="00186257">
            <w:pPr>
              <w:spacing w:before="0"/>
              <w:rPr>
                <w:rFonts w:eastAsia="Calibri" w:cs="Segoe UI"/>
                <w:sz w:val="18"/>
                <w:szCs w:val="18"/>
                <w:lang w:eastAsia="cs-CZ"/>
              </w:rPr>
            </w:pPr>
            <w:r w:rsidRPr="00186257">
              <w:rPr>
                <w:rFonts w:eastAsia="Calibri" w:cs="Segoe UI"/>
                <w:bCs/>
                <w:sz w:val="18"/>
                <w:szCs w:val="18"/>
                <w:lang w:eastAsia="cs-CZ"/>
              </w:rPr>
              <w:t>Požadovaná dotace</w:t>
            </w:r>
          </w:p>
        </w:tc>
        <w:tc>
          <w:tcPr>
            <w:tcW w:w="625"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sz w:val="18"/>
                <w:szCs w:val="18"/>
                <w:lang w:eastAsia="cs-CZ"/>
              </w:rPr>
            </w:pPr>
            <w:r w:rsidRPr="00186257">
              <w:rPr>
                <w:rFonts w:eastAsiaTheme="minorHAnsi" w:cs="Segoe UI"/>
                <w:sz w:val="18"/>
                <w:szCs w:val="18"/>
              </w:rPr>
              <w:t>30 796 248</w:t>
            </w:r>
          </w:p>
        </w:tc>
        <w:tc>
          <w:tcPr>
            <w:tcW w:w="704"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sz w:val="18"/>
                <w:szCs w:val="18"/>
                <w:lang w:eastAsia="cs-CZ"/>
              </w:rPr>
            </w:pPr>
            <w:r w:rsidRPr="00186257">
              <w:rPr>
                <w:rFonts w:eastAsiaTheme="minorHAnsi" w:cs="Segoe UI"/>
                <w:sz w:val="18"/>
                <w:szCs w:val="18"/>
              </w:rPr>
              <w:t>1 283 392 302</w:t>
            </w:r>
          </w:p>
        </w:tc>
        <w:tc>
          <w:tcPr>
            <w:tcW w:w="751"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sz w:val="18"/>
                <w:szCs w:val="18"/>
                <w:lang w:eastAsia="cs-CZ"/>
              </w:rPr>
            </w:pPr>
            <w:r w:rsidRPr="00186257">
              <w:rPr>
                <w:rFonts w:eastAsiaTheme="minorHAnsi" w:cs="Segoe UI"/>
                <w:sz w:val="18"/>
                <w:szCs w:val="18"/>
              </w:rPr>
              <w:t>311 298 552</w:t>
            </w:r>
          </w:p>
        </w:tc>
        <w:tc>
          <w:tcPr>
            <w:tcW w:w="731"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b/>
                <w:sz w:val="18"/>
                <w:szCs w:val="18"/>
                <w:lang w:eastAsia="cs-CZ"/>
              </w:rPr>
            </w:pPr>
            <w:r w:rsidRPr="00186257">
              <w:rPr>
                <w:rFonts w:eastAsiaTheme="minorHAnsi" w:cs="Segoe UI"/>
                <w:b/>
                <w:sz w:val="18"/>
                <w:szCs w:val="18"/>
              </w:rPr>
              <w:t>1 625 487 102</w:t>
            </w:r>
          </w:p>
        </w:tc>
      </w:tr>
    </w:tbl>
    <w:p w:rsidR="00AF4350" w:rsidRPr="000A12FB" w:rsidRDefault="00AF4350" w:rsidP="00186257">
      <w:pPr>
        <w:pStyle w:val="Zdrojobjektu"/>
      </w:pPr>
      <w:r w:rsidRPr="000A12FB">
        <w:t>Zdroj: podklad k dotačnímu řízení – Podprogram č. 1</w:t>
      </w:r>
    </w:p>
    <w:p w:rsidR="00AF4350" w:rsidRDefault="00AF4350" w:rsidP="00A34764">
      <w:pPr>
        <w:rPr>
          <w:rFonts w:eastAsia="Arial Unicode MS"/>
          <w:lang w:eastAsia="cs-CZ"/>
        </w:rPr>
      </w:pPr>
    </w:p>
    <w:p w:rsidR="00AF4350" w:rsidRPr="0039748C" w:rsidRDefault="00AF4350" w:rsidP="00A34764">
      <w:pPr>
        <w:rPr>
          <w:rFonts w:eastAsia="Arial Unicode MS"/>
          <w:lang w:eastAsia="cs-CZ"/>
        </w:rPr>
      </w:pPr>
      <w:r w:rsidRPr="0039748C">
        <w:rPr>
          <w:rFonts w:eastAsia="Arial Unicode MS"/>
          <w:lang w:eastAsia="cs-CZ"/>
        </w:rPr>
        <w:t xml:space="preserve">V souladu s Podprogramem č. 1 Programu bylo provedeno formální a věcné posouzení jednotlivých žádostí o dotaci, kontrola přiměřenosti a hospodárnosti rozpočtu sociálních služeb, požadavku na dotaci a vymezení neuznatelných a nadhodnocených nákladů zahrnutých v požadavcích na dotaci. Následně byl stanoven optimální návrh dotace. </w:t>
      </w:r>
    </w:p>
    <w:p w:rsidR="00AF4350" w:rsidRPr="0039748C" w:rsidRDefault="00AF4350" w:rsidP="00A34764">
      <w:pPr>
        <w:rPr>
          <w:rFonts w:eastAsia="Arial Unicode MS"/>
          <w:b/>
          <w:lang w:eastAsia="cs-CZ"/>
        </w:rPr>
      </w:pPr>
      <w:r>
        <w:rPr>
          <w:rFonts w:eastAsia="Arial Unicode MS"/>
          <w:lang w:eastAsia="cs-CZ"/>
        </w:rPr>
        <w:t>Dne 14. 1.</w:t>
      </w:r>
      <w:r w:rsidRPr="0039748C">
        <w:rPr>
          <w:rFonts w:eastAsia="Arial Unicode MS"/>
          <w:lang w:eastAsia="cs-CZ"/>
        </w:rPr>
        <w:t xml:space="preserve"> 2019 obdržel OK ROZHODNUTÍ č. 1 ze dne 11. 1. 2019 o poskytnutí dotace z kapitoly 313 – MPSV státního rozpočtu na rok 2019. Tímto rozhodnutím byla OK poskytnuta účelově určená dotace na financování běžných výdajů souvisejících s poskytováním základních druhů a forem sociálních služeb v rozsahu stanoveném základními činnostmi u jednotlivých druhů sociálních služeb v celkové maximální výši </w:t>
      </w:r>
      <w:r w:rsidRPr="0039748C">
        <w:rPr>
          <w:rFonts w:eastAsia="Arial Unicode MS"/>
          <w:b/>
          <w:lang w:eastAsia="cs-CZ"/>
        </w:rPr>
        <w:t xml:space="preserve">1 181 232 175 Kč. </w:t>
      </w:r>
    </w:p>
    <w:p w:rsidR="00AF4350" w:rsidRPr="0039748C" w:rsidRDefault="00AF4350" w:rsidP="00A34764">
      <w:pPr>
        <w:rPr>
          <w:rFonts w:eastAsia="Arial Unicode MS"/>
          <w:lang w:eastAsia="cs-CZ"/>
        </w:rPr>
      </w:pPr>
      <w:r w:rsidRPr="0039748C">
        <w:rPr>
          <w:rFonts w:eastAsia="Arial Unicode MS"/>
          <w:lang w:eastAsia="cs-CZ"/>
        </w:rPr>
        <w:t xml:space="preserve">Po doručení rozhodnutí MPSV s uvedením výše dotace přidělené kraji byl optimální návrh dotace jednotlivým poskytovatelům sociálních služeb na jednotlivé služby upraven na výši disponibilních prostředků a tím byl stanoven reálný návrh dotace. </w:t>
      </w:r>
    </w:p>
    <w:p w:rsidR="00AF4350" w:rsidRPr="0039748C" w:rsidRDefault="00AF4350" w:rsidP="00A34764">
      <w:pPr>
        <w:rPr>
          <w:rFonts w:eastAsia="Arial Unicode MS"/>
          <w:b/>
          <w:lang w:eastAsia="cs-CZ"/>
        </w:rPr>
      </w:pPr>
      <w:r w:rsidRPr="0039748C">
        <w:rPr>
          <w:rFonts w:eastAsia="Arial Unicode MS"/>
          <w:lang w:eastAsia="cs-CZ"/>
        </w:rPr>
        <w:t>Na základě Dodatku k ROZHODNUTÍ ze dne 16. 8. 2019, byla OK navýšena účelově určená dotace na financování běžných výdajů souvisejících s poskytováním základních druhů a forem sociálních služeb v rozsahu stanoveném základními činnostmi u jednotlivých druhů sociálních služeb o částku 78 100</w:t>
      </w:r>
      <w:r>
        <w:rPr>
          <w:rFonts w:eastAsia="Arial Unicode MS"/>
          <w:lang w:eastAsia="cs-CZ"/>
        </w:rPr>
        <w:t> </w:t>
      </w:r>
      <w:r w:rsidRPr="0039748C">
        <w:rPr>
          <w:rFonts w:eastAsia="Arial Unicode MS"/>
          <w:lang w:eastAsia="cs-CZ"/>
        </w:rPr>
        <w:t>000</w:t>
      </w:r>
      <w:r>
        <w:rPr>
          <w:rFonts w:eastAsia="Arial Unicode MS"/>
          <w:lang w:eastAsia="cs-CZ"/>
        </w:rPr>
        <w:t> </w:t>
      </w:r>
      <w:r w:rsidRPr="0039748C">
        <w:rPr>
          <w:rFonts w:eastAsia="Arial Unicode MS"/>
          <w:lang w:eastAsia="cs-CZ"/>
        </w:rPr>
        <w:t xml:space="preserve">Kč na celkových </w:t>
      </w:r>
      <w:r w:rsidRPr="0039748C">
        <w:rPr>
          <w:rFonts w:eastAsia="Arial Unicode MS"/>
          <w:b/>
          <w:lang w:eastAsia="cs-CZ"/>
        </w:rPr>
        <w:t>1 259 332 175 Kč.</w:t>
      </w:r>
    </w:p>
    <w:p w:rsidR="00AF4350" w:rsidRPr="0039748C" w:rsidRDefault="00AF4350" w:rsidP="00A34764">
      <w:pPr>
        <w:rPr>
          <w:rFonts w:eastAsia="Arial Unicode MS"/>
          <w:lang w:eastAsia="cs-CZ"/>
        </w:rPr>
      </w:pPr>
      <w:r w:rsidRPr="0039748C">
        <w:rPr>
          <w:rFonts w:eastAsia="Arial Unicode MS"/>
          <w:lang w:eastAsia="cs-CZ"/>
        </w:rPr>
        <w:t xml:space="preserve">Navýšení dotace bylo určeno na platy, mzdy a jejich navýšení a dále byla tato částka určena na dofinancování chybějících prostředků na zvláštní příplatky za směnnost v odpovídajících druzích sociálních služeb. </w:t>
      </w:r>
    </w:p>
    <w:p w:rsidR="00AF4350" w:rsidRPr="0039748C" w:rsidRDefault="00AF4350" w:rsidP="00A34764">
      <w:pPr>
        <w:rPr>
          <w:rFonts w:eastAsia="Arial Unicode MS"/>
          <w:lang w:eastAsia="cs-CZ"/>
        </w:rPr>
      </w:pPr>
      <w:r w:rsidRPr="0039748C">
        <w:rPr>
          <w:rFonts w:eastAsia="Arial Unicode MS"/>
          <w:lang w:eastAsia="cs-CZ"/>
        </w:rPr>
        <w:t>Návrh výše dotace jednotlivým poskytovatelům sociálních služeb byl zpracován v souladu s Podprogramem č. 1 Programu finanční podpory poskytování sociálních služeb v OK pro rok 2019; výpočet výše dotace jednotlivým sociálním službám byl realizován rovným a transparentním způsobem, který reflektoval již schválenou výši dotace jednotlivým sociálním službám v prvním (řádném) kole dotačního řízení.</w:t>
      </w:r>
    </w:p>
    <w:p w:rsidR="00AF4350" w:rsidRPr="0039748C" w:rsidRDefault="00AF4350" w:rsidP="00A34764">
      <w:pPr>
        <w:rPr>
          <w:rFonts w:eastAsia="Arial Unicode MS"/>
          <w:lang w:eastAsia="cs-CZ"/>
        </w:rPr>
      </w:pPr>
      <w:r w:rsidRPr="0039748C">
        <w:rPr>
          <w:rFonts w:eastAsia="Arial Unicode MS"/>
          <w:lang w:eastAsia="cs-CZ"/>
        </w:rPr>
        <w:t>Shrnutí přiznané výše dotace je uvedeno v tabulce.</w:t>
      </w:r>
    </w:p>
    <w:p w:rsidR="00AF4350" w:rsidRPr="008048CB" w:rsidRDefault="00AF4350" w:rsidP="008048CB">
      <w:pPr>
        <w:pStyle w:val="popistabulkySPRSS2024"/>
      </w:pPr>
      <w:bookmarkStart w:id="149" w:name="_Toc117607096"/>
      <w:r w:rsidRPr="008048CB">
        <w:t xml:space="preserve">Tabulka </w:t>
      </w:r>
      <w:r w:rsidR="00412C70">
        <w:fldChar w:fldCharType="begin"/>
      </w:r>
      <w:r w:rsidR="00412C70">
        <w:instrText xml:space="preserve"> SEQ Tabulka \* ARABIC </w:instrText>
      </w:r>
      <w:r w:rsidR="00412C70">
        <w:fldChar w:fldCharType="separate"/>
      </w:r>
      <w:r w:rsidR="003A12AF">
        <w:rPr>
          <w:noProof/>
        </w:rPr>
        <w:t>36</w:t>
      </w:r>
      <w:r w:rsidR="00412C70">
        <w:rPr>
          <w:noProof/>
        </w:rPr>
        <w:fldChar w:fldCharType="end"/>
      </w:r>
      <w:r w:rsidRPr="008048CB">
        <w:t xml:space="preserve"> Přiznaná výše dotace 2019</w:t>
      </w:r>
      <w:bookmarkEnd w:id="149"/>
    </w:p>
    <w:tbl>
      <w:tblPr>
        <w:tblW w:w="512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36"/>
        <w:gridCol w:w="1146"/>
        <w:gridCol w:w="1273"/>
        <w:gridCol w:w="1414"/>
        <w:gridCol w:w="1416"/>
      </w:tblGrid>
      <w:tr w:rsidR="00186257" w:rsidRPr="00186257" w:rsidTr="00186257">
        <w:trPr>
          <w:trHeight w:val="567"/>
          <w:tblHeader/>
        </w:trPr>
        <w:tc>
          <w:tcPr>
            <w:tcW w:w="2175" w:type="pct"/>
            <w:tcBorders>
              <w:top w:val="nil"/>
              <w:left w:val="nil"/>
              <w:bottom w:val="single" w:sz="4" w:space="0" w:color="auto"/>
              <w:right w:val="single" w:sz="4" w:space="0" w:color="auto"/>
            </w:tcBorders>
            <w:shd w:val="clear" w:color="auto" w:fill="auto"/>
            <w:vAlign w:val="center"/>
            <w:hideMark/>
          </w:tcPr>
          <w:p w:rsidR="00186257" w:rsidRPr="00186257" w:rsidRDefault="00186257" w:rsidP="00186257">
            <w:pPr>
              <w:spacing w:before="0"/>
              <w:jc w:val="center"/>
              <w:rPr>
                <w:rFonts w:eastAsia="Calibri" w:cs="Segoe UI"/>
                <w:b/>
                <w:bCs/>
                <w:sz w:val="18"/>
                <w:szCs w:val="18"/>
                <w:lang w:eastAsia="cs-CZ"/>
              </w:rPr>
            </w:pPr>
          </w:p>
        </w:tc>
        <w:tc>
          <w:tcPr>
            <w:tcW w:w="611" w:type="pct"/>
            <w:tcBorders>
              <w:left w:val="single" w:sz="4" w:space="0" w:color="auto"/>
            </w:tcBorders>
            <w:shd w:val="clear" w:color="auto" w:fill="C6D9F1"/>
            <w:tcMar>
              <w:top w:w="0" w:type="dxa"/>
              <w:left w:w="70" w:type="dxa"/>
              <w:bottom w:w="0" w:type="dxa"/>
              <w:right w:w="70" w:type="dxa"/>
            </w:tcMar>
            <w:vAlign w:val="center"/>
            <w:hideMark/>
          </w:tcPr>
          <w:p w:rsidR="00186257" w:rsidRPr="00186257" w:rsidRDefault="00186257" w:rsidP="00186257">
            <w:pPr>
              <w:spacing w:before="0"/>
              <w:jc w:val="center"/>
              <w:rPr>
                <w:rFonts w:eastAsia="Calibri" w:cs="Segoe UI"/>
                <w:b/>
                <w:sz w:val="18"/>
                <w:szCs w:val="18"/>
                <w:lang w:eastAsia="cs-CZ"/>
              </w:rPr>
            </w:pPr>
            <w:r w:rsidRPr="00186257">
              <w:rPr>
                <w:rFonts w:eastAsiaTheme="minorHAnsi" w:cs="Segoe UI"/>
                <w:b/>
                <w:sz w:val="18"/>
                <w:szCs w:val="18"/>
              </w:rPr>
              <w:t>poradenství</w:t>
            </w:r>
          </w:p>
        </w:tc>
        <w:tc>
          <w:tcPr>
            <w:tcW w:w="687" w:type="pct"/>
            <w:shd w:val="clear" w:color="auto" w:fill="C6D9F1"/>
            <w:tcMar>
              <w:top w:w="0" w:type="dxa"/>
              <w:left w:w="70" w:type="dxa"/>
              <w:bottom w:w="0" w:type="dxa"/>
              <w:right w:w="70" w:type="dxa"/>
            </w:tcMar>
            <w:vAlign w:val="center"/>
            <w:hideMark/>
          </w:tcPr>
          <w:p w:rsidR="00186257" w:rsidRPr="00186257" w:rsidRDefault="00186257" w:rsidP="00186257">
            <w:pPr>
              <w:spacing w:before="0"/>
              <w:jc w:val="center"/>
              <w:rPr>
                <w:rFonts w:eastAsia="Calibri" w:cs="Segoe UI"/>
                <w:b/>
                <w:sz w:val="18"/>
                <w:szCs w:val="18"/>
                <w:lang w:eastAsia="cs-CZ"/>
              </w:rPr>
            </w:pPr>
            <w:r w:rsidRPr="00186257">
              <w:rPr>
                <w:rFonts w:eastAsiaTheme="minorHAnsi" w:cs="Segoe UI"/>
                <w:b/>
                <w:sz w:val="18"/>
                <w:szCs w:val="18"/>
              </w:rPr>
              <w:t>sociální péče</w:t>
            </w:r>
          </w:p>
        </w:tc>
        <w:tc>
          <w:tcPr>
            <w:tcW w:w="763" w:type="pct"/>
            <w:shd w:val="clear" w:color="auto" w:fill="C6D9F1"/>
            <w:tcMar>
              <w:top w:w="0" w:type="dxa"/>
              <w:left w:w="70" w:type="dxa"/>
              <w:bottom w:w="0" w:type="dxa"/>
              <w:right w:w="70" w:type="dxa"/>
            </w:tcMar>
            <w:vAlign w:val="center"/>
            <w:hideMark/>
          </w:tcPr>
          <w:p w:rsidR="00186257" w:rsidRPr="00186257" w:rsidRDefault="00186257" w:rsidP="00186257">
            <w:pPr>
              <w:spacing w:before="0"/>
              <w:jc w:val="center"/>
              <w:rPr>
                <w:rFonts w:eastAsia="Calibri" w:cs="Segoe UI"/>
                <w:b/>
                <w:sz w:val="18"/>
                <w:szCs w:val="18"/>
                <w:lang w:eastAsia="cs-CZ"/>
              </w:rPr>
            </w:pPr>
            <w:r w:rsidRPr="00186257">
              <w:rPr>
                <w:rFonts w:eastAsiaTheme="minorHAnsi" w:cs="Segoe UI"/>
                <w:b/>
                <w:sz w:val="18"/>
                <w:szCs w:val="18"/>
              </w:rPr>
              <w:t>sociální prevence</w:t>
            </w:r>
          </w:p>
        </w:tc>
        <w:tc>
          <w:tcPr>
            <w:tcW w:w="764" w:type="pct"/>
            <w:shd w:val="clear" w:color="auto" w:fill="C6D9F1"/>
            <w:tcMar>
              <w:top w:w="0" w:type="dxa"/>
              <w:left w:w="70" w:type="dxa"/>
              <w:bottom w:w="0" w:type="dxa"/>
              <w:right w:w="70" w:type="dxa"/>
            </w:tcMar>
            <w:vAlign w:val="center"/>
            <w:hideMark/>
          </w:tcPr>
          <w:p w:rsidR="00186257" w:rsidRPr="00186257" w:rsidRDefault="00186257" w:rsidP="00186257">
            <w:pPr>
              <w:spacing w:before="0"/>
              <w:jc w:val="center"/>
              <w:rPr>
                <w:rFonts w:eastAsia="Calibri" w:cs="Segoe UI"/>
                <w:b/>
                <w:sz w:val="18"/>
                <w:szCs w:val="18"/>
                <w:lang w:eastAsia="cs-CZ"/>
              </w:rPr>
            </w:pPr>
            <w:r w:rsidRPr="00186257">
              <w:rPr>
                <w:rFonts w:eastAsiaTheme="minorHAnsi" w:cs="Segoe UI"/>
                <w:b/>
                <w:sz w:val="18"/>
                <w:szCs w:val="18"/>
              </w:rPr>
              <w:t>Celkem</w:t>
            </w:r>
          </w:p>
        </w:tc>
      </w:tr>
      <w:tr w:rsidR="00186257" w:rsidRPr="00186257" w:rsidTr="00C75B79">
        <w:trPr>
          <w:trHeight w:val="397"/>
        </w:trPr>
        <w:tc>
          <w:tcPr>
            <w:tcW w:w="2175" w:type="pct"/>
            <w:tcBorders>
              <w:top w:val="single" w:sz="4" w:space="0" w:color="auto"/>
            </w:tcBorders>
            <w:shd w:val="clear" w:color="auto" w:fill="C6D9F1"/>
            <w:tcMar>
              <w:top w:w="0" w:type="dxa"/>
              <w:left w:w="70" w:type="dxa"/>
              <w:bottom w:w="0" w:type="dxa"/>
              <w:right w:w="70" w:type="dxa"/>
            </w:tcMar>
            <w:vAlign w:val="center"/>
            <w:hideMark/>
          </w:tcPr>
          <w:p w:rsidR="00186257" w:rsidRPr="00186257" w:rsidRDefault="00186257" w:rsidP="00186257">
            <w:pPr>
              <w:spacing w:before="0"/>
              <w:jc w:val="left"/>
              <w:rPr>
                <w:rFonts w:eastAsia="Calibri" w:cs="Segoe UI"/>
                <w:sz w:val="18"/>
                <w:szCs w:val="18"/>
                <w:lang w:eastAsia="cs-CZ"/>
              </w:rPr>
            </w:pPr>
            <w:r w:rsidRPr="00186257">
              <w:rPr>
                <w:rFonts w:eastAsia="Calibri" w:cs="Segoe UI"/>
                <w:bCs/>
                <w:sz w:val="18"/>
                <w:szCs w:val="18"/>
                <w:lang w:eastAsia="cs-CZ"/>
              </w:rPr>
              <w:t>Počet podpořených služeb</w:t>
            </w:r>
          </w:p>
        </w:tc>
        <w:tc>
          <w:tcPr>
            <w:tcW w:w="611"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sz w:val="18"/>
                <w:szCs w:val="18"/>
                <w:lang w:eastAsia="cs-CZ"/>
              </w:rPr>
            </w:pPr>
            <w:r w:rsidRPr="00186257">
              <w:rPr>
                <w:rFonts w:eastAsiaTheme="minorHAnsi" w:cs="Segoe UI"/>
                <w:sz w:val="18"/>
                <w:szCs w:val="18"/>
              </w:rPr>
              <w:t>21</w:t>
            </w:r>
          </w:p>
        </w:tc>
        <w:tc>
          <w:tcPr>
            <w:tcW w:w="687"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sz w:val="18"/>
                <w:szCs w:val="18"/>
                <w:lang w:eastAsia="cs-CZ"/>
              </w:rPr>
            </w:pPr>
            <w:r w:rsidRPr="00186257">
              <w:rPr>
                <w:rFonts w:eastAsiaTheme="minorHAnsi" w:cs="Segoe UI"/>
                <w:sz w:val="18"/>
                <w:szCs w:val="18"/>
              </w:rPr>
              <w:t>158</w:t>
            </w:r>
          </w:p>
        </w:tc>
        <w:tc>
          <w:tcPr>
            <w:tcW w:w="763"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sz w:val="18"/>
                <w:szCs w:val="18"/>
                <w:lang w:eastAsia="cs-CZ"/>
              </w:rPr>
            </w:pPr>
            <w:r w:rsidRPr="00186257">
              <w:rPr>
                <w:rFonts w:eastAsiaTheme="minorHAnsi" w:cs="Segoe UI"/>
                <w:sz w:val="18"/>
                <w:szCs w:val="18"/>
              </w:rPr>
              <w:t>102</w:t>
            </w:r>
          </w:p>
        </w:tc>
        <w:tc>
          <w:tcPr>
            <w:tcW w:w="764"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b/>
                <w:sz w:val="18"/>
                <w:szCs w:val="18"/>
                <w:lang w:eastAsia="cs-CZ"/>
              </w:rPr>
            </w:pPr>
            <w:r w:rsidRPr="00186257">
              <w:rPr>
                <w:rFonts w:eastAsiaTheme="minorHAnsi" w:cs="Segoe UI"/>
                <w:b/>
                <w:sz w:val="18"/>
                <w:szCs w:val="18"/>
              </w:rPr>
              <w:t>281</w:t>
            </w:r>
          </w:p>
        </w:tc>
      </w:tr>
      <w:tr w:rsidR="00186257" w:rsidRPr="00186257" w:rsidTr="00C75B79">
        <w:trPr>
          <w:trHeight w:val="397"/>
        </w:trPr>
        <w:tc>
          <w:tcPr>
            <w:tcW w:w="2175" w:type="pct"/>
            <w:shd w:val="clear" w:color="auto" w:fill="C6D9F1"/>
            <w:tcMar>
              <w:top w:w="0" w:type="dxa"/>
              <w:left w:w="70" w:type="dxa"/>
              <w:bottom w:w="0" w:type="dxa"/>
              <w:right w:w="70" w:type="dxa"/>
            </w:tcMar>
            <w:vAlign w:val="center"/>
          </w:tcPr>
          <w:p w:rsidR="00186257" w:rsidRPr="00186257" w:rsidRDefault="00186257" w:rsidP="00186257">
            <w:pPr>
              <w:spacing w:before="0"/>
              <w:jc w:val="left"/>
              <w:rPr>
                <w:rFonts w:eastAsia="Calibri" w:cs="Segoe UI"/>
                <w:sz w:val="18"/>
                <w:szCs w:val="18"/>
                <w:lang w:eastAsia="cs-CZ"/>
              </w:rPr>
            </w:pPr>
            <w:r w:rsidRPr="00186257">
              <w:rPr>
                <w:rFonts w:eastAsia="Calibri" w:cs="Segoe UI"/>
                <w:bCs/>
                <w:sz w:val="18"/>
                <w:szCs w:val="18"/>
                <w:lang w:eastAsia="cs-CZ"/>
              </w:rPr>
              <w:t>Přiznaná výše dotace</w:t>
            </w:r>
          </w:p>
        </w:tc>
        <w:tc>
          <w:tcPr>
            <w:tcW w:w="611"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sz w:val="18"/>
                <w:szCs w:val="18"/>
                <w:lang w:eastAsia="cs-CZ"/>
              </w:rPr>
            </w:pPr>
            <w:r w:rsidRPr="00186257">
              <w:rPr>
                <w:rFonts w:eastAsiaTheme="minorHAnsi" w:cs="Segoe UI"/>
                <w:sz w:val="18"/>
                <w:szCs w:val="18"/>
              </w:rPr>
              <w:t>24 745 900</w:t>
            </w:r>
          </w:p>
        </w:tc>
        <w:tc>
          <w:tcPr>
            <w:tcW w:w="687"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sz w:val="18"/>
                <w:szCs w:val="18"/>
                <w:lang w:eastAsia="cs-CZ"/>
              </w:rPr>
            </w:pPr>
            <w:r w:rsidRPr="00186257">
              <w:rPr>
                <w:rFonts w:eastAsiaTheme="minorHAnsi" w:cs="Segoe UI"/>
                <w:sz w:val="18"/>
                <w:szCs w:val="18"/>
              </w:rPr>
              <w:t>1 049 238 175</w:t>
            </w:r>
          </w:p>
        </w:tc>
        <w:tc>
          <w:tcPr>
            <w:tcW w:w="763"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sz w:val="18"/>
                <w:szCs w:val="18"/>
                <w:lang w:eastAsia="cs-CZ"/>
              </w:rPr>
            </w:pPr>
            <w:r w:rsidRPr="00186257">
              <w:rPr>
                <w:rFonts w:eastAsiaTheme="minorHAnsi" w:cs="Segoe UI"/>
                <w:sz w:val="18"/>
                <w:szCs w:val="18"/>
              </w:rPr>
              <w:t>185 348 100</w:t>
            </w:r>
          </w:p>
        </w:tc>
        <w:tc>
          <w:tcPr>
            <w:tcW w:w="764" w:type="pct"/>
            <w:shd w:val="clear" w:color="auto" w:fill="auto"/>
            <w:tcMar>
              <w:top w:w="0" w:type="dxa"/>
              <w:left w:w="70" w:type="dxa"/>
              <w:bottom w:w="0" w:type="dxa"/>
              <w:right w:w="70" w:type="dxa"/>
            </w:tcMar>
            <w:vAlign w:val="center"/>
          </w:tcPr>
          <w:p w:rsidR="00186257" w:rsidRPr="00186257" w:rsidRDefault="00186257" w:rsidP="00C75B79">
            <w:pPr>
              <w:spacing w:before="0"/>
              <w:jc w:val="right"/>
              <w:rPr>
                <w:rFonts w:eastAsia="Calibri" w:cs="Segoe UI"/>
                <w:b/>
                <w:sz w:val="18"/>
                <w:szCs w:val="18"/>
                <w:lang w:eastAsia="cs-CZ"/>
              </w:rPr>
            </w:pPr>
            <w:r w:rsidRPr="00186257">
              <w:rPr>
                <w:rFonts w:eastAsiaTheme="minorHAnsi" w:cs="Segoe UI"/>
                <w:b/>
                <w:sz w:val="18"/>
                <w:szCs w:val="18"/>
              </w:rPr>
              <w:t>1 259 332 175</w:t>
            </w:r>
          </w:p>
        </w:tc>
      </w:tr>
    </w:tbl>
    <w:p w:rsidR="00AF4350" w:rsidRPr="00E31382" w:rsidRDefault="00AF4350" w:rsidP="00186257">
      <w:pPr>
        <w:pStyle w:val="Zdrojobjektu"/>
      </w:pPr>
      <w:r w:rsidRPr="00E31382">
        <w:t>Zdroj: podklad k dotačnímu řízení – Podprogram č. 1</w:t>
      </w:r>
    </w:p>
    <w:p w:rsidR="00AF4350" w:rsidRPr="0039748C" w:rsidRDefault="00AF4350" w:rsidP="00A34764">
      <w:pPr>
        <w:rPr>
          <w:rFonts w:eastAsia="Arial Unicode MS"/>
          <w:lang w:eastAsia="cs-CZ"/>
        </w:rPr>
      </w:pPr>
      <w:r w:rsidRPr="00C75B79">
        <w:rPr>
          <w:rFonts w:eastAsia="Arial Unicode MS"/>
          <w:b/>
          <w:lang w:eastAsia="cs-CZ"/>
        </w:rPr>
        <w:t>OK v roce 2019 poskytl prostřednictvím Programu finanční podpory poskytování sociálních služeb v Olomouckém kraji, Podprogramu č. 1, dotaci ze státního rozpočtu na zajištění 281 sociálních služeb v celkové výši 1 259 332 175 Kč.</w:t>
      </w:r>
      <w:r w:rsidRPr="0039748C">
        <w:rPr>
          <w:rFonts w:eastAsia="Arial Unicode MS"/>
          <w:lang w:eastAsia="cs-CZ"/>
        </w:rPr>
        <w:t xml:space="preserve"> Následné vratky při finančním vypořádání dotace činily 2 604 814,32 Kč.</w:t>
      </w:r>
    </w:p>
    <w:p w:rsidR="00C75B79" w:rsidRDefault="00C75B79" w:rsidP="00C75B79">
      <w:pPr>
        <w:pStyle w:val="Tun"/>
        <w:rPr>
          <w:b w:val="0"/>
          <w:u w:val="single"/>
        </w:rPr>
      </w:pPr>
    </w:p>
    <w:p w:rsidR="00AF4350" w:rsidRPr="00C75B79" w:rsidRDefault="00AF4350" w:rsidP="00C75B79">
      <w:pPr>
        <w:pStyle w:val="Tun"/>
        <w:rPr>
          <w:b w:val="0"/>
          <w:u w:val="single"/>
        </w:rPr>
      </w:pPr>
      <w:r w:rsidRPr="00C75B79">
        <w:rPr>
          <w:b w:val="0"/>
          <w:u w:val="single"/>
        </w:rPr>
        <w:t>Dotační rok 2020</w:t>
      </w:r>
    </w:p>
    <w:p w:rsidR="00AF4350" w:rsidRPr="0039748C" w:rsidRDefault="00AF4350" w:rsidP="00A34764">
      <w:pPr>
        <w:rPr>
          <w:rFonts w:eastAsia="Arial Unicode MS"/>
          <w:lang w:eastAsia="cs-CZ"/>
        </w:rPr>
      </w:pPr>
      <w:r w:rsidRPr="0039748C">
        <w:rPr>
          <w:rFonts w:eastAsia="Arial Unicode MS"/>
          <w:lang w:eastAsia="cs-CZ"/>
        </w:rPr>
        <w:t>Dotační řízení OK pro jednotlivé poskytovatele sociálních služeb zařazené v síti pro rok 2020 bylo v souladu s Podprogramem č. 1 Programu vyhlášeno v červenci 2019. Lhůta pro podávání žádostí byla stanovena na období od 21. 10. 2019 do 15. 11. 2019. Ve stanovené lhůtě podalo žádost o dotaci předepsaným způsobem (prostřednictvím webové aplikace MPSV OK služby-poskytovatel) celkem 118 subjektů (poskytovatelů sociálních služeb) pro 290 služeb v celkové částce 1 776 060 486 Kč. Podrobnější</w:t>
      </w:r>
      <w:r>
        <w:rPr>
          <w:rFonts w:eastAsia="Arial Unicode MS"/>
          <w:lang w:eastAsia="cs-CZ"/>
        </w:rPr>
        <w:t xml:space="preserve"> přehled je uveden v tabulce</w:t>
      </w:r>
      <w:r w:rsidRPr="0039748C">
        <w:rPr>
          <w:rFonts w:eastAsia="Arial Unicode MS"/>
          <w:lang w:eastAsia="cs-CZ"/>
        </w:rPr>
        <w:t>.</w:t>
      </w:r>
    </w:p>
    <w:p w:rsidR="00AF4350" w:rsidRPr="008048CB" w:rsidRDefault="00AF4350" w:rsidP="008048CB">
      <w:pPr>
        <w:pStyle w:val="popistabulkySPRSS2024"/>
      </w:pPr>
      <w:bookmarkStart w:id="150" w:name="_Toc117607097"/>
      <w:r w:rsidRPr="008048CB">
        <w:lastRenderedPageBreak/>
        <w:t xml:space="preserve">Tabulka </w:t>
      </w:r>
      <w:r w:rsidR="00412C70">
        <w:fldChar w:fldCharType="begin"/>
      </w:r>
      <w:r w:rsidR="00412C70">
        <w:instrText xml:space="preserve"> SEQ Tabulka \* ARABIC </w:instrText>
      </w:r>
      <w:r w:rsidR="00412C70">
        <w:fldChar w:fldCharType="separate"/>
      </w:r>
      <w:r w:rsidR="003A12AF">
        <w:rPr>
          <w:noProof/>
        </w:rPr>
        <w:t>37</w:t>
      </w:r>
      <w:r w:rsidR="00412C70">
        <w:rPr>
          <w:noProof/>
        </w:rPr>
        <w:fldChar w:fldCharType="end"/>
      </w:r>
      <w:r w:rsidRPr="008048CB">
        <w:t>: Požadovaná výše dotace 2020</w:t>
      </w:r>
      <w:bookmarkEnd w:id="150"/>
      <w:r w:rsidRPr="008048C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57"/>
        <w:gridCol w:w="1146"/>
        <w:gridCol w:w="1275"/>
        <w:gridCol w:w="1420"/>
        <w:gridCol w:w="1269"/>
      </w:tblGrid>
      <w:tr w:rsidR="00AF4350" w:rsidRPr="00E31382" w:rsidTr="00C75B79">
        <w:trPr>
          <w:trHeight w:val="567"/>
        </w:trPr>
        <w:tc>
          <w:tcPr>
            <w:tcW w:w="2182" w:type="pct"/>
            <w:tcBorders>
              <w:top w:val="nil"/>
              <w:left w:val="nil"/>
              <w:bottom w:val="single" w:sz="4" w:space="0" w:color="auto"/>
              <w:right w:val="single" w:sz="4" w:space="0" w:color="auto"/>
            </w:tcBorders>
            <w:shd w:val="clear" w:color="auto" w:fill="auto"/>
            <w:vAlign w:val="center"/>
            <w:hideMark/>
          </w:tcPr>
          <w:p w:rsidR="00AF4350" w:rsidRPr="00C75B79" w:rsidRDefault="00AF4350" w:rsidP="00A34764">
            <w:pPr>
              <w:rPr>
                <w:rFonts w:eastAsia="Calibri"/>
                <w:sz w:val="18"/>
                <w:lang w:eastAsia="cs-CZ"/>
              </w:rPr>
            </w:pPr>
          </w:p>
        </w:tc>
        <w:tc>
          <w:tcPr>
            <w:tcW w:w="632" w:type="pct"/>
            <w:tcBorders>
              <w:left w:val="single" w:sz="4" w:space="0" w:color="auto"/>
            </w:tcBorders>
            <w:shd w:val="clear" w:color="auto" w:fill="C6D9F1"/>
            <w:tcMar>
              <w:top w:w="0" w:type="dxa"/>
              <w:left w:w="70" w:type="dxa"/>
              <w:bottom w:w="0" w:type="dxa"/>
              <w:right w:w="70" w:type="dxa"/>
            </w:tcMar>
            <w:vAlign w:val="center"/>
            <w:hideMark/>
          </w:tcPr>
          <w:p w:rsidR="00AF4350" w:rsidRPr="00C75B79" w:rsidRDefault="00AF4350" w:rsidP="00C75B79">
            <w:pPr>
              <w:jc w:val="center"/>
              <w:rPr>
                <w:rFonts w:eastAsia="Calibri"/>
                <w:b/>
                <w:sz w:val="18"/>
                <w:lang w:eastAsia="cs-CZ"/>
              </w:rPr>
            </w:pPr>
            <w:r w:rsidRPr="00C75B79">
              <w:rPr>
                <w:b/>
                <w:sz w:val="18"/>
              </w:rPr>
              <w:t>poradenství</w:t>
            </w:r>
          </w:p>
        </w:tc>
        <w:tc>
          <w:tcPr>
            <w:tcW w:w="703" w:type="pct"/>
            <w:shd w:val="clear" w:color="auto" w:fill="C6D9F1"/>
            <w:tcMar>
              <w:top w:w="0" w:type="dxa"/>
              <w:left w:w="70" w:type="dxa"/>
              <w:bottom w:w="0" w:type="dxa"/>
              <w:right w:w="70" w:type="dxa"/>
            </w:tcMar>
            <w:vAlign w:val="center"/>
            <w:hideMark/>
          </w:tcPr>
          <w:p w:rsidR="00AF4350" w:rsidRPr="00C75B79" w:rsidRDefault="00AF4350" w:rsidP="00C75B79">
            <w:pPr>
              <w:jc w:val="center"/>
              <w:rPr>
                <w:rFonts w:eastAsia="Calibri"/>
                <w:b/>
                <w:sz w:val="18"/>
                <w:lang w:eastAsia="cs-CZ"/>
              </w:rPr>
            </w:pPr>
            <w:r w:rsidRPr="00C75B79">
              <w:rPr>
                <w:b/>
                <w:sz w:val="18"/>
              </w:rPr>
              <w:t>sociální péče</w:t>
            </w:r>
          </w:p>
        </w:tc>
        <w:tc>
          <w:tcPr>
            <w:tcW w:w="783" w:type="pct"/>
            <w:shd w:val="clear" w:color="auto" w:fill="C6D9F1"/>
            <w:tcMar>
              <w:top w:w="0" w:type="dxa"/>
              <w:left w:w="70" w:type="dxa"/>
              <w:bottom w:w="0" w:type="dxa"/>
              <w:right w:w="70" w:type="dxa"/>
            </w:tcMar>
            <w:vAlign w:val="center"/>
            <w:hideMark/>
          </w:tcPr>
          <w:p w:rsidR="00AF4350" w:rsidRPr="00C75B79" w:rsidRDefault="00AF4350" w:rsidP="00C75B79">
            <w:pPr>
              <w:jc w:val="center"/>
              <w:rPr>
                <w:rFonts w:eastAsia="Calibri"/>
                <w:b/>
                <w:sz w:val="18"/>
                <w:lang w:eastAsia="cs-CZ"/>
              </w:rPr>
            </w:pPr>
            <w:r w:rsidRPr="00C75B79">
              <w:rPr>
                <w:b/>
                <w:sz w:val="18"/>
              </w:rPr>
              <w:t>sociální prevence</w:t>
            </w:r>
          </w:p>
        </w:tc>
        <w:tc>
          <w:tcPr>
            <w:tcW w:w="700" w:type="pct"/>
            <w:shd w:val="clear" w:color="auto" w:fill="C6D9F1"/>
            <w:tcMar>
              <w:top w:w="0" w:type="dxa"/>
              <w:left w:w="70" w:type="dxa"/>
              <w:bottom w:w="0" w:type="dxa"/>
              <w:right w:w="70" w:type="dxa"/>
            </w:tcMar>
            <w:vAlign w:val="center"/>
            <w:hideMark/>
          </w:tcPr>
          <w:p w:rsidR="00AF4350" w:rsidRPr="00C75B79" w:rsidRDefault="00AF4350" w:rsidP="00C75B79">
            <w:pPr>
              <w:jc w:val="center"/>
              <w:rPr>
                <w:rFonts w:eastAsia="Calibri"/>
                <w:b/>
                <w:sz w:val="18"/>
                <w:lang w:eastAsia="cs-CZ"/>
              </w:rPr>
            </w:pPr>
            <w:r w:rsidRPr="00C75B79">
              <w:rPr>
                <w:rFonts w:eastAsia="Calibri"/>
                <w:b/>
                <w:sz w:val="18"/>
                <w:lang w:eastAsia="cs-CZ"/>
              </w:rPr>
              <w:t>Celkem</w:t>
            </w:r>
          </w:p>
        </w:tc>
      </w:tr>
      <w:tr w:rsidR="00AF4350" w:rsidRPr="00E31382" w:rsidTr="00C75B79">
        <w:trPr>
          <w:trHeight w:val="397"/>
        </w:trPr>
        <w:tc>
          <w:tcPr>
            <w:tcW w:w="2182" w:type="pct"/>
            <w:tcBorders>
              <w:top w:val="single" w:sz="4" w:space="0" w:color="auto"/>
            </w:tcBorders>
            <w:shd w:val="clear" w:color="auto" w:fill="C6D9F1"/>
            <w:tcMar>
              <w:top w:w="0" w:type="dxa"/>
              <w:left w:w="70" w:type="dxa"/>
              <w:bottom w:w="0" w:type="dxa"/>
              <w:right w:w="70" w:type="dxa"/>
            </w:tcMar>
            <w:vAlign w:val="center"/>
            <w:hideMark/>
          </w:tcPr>
          <w:p w:rsidR="00AF4350" w:rsidRPr="00C75B79" w:rsidRDefault="00AF4350" w:rsidP="00A34764">
            <w:pPr>
              <w:rPr>
                <w:rFonts w:eastAsia="Calibri"/>
                <w:sz w:val="18"/>
                <w:lang w:eastAsia="cs-CZ"/>
              </w:rPr>
            </w:pPr>
            <w:r w:rsidRPr="00C75B79">
              <w:rPr>
                <w:rFonts w:eastAsia="Calibri"/>
                <w:sz w:val="18"/>
                <w:lang w:eastAsia="cs-CZ"/>
              </w:rPr>
              <w:t>Počet služeb, na které je dotace požadována</w:t>
            </w:r>
          </w:p>
        </w:tc>
        <w:tc>
          <w:tcPr>
            <w:tcW w:w="632"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21</w:t>
            </w:r>
          </w:p>
        </w:tc>
        <w:tc>
          <w:tcPr>
            <w:tcW w:w="703"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164</w:t>
            </w:r>
          </w:p>
        </w:tc>
        <w:tc>
          <w:tcPr>
            <w:tcW w:w="783"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105</w:t>
            </w:r>
          </w:p>
        </w:tc>
        <w:tc>
          <w:tcPr>
            <w:tcW w:w="700" w:type="pct"/>
            <w:shd w:val="clear" w:color="auto" w:fill="auto"/>
            <w:tcMar>
              <w:top w:w="0" w:type="dxa"/>
              <w:left w:w="70" w:type="dxa"/>
              <w:bottom w:w="0" w:type="dxa"/>
              <w:right w:w="70" w:type="dxa"/>
            </w:tcMar>
            <w:vAlign w:val="center"/>
            <w:hideMark/>
          </w:tcPr>
          <w:p w:rsidR="00AF4350" w:rsidRPr="00C75B79" w:rsidRDefault="00AF4350" w:rsidP="00C75B79">
            <w:pPr>
              <w:jc w:val="right"/>
              <w:rPr>
                <w:rFonts w:eastAsia="Calibri"/>
                <w:sz w:val="18"/>
                <w:lang w:eastAsia="cs-CZ"/>
              </w:rPr>
            </w:pPr>
            <w:r w:rsidRPr="00C75B79">
              <w:rPr>
                <w:sz w:val="18"/>
              </w:rPr>
              <w:t>290</w:t>
            </w:r>
          </w:p>
        </w:tc>
      </w:tr>
      <w:tr w:rsidR="00AF4350" w:rsidRPr="00E31382" w:rsidTr="00C75B79">
        <w:trPr>
          <w:trHeight w:val="397"/>
        </w:trPr>
        <w:tc>
          <w:tcPr>
            <w:tcW w:w="2182" w:type="pct"/>
            <w:shd w:val="clear" w:color="auto" w:fill="C6D9F1"/>
            <w:tcMar>
              <w:top w:w="0" w:type="dxa"/>
              <w:left w:w="70" w:type="dxa"/>
              <w:bottom w:w="0" w:type="dxa"/>
              <w:right w:w="70" w:type="dxa"/>
            </w:tcMar>
            <w:vAlign w:val="center"/>
          </w:tcPr>
          <w:p w:rsidR="00AF4350" w:rsidRPr="00C75B79" w:rsidRDefault="00AF4350" w:rsidP="00A34764">
            <w:pPr>
              <w:rPr>
                <w:rFonts w:eastAsia="Calibri"/>
                <w:sz w:val="18"/>
                <w:lang w:eastAsia="cs-CZ"/>
              </w:rPr>
            </w:pPr>
            <w:r w:rsidRPr="00C75B79">
              <w:rPr>
                <w:rFonts w:eastAsia="Calibri"/>
                <w:sz w:val="18"/>
                <w:lang w:eastAsia="cs-CZ"/>
              </w:rPr>
              <w:t>Požadovaná dotace</w:t>
            </w:r>
          </w:p>
        </w:tc>
        <w:tc>
          <w:tcPr>
            <w:tcW w:w="632"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32 561 196</w:t>
            </w:r>
          </w:p>
        </w:tc>
        <w:tc>
          <w:tcPr>
            <w:tcW w:w="703"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1 489 484 374</w:t>
            </w:r>
          </w:p>
        </w:tc>
        <w:tc>
          <w:tcPr>
            <w:tcW w:w="783"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254 014 916</w:t>
            </w:r>
          </w:p>
        </w:tc>
        <w:tc>
          <w:tcPr>
            <w:tcW w:w="700"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1 776 060 486</w:t>
            </w:r>
          </w:p>
        </w:tc>
      </w:tr>
    </w:tbl>
    <w:p w:rsidR="00AF4350" w:rsidRDefault="00AF4350" w:rsidP="00C75B79">
      <w:pPr>
        <w:pStyle w:val="Zdrojobjektu"/>
      </w:pPr>
      <w:r w:rsidRPr="00E31382">
        <w:t>Zdroj: podklad k dotačnímu řízení – Podprogram č. 1</w:t>
      </w:r>
    </w:p>
    <w:p w:rsidR="00AF4350" w:rsidRPr="0039748C" w:rsidRDefault="00AF4350" w:rsidP="00A34764">
      <w:pPr>
        <w:rPr>
          <w:rFonts w:eastAsia="Arial Unicode MS"/>
          <w:lang w:eastAsia="cs-CZ"/>
        </w:rPr>
      </w:pPr>
      <w:r w:rsidRPr="0039748C">
        <w:rPr>
          <w:rFonts w:eastAsia="Arial Unicode MS"/>
          <w:lang w:eastAsia="cs-CZ"/>
        </w:rPr>
        <w:t xml:space="preserve">V souladu s Podprogramem č. 1 Programu bylo provedeno formální a věcné posouzení jednotlivých žádostí o dotaci, kontrola přiměřenosti a hospodárnosti rozpočtu sociálních služeb, požadavku na dotaci a vymezení neuznatelných a nadhodnocených nákladů zahrnutých v požadavcích na dotaci. Následně byl stanoven optimální návrh dotace. </w:t>
      </w:r>
    </w:p>
    <w:p w:rsidR="00AF4350" w:rsidRPr="0039748C" w:rsidRDefault="00AF4350" w:rsidP="00A34764">
      <w:pPr>
        <w:rPr>
          <w:rFonts w:eastAsia="Arial Unicode MS"/>
          <w:lang w:eastAsia="cs-CZ"/>
        </w:rPr>
      </w:pPr>
      <w:r>
        <w:rPr>
          <w:rFonts w:eastAsia="Arial Unicode MS"/>
          <w:lang w:eastAsia="cs-CZ"/>
        </w:rPr>
        <w:t>Dne 10. 1.</w:t>
      </w:r>
      <w:r w:rsidRPr="0039748C">
        <w:rPr>
          <w:rFonts w:eastAsia="Arial Unicode MS"/>
          <w:lang w:eastAsia="cs-CZ"/>
        </w:rPr>
        <w:t xml:space="preserve"> 2020 obdržel OK ROZHODNUTÍ č. 1 o poskytnutí dotace z kapitoly 313 – MPSV státního rozpočtu na rok 2020. Tímto rozhodnutím byla OK poskytnuta účelově určená dotace na financování běžných výdajů souvisejících s poskytováním základních druhů a forem sociálních služeb v rozsahu stanoveném základními činnostmi u jednotlivých druhů sociálních služeb v celkové maximální výši </w:t>
      </w:r>
      <w:r w:rsidRPr="0039748C">
        <w:rPr>
          <w:rFonts w:eastAsia="Arial Unicode MS"/>
          <w:b/>
          <w:lang w:eastAsia="cs-CZ"/>
        </w:rPr>
        <w:t>1 374 357 855 Kč.</w:t>
      </w:r>
      <w:r w:rsidRPr="0039748C">
        <w:rPr>
          <w:rFonts w:eastAsia="Arial Unicode MS"/>
          <w:lang w:eastAsia="cs-CZ"/>
        </w:rPr>
        <w:t xml:space="preserve"> </w:t>
      </w:r>
    </w:p>
    <w:p w:rsidR="00AF4350" w:rsidRPr="0039748C" w:rsidRDefault="00AF4350" w:rsidP="00A34764">
      <w:pPr>
        <w:rPr>
          <w:rFonts w:eastAsia="Arial Unicode MS"/>
          <w:lang w:eastAsia="cs-CZ"/>
        </w:rPr>
      </w:pPr>
      <w:r w:rsidRPr="0039748C">
        <w:rPr>
          <w:rFonts w:eastAsia="Arial Unicode MS"/>
          <w:lang w:eastAsia="cs-CZ"/>
        </w:rPr>
        <w:t xml:space="preserve">Po doručení rozhodnutí MPSV s uvedením výše dotace přidělené kraji byl optimální návrh dotace jednotlivým poskytovatelům sociálních služeb na jednotlivé služby upraven na výši disponibilních prostředků a tím byl stanoven reálný návrh dotace. </w:t>
      </w:r>
    </w:p>
    <w:p w:rsidR="00AF4350" w:rsidRDefault="00AF4350" w:rsidP="008048CB">
      <w:pPr>
        <w:pStyle w:val="popistabulkySPRSS2024"/>
      </w:pPr>
      <w:bookmarkStart w:id="151" w:name="_Toc117607098"/>
      <w:r>
        <w:t xml:space="preserve">Tabulka </w:t>
      </w:r>
      <w:r w:rsidR="00C140D0">
        <w:rPr>
          <w:noProof/>
        </w:rPr>
        <w:fldChar w:fldCharType="begin"/>
      </w:r>
      <w:r w:rsidR="00C140D0">
        <w:rPr>
          <w:noProof/>
        </w:rPr>
        <w:instrText xml:space="preserve"> SEQ Tabulka \* ARABIC </w:instrText>
      </w:r>
      <w:r w:rsidR="00C140D0">
        <w:rPr>
          <w:noProof/>
        </w:rPr>
        <w:fldChar w:fldCharType="separate"/>
      </w:r>
      <w:r w:rsidR="003A12AF">
        <w:rPr>
          <w:noProof/>
        </w:rPr>
        <w:t>38</w:t>
      </w:r>
      <w:r w:rsidR="00C140D0">
        <w:rPr>
          <w:noProof/>
        </w:rPr>
        <w:fldChar w:fldCharType="end"/>
      </w:r>
      <w:r>
        <w:t xml:space="preserve"> </w:t>
      </w:r>
      <w:r w:rsidRPr="00C146E6">
        <w:t>Přiznaná výše dotace 2020</w:t>
      </w:r>
      <w:bookmarkEnd w:id="151"/>
    </w:p>
    <w:tbl>
      <w:tblPr>
        <w:tblW w:w="512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8"/>
        <w:gridCol w:w="1701"/>
        <w:gridCol w:w="1560"/>
        <w:gridCol w:w="1417"/>
        <w:gridCol w:w="1419"/>
      </w:tblGrid>
      <w:tr w:rsidR="00AF4350" w:rsidRPr="00E31382" w:rsidTr="00C75B79">
        <w:trPr>
          <w:trHeight w:val="567"/>
          <w:tblHeader/>
        </w:trPr>
        <w:tc>
          <w:tcPr>
            <w:tcW w:w="1717" w:type="pct"/>
            <w:tcBorders>
              <w:top w:val="nil"/>
              <w:left w:val="nil"/>
              <w:bottom w:val="single" w:sz="4" w:space="0" w:color="auto"/>
              <w:right w:val="single" w:sz="4" w:space="0" w:color="auto"/>
            </w:tcBorders>
            <w:shd w:val="clear" w:color="auto" w:fill="auto"/>
            <w:vAlign w:val="center"/>
            <w:hideMark/>
          </w:tcPr>
          <w:p w:rsidR="00AF4350" w:rsidRPr="00C75B79" w:rsidRDefault="00AF4350" w:rsidP="00A34764">
            <w:pPr>
              <w:rPr>
                <w:rFonts w:eastAsia="Calibri"/>
                <w:sz w:val="18"/>
                <w:lang w:eastAsia="cs-CZ"/>
              </w:rPr>
            </w:pPr>
          </w:p>
        </w:tc>
        <w:tc>
          <w:tcPr>
            <w:tcW w:w="916" w:type="pct"/>
            <w:tcBorders>
              <w:left w:val="single" w:sz="4" w:space="0" w:color="auto"/>
            </w:tcBorders>
            <w:shd w:val="clear" w:color="auto" w:fill="C6D9F1"/>
            <w:tcMar>
              <w:top w:w="0" w:type="dxa"/>
              <w:left w:w="70" w:type="dxa"/>
              <w:bottom w:w="0" w:type="dxa"/>
              <w:right w:w="70" w:type="dxa"/>
            </w:tcMar>
            <w:hideMark/>
          </w:tcPr>
          <w:p w:rsidR="00AF4350" w:rsidRPr="00C75B79" w:rsidRDefault="00AF4350" w:rsidP="00C75B79">
            <w:pPr>
              <w:jc w:val="center"/>
              <w:rPr>
                <w:rFonts w:eastAsia="Calibri"/>
                <w:b/>
                <w:sz w:val="18"/>
                <w:lang w:eastAsia="cs-CZ"/>
              </w:rPr>
            </w:pPr>
            <w:r w:rsidRPr="00C75B79">
              <w:rPr>
                <w:b/>
                <w:sz w:val="18"/>
              </w:rPr>
              <w:t>poradenství</w:t>
            </w:r>
          </w:p>
        </w:tc>
        <w:tc>
          <w:tcPr>
            <w:tcW w:w="840" w:type="pct"/>
            <w:shd w:val="clear" w:color="auto" w:fill="C6D9F1"/>
            <w:tcMar>
              <w:top w:w="0" w:type="dxa"/>
              <w:left w:w="70" w:type="dxa"/>
              <w:bottom w:w="0" w:type="dxa"/>
              <w:right w:w="70" w:type="dxa"/>
            </w:tcMar>
            <w:hideMark/>
          </w:tcPr>
          <w:p w:rsidR="00AF4350" w:rsidRPr="00C75B79" w:rsidRDefault="00AF4350" w:rsidP="00C75B79">
            <w:pPr>
              <w:jc w:val="center"/>
              <w:rPr>
                <w:rFonts w:eastAsia="Calibri"/>
                <w:b/>
                <w:sz w:val="18"/>
                <w:lang w:eastAsia="cs-CZ"/>
              </w:rPr>
            </w:pPr>
            <w:r w:rsidRPr="00C75B79">
              <w:rPr>
                <w:b/>
                <w:sz w:val="18"/>
              </w:rPr>
              <w:t>sociální péče</w:t>
            </w:r>
          </w:p>
        </w:tc>
        <w:tc>
          <w:tcPr>
            <w:tcW w:w="763" w:type="pct"/>
            <w:shd w:val="clear" w:color="auto" w:fill="C6D9F1"/>
            <w:tcMar>
              <w:top w:w="0" w:type="dxa"/>
              <w:left w:w="70" w:type="dxa"/>
              <w:bottom w:w="0" w:type="dxa"/>
              <w:right w:w="70" w:type="dxa"/>
            </w:tcMar>
            <w:hideMark/>
          </w:tcPr>
          <w:p w:rsidR="00AF4350" w:rsidRPr="00C75B79" w:rsidRDefault="00AF4350" w:rsidP="00C75B79">
            <w:pPr>
              <w:jc w:val="center"/>
              <w:rPr>
                <w:rFonts w:eastAsia="Calibri"/>
                <w:b/>
                <w:sz w:val="18"/>
                <w:lang w:eastAsia="cs-CZ"/>
              </w:rPr>
            </w:pPr>
            <w:r w:rsidRPr="00C75B79">
              <w:rPr>
                <w:b/>
                <w:sz w:val="18"/>
              </w:rPr>
              <w:t>sociální prevence</w:t>
            </w:r>
          </w:p>
        </w:tc>
        <w:tc>
          <w:tcPr>
            <w:tcW w:w="764" w:type="pct"/>
            <w:shd w:val="clear" w:color="auto" w:fill="C6D9F1"/>
            <w:tcMar>
              <w:top w:w="0" w:type="dxa"/>
              <w:left w:w="70" w:type="dxa"/>
              <w:bottom w:w="0" w:type="dxa"/>
              <w:right w:w="70" w:type="dxa"/>
            </w:tcMar>
            <w:hideMark/>
          </w:tcPr>
          <w:p w:rsidR="00AF4350" w:rsidRPr="00C75B79" w:rsidRDefault="00AF4350" w:rsidP="00C75B79">
            <w:pPr>
              <w:jc w:val="center"/>
              <w:rPr>
                <w:rFonts w:eastAsia="Calibri"/>
                <w:b/>
                <w:sz w:val="18"/>
                <w:lang w:eastAsia="cs-CZ"/>
              </w:rPr>
            </w:pPr>
            <w:r w:rsidRPr="00C75B79">
              <w:rPr>
                <w:b/>
                <w:sz w:val="18"/>
              </w:rPr>
              <w:t>Celkem</w:t>
            </w:r>
          </w:p>
        </w:tc>
      </w:tr>
      <w:tr w:rsidR="00AF4350" w:rsidRPr="00E31382" w:rsidTr="00C75B79">
        <w:trPr>
          <w:trHeight w:val="397"/>
        </w:trPr>
        <w:tc>
          <w:tcPr>
            <w:tcW w:w="1717" w:type="pct"/>
            <w:tcBorders>
              <w:top w:val="single" w:sz="4" w:space="0" w:color="auto"/>
            </w:tcBorders>
            <w:shd w:val="clear" w:color="auto" w:fill="C6D9F1"/>
            <w:tcMar>
              <w:top w:w="0" w:type="dxa"/>
              <w:left w:w="70" w:type="dxa"/>
              <w:bottom w:w="0" w:type="dxa"/>
              <w:right w:w="70" w:type="dxa"/>
            </w:tcMar>
            <w:vAlign w:val="center"/>
            <w:hideMark/>
          </w:tcPr>
          <w:p w:rsidR="00AF4350" w:rsidRPr="00C75B79" w:rsidRDefault="00AF4350" w:rsidP="00A34764">
            <w:pPr>
              <w:rPr>
                <w:rFonts w:eastAsia="Calibri"/>
                <w:sz w:val="18"/>
                <w:lang w:eastAsia="cs-CZ"/>
              </w:rPr>
            </w:pPr>
            <w:r w:rsidRPr="00C75B79">
              <w:rPr>
                <w:rFonts w:eastAsia="Calibri"/>
                <w:sz w:val="18"/>
                <w:lang w:eastAsia="cs-CZ"/>
              </w:rPr>
              <w:t>Počet podpořených služeb</w:t>
            </w:r>
          </w:p>
        </w:tc>
        <w:tc>
          <w:tcPr>
            <w:tcW w:w="916"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21</w:t>
            </w:r>
          </w:p>
        </w:tc>
        <w:tc>
          <w:tcPr>
            <w:tcW w:w="840"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161</w:t>
            </w:r>
          </w:p>
        </w:tc>
        <w:tc>
          <w:tcPr>
            <w:tcW w:w="763"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103</w:t>
            </w:r>
          </w:p>
        </w:tc>
        <w:tc>
          <w:tcPr>
            <w:tcW w:w="764"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285</w:t>
            </w:r>
          </w:p>
        </w:tc>
      </w:tr>
      <w:tr w:rsidR="00AF4350" w:rsidRPr="00E31382" w:rsidTr="00C75B79">
        <w:trPr>
          <w:trHeight w:val="397"/>
        </w:trPr>
        <w:tc>
          <w:tcPr>
            <w:tcW w:w="1717" w:type="pct"/>
            <w:shd w:val="clear" w:color="auto" w:fill="C6D9F1"/>
            <w:tcMar>
              <w:top w:w="0" w:type="dxa"/>
              <w:left w:w="70" w:type="dxa"/>
              <w:bottom w:w="0" w:type="dxa"/>
              <w:right w:w="70" w:type="dxa"/>
            </w:tcMar>
            <w:vAlign w:val="center"/>
          </w:tcPr>
          <w:p w:rsidR="00AF4350" w:rsidRPr="00C75B79" w:rsidRDefault="00AF4350" w:rsidP="00A34764">
            <w:pPr>
              <w:rPr>
                <w:rFonts w:eastAsia="Calibri"/>
                <w:sz w:val="18"/>
                <w:lang w:eastAsia="cs-CZ"/>
              </w:rPr>
            </w:pPr>
            <w:r w:rsidRPr="00C75B79">
              <w:rPr>
                <w:rFonts w:eastAsia="Calibri"/>
                <w:sz w:val="18"/>
                <w:lang w:eastAsia="cs-CZ"/>
              </w:rPr>
              <w:t>Přiznaná výše dotace</w:t>
            </w:r>
          </w:p>
        </w:tc>
        <w:tc>
          <w:tcPr>
            <w:tcW w:w="916"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25 757 600</w:t>
            </w:r>
          </w:p>
        </w:tc>
        <w:tc>
          <w:tcPr>
            <w:tcW w:w="840"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1 145 747 755</w:t>
            </w:r>
          </w:p>
        </w:tc>
        <w:tc>
          <w:tcPr>
            <w:tcW w:w="763"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202 852 500</w:t>
            </w:r>
          </w:p>
        </w:tc>
        <w:tc>
          <w:tcPr>
            <w:tcW w:w="764"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1 374 357 855</w:t>
            </w:r>
          </w:p>
        </w:tc>
      </w:tr>
    </w:tbl>
    <w:p w:rsidR="00AF4350" w:rsidRPr="00E31382" w:rsidRDefault="00AF4350" w:rsidP="00C75B79">
      <w:pPr>
        <w:pStyle w:val="Zdrojobjektu"/>
      </w:pPr>
      <w:r w:rsidRPr="00E31382">
        <w:t>Zdroj: podklad k dotačnímu řízení – Podprogram č. 1</w:t>
      </w:r>
    </w:p>
    <w:p w:rsidR="00AF4350" w:rsidRPr="0039748C" w:rsidRDefault="00AF4350" w:rsidP="00A34764">
      <w:pPr>
        <w:rPr>
          <w:rFonts w:eastAsia="Arial Unicode MS"/>
          <w:lang w:eastAsia="cs-CZ"/>
        </w:rPr>
      </w:pPr>
    </w:p>
    <w:p w:rsidR="00AF4350" w:rsidRPr="0039748C" w:rsidRDefault="00AF4350" w:rsidP="00A34764">
      <w:pPr>
        <w:rPr>
          <w:rFonts w:eastAsia="Arial Unicode MS"/>
          <w:lang w:eastAsia="cs-CZ"/>
        </w:rPr>
      </w:pPr>
      <w:r w:rsidRPr="00C75B79">
        <w:rPr>
          <w:rFonts w:eastAsia="Arial Unicode MS"/>
          <w:b/>
          <w:lang w:eastAsia="cs-CZ"/>
        </w:rPr>
        <w:t xml:space="preserve">OK v roce 2020 poskytl prostřednictvím Programu finanční podpory poskytování sociálních služeb v Olomouckém kraji, Podprogramu č. 1, dotaci ze státního rozpočtu na zajištění 285 sociálních služeb v celkové výši 1 374 357 855 Kč. </w:t>
      </w:r>
      <w:r w:rsidRPr="0039748C">
        <w:rPr>
          <w:rFonts w:eastAsia="Arial Unicode MS"/>
          <w:lang w:eastAsia="cs-CZ"/>
        </w:rPr>
        <w:t>Následné vratky při finančním vypořádání dotace činily 3 592 356,27 Kč.</w:t>
      </w:r>
    </w:p>
    <w:p w:rsidR="00C75B79" w:rsidRDefault="00C75B79" w:rsidP="00A34764">
      <w:pPr>
        <w:rPr>
          <w:rFonts w:eastAsia="Arial Unicode MS"/>
          <w:u w:val="single"/>
          <w:lang w:eastAsia="cs-CZ"/>
        </w:rPr>
      </w:pPr>
    </w:p>
    <w:p w:rsidR="00AF4350" w:rsidRPr="00C75B79" w:rsidRDefault="00AF4350" w:rsidP="00A34764">
      <w:pPr>
        <w:rPr>
          <w:rFonts w:eastAsia="Arial Unicode MS"/>
          <w:u w:val="single"/>
          <w:lang w:eastAsia="cs-CZ"/>
        </w:rPr>
      </w:pPr>
      <w:r w:rsidRPr="00C75B79">
        <w:rPr>
          <w:rFonts w:eastAsia="Arial Unicode MS"/>
          <w:u w:val="single"/>
          <w:lang w:eastAsia="cs-CZ"/>
        </w:rPr>
        <w:t>Dotační rok 2021</w:t>
      </w:r>
    </w:p>
    <w:p w:rsidR="00AF4350" w:rsidRPr="0039748C" w:rsidRDefault="00AF4350" w:rsidP="00A34764">
      <w:pPr>
        <w:rPr>
          <w:rFonts w:eastAsia="Arial Unicode MS"/>
          <w:lang w:eastAsia="cs-CZ"/>
        </w:rPr>
      </w:pPr>
      <w:r w:rsidRPr="0039748C">
        <w:rPr>
          <w:rFonts w:eastAsia="Arial Unicode MS"/>
          <w:lang w:eastAsia="cs-CZ"/>
        </w:rPr>
        <w:t>Dotační řízení OK pro jednotlivé poskytovatele sociálních služeb zařazené v síti pro rok 2021 bylo v souladu s Podprogramem č. 1 Programu vyhlášeno v srpnu 2020. Lhůta pro podávání žádostí byla stanovena na období od 19. 10. 2020 do 09. 11. 2020. Ve stanovené lhůtě podalo žádost o dotaci předepsaným způsobem (prostřednictvím webové aplikace MPSV OK služby-poskytovatel) celkem 117 subjektů (poskytovatelů sociálních služeb) pro 288 služeb s požadavkem v celkové částce 2 022 898 396 Kč. Podrobnější</w:t>
      </w:r>
      <w:r>
        <w:rPr>
          <w:rFonts w:eastAsia="Arial Unicode MS"/>
          <w:lang w:eastAsia="cs-CZ"/>
        </w:rPr>
        <w:t xml:space="preserve"> přehled je uveden v tabulce</w:t>
      </w:r>
      <w:r w:rsidRPr="0039748C">
        <w:rPr>
          <w:rFonts w:eastAsia="Arial Unicode MS"/>
          <w:lang w:eastAsia="cs-CZ"/>
        </w:rPr>
        <w:t>.</w:t>
      </w:r>
    </w:p>
    <w:p w:rsidR="00AF4350" w:rsidRPr="008048CB" w:rsidRDefault="00AF4350" w:rsidP="008048CB">
      <w:pPr>
        <w:pStyle w:val="popistabulkySPRSS2024"/>
      </w:pPr>
      <w:bookmarkStart w:id="152" w:name="_Toc117607099"/>
      <w:r w:rsidRPr="008048CB">
        <w:t xml:space="preserve">Tabulka </w:t>
      </w:r>
      <w:r w:rsidR="00412C70">
        <w:fldChar w:fldCharType="begin"/>
      </w:r>
      <w:r w:rsidR="00412C70">
        <w:instrText xml:space="preserve"> SEQ Tabulka \* ARABIC </w:instrText>
      </w:r>
      <w:r w:rsidR="00412C70">
        <w:fldChar w:fldCharType="separate"/>
      </w:r>
      <w:r w:rsidR="003A12AF">
        <w:rPr>
          <w:noProof/>
        </w:rPr>
        <w:t>39</w:t>
      </w:r>
      <w:r w:rsidR="00412C70">
        <w:rPr>
          <w:noProof/>
        </w:rPr>
        <w:fldChar w:fldCharType="end"/>
      </w:r>
      <w:r w:rsidRPr="008048CB">
        <w:t>: Požadovaná výše dotace 2021</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73"/>
        <w:gridCol w:w="1290"/>
        <w:gridCol w:w="1416"/>
        <w:gridCol w:w="1420"/>
        <w:gridCol w:w="1268"/>
      </w:tblGrid>
      <w:tr w:rsidR="00AF4350" w:rsidRPr="00E31382" w:rsidTr="00C75B79">
        <w:trPr>
          <w:trHeight w:val="567"/>
        </w:trPr>
        <w:tc>
          <w:tcPr>
            <w:tcW w:w="2025" w:type="pct"/>
            <w:tcBorders>
              <w:top w:val="nil"/>
              <w:left w:val="nil"/>
              <w:bottom w:val="single" w:sz="4" w:space="0" w:color="auto"/>
              <w:right w:val="single" w:sz="4" w:space="0" w:color="auto"/>
            </w:tcBorders>
            <w:shd w:val="clear" w:color="auto" w:fill="auto"/>
            <w:vAlign w:val="center"/>
            <w:hideMark/>
          </w:tcPr>
          <w:p w:rsidR="00AF4350" w:rsidRPr="00C75B79" w:rsidRDefault="00AF4350" w:rsidP="00A34764">
            <w:pPr>
              <w:rPr>
                <w:rFonts w:eastAsia="Calibri"/>
                <w:sz w:val="18"/>
                <w:lang w:eastAsia="cs-CZ"/>
              </w:rPr>
            </w:pPr>
          </w:p>
        </w:tc>
        <w:tc>
          <w:tcPr>
            <w:tcW w:w="711" w:type="pct"/>
            <w:tcBorders>
              <w:left w:val="single" w:sz="4" w:space="0" w:color="auto"/>
            </w:tcBorders>
            <w:shd w:val="clear" w:color="auto" w:fill="C6D9F1"/>
            <w:tcMar>
              <w:top w:w="0" w:type="dxa"/>
              <w:left w:w="70" w:type="dxa"/>
              <w:bottom w:w="0" w:type="dxa"/>
              <w:right w:w="70" w:type="dxa"/>
            </w:tcMar>
            <w:vAlign w:val="center"/>
            <w:hideMark/>
          </w:tcPr>
          <w:p w:rsidR="00AF4350" w:rsidRPr="00C75B79" w:rsidRDefault="00AF4350" w:rsidP="00C75B79">
            <w:pPr>
              <w:jc w:val="center"/>
              <w:rPr>
                <w:rFonts w:eastAsia="Calibri"/>
                <w:b/>
                <w:sz w:val="18"/>
                <w:lang w:eastAsia="cs-CZ"/>
              </w:rPr>
            </w:pPr>
            <w:r w:rsidRPr="00C75B79">
              <w:rPr>
                <w:b/>
                <w:sz w:val="18"/>
              </w:rPr>
              <w:t>poradenství</w:t>
            </w:r>
          </w:p>
        </w:tc>
        <w:tc>
          <w:tcPr>
            <w:tcW w:w="781" w:type="pct"/>
            <w:shd w:val="clear" w:color="auto" w:fill="C6D9F1"/>
            <w:tcMar>
              <w:top w:w="0" w:type="dxa"/>
              <w:left w:w="70" w:type="dxa"/>
              <w:bottom w:w="0" w:type="dxa"/>
              <w:right w:w="70" w:type="dxa"/>
            </w:tcMar>
            <w:vAlign w:val="center"/>
            <w:hideMark/>
          </w:tcPr>
          <w:p w:rsidR="00AF4350" w:rsidRPr="00C75B79" w:rsidRDefault="00AF4350" w:rsidP="00C75B79">
            <w:pPr>
              <w:jc w:val="center"/>
              <w:rPr>
                <w:rFonts w:eastAsia="Calibri"/>
                <w:b/>
                <w:sz w:val="18"/>
                <w:lang w:eastAsia="cs-CZ"/>
              </w:rPr>
            </w:pPr>
            <w:r w:rsidRPr="00C75B79">
              <w:rPr>
                <w:b/>
                <w:sz w:val="18"/>
              </w:rPr>
              <w:t>sociální péče</w:t>
            </w:r>
          </w:p>
        </w:tc>
        <w:tc>
          <w:tcPr>
            <w:tcW w:w="783" w:type="pct"/>
            <w:shd w:val="clear" w:color="auto" w:fill="C6D9F1"/>
            <w:tcMar>
              <w:top w:w="0" w:type="dxa"/>
              <w:left w:w="70" w:type="dxa"/>
              <w:bottom w:w="0" w:type="dxa"/>
              <w:right w:w="70" w:type="dxa"/>
            </w:tcMar>
            <w:vAlign w:val="center"/>
            <w:hideMark/>
          </w:tcPr>
          <w:p w:rsidR="00AF4350" w:rsidRPr="00C75B79" w:rsidRDefault="00AF4350" w:rsidP="00C75B79">
            <w:pPr>
              <w:jc w:val="center"/>
              <w:rPr>
                <w:rFonts w:eastAsia="Calibri"/>
                <w:b/>
                <w:sz w:val="18"/>
                <w:lang w:eastAsia="cs-CZ"/>
              </w:rPr>
            </w:pPr>
            <w:r w:rsidRPr="00C75B79">
              <w:rPr>
                <w:b/>
                <w:sz w:val="18"/>
              </w:rPr>
              <w:t>sociální prevence</w:t>
            </w:r>
          </w:p>
        </w:tc>
        <w:tc>
          <w:tcPr>
            <w:tcW w:w="699" w:type="pct"/>
            <w:shd w:val="clear" w:color="auto" w:fill="C6D9F1"/>
            <w:tcMar>
              <w:top w:w="0" w:type="dxa"/>
              <w:left w:w="70" w:type="dxa"/>
              <w:bottom w:w="0" w:type="dxa"/>
              <w:right w:w="70" w:type="dxa"/>
            </w:tcMar>
            <w:vAlign w:val="center"/>
            <w:hideMark/>
          </w:tcPr>
          <w:p w:rsidR="00AF4350" w:rsidRPr="00C75B79" w:rsidRDefault="00AF4350" w:rsidP="00C75B79">
            <w:pPr>
              <w:jc w:val="center"/>
              <w:rPr>
                <w:rFonts w:eastAsia="Calibri"/>
                <w:b/>
                <w:sz w:val="18"/>
                <w:lang w:eastAsia="cs-CZ"/>
              </w:rPr>
            </w:pPr>
            <w:r w:rsidRPr="00C75B79">
              <w:rPr>
                <w:rFonts w:eastAsia="Calibri"/>
                <w:b/>
                <w:sz w:val="18"/>
                <w:lang w:eastAsia="cs-CZ"/>
              </w:rPr>
              <w:t>Celkem</w:t>
            </w:r>
          </w:p>
        </w:tc>
      </w:tr>
      <w:tr w:rsidR="00AF4350" w:rsidRPr="00E31382" w:rsidTr="00C75B79">
        <w:trPr>
          <w:trHeight w:val="397"/>
        </w:trPr>
        <w:tc>
          <w:tcPr>
            <w:tcW w:w="2025" w:type="pct"/>
            <w:tcBorders>
              <w:top w:val="single" w:sz="4" w:space="0" w:color="auto"/>
            </w:tcBorders>
            <w:shd w:val="clear" w:color="auto" w:fill="C6D9F1"/>
            <w:tcMar>
              <w:top w:w="0" w:type="dxa"/>
              <w:left w:w="70" w:type="dxa"/>
              <w:bottom w:w="0" w:type="dxa"/>
              <w:right w:w="70" w:type="dxa"/>
            </w:tcMar>
            <w:vAlign w:val="center"/>
            <w:hideMark/>
          </w:tcPr>
          <w:p w:rsidR="00AF4350" w:rsidRPr="00C75B79" w:rsidRDefault="00AF4350" w:rsidP="00A34764">
            <w:pPr>
              <w:rPr>
                <w:rFonts w:eastAsia="Calibri"/>
                <w:sz w:val="18"/>
                <w:lang w:eastAsia="cs-CZ"/>
              </w:rPr>
            </w:pPr>
            <w:r w:rsidRPr="00C75B79">
              <w:rPr>
                <w:rFonts w:eastAsia="Calibri"/>
                <w:sz w:val="18"/>
                <w:lang w:eastAsia="cs-CZ"/>
              </w:rPr>
              <w:t>Počet služeb, na které je dotace požadována</w:t>
            </w:r>
          </w:p>
        </w:tc>
        <w:tc>
          <w:tcPr>
            <w:tcW w:w="711"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21</w:t>
            </w:r>
          </w:p>
        </w:tc>
        <w:tc>
          <w:tcPr>
            <w:tcW w:w="781"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165</w:t>
            </w:r>
          </w:p>
        </w:tc>
        <w:tc>
          <w:tcPr>
            <w:tcW w:w="783"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102</w:t>
            </w:r>
          </w:p>
        </w:tc>
        <w:tc>
          <w:tcPr>
            <w:tcW w:w="699" w:type="pct"/>
            <w:shd w:val="clear" w:color="auto" w:fill="auto"/>
            <w:tcMar>
              <w:top w:w="0" w:type="dxa"/>
              <w:left w:w="70" w:type="dxa"/>
              <w:bottom w:w="0" w:type="dxa"/>
              <w:right w:w="70" w:type="dxa"/>
            </w:tcMar>
            <w:vAlign w:val="center"/>
            <w:hideMark/>
          </w:tcPr>
          <w:p w:rsidR="00AF4350" w:rsidRPr="00C75B79" w:rsidRDefault="00AF4350" w:rsidP="00C75B79">
            <w:pPr>
              <w:jc w:val="right"/>
              <w:rPr>
                <w:rFonts w:eastAsia="Calibri"/>
                <w:sz w:val="18"/>
                <w:lang w:eastAsia="cs-CZ"/>
              </w:rPr>
            </w:pPr>
            <w:r w:rsidRPr="00C75B79">
              <w:rPr>
                <w:sz w:val="18"/>
              </w:rPr>
              <w:t>288</w:t>
            </w:r>
          </w:p>
        </w:tc>
      </w:tr>
      <w:tr w:rsidR="00AF4350" w:rsidRPr="00E31382" w:rsidTr="00C75B79">
        <w:trPr>
          <w:trHeight w:val="397"/>
        </w:trPr>
        <w:tc>
          <w:tcPr>
            <w:tcW w:w="2025" w:type="pct"/>
            <w:shd w:val="clear" w:color="auto" w:fill="C6D9F1"/>
            <w:tcMar>
              <w:top w:w="0" w:type="dxa"/>
              <w:left w:w="70" w:type="dxa"/>
              <w:bottom w:w="0" w:type="dxa"/>
              <w:right w:w="70" w:type="dxa"/>
            </w:tcMar>
            <w:vAlign w:val="center"/>
          </w:tcPr>
          <w:p w:rsidR="00AF4350" w:rsidRPr="00C75B79" w:rsidRDefault="00AF4350" w:rsidP="00A34764">
            <w:pPr>
              <w:rPr>
                <w:rFonts w:eastAsia="Calibri"/>
                <w:sz w:val="18"/>
                <w:lang w:eastAsia="cs-CZ"/>
              </w:rPr>
            </w:pPr>
            <w:r w:rsidRPr="00C75B79">
              <w:rPr>
                <w:rFonts w:eastAsia="Calibri"/>
                <w:sz w:val="18"/>
                <w:lang w:eastAsia="cs-CZ"/>
              </w:rPr>
              <w:t>Požadovaná dotace</w:t>
            </w:r>
          </w:p>
        </w:tc>
        <w:tc>
          <w:tcPr>
            <w:tcW w:w="711"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35 305 989</w:t>
            </w:r>
          </w:p>
        </w:tc>
        <w:tc>
          <w:tcPr>
            <w:tcW w:w="781"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1 706 864 296</w:t>
            </w:r>
          </w:p>
        </w:tc>
        <w:tc>
          <w:tcPr>
            <w:tcW w:w="783"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280 728 111</w:t>
            </w:r>
          </w:p>
        </w:tc>
        <w:tc>
          <w:tcPr>
            <w:tcW w:w="699"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2 022 898 396</w:t>
            </w:r>
          </w:p>
        </w:tc>
      </w:tr>
    </w:tbl>
    <w:p w:rsidR="00AF4350" w:rsidRPr="00E31382" w:rsidRDefault="00AF4350" w:rsidP="00C75B79">
      <w:pPr>
        <w:pStyle w:val="Zdrojobjektu"/>
      </w:pPr>
      <w:r w:rsidRPr="00E31382">
        <w:t>Zdroj: podklad k dotačnímu řízení – Podprogram č. 1</w:t>
      </w:r>
    </w:p>
    <w:p w:rsidR="00AF4350" w:rsidRPr="0039748C" w:rsidRDefault="00AF4350" w:rsidP="00A34764">
      <w:pPr>
        <w:rPr>
          <w:rFonts w:eastAsia="Arial Unicode MS"/>
          <w:lang w:eastAsia="cs-CZ"/>
        </w:rPr>
      </w:pPr>
      <w:r w:rsidRPr="0039748C">
        <w:rPr>
          <w:rFonts w:eastAsia="Arial Unicode MS"/>
          <w:lang w:eastAsia="cs-CZ"/>
        </w:rPr>
        <w:lastRenderedPageBreak/>
        <w:t xml:space="preserve">V souladu s Podprogramem č. 1 Programu bylo provedeno formální a věcné posouzení jednotlivých žádostí o dotaci, kontrola přiměřenosti a hospodárnosti rozpočtu sociálních služeb, požadavku na dotaci a vymezení neuznatelných a nadhodnocených nákladů zahrnutých v požadavcích na dotaci. Následně byl stanoven optimální návrh dotace. </w:t>
      </w:r>
    </w:p>
    <w:p w:rsidR="00AF4350" w:rsidRPr="0039748C" w:rsidRDefault="00AF4350" w:rsidP="00A34764">
      <w:pPr>
        <w:rPr>
          <w:rFonts w:eastAsia="Arial Unicode MS"/>
          <w:b/>
          <w:lang w:eastAsia="cs-CZ"/>
        </w:rPr>
      </w:pPr>
      <w:r>
        <w:rPr>
          <w:rFonts w:eastAsia="Arial Unicode MS"/>
          <w:lang w:eastAsia="cs-CZ"/>
        </w:rPr>
        <w:t xml:space="preserve">Dne </w:t>
      </w:r>
      <w:r w:rsidRPr="0039748C">
        <w:rPr>
          <w:rFonts w:eastAsia="Arial Unicode MS"/>
          <w:lang w:eastAsia="cs-CZ"/>
        </w:rPr>
        <w:t xml:space="preserve">7. 1. 2021 obdržel OK ROZHODNUTÍ č. 1 o poskytnutí dotace z kapitoly 313 – MPSV státního rozpočtu na rok 2021. Tímto rozhodnutím byla OK poskytnuta účelově určená dotace na financování běžných výdajů souvisejících s poskytováním základních druhů a forem sociálních služeb v rozsahu stanoveném základními činnostmi u jednotlivých druhů sociálních služeb v celkové maximální výši </w:t>
      </w:r>
      <w:r w:rsidRPr="0039748C">
        <w:rPr>
          <w:rFonts w:eastAsia="Arial Unicode MS"/>
          <w:b/>
          <w:lang w:eastAsia="cs-CZ"/>
        </w:rPr>
        <w:t xml:space="preserve">1 573 825 255 Kč. </w:t>
      </w:r>
    </w:p>
    <w:p w:rsidR="00AF4350" w:rsidRPr="0039748C" w:rsidRDefault="00AF4350" w:rsidP="00A34764">
      <w:pPr>
        <w:rPr>
          <w:rFonts w:eastAsia="Arial Unicode MS"/>
          <w:lang w:eastAsia="cs-CZ"/>
        </w:rPr>
      </w:pPr>
      <w:r w:rsidRPr="0039748C">
        <w:rPr>
          <w:rFonts w:eastAsia="Arial Unicode MS"/>
          <w:lang w:eastAsia="cs-CZ"/>
        </w:rPr>
        <w:t>Z této částky bylo rozhodnutím MPSV určeno minimálně 125 975 300 Kč na platy, mzdy a jejich navýšení (včetně zákonných odvodů) pro všechny druhy sociálních služeb zařazených do sítě sociálních služeb kraje a dále bylo z celkové částky rovněž určeno 51 739 795 Kč na financování výdajů sociálních služeb v souvislosti s reformou psychiatrické péče.</w:t>
      </w:r>
    </w:p>
    <w:p w:rsidR="00AF4350" w:rsidRPr="0039748C" w:rsidRDefault="00AF4350" w:rsidP="00A34764">
      <w:pPr>
        <w:rPr>
          <w:rFonts w:eastAsia="Arial Unicode MS"/>
          <w:lang w:eastAsia="cs-CZ"/>
        </w:rPr>
      </w:pPr>
      <w:r w:rsidRPr="0039748C">
        <w:rPr>
          <w:rFonts w:eastAsia="Arial Unicode MS"/>
          <w:lang w:eastAsia="cs-CZ"/>
        </w:rPr>
        <w:t>Po doručení rozhodnutí MPSV s uvedením výše dotace přidělené kraji byl optimální návrh dotace jednotlivým poskytovatelům sociálních služeb na jednotlivé služby upraven na výši disponibilních prostředků a tím byl stanoven reálný návrh dotace.</w:t>
      </w:r>
    </w:p>
    <w:p w:rsidR="00AF4350" w:rsidRPr="0039748C" w:rsidRDefault="00AF4350" w:rsidP="00A34764">
      <w:pPr>
        <w:rPr>
          <w:rFonts w:eastAsia="Arial Unicode MS"/>
          <w:lang w:eastAsia="cs-CZ"/>
        </w:rPr>
      </w:pPr>
      <w:r w:rsidRPr="0039748C">
        <w:rPr>
          <w:rFonts w:eastAsia="Arial Unicode MS"/>
          <w:lang w:eastAsia="cs-CZ"/>
        </w:rPr>
        <w:t>Reálný návrh dotace sociálních služeb souvisejících s reformou psychiatrické péče (sociální služby pro osoby s chronickým duševním onemocněním</w:t>
      </w:r>
      <w:r>
        <w:rPr>
          <w:rFonts w:eastAsia="Arial Unicode MS"/>
          <w:lang w:eastAsia="cs-CZ"/>
        </w:rPr>
        <w:t>)</w:t>
      </w:r>
      <w:r w:rsidRPr="0039748C">
        <w:rPr>
          <w:rFonts w:eastAsia="Arial Unicode MS"/>
          <w:lang w:eastAsia="cs-CZ"/>
        </w:rPr>
        <w:t xml:space="preserve"> byl upraven tak, aby bylo dosaženo výše uvedeného účelového určení této části dotace, jak je obsaženo v rozhodnutí MPSV.</w:t>
      </w:r>
    </w:p>
    <w:p w:rsidR="00AF4350" w:rsidRPr="0039748C" w:rsidRDefault="00AF4350" w:rsidP="00A34764">
      <w:pPr>
        <w:rPr>
          <w:rFonts w:eastAsia="Arial Unicode MS"/>
          <w:b/>
          <w:lang w:eastAsia="cs-CZ"/>
        </w:rPr>
      </w:pPr>
      <w:r w:rsidRPr="0039748C">
        <w:rPr>
          <w:rFonts w:eastAsia="Arial Unicode MS"/>
          <w:lang w:eastAsia="cs-CZ"/>
        </w:rPr>
        <w:t xml:space="preserve">Na základě Dodatku č. 1 k ROZHODNUTÍ č. 1 o poskytnutí dotace z kapitoly 313 – MPSV státního rozpočtu na rok 2021 ze dne 4. 8. 2021, č. j. MPSV – 2021/131786 – 221, byla OK navýšena účelově určená dotace na financování běžných výdajů souvisejících s poskytováním základních druhů a forem sociálních služeb v rozsahu stanoveném základními činnostmi u jednotlivých druhů sociálních služeb o částku 57 808 507 Kč na celkových </w:t>
      </w:r>
      <w:r w:rsidRPr="0039748C">
        <w:rPr>
          <w:rFonts w:eastAsia="Arial Unicode MS"/>
          <w:b/>
          <w:lang w:eastAsia="cs-CZ"/>
        </w:rPr>
        <w:t xml:space="preserve">1 631 633 762 Kč. </w:t>
      </w:r>
    </w:p>
    <w:p w:rsidR="00AF4350" w:rsidRPr="0039748C" w:rsidRDefault="00AF4350" w:rsidP="00A34764">
      <w:pPr>
        <w:rPr>
          <w:rFonts w:eastAsia="Arial Unicode MS"/>
          <w:lang w:eastAsia="cs-CZ"/>
        </w:rPr>
      </w:pPr>
      <w:r w:rsidRPr="0039748C">
        <w:rPr>
          <w:rFonts w:eastAsia="Arial Unicode MS"/>
          <w:lang w:eastAsia="cs-CZ"/>
        </w:rPr>
        <w:t>Navýšení dotace bylo určeno na krytí personálních nákladů v souvislosti s navýšením platů a mezd od 1. 1. 2021 dle nařízení vlády č. 603/2020 Sb., kterým se mění nařízení vlády č. 341/2017 Sb., o platových poměrech zaměstnanců ve veřejných službách a správě, ve znění pozdějších předpisů, a také na krytí personálních vícenákladů v souvislosti s realizací mimořádného dotačního titulu na odměny pro zaměstnance v sociálních službách.</w:t>
      </w:r>
    </w:p>
    <w:p w:rsidR="00AF4350" w:rsidRPr="0039748C" w:rsidRDefault="00AF4350" w:rsidP="00A34764">
      <w:pPr>
        <w:rPr>
          <w:rFonts w:eastAsia="Arial Unicode MS"/>
          <w:lang w:eastAsia="cs-CZ"/>
        </w:rPr>
      </w:pPr>
      <w:r w:rsidRPr="0039748C">
        <w:rPr>
          <w:rFonts w:eastAsia="Arial Unicode MS"/>
          <w:lang w:eastAsia="cs-CZ"/>
        </w:rPr>
        <w:t>Návrh výše dotace jednotlivým poskytovatelům sociálních služeb byl zpracován v souladu s Podprogramem č. 1 Programu finanční podpory poskytování sociálních služeb v Olomouckém kraji pro rok 2021; výpočet výše dotace jednotlivým sociálním službám byl realizován rovným a transparentním způsobem, který reflektoval již schválenou výši dotace jednotlivým sociálním službám v prvním (řádném) kole dotačního řízení.</w:t>
      </w:r>
    </w:p>
    <w:p w:rsidR="00AF4350" w:rsidRPr="0039748C" w:rsidRDefault="00AF4350" w:rsidP="00A34764">
      <w:pPr>
        <w:rPr>
          <w:rFonts w:eastAsia="Arial Unicode MS"/>
          <w:lang w:eastAsia="cs-CZ"/>
        </w:rPr>
      </w:pPr>
      <w:r w:rsidRPr="0039748C">
        <w:rPr>
          <w:rFonts w:eastAsia="Arial Unicode MS"/>
          <w:lang w:eastAsia="cs-CZ"/>
        </w:rPr>
        <w:t>Shrnutí přiznané výše</w:t>
      </w:r>
      <w:r>
        <w:rPr>
          <w:rFonts w:eastAsia="Arial Unicode MS"/>
          <w:lang w:eastAsia="cs-CZ"/>
        </w:rPr>
        <w:t xml:space="preserve"> dotace je uvedeno v tabulce</w:t>
      </w:r>
      <w:r w:rsidRPr="0039748C">
        <w:rPr>
          <w:rFonts w:eastAsia="Arial Unicode MS"/>
          <w:lang w:eastAsia="cs-CZ"/>
        </w:rPr>
        <w:t>.</w:t>
      </w:r>
    </w:p>
    <w:p w:rsidR="00AF4350" w:rsidRDefault="00AF4350" w:rsidP="008048CB">
      <w:pPr>
        <w:pStyle w:val="popistabulkySPRSS2024"/>
      </w:pPr>
      <w:bookmarkStart w:id="153" w:name="_Toc117607100"/>
      <w:r>
        <w:t xml:space="preserve">Tabulka </w:t>
      </w:r>
      <w:r w:rsidR="00C140D0">
        <w:rPr>
          <w:noProof/>
        </w:rPr>
        <w:fldChar w:fldCharType="begin"/>
      </w:r>
      <w:r w:rsidR="00C140D0">
        <w:rPr>
          <w:noProof/>
        </w:rPr>
        <w:instrText xml:space="preserve"> SEQ Tabulka \* ARABIC </w:instrText>
      </w:r>
      <w:r w:rsidR="00C140D0">
        <w:rPr>
          <w:noProof/>
        </w:rPr>
        <w:fldChar w:fldCharType="separate"/>
      </w:r>
      <w:r w:rsidR="003A12AF">
        <w:rPr>
          <w:noProof/>
        </w:rPr>
        <w:t>40</w:t>
      </w:r>
      <w:r w:rsidR="00C140D0">
        <w:rPr>
          <w:noProof/>
        </w:rPr>
        <w:fldChar w:fldCharType="end"/>
      </w:r>
      <w:r>
        <w:t xml:space="preserve"> </w:t>
      </w:r>
      <w:r w:rsidRPr="005E5EA1">
        <w:t>Přiznaná výše dotace 2021</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9"/>
        <w:gridCol w:w="1844"/>
        <w:gridCol w:w="1416"/>
        <w:gridCol w:w="1275"/>
        <w:gridCol w:w="1413"/>
      </w:tblGrid>
      <w:tr w:rsidR="00AF4350" w:rsidRPr="00E31382" w:rsidTr="00C75B79">
        <w:trPr>
          <w:trHeight w:val="567"/>
          <w:tblHeader/>
        </w:trPr>
        <w:tc>
          <w:tcPr>
            <w:tcW w:w="1720" w:type="pct"/>
            <w:tcBorders>
              <w:top w:val="nil"/>
              <w:left w:val="nil"/>
              <w:bottom w:val="single" w:sz="4" w:space="0" w:color="auto"/>
              <w:right w:val="single" w:sz="4" w:space="0" w:color="auto"/>
            </w:tcBorders>
            <w:shd w:val="clear" w:color="auto" w:fill="auto"/>
            <w:vAlign w:val="center"/>
            <w:hideMark/>
          </w:tcPr>
          <w:p w:rsidR="00AF4350" w:rsidRPr="00C75B79" w:rsidRDefault="00AF4350" w:rsidP="00A34764">
            <w:pPr>
              <w:rPr>
                <w:rFonts w:eastAsia="Calibri"/>
                <w:sz w:val="18"/>
                <w:lang w:eastAsia="cs-CZ"/>
              </w:rPr>
            </w:pPr>
          </w:p>
        </w:tc>
        <w:tc>
          <w:tcPr>
            <w:tcW w:w="1017" w:type="pct"/>
            <w:tcBorders>
              <w:left w:val="single" w:sz="4" w:space="0" w:color="auto"/>
            </w:tcBorders>
            <w:shd w:val="clear" w:color="auto" w:fill="C6D9F1"/>
            <w:tcMar>
              <w:top w:w="0" w:type="dxa"/>
              <w:left w:w="70" w:type="dxa"/>
              <w:bottom w:w="0" w:type="dxa"/>
              <w:right w:w="70" w:type="dxa"/>
            </w:tcMar>
            <w:vAlign w:val="center"/>
            <w:hideMark/>
          </w:tcPr>
          <w:p w:rsidR="00AF4350" w:rsidRPr="00C75B79" w:rsidRDefault="00AF4350" w:rsidP="00C75B79">
            <w:pPr>
              <w:jc w:val="center"/>
              <w:rPr>
                <w:rFonts w:eastAsia="Calibri"/>
                <w:b/>
                <w:sz w:val="18"/>
                <w:lang w:eastAsia="cs-CZ"/>
              </w:rPr>
            </w:pPr>
            <w:r w:rsidRPr="00C75B79">
              <w:rPr>
                <w:b/>
                <w:sz w:val="18"/>
              </w:rPr>
              <w:t>poradenství</w:t>
            </w:r>
          </w:p>
        </w:tc>
        <w:tc>
          <w:tcPr>
            <w:tcW w:w="781" w:type="pct"/>
            <w:shd w:val="clear" w:color="auto" w:fill="C6D9F1"/>
            <w:tcMar>
              <w:top w:w="0" w:type="dxa"/>
              <w:left w:w="70" w:type="dxa"/>
              <w:bottom w:w="0" w:type="dxa"/>
              <w:right w:w="70" w:type="dxa"/>
            </w:tcMar>
            <w:vAlign w:val="center"/>
            <w:hideMark/>
          </w:tcPr>
          <w:p w:rsidR="00AF4350" w:rsidRPr="00C75B79" w:rsidRDefault="00AF4350" w:rsidP="00C75B79">
            <w:pPr>
              <w:jc w:val="center"/>
              <w:rPr>
                <w:rFonts w:eastAsia="Calibri"/>
                <w:b/>
                <w:sz w:val="18"/>
                <w:lang w:eastAsia="cs-CZ"/>
              </w:rPr>
            </w:pPr>
            <w:r w:rsidRPr="00C75B79">
              <w:rPr>
                <w:b/>
                <w:sz w:val="18"/>
              </w:rPr>
              <w:t>sociální péče</w:t>
            </w:r>
          </w:p>
        </w:tc>
        <w:tc>
          <w:tcPr>
            <w:tcW w:w="703" w:type="pct"/>
            <w:shd w:val="clear" w:color="auto" w:fill="C6D9F1"/>
            <w:tcMar>
              <w:top w:w="0" w:type="dxa"/>
              <w:left w:w="70" w:type="dxa"/>
              <w:bottom w:w="0" w:type="dxa"/>
              <w:right w:w="70" w:type="dxa"/>
            </w:tcMar>
            <w:vAlign w:val="center"/>
            <w:hideMark/>
          </w:tcPr>
          <w:p w:rsidR="00AF4350" w:rsidRPr="00C75B79" w:rsidRDefault="00AF4350" w:rsidP="00C75B79">
            <w:pPr>
              <w:jc w:val="center"/>
              <w:rPr>
                <w:rFonts w:eastAsia="Calibri"/>
                <w:b/>
                <w:sz w:val="18"/>
                <w:lang w:eastAsia="cs-CZ"/>
              </w:rPr>
            </w:pPr>
            <w:r w:rsidRPr="00C75B79">
              <w:rPr>
                <w:b/>
                <w:sz w:val="18"/>
              </w:rPr>
              <w:t>sociální prevence</w:t>
            </w:r>
          </w:p>
        </w:tc>
        <w:tc>
          <w:tcPr>
            <w:tcW w:w="779" w:type="pct"/>
            <w:shd w:val="clear" w:color="auto" w:fill="C6D9F1"/>
            <w:tcMar>
              <w:top w:w="0" w:type="dxa"/>
              <w:left w:w="70" w:type="dxa"/>
              <w:bottom w:w="0" w:type="dxa"/>
              <w:right w:w="70" w:type="dxa"/>
            </w:tcMar>
            <w:vAlign w:val="center"/>
            <w:hideMark/>
          </w:tcPr>
          <w:p w:rsidR="00AF4350" w:rsidRPr="00C75B79" w:rsidRDefault="00AF4350" w:rsidP="00C75B79">
            <w:pPr>
              <w:jc w:val="center"/>
              <w:rPr>
                <w:rFonts w:eastAsia="Calibri"/>
                <w:b/>
                <w:sz w:val="18"/>
                <w:lang w:eastAsia="cs-CZ"/>
              </w:rPr>
            </w:pPr>
            <w:r w:rsidRPr="00C75B79">
              <w:rPr>
                <w:b/>
                <w:sz w:val="18"/>
              </w:rPr>
              <w:t>Celkem</w:t>
            </w:r>
          </w:p>
        </w:tc>
      </w:tr>
      <w:tr w:rsidR="00AF4350" w:rsidRPr="00E31382" w:rsidTr="00C75B79">
        <w:trPr>
          <w:trHeight w:val="397"/>
        </w:trPr>
        <w:tc>
          <w:tcPr>
            <w:tcW w:w="1720" w:type="pct"/>
            <w:tcBorders>
              <w:top w:val="single" w:sz="4" w:space="0" w:color="auto"/>
            </w:tcBorders>
            <w:shd w:val="clear" w:color="auto" w:fill="C6D9F1"/>
            <w:tcMar>
              <w:top w:w="0" w:type="dxa"/>
              <w:left w:w="70" w:type="dxa"/>
              <w:bottom w:w="0" w:type="dxa"/>
              <w:right w:w="70" w:type="dxa"/>
            </w:tcMar>
            <w:vAlign w:val="center"/>
            <w:hideMark/>
          </w:tcPr>
          <w:p w:rsidR="00AF4350" w:rsidRPr="00C75B79" w:rsidRDefault="00AF4350" w:rsidP="00A34764">
            <w:pPr>
              <w:rPr>
                <w:rFonts w:eastAsia="Calibri"/>
                <w:sz w:val="18"/>
                <w:lang w:eastAsia="cs-CZ"/>
              </w:rPr>
            </w:pPr>
            <w:r w:rsidRPr="00C75B79">
              <w:rPr>
                <w:rFonts w:eastAsia="Calibri"/>
                <w:sz w:val="18"/>
                <w:lang w:eastAsia="cs-CZ"/>
              </w:rPr>
              <w:t>Počet podpořených služeb</w:t>
            </w:r>
          </w:p>
        </w:tc>
        <w:tc>
          <w:tcPr>
            <w:tcW w:w="1017"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21</w:t>
            </w:r>
          </w:p>
        </w:tc>
        <w:tc>
          <w:tcPr>
            <w:tcW w:w="781"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163</w:t>
            </w:r>
          </w:p>
        </w:tc>
        <w:tc>
          <w:tcPr>
            <w:tcW w:w="703"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102</w:t>
            </w:r>
          </w:p>
        </w:tc>
        <w:tc>
          <w:tcPr>
            <w:tcW w:w="779"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286</w:t>
            </w:r>
          </w:p>
        </w:tc>
      </w:tr>
      <w:tr w:rsidR="00AF4350" w:rsidRPr="00E31382" w:rsidTr="00C75B79">
        <w:trPr>
          <w:trHeight w:val="397"/>
        </w:trPr>
        <w:tc>
          <w:tcPr>
            <w:tcW w:w="1720" w:type="pct"/>
            <w:shd w:val="clear" w:color="auto" w:fill="C6D9F1"/>
            <w:tcMar>
              <w:top w:w="0" w:type="dxa"/>
              <w:left w:w="70" w:type="dxa"/>
              <w:bottom w:w="0" w:type="dxa"/>
              <w:right w:w="70" w:type="dxa"/>
            </w:tcMar>
            <w:vAlign w:val="center"/>
          </w:tcPr>
          <w:p w:rsidR="00AF4350" w:rsidRPr="00C75B79" w:rsidRDefault="00AF4350" w:rsidP="00A34764">
            <w:pPr>
              <w:rPr>
                <w:rFonts w:eastAsia="Calibri"/>
                <w:sz w:val="18"/>
                <w:lang w:eastAsia="cs-CZ"/>
              </w:rPr>
            </w:pPr>
            <w:r w:rsidRPr="00C75B79">
              <w:rPr>
                <w:rFonts w:eastAsia="Calibri"/>
                <w:sz w:val="18"/>
                <w:lang w:eastAsia="cs-CZ"/>
              </w:rPr>
              <w:t>Přiznaná výše dotace</w:t>
            </w:r>
          </w:p>
        </w:tc>
        <w:tc>
          <w:tcPr>
            <w:tcW w:w="1017"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29 506 100</w:t>
            </w:r>
          </w:p>
        </w:tc>
        <w:tc>
          <w:tcPr>
            <w:tcW w:w="781"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1 365 596 262</w:t>
            </w:r>
          </w:p>
        </w:tc>
        <w:tc>
          <w:tcPr>
            <w:tcW w:w="703"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236 531 400</w:t>
            </w:r>
          </w:p>
        </w:tc>
        <w:tc>
          <w:tcPr>
            <w:tcW w:w="779" w:type="pct"/>
            <w:shd w:val="clear" w:color="auto" w:fill="auto"/>
            <w:tcMar>
              <w:top w:w="0" w:type="dxa"/>
              <w:left w:w="70" w:type="dxa"/>
              <w:bottom w:w="0" w:type="dxa"/>
              <w:right w:w="70" w:type="dxa"/>
            </w:tcMar>
            <w:vAlign w:val="center"/>
          </w:tcPr>
          <w:p w:rsidR="00AF4350" w:rsidRPr="00C75B79" w:rsidRDefault="00AF4350" w:rsidP="00C75B79">
            <w:pPr>
              <w:jc w:val="right"/>
              <w:rPr>
                <w:rFonts w:eastAsia="Calibri"/>
                <w:sz w:val="18"/>
                <w:lang w:eastAsia="cs-CZ"/>
              </w:rPr>
            </w:pPr>
            <w:r w:rsidRPr="00C75B79">
              <w:rPr>
                <w:sz w:val="18"/>
              </w:rPr>
              <w:t>1 631 633 762</w:t>
            </w:r>
          </w:p>
        </w:tc>
      </w:tr>
    </w:tbl>
    <w:p w:rsidR="00AF4350" w:rsidRPr="00E31382" w:rsidRDefault="00AF4350" w:rsidP="00C75B79">
      <w:pPr>
        <w:pStyle w:val="Zdrojobjektu"/>
      </w:pPr>
      <w:r w:rsidRPr="00E31382">
        <w:t>Zdroj: podklad k dotačnímu řízení – Podprogram č. 1</w:t>
      </w:r>
    </w:p>
    <w:p w:rsidR="00AF4350" w:rsidRPr="0039748C" w:rsidRDefault="00AF4350" w:rsidP="00A34764">
      <w:pPr>
        <w:rPr>
          <w:rFonts w:eastAsia="Arial Unicode MS"/>
          <w:lang w:eastAsia="cs-CZ"/>
        </w:rPr>
      </w:pPr>
    </w:p>
    <w:p w:rsidR="00AF4350" w:rsidRPr="0039748C" w:rsidRDefault="00AF4350" w:rsidP="00A34764">
      <w:pPr>
        <w:rPr>
          <w:rFonts w:eastAsia="Arial Unicode MS"/>
          <w:lang w:eastAsia="cs-CZ"/>
        </w:rPr>
      </w:pPr>
      <w:r w:rsidRPr="00C75B79">
        <w:rPr>
          <w:rFonts w:eastAsia="Arial Unicode MS"/>
          <w:b/>
          <w:lang w:eastAsia="cs-CZ"/>
        </w:rPr>
        <w:t>OK v roce 2021 poskytl prostřednictvím Programu finanční podpory poskytování sociálních služeb v Olomouckém kraji, Podprogramu č. 1, dotaci ze státního rozpočtu na zajištění 286 sociálních služeb v celkové výši 1 631 633 762 Kč.</w:t>
      </w:r>
      <w:r w:rsidRPr="0039748C">
        <w:rPr>
          <w:rFonts w:eastAsia="Arial Unicode MS"/>
          <w:lang w:eastAsia="cs-CZ"/>
        </w:rPr>
        <w:t xml:space="preserve"> Následné vratky při finančním vypořádání dotace činily 7 089 568,72 Kč.</w:t>
      </w:r>
    </w:p>
    <w:p w:rsidR="00AF4350" w:rsidRPr="008048CB" w:rsidRDefault="00AF4350" w:rsidP="00C75B79">
      <w:pPr>
        <w:pStyle w:val="Tun"/>
        <w:rPr>
          <w:b w:val="0"/>
          <w:u w:val="single"/>
        </w:rPr>
      </w:pPr>
      <w:r w:rsidRPr="008048CB">
        <w:rPr>
          <w:b w:val="0"/>
          <w:u w:val="single"/>
        </w:rPr>
        <w:lastRenderedPageBreak/>
        <w:t>Přehled</w:t>
      </w:r>
    </w:p>
    <w:p w:rsidR="00AF4350" w:rsidRPr="0039748C" w:rsidRDefault="00AF4350" w:rsidP="00A34764">
      <w:pPr>
        <w:rPr>
          <w:rFonts w:eastAsia="Calibri"/>
          <w:lang w:eastAsia="cs-CZ"/>
        </w:rPr>
      </w:pPr>
      <w:r w:rsidRPr="0039748C">
        <w:rPr>
          <w:rFonts w:eastAsia="Calibri"/>
          <w:lang w:eastAsia="cs-CZ"/>
        </w:rPr>
        <w:t>Vývoj výše dotace ze státního rozpočtu v letech 2019 – 2021 (MPSV Podprogram č. 1) je uveden v</w:t>
      </w:r>
      <w:r>
        <w:rPr>
          <w:rFonts w:eastAsia="Calibri"/>
          <w:lang w:eastAsia="cs-CZ"/>
        </w:rPr>
        <w:t> následujícím</w:t>
      </w:r>
      <w:r w:rsidRPr="0039748C">
        <w:rPr>
          <w:rFonts w:eastAsia="Calibri"/>
          <w:lang w:eastAsia="cs-CZ"/>
        </w:rPr>
        <w:t> grafu.</w:t>
      </w:r>
    </w:p>
    <w:p w:rsidR="00AF4350" w:rsidRPr="008048CB" w:rsidRDefault="00AF4350" w:rsidP="008048CB">
      <w:pPr>
        <w:pStyle w:val="popistabulkySPRSS2024"/>
      </w:pPr>
      <w:bookmarkStart w:id="154" w:name="_Toc117607050"/>
      <w:r w:rsidRPr="008048CB">
        <w:t xml:space="preserve">Graf </w:t>
      </w:r>
      <w:r w:rsidR="00412C70">
        <w:fldChar w:fldCharType="begin"/>
      </w:r>
      <w:r w:rsidR="00412C70">
        <w:instrText xml:space="preserve"> SEQ Graf \* ARABIC </w:instrText>
      </w:r>
      <w:r w:rsidR="00412C70">
        <w:fldChar w:fldCharType="separate"/>
      </w:r>
      <w:r w:rsidR="003A12AF">
        <w:rPr>
          <w:noProof/>
        </w:rPr>
        <w:t>24</w:t>
      </w:r>
      <w:r w:rsidR="00412C70">
        <w:rPr>
          <w:noProof/>
        </w:rPr>
        <w:fldChar w:fldCharType="end"/>
      </w:r>
      <w:r w:rsidRPr="008048CB">
        <w:t>: Vývoj výše dotace ze státního rozpočtu (v tis. Kč)</w:t>
      </w:r>
      <w:bookmarkEnd w:id="154"/>
      <w:r w:rsidRPr="008048CB">
        <w:t xml:space="preserve"> </w:t>
      </w:r>
    </w:p>
    <w:p w:rsidR="00AF4350" w:rsidRPr="0039748C" w:rsidRDefault="00AF4350" w:rsidP="00C75B79">
      <w:pPr>
        <w:spacing w:before="0"/>
        <w:rPr>
          <w:rFonts w:eastAsia="Arial Unicode MS"/>
          <w:lang w:eastAsia="cs-CZ"/>
        </w:rPr>
      </w:pPr>
      <w:r w:rsidRPr="0039748C">
        <w:rPr>
          <w:rFonts w:eastAsia="Arial Unicode MS"/>
          <w:noProof/>
          <w:lang w:eastAsia="cs-CZ"/>
        </w:rPr>
        <w:drawing>
          <wp:inline distT="0" distB="0" distL="0" distR="0" wp14:anchorId="680F025C" wp14:editId="22DA686D">
            <wp:extent cx="5760720" cy="4020820"/>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4020820"/>
                    </a:xfrm>
                    <a:prstGeom prst="rect">
                      <a:avLst/>
                    </a:prstGeom>
                  </pic:spPr>
                </pic:pic>
              </a:graphicData>
            </a:graphic>
          </wp:inline>
        </w:drawing>
      </w:r>
    </w:p>
    <w:p w:rsidR="00AF4350" w:rsidRPr="00E31382" w:rsidRDefault="00AF4350" w:rsidP="00C75B79">
      <w:pPr>
        <w:pStyle w:val="Zdrojobjektu"/>
      </w:pPr>
      <w:r w:rsidRPr="00E31382">
        <w:t>Zdroj: podklad k dotačnímu řízení – Podprogram č. 1</w:t>
      </w:r>
    </w:p>
    <w:p w:rsidR="00AF4350" w:rsidRPr="0039748C" w:rsidRDefault="00AF4350" w:rsidP="00A34764">
      <w:pPr>
        <w:rPr>
          <w:rFonts w:eastAsia="Arial Unicode MS"/>
          <w:lang w:eastAsia="cs-CZ"/>
        </w:rPr>
      </w:pPr>
    </w:p>
    <w:p w:rsidR="00AF4350" w:rsidRPr="00C75B79" w:rsidRDefault="00AF4350" w:rsidP="00A34764">
      <w:pPr>
        <w:rPr>
          <w:rFonts w:eastAsia="Arial Unicode MS"/>
          <w:b/>
          <w:lang w:eastAsia="cs-CZ"/>
        </w:rPr>
      </w:pPr>
      <w:r w:rsidRPr="00C75B79">
        <w:rPr>
          <w:rFonts w:eastAsia="Arial Unicode MS"/>
          <w:b/>
          <w:lang w:eastAsia="cs-CZ"/>
        </w:rPr>
        <w:t>Podprogram č. 2</w:t>
      </w:r>
    </w:p>
    <w:p w:rsidR="00AF4350" w:rsidRPr="0039748C" w:rsidRDefault="00AF4350" w:rsidP="00A34764">
      <w:pPr>
        <w:rPr>
          <w:rFonts w:eastAsia="Arial Unicode MS"/>
          <w:lang w:eastAsia="cs-CZ"/>
        </w:rPr>
      </w:pPr>
      <w:r w:rsidRPr="0039748C">
        <w:rPr>
          <w:rFonts w:eastAsia="Arial Unicode MS"/>
          <w:lang w:eastAsia="cs-CZ"/>
        </w:rPr>
        <w:t>Účelem podprogramu je částečné finanční zajištění poskytování sociálních služeb zařazených do sítě sociálních služeb OK z finančních prostředků rozpočtu OK.</w:t>
      </w:r>
    </w:p>
    <w:p w:rsidR="00AF4350" w:rsidRPr="00C75B79" w:rsidRDefault="00AF4350" w:rsidP="00A34764">
      <w:pPr>
        <w:rPr>
          <w:rFonts w:eastAsia="Arial Unicode MS"/>
          <w:u w:val="single"/>
          <w:lang w:eastAsia="cs-CZ"/>
        </w:rPr>
      </w:pPr>
      <w:r w:rsidRPr="00C75B79">
        <w:rPr>
          <w:rFonts w:eastAsia="Arial Unicode MS"/>
          <w:u w:val="single"/>
          <w:lang w:eastAsia="cs-CZ"/>
        </w:rPr>
        <w:t>Dotační rok 2019</w:t>
      </w:r>
    </w:p>
    <w:p w:rsidR="00AF4350" w:rsidRPr="0039748C" w:rsidRDefault="00AF4350" w:rsidP="00A34764">
      <w:pPr>
        <w:rPr>
          <w:lang w:eastAsia="cs-CZ"/>
        </w:rPr>
      </w:pPr>
      <w:r w:rsidRPr="0039748C">
        <w:rPr>
          <w:lang w:eastAsia="cs-CZ"/>
        </w:rPr>
        <w:t xml:space="preserve">Rozhodnutím ZOK bylo v prosinci 2018 do Podprogramu č. 2 alokováno </w:t>
      </w:r>
      <w:r w:rsidRPr="0039748C">
        <w:rPr>
          <w:b/>
          <w:lang w:eastAsia="cs-CZ"/>
        </w:rPr>
        <w:t>35 773 787 Kč.</w:t>
      </w:r>
    </w:p>
    <w:p w:rsidR="00AF4350" w:rsidRPr="0039748C" w:rsidRDefault="00AF4350" w:rsidP="00A34764">
      <w:pPr>
        <w:rPr>
          <w:lang w:eastAsia="cs-CZ"/>
        </w:rPr>
      </w:pPr>
      <w:r w:rsidRPr="0039748C">
        <w:rPr>
          <w:lang w:eastAsia="cs-CZ"/>
        </w:rPr>
        <w:t xml:space="preserve">V rámci Podprogramu č. 2 na rok 2019 byli oprávněnými žadateli poskytovatelé sociálních služeb, které jsou zařazeny do sítě sociálních služeb </w:t>
      </w:r>
      <w:r w:rsidR="00BA3253">
        <w:rPr>
          <w:lang w:eastAsia="cs-CZ"/>
        </w:rPr>
        <w:t>OK</w:t>
      </w:r>
      <w:r w:rsidRPr="0039748C">
        <w:rPr>
          <w:lang w:eastAsia="cs-CZ"/>
        </w:rPr>
        <w:t>, a to:</w:t>
      </w:r>
    </w:p>
    <w:p w:rsidR="00AF4350" w:rsidRPr="0039748C" w:rsidRDefault="00AF4350" w:rsidP="00A34764">
      <w:pPr>
        <w:pStyle w:val="Odstavecseseznamem"/>
        <w:numPr>
          <w:ilvl w:val="0"/>
          <w:numId w:val="55"/>
        </w:numPr>
      </w:pPr>
      <w:r w:rsidRPr="0039748C">
        <w:t xml:space="preserve">příjemci dotace z Podprogramu č. 1, s výjimkou příspěvkových organizací nebo obcí; </w:t>
      </w:r>
    </w:p>
    <w:p w:rsidR="00AF4350" w:rsidRPr="0039748C" w:rsidRDefault="00AF4350" w:rsidP="00A34764">
      <w:pPr>
        <w:pStyle w:val="Odstavecseseznamem"/>
        <w:numPr>
          <w:ilvl w:val="0"/>
          <w:numId w:val="55"/>
        </w:numPr>
      </w:pPr>
      <w:r w:rsidRPr="0039748C">
        <w:t xml:space="preserve">poskytovatelé sociálních služeb zařazených do sítě sociálních služeb na rok 2019, financované prostřednictvím Programu podpory B, s výjimkou příspěvkových organizací nebo obcí. </w:t>
      </w:r>
    </w:p>
    <w:p w:rsidR="00AF4350" w:rsidRPr="0039748C" w:rsidRDefault="00AF4350" w:rsidP="00A34764">
      <w:pPr>
        <w:rPr>
          <w:lang w:eastAsia="cs-CZ"/>
        </w:rPr>
      </w:pPr>
      <w:r w:rsidRPr="0039748C">
        <w:rPr>
          <w:lang w:eastAsia="cs-CZ"/>
        </w:rPr>
        <w:t>Vyhlášení výzvy pro podávání žádostí Podprogramu č. 2 bylo zveřejněno v lednu 2019. Termín pro podávání žádostí do tohoto podprogramu byl</w:t>
      </w:r>
      <w:r>
        <w:rPr>
          <w:lang w:eastAsia="cs-CZ"/>
        </w:rPr>
        <w:t xml:space="preserve"> stanoven na období 18. 3. 2019 až </w:t>
      </w:r>
      <w:r w:rsidRPr="0039748C">
        <w:rPr>
          <w:lang w:eastAsia="cs-CZ"/>
        </w:rPr>
        <w:t xml:space="preserve">5. 4. 2019. Ve lhůtě stanovené pro příjem žádostí bylo doručeno </w:t>
      </w:r>
      <w:r w:rsidRPr="0039748C">
        <w:rPr>
          <w:b/>
          <w:lang w:eastAsia="cs-CZ"/>
        </w:rPr>
        <w:t xml:space="preserve">145 žádostí 49 subjektů. </w:t>
      </w:r>
      <w:r w:rsidRPr="0039748C">
        <w:rPr>
          <w:lang w:eastAsia="cs-CZ"/>
        </w:rPr>
        <w:t xml:space="preserve">Celková výše požadavků na dotaci činila </w:t>
      </w:r>
      <w:r w:rsidRPr="0039748C">
        <w:rPr>
          <w:b/>
          <w:lang w:eastAsia="cs-CZ"/>
        </w:rPr>
        <w:t>92 470 997 Kč.</w:t>
      </w:r>
      <w:r w:rsidRPr="0039748C">
        <w:rPr>
          <w:lang w:eastAsia="cs-CZ"/>
        </w:rPr>
        <w:t xml:space="preserve"> </w:t>
      </w:r>
    </w:p>
    <w:p w:rsidR="00AF4350" w:rsidRPr="0039748C" w:rsidRDefault="00AF4350" w:rsidP="00A34764">
      <w:pPr>
        <w:rPr>
          <w:lang w:eastAsia="cs-CZ"/>
        </w:rPr>
      </w:pPr>
      <w:r w:rsidRPr="0039748C">
        <w:rPr>
          <w:lang w:eastAsia="cs-CZ"/>
        </w:rPr>
        <w:t>Žádosti byly po formální stránce zkontrolovány v souladu se schváleným Programem. Podmínky vyhlášeného dotačního řízení dle Podprogramu č. 2 Programu splnilo všech 145 podaných žádostí 49 organizací.</w:t>
      </w:r>
    </w:p>
    <w:p w:rsidR="00AF4350" w:rsidRPr="0039748C" w:rsidRDefault="00AF4350" w:rsidP="00A34764">
      <w:pPr>
        <w:rPr>
          <w:lang w:eastAsia="cs-CZ"/>
        </w:rPr>
      </w:pPr>
      <w:r w:rsidRPr="0039748C">
        <w:rPr>
          <w:lang w:eastAsia="cs-CZ"/>
        </w:rPr>
        <w:lastRenderedPageBreak/>
        <w:t>Souhrn požadavků na dotaci v rámci Podprogramu č. 2 v členění dle způsobu fin</w:t>
      </w:r>
      <w:r>
        <w:rPr>
          <w:lang w:eastAsia="cs-CZ"/>
        </w:rPr>
        <w:t>ancování je uveden v tabulce</w:t>
      </w:r>
      <w:r w:rsidRPr="0039748C">
        <w:rPr>
          <w:lang w:eastAsia="cs-CZ"/>
        </w:rPr>
        <w:t>.</w:t>
      </w:r>
    </w:p>
    <w:p w:rsidR="00AF4350" w:rsidRDefault="00AF4350" w:rsidP="008048CB">
      <w:pPr>
        <w:pStyle w:val="popistabulkySPRSS2024"/>
      </w:pPr>
      <w:bookmarkStart w:id="155" w:name="_Toc117607101"/>
      <w:r>
        <w:t xml:space="preserve">Tabulka </w:t>
      </w:r>
      <w:r w:rsidR="00C140D0">
        <w:rPr>
          <w:noProof/>
        </w:rPr>
        <w:fldChar w:fldCharType="begin"/>
      </w:r>
      <w:r w:rsidR="00C140D0">
        <w:rPr>
          <w:noProof/>
        </w:rPr>
        <w:instrText xml:space="preserve"> SEQ Tabulka \* ARABIC </w:instrText>
      </w:r>
      <w:r w:rsidR="00C140D0">
        <w:rPr>
          <w:noProof/>
        </w:rPr>
        <w:fldChar w:fldCharType="separate"/>
      </w:r>
      <w:r w:rsidR="003A12AF">
        <w:rPr>
          <w:noProof/>
        </w:rPr>
        <w:t>41</w:t>
      </w:r>
      <w:r w:rsidR="00C140D0">
        <w:rPr>
          <w:noProof/>
        </w:rPr>
        <w:fldChar w:fldCharType="end"/>
      </w:r>
      <w:r>
        <w:t xml:space="preserve">: </w:t>
      </w:r>
      <w:r w:rsidRPr="00ED2A86">
        <w:t>Souhrn požadavků na dotaci 2019</w:t>
      </w:r>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3136"/>
        <w:gridCol w:w="3096"/>
      </w:tblGrid>
      <w:tr w:rsidR="00AF4350" w:rsidRPr="003F7FBF" w:rsidTr="00AF4350">
        <w:trPr>
          <w:trHeight w:val="567"/>
          <w:tblHeader/>
        </w:trPr>
        <w:tc>
          <w:tcPr>
            <w:tcW w:w="1561" w:type="pct"/>
            <w:shd w:val="clear" w:color="auto" w:fill="BDD6EE" w:themeFill="accent1" w:themeFillTint="66"/>
            <w:vAlign w:val="center"/>
            <w:hideMark/>
          </w:tcPr>
          <w:p w:rsidR="00AF4350" w:rsidRPr="00C75B79" w:rsidRDefault="00AF4350" w:rsidP="00C75B79">
            <w:pPr>
              <w:jc w:val="center"/>
              <w:rPr>
                <w:b/>
                <w:lang w:eastAsia="cs-CZ"/>
              </w:rPr>
            </w:pPr>
            <w:r w:rsidRPr="00C75B79">
              <w:rPr>
                <w:b/>
                <w:lang w:eastAsia="cs-CZ"/>
              </w:rPr>
              <w:t>Způsob financování</w:t>
            </w:r>
          </w:p>
        </w:tc>
        <w:tc>
          <w:tcPr>
            <w:tcW w:w="1730" w:type="pct"/>
            <w:shd w:val="clear" w:color="auto" w:fill="BDD6EE" w:themeFill="accent1" w:themeFillTint="66"/>
            <w:vAlign w:val="center"/>
            <w:hideMark/>
          </w:tcPr>
          <w:p w:rsidR="00AF4350" w:rsidRPr="00C75B79" w:rsidRDefault="00AF4350" w:rsidP="00C75B79">
            <w:pPr>
              <w:jc w:val="center"/>
              <w:rPr>
                <w:b/>
                <w:lang w:eastAsia="cs-CZ"/>
              </w:rPr>
            </w:pPr>
            <w:r w:rsidRPr="00C75B79">
              <w:rPr>
                <w:b/>
                <w:lang w:eastAsia="cs-CZ"/>
              </w:rPr>
              <w:t>Počet služeb</w:t>
            </w:r>
          </w:p>
        </w:tc>
        <w:tc>
          <w:tcPr>
            <w:tcW w:w="1708" w:type="pct"/>
            <w:shd w:val="clear" w:color="auto" w:fill="BDD6EE" w:themeFill="accent1" w:themeFillTint="66"/>
            <w:vAlign w:val="center"/>
            <w:hideMark/>
          </w:tcPr>
          <w:p w:rsidR="00AF4350" w:rsidRPr="00C75B79" w:rsidRDefault="00AF4350" w:rsidP="00C75B79">
            <w:pPr>
              <w:jc w:val="center"/>
              <w:rPr>
                <w:b/>
                <w:lang w:eastAsia="cs-CZ"/>
              </w:rPr>
            </w:pPr>
            <w:r w:rsidRPr="00C75B79">
              <w:rPr>
                <w:b/>
                <w:lang w:eastAsia="cs-CZ"/>
              </w:rPr>
              <w:t>Požadovaná výše dotace</w:t>
            </w:r>
          </w:p>
        </w:tc>
      </w:tr>
      <w:tr w:rsidR="00AF4350" w:rsidRPr="003F7FBF" w:rsidTr="00C75B79">
        <w:trPr>
          <w:trHeight w:val="397"/>
        </w:trPr>
        <w:tc>
          <w:tcPr>
            <w:tcW w:w="1561" w:type="pct"/>
            <w:shd w:val="clear" w:color="auto" w:fill="BDD6EE" w:themeFill="accent1" w:themeFillTint="66"/>
            <w:noWrap/>
            <w:vAlign w:val="center"/>
            <w:hideMark/>
          </w:tcPr>
          <w:p w:rsidR="00AF4350" w:rsidRPr="003F7FBF" w:rsidRDefault="00AF4350" w:rsidP="00A34764">
            <w:pPr>
              <w:rPr>
                <w:lang w:eastAsia="cs-CZ"/>
              </w:rPr>
            </w:pPr>
            <w:r w:rsidRPr="003F7FBF">
              <w:rPr>
                <w:lang w:eastAsia="cs-CZ"/>
              </w:rPr>
              <w:t>Podprogram č. 1</w:t>
            </w:r>
          </w:p>
        </w:tc>
        <w:tc>
          <w:tcPr>
            <w:tcW w:w="1730" w:type="pct"/>
            <w:shd w:val="clear" w:color="auto" w:fill="auto"/>
            <w:noWrap/>
            <w:vAlign w:val="center"/>
            <w:hideMark/>
          </w:tcPr>
          <w:p w:rsidR="00AF4350" w:rsidRPr="003F7FBF" w:rsidRDefault="00AF4350" w:rsidP="008048CB">
            <w:pPr>
              <w:ind w:right="159"/>
              <w:jc w:val="right"/>
              <w:rPr>
                <w:lang w:eastAsia="cs-CZ"/>
              </w:rPr>
            </w:pPr>
            <w:r w:rsidRPr="003F7FBF">
              <w:rPr>
                <w:lang w:eastAsia="cs-CZ"/>
              </w:rPr>
              <w:t>142</w:t>
            </w:r>
          </w:p>
        </w:tc>
        <w:tc>
          <w:tcPr>
            <w:tcW w:w="1708" w:type="pct"/>
            <w:shd w:val="clear" w:color="auto" w:fill="auto"/>
            <w:noWrap/>
            <w:vAlign w:val="center"/>
            <w:hideMark/>
          </w:tcPr>
          <w:p w:rsidR="00AF4350" w:rsidRPr="003F7FBF" w:rsidRDefault="00AF4350" w:rsidP="008048CB">
            <w:pPr>
              <w:ind w:right="136"/>
              <w:jc w:val="right"/>
              <w:rPr>
                <w:lang w:eastAsia="cs-CZ"/>
              </w:rPr>
            </w:pPr>
            <w:r w:rsidRPr="003F7FBF">
              <w:rPr>
                <w:lang w:eastAsia="cs-CZ"/>
              </w:rPr>
              <w:t>91 478</w:t>
            </w:r>
            <w:r>
              <w:rPr>
                <w:lang w:eastAsia="cs-CZ"/>
              </w:rPr>
              <w:t> </w:t>
            </w:r>
            <w:r w:rsidRPr="003F7FBF">
              <w:rPr>
                <w:lang w:eastAsia="cs-CZ"/>
              </w:rPr>
              <w:t>969</w:t>
            </w:r>
            <w:r>
              <w:rPr>
                <w:lang w:eastAsia="cs-CZ"/>
              </w:rPr>
              <w:t xml:space="preserve"> Kč</w:t>
            </w:r>
          </w:p>
        </w:tc>
      </w:tr>
      <w:tr w:rsidR="00AF4350" w:rsidRPr="003F7FBF" w:rsidTr="00C75B79">
        <w:trPr>
          <w:trHeight w:val="397"/>
        </w:trPr>
        <w:tc>
          <w:tcPr>
            <w:tcW w:w="1561" w:type="pct"/>
            <w:shd w:val="clear" w:color="auto" w:fill="BDD6EE" w:themeFill="accent1" w:themeFillTint="66"/>
            <w:noWrap/>
            <w:vAlign w:val="center"/>
            <w:hideMark/>
          </w:tcPr>
          <w:p w:rsidR="00AF4350" w:rsidRPr="003F7FBF" w:rsidRDefault="00AF4350" w:rsidP="00A34764">
            <w:pPr>
              <w:rPr>
                <w:lang w:eastAsia="cs-CZ"/>
              </w:rPr>
            </w:pPr>
            <w:r w:rsidRPr="003F7FBF">
              <w:rPr>
                <w:lang w:eastAsia="cs-CZ"/>
              </w:rPr>
              <w:t xml:space="preserve">Program podpory B </w:t>
            </w:r>
          </w:p>
        </w:tc>
        <w:tc>
          <w:tcPr>
            <w:tcW w:w="1730" w:type="pct"/>
            <w:shd w:val="clear" w:color="auto" w:fill="auto"/>
            <w:noWrap/>
            <w:vAlign w:val="center"/>
            <w:hideMark/>
          </w:tcPr>
          <w:p w:rsidR="00AF4350" w:rsidRPr="003F7FBF" w:rsidRDefault="00AF4350" w:rsidP="008048CB">
            <w:pPr>
              <w:ind w:right="159"/>
              <w:jc w:val="right"/>
              <w:rPr>
                <w:lang w:eastAsia="cs-CZ"/>
              </w:rPr>
            </w:pPr>
            <w:r w:rsidRPr="003F7FBF">
              <w:rPr>
                <w:lang w:eastAsia="cs-CZ"/>
              </w:rPr>
              <w:t>3</w:t>
            </w:r>
          </w:p>
        </w:tc>
        <w:tc>
          <w:tcPr>
            <w:tcW w:w="1708" w:type="pct"/>
            <w:shd w:val="clear" w:color="auto" w:fill="auto"/>
            <w:noWrap/>
            <w:vAlign w:val="center"/>
            <w:hideMark/>
          </w:tcPr>
          <w:p w:rsidR="00AF4350" w:rsidRPr="003F7FBF" w:rsidRDefault="00AF4350" w:rsidP="008048CB">
            <w:pPr>
              <w:ind w:right="136"/>
              <w:jc w:val="right"/>
              <w:rPr>
                <w:lang w:eastAsia="cs-CZ"/>
              </w:rPr>
            </w:pPr>
            <w:r w:rsidRPr="003F7FBF">
              <w:rPr>
                <w:lang w:eastAsia="cs-CZ"/>
              </w:rPr>
              <w:t>992</w:t>
            </w:r>
            <w:r>
              <w:rPr>
                <w:lang w:eastAsia="cs-CZ"/>
              </w:rPr>
              <w:t> </w:t>
            </w:r>
            <w:r w:rsidRPr="003F7FBF">
              <w:rPr>
                <w:lang w:eastAsia="cs-CZ"/>
              </w:rPr>
              <w:t>028</w:t>
            </w:r>
            <w:r>
              <w:rPr>
                <w:lang w:eastAsia="cs-CZ"/>
              </w:rPr>
              <w:t xml:space="preserve"> Kč</w:t>
            </w:r>
          </w:p>
        </w:tc>
      </w:tr>
      <w:tr w:rsidR="00AF4350" w:rsidRPr="003F7FBF" w:rsidTr="00C75B79">
        <w:trPr>
          <w:trHeight w:val="397"/>
        </w:trPr>
        <w:tc>
          <w:tcPr>
            <w:tcW w:w="1561" w:type="pct"/>
            <w:shd w:val="clear" w:color="auto" w:fill="BDD6EE" w:themeFill="accent1" w:themeFillTint="66"/>
            <w:vAlign w:val="center"/>
            <w:hideMark/>
          </w:tcPr>
          <w:p w:rsidR="00AF4350" w:rsidRPr="003F7FBF" w:rsidRDefault="00AF4350" w:rsidP="00A34764">
            <w:pPr>
              <w:rPr>
                <w:lang w:eastAsia="cs-CZ"/>
              </w:rPr>
            </w:pPr>
            <w:r w:rsidRPr="003F7FBF">
              <w:rPr>
                <w:lang w:eastAsia="cs-CZ"/>
              </w:rPr>
              <w:t xml:space="preserve">Celkový součet </w:t>
            </w:r>
          </w:p>
        </w:tc>
        <w:tc>
          <w:tcPr>
            <w:tcW w:w="1730" w:type="pct"/>
            <w:shd w:val="clear" w:color="auto" w:fill="auto"/>
            <w:noWrap/>
            <w:vAlign w:val="center"/>
            <w:hideMark/>
          </w:tcPr>
          <w:p w:rsidR="00AF4350" w:rsidRPr="003F7FBF" w:rsidRDefault="00AF4350" w:rsidP="008048CB">
            <w:pPr>
              <w:ind w:right="159"/>
              <w:jc w:val="right"/>
              <w:rPr>
                <w:lang w:eastAsia="cs-CZ"/>
              </w:rPr>
            </w:pPr>
            <w:r w:rsidRPr="003F7FBF">
              <w:rPr>
                <w:lang w:eastAsia="cs-CZ"/>
              </w:rPr>
              <w:t>145</w:t>
            </w:r>
          </w:p>
        </w:tc>
        <w:tc>
          <w:tcPr>
            <w:tcW w:w="1708" w:type="pct"/>
            <w:shd w:val="clear" w:color="auto" w:fill="auto"/>
            <w:noWrap/>
            <w:vAlign w:val="center"/>
            <w:hideMark/>
          </w:tcPr>
          <w:p w:rsidR="00AF4350" w:rsidRPr="003F7FBF" w:rsidRDefault="00AF4350" w:rsidP="008048CB">
            <w:pPr>
              <w:ind w:right="136"/>
              <w:jc w:val="right"/>
              <w:rPr>
                <w:lang w:eastAsia="cs-CZ"/>
              </w:rPr>
            </w:pPr>
            <w:r w:rsidRPr="003F7FBF">
              <w:rPr>
                <w:lang w:eastAsia="cs-CZ"/>
              </w:rPr>
              <w:t>92 470</w:t>
            </w:r>
            <w:r>
              <w:rPr>
                <w:lang w:eastAsia="cs-CZ"/>
              </w:rPr>
              <w:t> </w:t>
            </w:r>
            <w:r w:rsidRPr="003F7FBF">
              <w:rPr>
                <w:lang w:eastAsia="cs-CZ"/>
              </w:rPr>
              <w:t>997</w:t>
            </w:r>
            <w:r>
              <w:rPr>
                <w:lang w:eastAsia="cs-CZ"/>
              </w:rPr>
              <w:t xml:space="preserve"> Kč</w:t>
            </w:r>
          </w:p>
        </w:tc>
      </w:tr>
    </w:tbl>
    <w:p w:rsidR="00AF4350" w:rsidRPr="003F7FBF" w:rsidRDefault="00AF4350" w:rsidP="00C75B79">
      <w:pPr>
        <w:pStyle w:val="Zdrojobjektu"/>
      </w:pPr>
      <w:r w:rsidRPr="003F7FBF">
        <w:t>Zdroj: interní informace kraje</w:t>
      </w:r>
    </w:p>
    <w:p w:rsidR="00AF4350" w:rsidRPr="0039748C" w:rsidRDefault="00AF4350" w:rsidP="00A34764">
      <w:pPr>
        <w:rPr>
          <w:lang w:eastAsia="cs-CZ"/>
        </w:rPr>
      </w:pPr>
      <w:r w:rsidRPr="0039748C">
        <w:rPr>
          <w:lang w:eastAsia="cs-CZ"/>
        </w:rPr>
        <w:t xml:space="preserve">Rozdělení alokovaných finančních prostředků ve výši </w:t>
      </w:r>
      <w:r w:rsidRPr="0039748C">
        <w:rPr>
          <w:b/>
          <w:lang w:eastAsia="cs-CZ"/>
        </w:rPr>
        <w:t>35 773 787 Kč</w:t>
      </w:r>
      <w:r w:rsidRPr="0039748C">
        <w:rPr>
          <w:lang w:eastAsia="cs-CZ"/>
        </w:rPr>
        <w:t xml:space="preserve"> bylo jednotlivým poskytovatelům sociálních služeb schváleno usnesením ZOK č. UZ/16/41/2019 ze dne 24. 6. 2019.</w:t>
      </w:r>
    </w:p>
    <w:p w:rsidR="00AF4350" w:rsidRPr="0039748C" w:rsidRDefault="00AF4350" w:rsidP="00A34764">
      <w:pPr>
        <w:rPr>
          <w:lang w:eastAsia="cs-CZ"/>
        </w:rPr>
      </w:pPr>
      <w:r w:rsidRPr="0039748C">
        <w:rPr>
          <w:lang w:eastAsia="cs-CZ"/>
        </w:rPr>
        <w:t xml:space="preserve">Vzhledem k zásadním změnám v oblasti odměňování pracovníků sociálních služeb, které se uskutečnily s účinností od 1. 1. 2019, výše účelově určené dotace ze státního rozpočtu na poskytování sociálních služeb – 1 181 232 175 Kč – tyto skutečnosti dostatečně nereflektovala.  </w:t>
      </w:r>
    </w:p>
    <w:p w:rsidR="00AF4350" w:rsidRPr="0039748C" w:rsidRDefault="00AF4350" w:rsidP="00A34764">
      <w:pPr>
        <w:rPr>
          <w:lang w:eastAsia="cs-CZ"/>
        </w:rPr>
      </w:pPr>
      <w:r w:rsidRPr="0039748C">
        <w:rPr>
          <w:lang w:eastAsia="cs-CZ"/>
        </w:rPr>
        <w:t>V první polovině roku 2019 probíhala jednání na nejrůznějších úrovních (MPSV, MF, Komise Rady AKČR pro sociální věci) o dofinancování sociálních služeb ze státní dotace poskytované krajům z MPSV – celorepublikově byly požadavky vyčísleny na 2 mld. Kč; kraje však obdržely 1 mld. Kč (tedy polovinu požadované částky). Pro OK činila alokace pro dofinancování 78 100 000 Kč (na celkových 1 259 332</w:t>
      </w:r>
      <w:r>
        <w:rPr>
          <w:lang w:eastAsia="cs-CZ"/>
        </w:rPr>
        <w:t> </w:t>
      </w:r>
      <w:r w:rsidRPr="0039748C">
        <w:rPr>
          <w:lang w:eastAsia="cs-CZ"/>
        </w:rPr>
        <w:t>175</w:t>
      </w:r>
      <w:r>
        <w:rPr>
          <w:lang w:eastAsia="cs-CZ"/>
        </w:rPr>
        <w:t> </w:t>
      </w:r>
      <w:r w:rsidRPr="0039748C">
        <w:rPr>
          <w:lang w:eastAsia="cs-CZ"/>
        </w:rPr>
        <w:t>Kč). Veškeré další argumenty a analýzy ze strany krajů, poskytovatelů sociálních služeb i jejich profesní organizace – Asociace poskytovatelů sociálních služeb ČR, nebyly vyslyšeny.</w:t>
      </w:r>
    </w:p>
    <w:p w:rsidR="00AF4350" w:rsidRPr="0039748C" w:rsidRDefault="00AF4350" w:rsidP="00A34764">
      <w:pPr>
        <w:rPr>
          <w:lang w:eastAsia="cs-CZ"/>
        </w:rPr>
      </w:pPr>
      <w:r w:rsidRPr="0039748C">
        <w:rPr>
          <w:lang w:eastAsia="cs-CZ"/>
        </w:rPr>
        <w:t xml:space="preserve">Vzhledem k výše uvedeným skutečnostem přistoupil OK k navýšení alokace v Podprogramu č. 2, prostřednictvím kterého jsou z vlastních prostředků OK financovány sociální služby, které nejsou zřizovány územně samosprávnými celky (případně státem). Z důvodu zajištění stability sítě sociálních služeb byla alokace v Podprogramu č. 2 </w:t>
      </w:r>
      <w:r w:rsidRPr="0039748C">
        <w:rPr>
          <w:b/>
          <w:lang w:eastAsia="cs-CZ"/>
        </w:rPr>
        <w:t>navýšena o dalších 35 mil. Kč na celkovou částku 70 773 787 Kč</w:t>
      </w:r>
      <w:r w:rsidRPr="0039748C">
        <w:rPr>
          <w:lang w:eastAsia="cs-CZ"/>
        </w:rPr>
        <w:t xml:space="preserve">. </w:t>
      </w:r>
    </w:p>
    <w:p w:rsidR="00AF4350" w:rsidRPr="0039748C" w:rsidRDefault="00AF4350" w:rsidP="00A34764">
      <w:pPr>
        <w:rPr>
          <w:lang w:eastAsia="cs-CZ"/>
        </w:rPr>
      </w:pPr>
      <w:r w:rsidRPr="0039748C">
        <w:rPr>
          <w:lang w:eastAsia="cs-CZ"/>
        </w:rPr>
        <w:t>Rozdělení těchto navýšených finančních prostředků jednotlivým poskytovatelům sociálních služeb bylo schváleno usnesením ZOK č. UZ/17/53/2019 ze dne 23. 9. 2019.</w:t>
      </w:r>
    </w:p>
    <w:p w:rsidR="00AF4350" w:rsidRPr="0039748C" w:rsidRDefault="00AF4350" w:rsidP="00A34764">
      <w:pPr>
        <w:rPr>
          <w:lang w:eastAsia="cs-CZ"/>
        </w:rPr>
      </w:pPr>
      <w:r w:rsidRPr="0039748C">
        <w:rPr>
          <w:lang w:eastAsia="cs-CZ"/>
        </w:rPr>
        <w:t>OK v roce 2019 poskytl prostřednictvím Programu finanční podpory poskytování sociálních služeb v Olomouckém kraji, Podprogramu č. 2, dotaci z rozpočtu kraje 47 poskytovatelům sociálních služeb na zajištění 145 sociálních služeb v celkové výši 70 773 787 Kč.</w:t>
      </w:r>
    </w:p>
    <w:p w:rsidR="00C75B79" w:rsidRDefault="00C75B79" w:rsidP="00A34764">
      <w:pPr>
        <w:rPr>
          <w:rFonts w:eastAsia="Arial Unicode MS"/>
          <w:u w:val="single"/>
          <w:lang w:eastAsia="cs-CZ"/>
        </w:rPr>
      </w:pPr>
    </w:p>
    <w:p w:rsidR="00AF4350" w:rsidRPr="00C75B79" w:rsidRDefault="00AF4350" w:rsidP="00A34764">
      <w:pPr>
        <w:rPr>
          <w:rFonts w:eastAsia="Arial Unicode MS"/>
          <w:u w:val="single"/>
          <w:lang w:eastAsia="cs-CZ"/>
        </w:rPr>
      </w:pPr>
      <w:r w:rsidRPr="00C75B79">
        <w:rPr>
          <w:rFonts w:eastAsia="Arial Unicode MS"/>
          <w:u w:val="single"/>
          <w:lang w:eastAsia="cs-CZ"/>
        </w:rPr>
        <w:t>Dotační rok 2020</w:t>
      </w:r>
    </w:p>
    <w:p w:rsidR="00AF4350" w:rsidRPr="0039748C" w:rsidRDefault="00AF4350" w:rsidP="00A34764">
      <w:pPr>
        <w:rPr>
          <w:rFonts w:eastAsia="Arial Unicode MS"/>
          <w:lang w:eastAsia="cs-CZ"/>
        </w:rPr>
      </w:pPr>
      <w:r w:rsidRPr="0039748C">
        <w:rPr>
          <w:rFonts w:eastAsia="Arial Unicode MS"/>
          <w:lang w:eastAsia="cs-CZ"/>
        </w:rPr>
        <w:t xml:space="preserve">Původní alokace finančních prostředků do tohoto Podprogramu (ve výši 40 mil. Kč) byla navýšena o vratky z Podprogramu č. 1 a č. 2 předcházejícího roku, tak, aby rovněž navrácené finanční prostředky byly využity na shodný účel – poskytování sociálních služeb. Celková alokace do Podprogramu č. 2 činí </w:t>
      </w:r>
      <w:r w:rsidRPr="0039748C">
        <w:rPr>
          <w:rFonts w:eastAsia="Arial Unicode MS"/>
          <w:b/>
          <w:lang w:eastAsia="cs-CZ"/>
        </w:rPr>
        <w:t>44 801 591 Kč</w:t>
      </w:r>
      <w:r w:rsidRPr="0039748C">
        <w:rPr>
          <w:rFonts w:eastAsia="Arial Unicode MS"/>
          <w:lang w:eastAsia="cs-CZ"/>
        </w:rPr>
        <w:t>.</w:t>
      </w:r>
    </w:p>
    <w:p w:rsidR="00AF4350" w:rsidRPr="0039748C" w:rsidRDefault="00AF4350" w:rsidP="00A34764">
      <w:pPr>
        <w:rPr>
          <w:rFonts w:eastAsia="Arial Unicode MS"/>
          <w:lang w:eastAsia="cs-CZ"/>
        </w:rPr>
      </w:pPr>
      <w:r w:rsidRPr="0039748C">
        <w:rPr>
          <w:rFonts w:eastAsia="Arial Unicode MS"/>
          <w:lang w:eastAsia="cs-CZ"/>
        </w:rPr>
        <w:t>V rámci Podprogramu č. 2 na rok 2020 byli oprávněnými žadateli poskytovatelé sociálních služeb, které jsou zařazeny do sítě sociálních služeb OK, a to:</w:t>
      </w:r>
    </w:p>
    <w:p w:rsidR="00AF4350" w:rsidRPr="00A34764" w:rsidRDefault="00AF4350" w:rsidP="00A34764">
      <w:pPr>
        <w:pStyle w:val="Odstavecseseznamem"/>
        <w:numPr>
          <w:ilvl w:val="0"/>
          <w:numId w:val="55"/>
        </w:numPr>
      </w:pPr>
      <w:r w:rsidRPr="00A34764">
        <w:t xml:space="preserve">příjemci dotace z Podprogramu č. 1, s výjimkou příspěvkových organizací nebo obcí; </w:t>
      </w:r>
    </w:p>
    <w:p w:rsidR="00AF4350" w:rsidRPr="00A34764" w:rsidRDefault="00AF4350" w:rsidP="00A34764">
      <w:pPr>
        <w:pStyle w:val="Odstavecseseznamem"/>
        <w:numPr>
          <w:ilvl w:val="0"/>
          <w:numId w:val="55"/>
        </w:numPr>
      </w:pPr>
      <w:r w:rsidRPr="00A34764">
        <w:t xml:space="preserve">poskytovatelé sociálních služeb zařazených do sítě sociálních služeb na rok 2020, financované prostřednictvím Programu podpory B, s výjimkou příspěvkových organizací nebo obcí. </w:t>
      </w:r>
    </w:p>
    <w:p w:rsidR="00AF4350" w:rsidRPr="0039748C" w:rsidRDefault="00AF4350" w:rsidP="00A34764">
      <w:pPr>
        <w:rPr>
          <w:rFonts w:eastAsia="Arial Unicode MS"/>
          <w:lang w:eastAsia="cs-CZ"/>
        </w:rPr>
      </w:pPr>
      <w:r w:rsidRPr="0039748C">
        <w:rPr>
          <w:rFonts w:eastAsia="Arial Unicode MS"/>
          <w:lang w:eastAsia="cs-CZ"/>
        </w:rPr>
        <w:t>Vyhlášení výzvy pro podávání žádostí do Programu finanční podpory poskytování sociálních služeb v Olomouckém kraji – Podprogramu č. 2 bylo zveřejněno v lednu 2020. Termín pro podávání žádostí do tohoto podprogramu byl stanoven na období 16. 3. 2020 – 3. 4.2020.</w:t>
      </w:r>
    </w:p>
    <w:p w:rsidR="00AF4350" w:rsidRPr="0039748C" w:rsidRDefault="00AF4350" w:rsidP="00A34764">
      <w:pPr>
        <w:rPr>
          <w:rFonts w:eastAsia="Arial Unicode MS"/>
          <w:lang w:eastAsia="cs-CZ"/>
        </w:rPr>
      </w:pPr>
      <w:r w:rsidRPr="0039748C">
        <w:rPr>
          <w:rFonts w:eastAsia="Arial Unicode MS"/>
          <w:lang w:eastAsia="cs-CZ"/>
        </w:rPr>
        <w:lastRenderedPageBreak/>
        <w:t xml:space="preserve">V návaznosti na nouzový stav, který vláda ČR vyhlásila na území České republiky usnesením vlády č. 194 ze dne 12. 3. 2020 v souladu s čl. 5 a 6 ústavního zákona č. 110/1998 Sb., o bezpečnosti České republiky, z důvodu ohrožení zdraví v souvislosti s prokázáním výskytu </w:t>
      </w:r>
      <w:proofErr w:type="spellStart"/>
      <w:r w:rsidRPr="0039748C">
        <w:rPr>
          <w:rFonts w:eastAsia="Arial Unicode MS"/>
          <w:lang w:eastAsia="cs-CZ"/>
        </w:rPr>
        <w:t>koronaviru</w:t>
      </w:r>
      <w:proofErr w:type="spellEnd"/>
      <w:r w:rsidRPr="0039748C">
        <w:rPr>
          <w:rFonts w:eastAsia="Arial Unicode MS"/>
          <w:lang w:eastAsia="cs-CZ"/>
        </w:rPr>
        <w:t xml:space="preserve"> (označovaným jako SARS CoV-2) a s ohledem na nezbytné úkony související se zajištěním sociálních služeb se lhůta pro podávání žádostí prodloužila do 10. 4.  2020.</w:t>
      </w:r>
    </w:p>
    <w:p w:rsidR="00AF4350" w:rsidRPr="008048CB" w:rsidRDefault="00AF4350" w:rsidP="00A34764">
      <w:pPr>
        <w:rPr>
          <w:rFonts w:eastAsia="Arial Unicode MS"/>
          <w:b/>
          <w:lang w:eastAsia="cs-CZ"/>
        </w:rPr>
      </w:pPr>
      <w:r w:rsidRPr="0039748C">
        <w:rPr>
          <w:rFonts w:eastAsia="Arial Unicode MS"/>
          <w:lang w:eastAsia="cs-CZ"/>
        </w:rPr>
        <w:t xml:space="preserve">Ve lhůtě stanovené pro příjem žádostí bylo doručeno </w:t>
      </w:r>
      <w:r w:rsidRPr="008048CB">
        <w:rPr>
          <w:rFonts w:eastAsia="Arial Unicode MS"/>
          <w:b/>
          <w:lang w:eastAsia="cs-CZ"/>
        </w:rPr>
        <w:t>46 žádostí jednotlivých subjektů na podporu 144 sociálních služeb.</w:t>
      </w:r>
    </w:p>
    <w:p w:rsidR="00AF4350" w:rsidRPr="0039748C" w:rsidRDefault="00AF4350" w:rsidP="00A34764">
      <w:pPr>
        <w:rPr>
          <w:rFonts w:eastAsia="Arial Unicode MS"/>
          <w:b/>
          <w:lang w:eastAsia="cs-CZ"/>
        </w:rPr>
      </w:pPr>
      <w:r w:rsidRPr="0039748C">
        <w:rPr>
          <w:rFonts w:eastAsia="Arial Unicode MS"/>
          <w:lang w:eastAsia="cs-CZ"/>
        </w:rPr>
        <w:t xml:space="preserve">Celková výše požadavků na dotaci činila </w:t>
      </w:r>
      <w:r w:rsidRPr="0039748C">
        <w:rPr>
          <w:rFonts w:eastAsia="Arial Unicode MS"/>
          <w:b/>
          <w:lang w:eastAsia="cs-CZ"/>
        </w:rPr>
        <w:t>103 271 403 Kč.</w:t>
      </w:r>
    </w:p>
    <w:p w:rsidR="00AF4350" w:rsidRPr="003F7FBF" w:rsidRDefault="00AF4350" w:rsidP="00A34764">
      <w:pPr>
        <w:rPr>
          <w:rFonts w:eastAsia="Arial Unicode MS"/>
          <w:lang w:eastAsia="cs-CZ"/>
        </w:rPr>
      </w:pPr>
      <w:r w:rsidRPr="0039748C">
        <w:rPr>
          <w:rFonts w:eastAsia="Arial Unicode MS"/>
          <w:lang w:eastAsia="cs-CZ"/>
        </w:rPr>
        <w:t>Souhrn požadavků na dotaci v rámci Podprogramu č. 2 v členění dle způsobu fin</w:t>
      </w:r>
      <w:r>
        <w:rPr>
          <w:rFonts w:eastAsia="Arial Unicode MS"/>
          <w:lang w:eastAsia="cs-CZ"/>
        </w:rPr>
        <w:t>ancování je uveden v tabulce.</w:t>
      </w:r>
    </w:p>
    <w:p w:rsidR="00AF4350" w:rsidRDefault="00AF4350" w:rsidP="008048CB">
      <w:pPr>
        <w:pStyle w:val="popistabulkySPRSS2024"/>
      </w:pPr>
      <w:bookmarkStart w:id="156" w:name="_Toc117607102"/>
      <w:r>
        <w:t xml:space="preserve">Tabulka </w:t>
      </w:r>
      <w:r w:rsidR="00C140D0">
        <w:rPr>
          <w:noProof/>
        </w:rPr>
        <w:fldChar w:fldCharType="begin"/>
      </w:r>
      <w:r w:rsidR="00C140D0">
        <w:rPr>
          <w:noProof/>
        </w:rPr>
        <w:instrText xml:space="preserve"> SEQ Tabulka \* ARABIC </w:instrText>
      </w:r>
      <w:r w:rsidR="00C140D0">
        <w:rPr>
          <w:noProof/>
        </w:rPr>
        <w:fldChar w:fldCharType="separate"/>
      </w:r>
      <w:r w:rsidR="003A12AF">
        <w:rPr>
          <w:noProof/>
        </w:rPr>
        <w:t>42</w:t>
      </w:r>
      <w:r w:rsidR="00C140D0">
        <w:rPr>
          <w:noProof/>
        </w:rPr>
        <w:fldChar w:fldCharType="end"/>
      </w:r>
      <w:r>
        <w:t xml:space="preserve">: </w:t>
      </w:r>
      <w:r w:rsidRPr="00445ED2">
        <w:t>Souhrn požadavků na dotaci 2020</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1" w:themeFillTint="66"/>
        <w:tblCellMar>
          <w:left w:w="0" w:type="dxa"/>
          <w:right w:w="0" w:type="dxa"/>
        </w:tblCellMar>
        <w:tblLook w:val="04A0" w:firstRow="1" w:lastRow="0" w:firstColumn="1" w:lastColumn="0" w:noHBand="0" w:noVBand="1"/>
      </w:tblPr>
      <w:tblGrid>
        <w:gridCol w:w="3192"/>
        <w:gridCol w:w="2644"/>
        <w:gridCol w:w="3226"/>
      </w:tblGrid>
      <w:tr w:rsidR="00AF4350" w:rsidRPr="003F7FBF" w:rsidTr="00AF4350">
        <w:trPr>
          <w:trHeight w:val="567"/>
        </w:trPr>
        <w:tc>
          <w:tcPr>
            <w:tcW w:w="1761" w:type="pct"/>
            <w:shd w:val="clear" w:color="auto" w:fill="BDD6EE" w:themeFill="accent1" w:themeFillTint="66"/>
            <w:vAlign w:val="center"/>
            <w:hideMark/>
          </w:tcPr>
          <w:p w:rsidR="00AF4350" w:rsidRPr="008048CB" w:rsidRDefault="00AF4350" w:rsidP="008048CB">
            <w:pPr>
              <w:jc w:val="center"/>
              <w:rPr>
                <w:rFonts w:eastAsia="Arial Unicode MS"/>
                <w:b/>
                <w:sz w:val="18"/>
                <w:lang w:eastAsia="cs-CZ"/>
              </w:rPr>
            </w:pPr>
            <w:r w:rsidRPr="008048CB">
              <w:rPr>
                <w:rFonts w:eastAsia="Arial Unicode MS"/>
                <w:b/>
                <w:sz w:val="18"/>
                <w:lang w:eastAsia="cs-CZ"/>
              </w:rPr>
              <w:t>Způsob financování</w:t>
            </w:r>
          </w:p>
        </w:tc>
        <w:tc>
          <w:tcPr>
            <w:tcW w:w="1459" w:type="pct"/>
            <w:shd w:val="clear" w:color="auto" w:fill="BDD6EE" w:themeFill="accent1" w:themeFillTint="66"/>
            <w:vAlign w:val="center"/>
            <w:hideMark/>
          </w:tcPr>
          <w:p w:rsidR="00AF4350" w:rsidRPr="008048CB" w:rsidRDefault="00AF4350" w:rsidP="008048CB">
            <w:pPr>
              <w:jc w:val="center"/>
              <w:rPr>
                <w:rFonts w:eastAsia="Arial Unicode MS"/>
                <w:b/>
                <w:sz w:val="18"/>
                <w:lang w:eastAsia="cs-CZ"/>
              </w:rPr>
            </w:pPr>
            <w:r w:rsidRPr="008048CB">
              <w:rPr>
                <w:rFonts w:eastAsia="Arial Unicode MS"/>
                <w:b/>
                <w:sz w:val="18"/>
                <w:lang w:eastAsia="cs-CZ"/>
              </w:rPr>
              <w:t>Počet služeb</w:t>
            </w:r>
          </w:p>
        </w:tc>
        <w:tc>
          <w:tcPr>
            <w:tcW w:w="1780" w:type="pct"/>
            <w:shd w:val="clear" w:color="auto" w:fill="BDD6EE" w:themeFill="accent1" w:themeFillTint="66"/>
            <w:vAlign w:val="center"/>
            <w:hideMark/>
          </w:tcPr>
          <w:p w:rsidR="00AF4350" w:rsidRPr="008048CB" w:rsidRDefault="00AF4350" w:rsidP="008048CB">
            <w:pPr>
              <w:jc w:val="center"/>
              <w:rPr>
                <w:rFonts w:eastAsia="Arial Unicode MS"/>
                <w:b/>
                <w:sz w:val="18"/>
                <w:lang w:eastAsia="cs-CZ"/>
              </w:rPr>
            </w:pPr>
            <w:r w:rsidRPr="008048CB">
              <w:rPr>
                <w:rFonts w:eastAsia="Arial Unicode MS"/>
                <w:b/>
                <w:sz w:val="18"/>
                <w:lang w:eastAsia="cs-CZ"/>
              </w:rPr>
              <w:t>Požadovaná výše dotace</w:t>
            </w:r>
          </w:p>
        </w:tc>
      </w:tr>
      <w:tr w:rsidR="00AF4350" w:rsidRPr="003F7FBF" w:rsidTr="008048CB">
        <w:trPr>
          <w:trHeight w:val="397"/>
        </w:trPr>
        <w:tc>
          <w:tcPr>
            <w:tcW w:w="1761" w:type="pct"/>
            <w:shd w:val="clear" w:color="auto" w:fill="BDD6EE" w:themeFill="accent1" w:themeFillTint="66"/>
            <w:noWrap/>
            <w:vAlign w:val="center"/>
            <w:hideMark/>
          </w:tcPr>
          <w:p w:rsidR="00AF4350" w:rsidRPr="008048CB" w:rsidRDefault="00AF4350" w:rsidP="00A34764">
            <w:pPr>
              <w:rPr>
                <w:rFonts w:eastAsia="Arial Unicode MS"/>
                <w:sz w:val="18"/>
                <w:lang w:eastAsia="cs-CZ"/>
              </w:rPr>
            </w:pPr>
            <w:r w:rsidRPr="008048CB">
              <w:rPr>
                <w:rFonts w:eastAsia="Arial Unicode MS"/>
                <w:sz w:val="18"/>
                <w:lang w:eastAsia="cs-CZ"/>
              </w:rPr>
              <w:t>Podprogram č. 1</w:t>
            </w:r>
          </w:p>
        </w:tc>
        <w:tc>
          <w:tcPr>
            <w:tcW w:w="1459" w:type="pct"/>
            <w:shd w:val="clear" w:color="auto" w:fill="auto"/>
            <w:noWrap/>
            <w:vAlign w:val="center"/>
            <w:hideMark/>
          </w:tcPr>
          <w:p w:rsidR="00AF4350" w:rsidRPr="008048CB" w:rsidRDefault="00AF4350" w:rsidP="008048CB">
            <w:pPr>
              <w:ind w:left="-78" w:right="171"/>
              <w:jc w:val="right"/>
              <w:rPr>
                <w:rFonts w:eastAsia="Arial Unicode MS"/>
                <w:sz w:val="18"/>
                <w:lang w:eastAsia="cs-CZ"/>
              </w:rPr>
            </w:pPr>
            <w:r w:rsidRPr="008048CB">
              <w:rPr>
                <w:rFonts w:eastAsia="Arial Unicode MS"/>
                <w:sz w:val="18"/>
                <w:lang w:eastAsia="cs-CZ"/>
              </w:rPr>
              <w:t>140</w:t>
            </w:r>
          </w:p>
        </w:tc>
        <w:tc>
          <w:tcPr>
            <w:tcW w:w="1780" w:type="pct"/>
            <w:shd w:val="clear" w:color="auto" w:fill="auto"/>
            <w:noWrap/>
            <w:vAlign w:val="center"/>
            <w:hideMark/>
          </w:tcPr>
          <w:p w:rsidR="00AF4350" w:rsidRPr="008048CB" w:rsidRDefault="00AF4350" w:rsidP="008048CB">
            <w:pPr>
              <w:ind w:right="136"/>
              <w:jc w:val="right"/>
              <w:rPr>
                <w:rFonts w:eastAsia="Arial Unicode MS"/>
                <w:sz w:val="18"/>
                <w:lang w:eastAsia="cs-CZ"/>
              </w:rPr>
            </w:pPr>
            <w:r w:rsidRPr="008048CB">
              <w:rPr>
                <w:rFonts w:eastAsia="Arial Unicode MS"/>
                <w:sz w:val="18"/>
                <w:lang w:eastAsia="cs-CZ"/>
              </w:rPr>
              <w:t>102 345 403</w:t>
            </w:r>
          </w:p>
        </w:tc>
      </w:tr>
      <w:tr w:rsidR="00AF4350" w:rsidRPr="003F7FBF" w:rsidTr="008048CB">
        <w:trPr>
          <w:trHeight w:val="397"/>
        </w:trPr>
        <w:tc>
          <w:tcPr>
            <w:tcW w:w="1761" w:type="pct"/>
            <w:shd w:val="clear" w:color="auto" w:fill="BDD6EE" w:themeFill="accent1" w:themeFillTint="66"/>
            <w:noWrap/>
            <w:vAlign w:val="center"/>
            <w:hideMark/>
          </w:tcPr>
          <w:p w:rsidR="00AF4350" w:rsidRPr="008048CB" w:rsidRDefault="00AF4350" w:rsidP="00A34764">
            <w:pPr>
              <w:rPr>
                <w:rFonts w:eastAsia="Arial Unicode MS"/>
                <w:sz w:val="18"/>
                <w:lang w:eastAsia="cs-CZ"/>
              </w:rPr>
            </w:pPr>
            <w:r w:rsidRPr="008048CB">
              <w:rPr>
                <w:rFonts w:eastAsia="Arial Unicode MS"/>
                <w:sz w:val="18"/>
                <w:lang w:eastAsia="cs-CZ"/>
              </w:rPr>
              <w:t>Program podpory B</w:t>
            </w:r>
          </w:p>
        </w:tc>
        <w:tc>
          <w:tcPr>
            <w:tcW w:w="1459" w:type="pct"/>
            <w:shd w:val="clear" w:color="auto" w:fill="auto"/>
            <w:noWrap/>
            <w:vAlign w:val="center"/>
            <w:hideMark/>
          </w:tcPr>
          <w:p w:rsidR="00AF4350" w:rsidRPr="008048CB" w:rsidRDefault="00AF4350" w:rsidP="008048CB">
            <w:pPr>
              <w:ind w:left="-78" w:right="171"/>
              <w:jc w:val="right"/>
              <w:rPr>
                <w:rFonts w:eastAsia="Arial Unicode MS"/>
                <w:sz w:val="18"/>
                <w:lang w:eastAsia="cs-CZ"/>
              </w:rPr>
            </w:pPr>
            <w:r w:rsidRPr="008048CB">
              <w:rPr>
                <w:rFonts w:eastAsia="Arial Unicode MS"/>
                <w:sz w:val="18"/>
                <w:lang w:eastAsia="cs-CZ"/>
              </w:rPr>
              <w:t>3</w:t>
            </w:r>
          </w:p>
        </w:tc>
        <w:tc>
          <w:tcPr>
            <w:tcW w:w="1780" w:type="pct"/>
            <w:shd w:val="clear" w:color="auto" w:fill="auto"/>
            <w:noWrap/>
            <w:vAlign w:val="center"/>
            <w:hideMark/>
          </w:tcPr>
          <w:p w:rsidR="00AF4350" w:rsidRPr="008048CB" w:rsidRDefault="00AF4350" w:rsidP="008048CB">
            <w:pPr>
              <w:ind w:right="136"/>
              <w:jc w:val="right"/>
              <w:rPr>
                <w:rFonts w:eastAsia="Arial Unicode MS"/>
                <w:sz w:val="18"/>
                <w:lang w:eastAsia="cs-CZ"/>
              </w:rPr>
            </w:pPr>
            <w:r w:rsidRPr="008048CB">
              <w:rPr>
                <w:rFonts w:eastAsia="Arial Unicode MS"/>
                <w:sz w:val="18"/>
                <w:lang w:eastAsia="cs-CZ"/>
              </w:rPr>
              <w:t>866 000</w:t>
            </w:r>
          </w:p>
        </w:tc>
      </w:tr>
      <w:tr w:rsidR="00AF4350" w:rsidRPr="003F7FBF" w:rsidTr="008048CB">
        <w:trPr>
          <w:trHeight w:val="397"/>
        </w:trPr>
        <w:tc>
          <w:tcPr>
            <w:tcW w:w="1761" w:type="pct"/>
            <w:shd w:val="clear" w:color="auto" w:fill="BDD6EE" w:themeFill="accent1" w:themeFillTint="66"/>
            <w:noWrap/>
            <w:vAlign w:val="center"/>
          </w:tcPr>
          <w:p w:rsidR="00AF4350" w:rsidRPr="008048CB" w:rsidRDefault="00AF4350" w:rsidP="00A34764">
            <w:pPr>
              <w:rPr>
                <w:rFonts w:eastAsia="Arial Unicode MS"/>
                <w:sz w:val="18"/>
                <w:lang w:eastAsia="cs-CZ"/>
              </w:rPr>
            </w:pPr>
            <w:r w:rsidRPr="008048CB">
              <w:rPr>
                <w:rFonts w:eastAsia="Arial Unicode MS"/>
                <w:sz w:val="18"/>
                <w:lang w:eastAsia="cs-CZ"/>
              </w:rPr>
              <w:t xml:space="preserve">Nezařazené služby v síti </w:t>
            </w:r>
          </w:p>
        </w:tc>
        <w:tc>
          <w:tcPr>
            <w:tcW w:w="1459" w:type="pct"/>
            <w:shd w:val="clear" w:color="auto" w:fill="auto"/>
            <w:noWrap/>
            <w:vAlign w:val="center"/>
          </w:tcPr>
          <w:p w:rsidR="00AF4350" w:rsidRPr="008048CB" w:rsidRDefault="00AF4350" w:rsidP="008048CB">
            <w:pPr>
              <w:ind w:left="-78" w:right="171"/>
              <w:jc w:val="right"/>
              <w:rPr>
                <w:rFonts w:eastAsia="Arial Unicode MS"/>
                <w:sz w:val="18"/>
                <w:lang w:eastAsia="cs-CZ"/>
              </w:rPr>
            </w:pPr>
            <w:r w:rsidRPr="008048CB">
              <w:rPr>
                <w:rFonts w:eastAsia="Arial Unicode MS"/>
                <w:sz w:val="18"/>
                <w:lang w:eastAsia="cs-CZ"/>
              </w:rPr>
              <w:t>1</w:t>
            </w:r>
          </w:p>
        </w:tc>
        <w:tc>
          <w:tcPr>
            <w:tcW w:w="1780" w:type="pct"/>
            <w:shd w:val="clear" w:color="auto" w:fill="auto"/>
            <w:noWrap/>
            <w:vAlign w:val="center"/>
          </w:tcPr>
          <w:p w:rsidR="00AF4350" w:rsidRPr="008048CB" w:rsidRDefault="00AF4350" w:rsidP="008048CB">
            <w:pPr>
              <w:ind w:right="136"/>
              <w:jc w:val="right"/>
              <w:rPr>
                <w:rFonts w:eastAsia="Arial Unicode MS"/>
                <w:sz w:val="18"/>
                <w:lang w:eastAsia="cs-CZ"/>
              </w:rPr>
            </w:pPr>
            <w:r w:rsidRPr="008048CB">
              <w:rPr>
                <w:rFonts w:eastAsia="Arial Unicode MS"/>
                <w:sz w:val="18"/>
                <w:lang w:eastAsia="cs-CZ"/>
              </w:rPr>
              <w:t>60 000</w:t>
            </w:r>
          </w:p>
        </w:tc>
      </w:tr>
      <w:tr w:rsidR="00AF4350" w:rsidRPr="003F7FBF" w:rsidTr="008048CB">
        <w:trPr>
          <w:trHeight w:val="397"/>
        </w:trPr>
        <w:tc>
          <w:tcPr>
            <w:tcW w:w="1761" w:type="pct"/>
            <w:shd w:val="clear" w:color="auto" w:fill="BDD6EE" w:themeFill="accent1" w:themeFillTint="66"/>
            <w:vAlign w:val="center"/>
            <w:hideMark/>
          </w:tcPr>
          <w:p w:rsidR="00AF4350" w:rsidRPr="008048CB" w:rsidRDefault="00AF4350" w:rsidP="00A34764">
            <w:pPr>
              <w:rPr>
                <w:rFonts w:eastAsia="Arial Unicode MS"/>
                <w:sz w:val="18"/>
                <w:lang w:eastAsia="cs-CZ"/>
              </w:rPr>
            </w:pPr>
            <w:r w:rsidRPr="008048CB">
              <w:rPr>
                <w:rFonts w:eastAsia="Arial Unicode MS"/>
                <w:sz w:val="18"/>
                <w:lang w:eastAsia="cs-CZ"/>
              </w:rPr>
              <w:t xml:space="preserve"> Celkový součet </w:t>
            </w:r>
          </w:p>
        </w:tc>
        <w:tc>
          <w:tcPr>
            <w:tcW w:w="1459" w:type="pct"/>
            <w:shd w:val="clear" w:color="auto" w:fill="auto"/>
            <w:noWrap/>
            <w:vAlign w:val="center"/>
            <w:hideMark/>
          </w:tcPr>
          <w:p w:rsidR="00AF4350" w:rsidRPr="008048CB" w:rsidRDefault="00AF4350" w:rsidP="008048CB">
            <w:pPr>
              <w:ind w:left="-78" w:right="171"/>
              <w:jc w:val="right"/>
              <w:rPr>
                <w:rFonts w:eastAsia="Arial Unicode MS"/>
                <w:sz w:val="18"/>
                <w:lang w:eastAsia="cs-CZ"/>
              </w:rPr>
            </w:pPr>
            <w:r w:rsidRPr="008048CB">
              <w:rPr>
                <w:rFonts w:eastAsia="Arial Unicode MS"/>
                <w:sz w:val="18"/>
                <w:lang w:eastAsia="cs-CZ"/>
              </w:rPr>
              <w:t>144</w:t>
            </w:r>
          </w:p>
        </w:tc>
        <w:tc>
          <w:tcPr>
            <w:tcW w:w="1780" w:type="pct"/>
            <w:shd w:val="clear" w:color="auto" w:fill="auto"/>
            <w:noWrap/>
            <w:vAlign w:val="center"/>
            <w:hideMark/>
          </w:tcPr>
          <w:p w:rsidR="00AF4350" w:rsidRPr="008048CB" w:rsidRDefault="00AF4350" w:rsidP="008048CB">
            <w:pPr>
              <w:ind w:right="136"/>
              <w:jc w:val="right"/>
              <w:rPr>
                <w:rFonts w:eastAsia="Arial Unicode MS"/>
                <w:sz w:val="18"/>
                <w:lang w:eastAsia="cs-CZ"/>
              </w:rPr>
            </w:pPr>
            <w:r w:rsidRPr="008048CB">
              <w:rPr>
                <w:rFonts w:eastAsia="Arial Unicode MS"/>
                <w:sz w:val="18"/>
                <w:lang w:eastAsia="cs-CZ"/>
              </w:rPr>
              <w:t>103 271 403</w:t>
            </w:r>
          </w:p>
        </w:tc>
      </w:tr>
    </w:tbl>
    <w:p w:rsidR="00AF4350" w:rsidRPr="00BA3253" w:rsidRDefault="00AF4350" w:rsidP="00BA3253">
      <w:pPr>
        <w:spacing w:before="0"/>
        <w:rPr>
          <w:rFonts w:eastAsia="Arial Unicode MS"/>
          <w:i/>
          <w:sz w:val="18"/>
          <w:szCs w:val="18"/>
          <w:lang w:eastAsia="cs-CZ"/>
        </w:rPr>
      </w:pPr>
      <w:r w:rsidRPr="00BA3253">
        <w:rPr>
          <w:rFonts w:eastAsia="Arial Unicode MS"/>
          <w:i/>
          <w:sz w:val="18"/>
          <w:szCs w:val="18"/>
          <w:lang w:eastAsia="cs-CZ"/>
        </w:rPr>
        <w:t>Zdroj: interní informace kraje</w:t>
      </w:r>
    </w:p>
    <w:p w:rsidR="00AF4350" w:rsidRPr="0039748C" w:rsidRDefault="00AF4350" w:rsidP="00A34764">
      <w:pPr>
        <w:rPr>
          <w:rFonts w:eastAsia="Arial Unicode MS"/>
          <w:lang w:eastAsia="cs-CZ"/>
        </w:rPr>
      </w:pPr>
      <w:r w:rsidRPr="0039748C">
        <w:rPr>
          <w:rFonts w:eastAsia="Arial Unicode MS"/>
          <w:lang w:eastAsia="cs-CZ"/>
        </w:rPr>
        <w:t xml:space="preserve">Rozdělení alokovaných finančních prostředků ve výši </w:t>
      </w:r>
      <w:r w:rsidRPr="0039748C">
        <w:rPr>
          <w:rFonts w:eastAsia="Arial Unicode MS"/>
          <w:b/>
          <w:lang w:eastAsia="cs-CZ"/>
        </w:rPr>
        <w:t>44 801 591 Kč</w:t>
      </w:r>
      <w:r w:rsidRPr="0039748C">
        <w:rPr>
          <w:rFonts w:eastAsia="Arial Unicode MS"/>
          <w:lang w:eastAsia="cs-CZ"/>
        </w:rPr>
        <w:t xml:space="preserve"> bylo jednotlivým poskytovatelům sociálních služeb schváleno usnesením ZOK č. UZ/21/44/2020 ze dne 22. 6. 2020.</w:t>
      </w:r>
    </w:p>
    <w:p w:rsidR="00AF4350" w:rsidRPr="008048CB" w:rsidRDefault="00AF4350" w:rsidP="00A34764">
      <w:pPr>
        <w:rPr>
          <w:rFonts w:eastAsia="Arial Unicode MS"/>
          <w:b/>
          <w:lang w:eastAsia="cs-CZ"/>
        </w:rPr>
      </w:pPr>
      <w:r w:rsidRPr="008048CB">
        <w:rPr>
          <w:rFonts w:eastAsia="Arial Unicode MS"/>
          <w:b/>
          <w:lang w:eastAsia="cs-CZ"/>
        </w:rPr>
        <w:t>OK v roce 2020 poskytl prostřednictvím Programu finanční podpory poskytování sociálních služeb v Olomouckém kraji, Podprogramu č. 2, dotaci z rozpočtu kraje 42 poskytovatelům sociálních služeb na zajištění 132 sociálních služeb v celkové výši 44 801 591 Kč.</w:t>
      </w:r>
    </w:p>
    <w:p w:rsidR="00AF4350" w:rsidRPr="0039748C" w:rsidRDefault="00AF4350" w:rsidP="00A34764">
      <w:pPr>
        <w:rPr>
          <w:rFonts w:eastAsia="Arial Unicode MS"/>
          <w:lang w:eastAsia="cs-CZ"/>
        </w:rPr>
      </w:pPr>
    </w:p>
    <w:p w:rsidR="00AF4350" w:rsidRPr="008048CB" w:rsidRDefault="00AF4350" w:rsidP="00A34764">
      <w:pPr>
        <w:rPr>
          <w:rFonts w:eastAsia="Arial Unicode MS"/>
          <w:u w:val="single"/>
          <w:lang w:eastAsia="cs-CZ"/>
        </w:rPr>
      </w:pPr>
      <w:r w:rsidRPr="008048CB">
        <w:rPr>
          <w:rFonts w:eastAsia="Arial Unicode MS"/>
          <w:u w:val="single"/>
          <w:lang w:eastAsia="cs-CZ"/>
        </w:rPr>
        <w:t>Dotační rok 2021</w:t>
      </w:r>
    </w:p>
    <w:p w:rsidR="00AF4350" w:rsidRPr="0039748C" w:rsidRDefault="00AF4350" w:rsidP="00A34764">
      <w:pPr>
        <w:rPr>
          <w:rFonts w:eastAsia="Arial Unicode MS"/>
          <w:lang w:eastAsia="cs-CZ"/>
        </w:rPr>
      </w:pPr>
      <w:r w:rsidRPr="0039748C">
        <w:rPr>
          <w:rFonts w:eastAsia="Arial Unicode MS"/>
          <w:lang w:eastAsia="cs-CZ"/>
        </w:rPr>
        <w:t>V rámci Podprogramu č. 2 na rok 2021 byli oprávněnými žadateli poskytovatelé sociálních služeb, které jsou zařazeny do sítě sociálních služeb OK, a to:</w:t>
      </w:r>
    </w:p>
    <w:p w:rsidR="00AF4350" w:rsidRPr="00A34764" w:rsidRDefault="00AF4350" w:rsidP="00A34764">
      <w:pPr>
        <w:pStyle w:val="Odstavecseseznamem"/>
        <w:numPr>
          <w:ilvl w:val="0"/>
          <w:numId w:val="56"/>
        </w:numPr>
      </w:pPr>
      <w:r w:rsidRPr="00A34764">
        <w:t xml:space="preserve">příjemci dotace z Podprogramu č. 1, s výjimkou příspěvkových organizací nebo obcí; </w:t>
      </w:r>
    </w:p>
    <w:p w:rsidR="00AF4350" w:rsidRPr="00A34764" w:rsidRDefault="00AF4350" w:rsidP="00A34764">
      <w:pPr>
        <w:pStyle w:val="Odstavecseseznamem"/>
        <w:numPr>
          <w:ilvl w:val="0"/>
          <w:numId w:val="56"/>
        </w:numPr>
      </w:pPr>
      <w:r w:rsidRPr="00A34764">
        <w:t>poskytovatelé sociálních služeb zařazených do sítě sociálních služeb definované AKČNÍM PLÁNEM na příslušný kalendářní rok financované prostřednictvím Programu podpory B, s výjimkou příspěvkových organizací nebo obcí</w:t>
      </w:r>
      <w:r w:rsidRPr="00A34764">
        <w:rPr>
          <w:lang w:val="en-US"/>
        </w:rPr>
        <w:t>;</w:t>
      </w:r>
    </w:p>
    <w:p w:rsidR="00AF4350" w:rsidRPr="00A34764" w:rsidRDefault="00AF4350" w:rsidP="00A34764">
      <w:pPr>
        <w:pStyle w:val="Odstavecseseznamem"/>
        <w:numPr>
          <w:ilvl w:val="0"/>
          <w:numId w:val="56"/>
        </w:numPr>
      </w:pPr>
      <w:r w:rsidRPr="00A34764">
        <w:t>poskytovatelé sociálních služeb zařazených do sítě sociálních služeb definované AKČNÍM PLÁNEM na příslušný kalendářní rok financované prostřednictvím Individuálního projektu Olomouckého kraje „Azylové domy v Olomouckém kraji I.“, s výjimkou příspěvkových organizací nebo obcí</w:t>
      </w:r>
      <w:r w:rsidRPr="00A34764">
        <w:rPr>
          <w:lang w:val="en-US"/>
        </w:rPr>
        <w:t>.</w:t>
      </w:r>
    </w:p>
    <w:p w:rsidR="00AF4350" w:rsidRPr="008048CB" w:rsidRDefault="00AF4350" w:rsidP="00A34764">
      <w:pPr>
        <w:rPr>
          <w:rFonts w:eastAsia="Arial Unicode MS"/>
          <w:b/>
          <w:lang w:eastAsia="cs-CZ"/>
        </w:rPr>
      </w:pPr>
      <w:r w:rsidRPr="008048CB">
        <w:rPr>
          <w:rFonts w:eastAsia="Arial Unicode MS"/>
          <w:b/>
          <w:lang w:eastAsia="cs-CZ"/>
        </w:rPr>
        <w:t>Původní návrh alokace finančních prostředků do Podprogramu č.</w:t>
      </w:r>
      <w:r w:rsidR="008048CB">
        <w:rPr>
          <w:rFonts w:eastAsia="Arial Unicode MS"/>
          <w:b/>
          <w:lang w:eastAsia="cs-CZ"/>
        </w:rPr>
        <w:t xml:space="preserve"> 2 byl stanoven ve výši 40 mil. </w:t>
      </w:r>
      <w:r w:rsidRPr="008048CB">
        <w:rPr>
          <w:rFonts w:eastAsia="Arial Unicode MS"/>
          <w:b/>
          <w:lang w:eastAsia="cs-CZ"/>
        </w:rPr>
        <w:t>Kč.</w:t>
      </w:r>
    </w:p>
    <w:p w:rsidR="00AF4350" w:rsidRPr="0039748C" w:rsidRDefault="00AF4350" w:rsidP="00A34764">
      <w:pPr>
        <w:rPr>
          <w:rFonts w:eastAsia="Arial Unicode MS"/>
          <w:lang w:eastAsia="cs-CZ"/>
        </w:rPr>
      </w:pPr>
      <w:r w:rsidRPr="0039748C">
        <w:rPr>
          <w:rFonts w:eastAsia="Arial Unicode MS"/>
          <w:lang w:eastAsia="cs-CZ"/>
        </w:rPr>
        <w:t xml:space="preserve">Vyhlášení výzvy pro podávání žádostí do Podprogramu č. 2 bylo zveřejněno v lednu 2021. Lhůta pro podávání elektronických žádostí v systému RAP (portál komunikace pro občany, který slouží m. j. pro podávání žádostí o dotaci z rozpočtu OK) byla stanovena na období od 15. 3. 2021  do 7. 4. 2021, lhůta pro doručení žádostí v analogové/digitální formě byla stanovena do 15. 4. 2021. </w:t>
      </w:r>
    </w:p>
    <w:p w:rsidR="00AF4350" w:rsidRPr="008048CB" w:rsidRDefault="00AF4350" w:rsidP="00A34764">
      <w:pPr>
        <w:rPr>
          <w:rFonts w:eastAsia="Arial Unicode MS"/>
          <w:b/>
          <w:lang w:eastAsia="cs-CZ"/>
        </w:rPr>
      </w:pPr>
      <w:r w:rsidRPr="008048CB">
        <w:rPr>
          <w:rFonts w:eastAsia="Arial Unicode MS"/>
          <w:b/>
          <w:lang w:eastAsia="cs-CZ"/>
        </w:rPr>
        <w:t xml:space="preserve">Podmínky vyhlášeného dotačního řízení dle Programu, Podprogramu č. 2 splnilo 48 podaných žádostí poskytovatelů sociálních služeb na podporu celkem 153 služeb; souhrnná výše požadavků na dotaci činila 106 128 182 Kč. </w:t>
      </w:r>
    </w:p>
    <w:p w:rsidR="00AF4350" w:rsidRPr="0039748C" w:rsidRDefault="00AF4350" w:rsidP="00A34764">
      <w:pPr>
        <w:rPr>
          <w:rFonts w:eastAsia="Arial Unicode MS"/>
          <w:lang w:eastAsia="cs-CZ"/>
        </w:rPr>
      </w:pPr>
      <w:r w:rsidRPr="0039748C">
        <w:rPr>
          <w:rFonts w:eastAsia="Arial Unicode MS"/>
          <w:lang w:eastAsia="cs-CZ"/>
        </w:rPr>
        <w:lastRenderedPageBreak/>
        <w:t>Souhrn požadavků na dotaci v rámci Podprogramu č. 2 v členění dle způsobu fin</w:t>
      </w:r>
      <w:r>
        <w:rPr>
          <w:rFonts w:eastAsia="Arial Unicode MS"/>
          <w:lang w:eastAsia="cs-CZ"/>
        </w:rPr>
        <w:t>ancování je uveden v tabulce</w:t>
      </w:r>
      <w:r w:rsidRPr="0039748C">
        <w:rPr>
          <w:rFonts w:eastAsia="Arial Unicode MS"/>
          <w:lang w:eastAsia="cs-CZ"/>
        </w:rPr>
        <w:t>.</w:t>
      </w:r>
    </w:p>
    <w:p w:rsidR="00AF4350" w:rsidRDefault="00AF4350" w:rsidP="008048CB">
      <w:pPr>
        <w:pStyle w:val="popistabulkySPRSS2024"/>
      </w:pPr>
      <w:bookmarkStart w:id="157" w:name="_Toc117607103"/>
      <w:r>
        <w:t xml:space="preserve">Tabulka </w:t>
      </w:r>
      <w:r w:rsidR="00C140D0">
        <w:rPr>
          <w:noProof/>
        </w:rPr>
        <w:fldChar w:fldCharType="begin"/>
      </w:r>
      <w:r w:rsidR="00C140D0">
        <w:rPr>
          <w:noProof/>
        </w:rPr>
        <w:instrText xml:space="preserve"> SEQ Tabulka \* ARABIC </w:instrText>
      </w:r>
      <w:r w:rsidR="00C140D0">
        <w:rPr>
          <w:noProof/>
        </w:rPr>
        <w:fldChar w:fldCharType="separate"/>
      </w:r>
      <w:r w:rsidR="003A12AF">
        <w:rPr>
          <w:noProof/>
        </w:rPr>
        <w:t>43</w:t>
      </w:r>
      <w:r w:rsidR="00C140D0">
        <w:rPr>
          <w:noProof/>
        </w:rPr>
        <w:fldChar w:fldCharType="end"/>
      </w:r>
      <w:r>
        <w:t xml:space="preserve">: </w:t>
      </w:r>
      <w:r w:rsidRPr="001B26BC">
        <w:t>Souhrn požadavků na dotaci 2021</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1" w:themeFillTint="66"/>
        <w:tblCellMar>
          <w:left w:w="0" w:type="dxa"/>
          <w:right w:w="0" w:type="dxa"/>
        </w:tblCellMar>
        <w:tblLook w:val="04A0" w:firstRow="1" w:lastRow="0" w:firstColumn="1" w:lastColumn="0" w:noHBand="0" w:noVBand="1"/>
      </w:tblPr>
      <w:tblGrid>
        <w:gridCol w:w="5383"/>
        <w:gridCol w:w="1415"/>
        <w:gridCol w:w="2264"/>
      </w:tblGrid>
      <w:tr w:rsidR="00AF4350" w:rsidRPr="003F7FBF" w:rsidTr="008048CB">
        <w:trPr>
          <w:trHeight w:val="567"/>
          <w:tblHeader/>
        </w:trPr>
        <w:tc>
          <w:tcPr>
            <w:tcW w:w="2970" w:type="pct"/>
            <w:shd w:val="clear" w:color="auto" w:fill="BDD6EE" w:themeFill="accent1" w:themeFillTint="66"/>
            <w:vAlign w:val="center"/>
            <w:hideMark/>
          </w:tcPr>
          <w:p w:rsidR="00AF4350" w:rsidRPr="008048CB" w:rsidRDefault="00AF4350" w:rsidP="008048CB">
            <w:pPr>
              <w:jc w:val="center"/>
              <w:rPr>
                <w:rFonts w:eastAsia="Arial Unicode MS"/>
                <w:b/>
                <w:sz w:val="18"/>
                <w:lang w:eastAsia="cs-CZ"/>
              </w:rPr>
            </w:pPr>
            <w:r w:rsidRPr="008048CB">
              <w:rPr>
                <w:rFonts w:eastAsia="Arial Unicode MS"/>
                <w:b/>
                <w:sz w:val="18"/>
                <w:lang w:eastAsia="cs-CZ"/>
              </w:rPr>
              <w:t>Způsob financování</w:t>
            </w:r>
          </w:p>
        </w:tc>
        <w:tc>
          <w:tcPr>
            <w:tcW w:w="781" w:type="pct"/>
            <w:shd w:val="clear" w:color="auto" w:fill="BDD6EE" w:themeFill="accent1" w:themeFillTint="66"/>
            <w:vAlign w:val="center"/>
            <w:hideMark/>
          </w:tcPr>
          <w:p w:rsidR="00AF4350" w:rsidRPr="008048CB" w:rsidRDefault="00AF4350" w:rsidP="008048CB">
            <w:pPr>
              <w:jc w:val="center"/>
              <w:rPr>
                <w:rFonts w:eastAsia="Arial Unicode MS"/>
                <w:b/>
                <w:sz w:val="18"/>
                <w:lang w:eastAsia="cs-CZ"/>
              </w:rPr>
            </w:pPr>
            <w:r w:rsidRPr="008048CB">
              <w:rPr>
                <w:rFonts w:eastAsia="Arial Unicode MS"/>
                <w:b/>
                <w:sz w:val="18"/>
                <w:lang w:eastAsia="cs-CZ"/>
              </w:rPr>
              <w:t>Počet služeb</w:t>
            </w:r>
          </w:p>
        </w:tc>
        <w:tc>
          <w:tcPr>
            <w:tcW w:w="1249" w:type="pct"/>
            <w:shd w:val="clear" w:color="auto" w:fill="BDD6EE" w:themeFill="accent1" w:themeFillTint="66"/>
            <w:vAlign w:val="center"/>
            <w:hideMark/>
          </w:tcPr>
          <w:p w:rsidR="00AF4350" w:rsidRPr="008048CB" w:rsidRDefault="00AF4350" w:rsidP="008048CB">
            <w:pPr>
              <w:jc w:val="center"/>
              <w:rPr>
                <w:rFonts w:eastAsia="Arial Unicode MS"/>
                <w:b/>
                <w:sz w:val="18"/>
                <w:lang w:eastAsia="cs-CZ"/>
              </w:rPr>
            </w:pPr>
            <w:r w:rsidRPr="008048CB">
              <w:rPr>
                <w:rFonts w:eastAsia="Arial Unicode MS"/>
                <w:b/>
                <w:sz w:val="18"/>
                <w:lang w:eastAsia="cs-CZ"/>
              </w:rPr>
              <w:t>Požadovaná výše dotace</w:t>
            </w:r>
          </w:p>
        </w:tc>
      </w:tr>
      <w:tr w:rsidR="00AF4350" w:rsidRPr="003F7FBF" w:rsidTr="008048CB">
        <w:trPr>
          <w:trHeight w:val="397"/>
        </w:trPr>
        <w:tc>
          <w:tcPr>
            <w:tcW w:w="2970" w:type="pct"/>
            <w:shd w:val="clear" w:color="auto" w:fill="BDD6EE" w:themeFill="accent1" w:themeFillTint="66"/>
            <w:noWrap/>
            <w:vAlign w:val="center"/>
            <w:hideMark/>
          </w:tcPr>
          <w:p w:rsidR="00AF4350" w:rsidRPr="008048CB" w:rsidRDefault="00AF4350" w:rsidP="00A34764">
            <w:pPr>
              <w:rPr>
                <w:rFonts w:eastAsia="Arial Unicode MS"/>
                <w:sz w:val="18"/>
                <w:lang w:eastAsia="cs-CZ"/>
              </w:rPr>
            </w:pPr>
            <w:r w:rsidRPr="008048CB">
              <w:rPr>
                <w:rFonts w:eastAsia="Arial Unicode MS"/>
                <w:sz w:val="18"/>
                <w:lang w:eastAsia="cs-CZ"/>
              </w:rPr>
              <w:t>Podprogram č. 1</w:t>
            </w:r>
          </w:p>
        </w:tc>
        <w:tc>
          <w:tcPr>
            <w:tcW w:w="781" w:type="pct"/>
            <w:shd w:val="clear" w:color="auto" w:fill="auto"/>
            <w:noWrap/>
            <w:vAlign w:val="center"/>
            <w:hideMark/>
          </w:tcPr>
          <w:p w:rsidR="00AF4350" w:rsidRPr="008048CB" w:rsidRDefault="00AF4350" w:rsidP="008048CB">
            <w:pPr>
              <w:ind w:right="178"/>
              <w:jc w:val="right"/>
              <w:rPr>
                <w:rFonts w:eastAsia="Arial Unicode MS"/>
                <w:sz w:val="18"/>
                <w:lang w:eastAsia="cs-CZ"/>
              </w:rPr>
            </w:pPr>
            <w:r w:rsidRPr="008048CB">
              <w:rPr>
                <w:rFonts w:eastAsia="Arial Unicode MS"/>
                <w:sz w:val="18"/>
                <w:lang w:eastAsia="cs-CZ"/>
              </w:rPr>
              <w:t>136</w:t>
            </w:r>
          </w:p>
        </w:tc>
        <w:tc>
          <w:tcPr>
            <w:tcW w:w="1249" w:type="pct"/>
            <w:shd w:val="clear" w:color="auto" w:fill="auto"/>
            <w:noWrap/>
            <w:vAlign w:val="center"/>
            <w:hideMark/>
          </w:tcPr>
          <w:p w:rsidR="00AF4350" w:rsidRPr="008048CB" w:rsidRDefault="00AF4350" w:rsidP="008048CB">
            <w:pPr>
              <w:ind w:right="136"/>
              <w:jc w:val="right"/>
              <w:rPr>
                <w:rFonts w:eastAsia="Arial Unicode MS"/>
                <w:sz w:val="18"/>
                <w:lang w:eastAsia="cs-CZ"/>
              </w:rPr>
            </w:pPr>
            <w:r w:rsidRPr="008048CB">
              <w:rPr>
                <w:rFonts w:eastAsia="Arial Unicode MS"/>
                <w:sz w:val="18"/>
                <w:lang w:eastAsia="cs-CZ"/>
              </w:rPr>
              <w:t>98 547 737</w:t>
            </w:r>
          </w:p>
        </w:tc>
      </w:tr>
      <w:tr w:rsidR="00AF4350" w:rsidRPr="003F7FBF" w:rsidTr="008048CB">
        <w:trPr>
          <w:trHeight w:val="397"/>
        </w:trPr>
        <w:tc>
          <w:tcPr>
            <w:tcW w:w="2970" w:type="pct"/>
            <w:shd w:val="clear" w:color="auto" w:fill="BDD6EE" w:themeFill="accent1" w:themeFillTint="66"/>
            <w:noWrap/>
            <w:vAlign w:val="center"/>
            <w:hideMark/>
          </w:tcPr>
          <w:p w:rsidR="00AF4350" w:rsidRPr="008048CB" w:rsidRDefault="00AF4350" w:rsidP="00A34764">
            <w:pPr>
              <w:rPr>
                <w:rFonts w:eastAsia="Arial Unicode MS"/>
                <w:sz w:val="18"/>
                <w:lang w:eastAsia="cs-CZ"/>
              </w:rPr>
            </w:pPr>
            <w:r w:rsidRPr="008048CB">
              <w:rPr>
                <w:rFonts w:eastAsia="Arial Unicode MS"/>
                <w:sz w:val="18"/>
                <w:lang w:eastAsia="cs-CZ"/>
              </w:rPr>
              <w:t>Program podpory B</w:t>
            </w:r>
          </w:p>
        </w:tc>
        <w:tc>
          <w:tcPr>
            <w:tcW w:w="781" w:type="pct"/>
            <w:shd w:val="clear" w:color="auto" w:fill="auto"/>
            <w:noWrap/>
            <w:vAlign w:val="center"/>
            <w:hideMark/>
          </w:tcPr>
          <w:p w:rsidR="00AF4350" w:rsidRPr="008048CB" w:rsidRDefault="00AF4350" w:rsidP="008048CB">
            <w:pPr>
              <w:ind w:right="178"/>
              <w:jc w:val="right"/>
              <w:rPr>
                <w:rFonts w:eastAsia="Arial Unicode MS"/>
                <w:sz w:val="18"/>
                <w:lang w:eastAsia="cs-CZ"/>
              </w:rPr>
            </w:pPr>
            <w:r w:rsidRPr="008048CB">
              <w:rPr>
                <w:rFonts w:eastAsia="Arial Unicode MS"/>
                <w:sz w:val="18"/>
                <w:lang w:eastAsia="cs-CZ"/>
              </w:rPr>
              <w:t>4</w:t>
            </w:r>
          </w:p>
        </w:tc>
        <w:tc>
          <w:tcPr>
            <w:tcW w:w="1249" w:type="pct"/>
            <w:shd w:val="clear" w:color="auto" w:fill="auto"/>
            <w:noWrap/>
            <w:vAlign w:val="center"/>
            <w:hideMark/>
          </w:tcPr>
          <w:p w:rsidR="00AF4350" w:rsidRPr="008048CB" w:rsidRDefault="00AF4350" w:rsidP="008048CB">
            <w:pPr>
              <w:ind w:right="136"/>
              <w:jc w:val="right"/>
              <w:rPr>
                <w:rFonts w:eastAsia="Arial Unicode MS"/>
                <w:sz w:val="18"/>
                <w:lang w:eastAsia="cs-CZ"/>
              </w:rPr>
            </w:pPr>
            <w:r w:rsidRPr="008048CB">
              <w:rPr>
                <w:rFonts w:eastAsia="Arial Unicode MS"/>
                <w:sz w:val="18"/>
                <w:lang w:eastAsia="cs-CZ"/>
              </w:rPr>
              <w:t>698 999</w:t>
            </w:r>
          </w:p>
        </w:tc>
      </w:tr>
      <w:tr w:rsidR="00AF4350" w:rsidRPr="003F7FBF" w:rsidTr="008048CB">
        <w:trPr>
          <w:trHeight w:val="397"/>
        </w:trPr>
        <w:tc>
          <w:tcPr>
            <w:tcW w:w="2970" w:type="pct"/>
            <w:shd w:val="clear" w:color="auto" w:fill="BDD6EE" w:themeFill="accent1" w:themeFillTint="66"/>
            <w:noWrap/>
            <w:vAlign w:val="center"/>
          </w:tcPr>
          <w:p w:rsidR="00AF4350" w:rsidRPr="008048CB" w:rsidRDefault="00AF4350" w:rsidP="00A34764">
            <w:pPr>
              <w:rPr>
                <w:rFonts w:eastAsia="Arial Unicode MS"/>
                <w:sz w:val="18"/>
                <w:lang w:eastAsia="cs-CZ"/>
              </w:rPr>
            </w:pPr>
            <w:r w:rsidRPr="008048CB">
              <w:rPr>
                <w:rFonts w:eastAsia="Arial Unicode MS"/>
                <w:sz w:val="18"/>
                <w:lang w:eastAsia="cs-CZ"/>
              </w:rPr>
              <w:t>IP Olomouckého kraje "Azylové domy v Olomouckém kraji I." (IP)</w:t>
            </w:r>
          </w:p>
        </w:tc>
        <w:tc>
          <w:tcPr>
            <w:tcW w:w="781" w:type="pct"/>
            <w:shd w:val="clear" w:color="auto" w:fill="auto"/>
            <w:noWrap/>
            <w:vAlign w:val="center"/>
          </w:tcPr>
          <w:p w:rsidR="00AF4350" w:rsidRPr="008048CB" w:rsidRDefault="00AF4350" w:rsidP="008048CB">
            <w:pPr>
              <w:ind w:right="178"/>
              <w:jc w:val="right"/>
              <w:rPr>
                <w:rFonts w:eastAsia="Arial Unicode MS"/>
                <w:sz w:val="18"/>
                <w:lang w:eastAsia="cs-CZ"/>
              </w:rPr>
            </w:pPr>
            <w:r w:rsidRPr="008048CB">
              <w:rPr>
                <w:rFonts w:eastAsia="Arial Unicode MS"/>
                <w:sz w:val="18"/>
                <w:lang w:eastAsia="cs-CZ"/>
              </w:rPr>
              <w:t>12</w:t>
            </w:r>
          </w:p>
        </w:tc>
        <w:tc>
          <w:tcPr>
            <w:tcW w:w="1249" w:type="pct"/>
            <w:shd w:val="clear" w:color="auto" w:fill="auto"/>
            <w:noWrap/>
            <w:vAlign w:val="center"/>
          </w:tcPr>
          <w:p w:rsidR="00AF4350" w:rsidRPr="008048CB" w:rsidRDefault="00AF4350" w:rsidP="008048CB">
            <w:pPr>
              <w:ind w:right="136"/>
              <w:jc w:val="right"/>
              <w:rPr>
                <w:rFonts w:eastAsia="Arial Unicode MS"/>
                <w:sz w:val="18"/>
                <w:lang w:eastAsia="cs-CZ"/>
              </w:rPr>
            </w:pPr>
            <w:r w:rsidRPr="008048CB">
              <w:rPr>
                <w:rFonts w:eastAsia="Arial Unicode MS"/>
                <w:sz w:val="18"/>
                <w:lang w:eastAsia="cs-CZ"/>
              </w:rPr>
              <w:t>6 624 716</w:t>
            </w:r>
          </w:p>
        </w:tc>
      </w:tr>
      <w:tr w:rsidR="00AF4350" w:rsidRPr="003F7FBF" w:rsidTr="008048CB">
        <w:trPr>
          <w:trHeight w:val="397"/>
        </w:trPr>
        <w:tc>
          <w:tcPr>
            <w:tcW w:w="2970" w:type="pct"/>
            <w:shd w:val="clear" w:color="auto" w:fill="BDD6EE" w:themeFill="accent1" w:themeFillTint="66"/>
            <w:vAlign w:val="center"/>
          </w:tcPr>
          <w:p w:rsidR="00AF4350" w:rsidRPr="008048CB" w:rsidRDefault="00AF4350" w:rsidP="00A34764">
            <w:pPr>
              <w:rPr>
                <w:rFonts w:eastAsia="Arial Unicode MS"/>
                <w:sz w:val="18"/>
                <w:lang w:eastAsia="cs-CZ"/>
              </w:rPr>
            </w:pPr>
            <w:r w:rsidRPr="008048CB">
              <w:rPr>
                <w:rFonts w:eastAsia="Arial Unicode MS"/>
                <w:sz w:val="18"/>
                <w:lang w:eastAsia="cs-CZ"/>
              </w:rPr>
              <w:t>Podprogram č. 1 / IP</w:t>
            </w:r>
          </w:p>
        </w:tc>
        <w:tc>
          <w:tcPr>
            <w:tcW w:w="781" w:type="pct"/>
            <w:shd w:val="clear" w:color="auto" w:fill="auto"/>
            <w:noWrap/>
            <w:vAlign w:val="center"/>
          </w:tcPr>
          <w:p w:rsidR="00AF4350" w:rsidRPr="008048CB" w:rsidRDefault="00AF4350" w:rsidP="008048CB">
            <w:pPr>
              <w:ind w:right="178"/>
              <w:jc w:val="right"/>
              <w:rPr>
                <w:rFonts w:eastAsia="Arial Unicode MS"/>
                <w:sz w:val="18"/>
                <w:lang w:eastAsia="cs-CZ"/>
              </w:rPr>
            </w:pPr>
            <w:r w:rsidRPr="008048CB">
              <w:rPr>
                <w:rFonts w:eastAsia="Arial Unicode MS"/>
                <w:sz w:val="18"/>
                <w:lang w:eastAsia="cs-CZ"/>
              </w:rPr>
              <w:t>1</w:t>
            </w:r>
          </w:p>
        </w:tc>
        <w:tc>
          <w:tcPr>
            <w:tcW w:w="1249" w:type="pct"/>
            <w:shd w:val="clear" w:color="auto" w:fill="auto"/>
            <w:noWrap/>
            <w:vAlign w:val="center"/>
          </w:tcPr>
          <w:p w:rsidR="00AF4350" w:rsidRPr="008048CB" w:rsidRDefault="00AF4350" w:rsidP="008048CB">
            <w:pPr>
              <w:ind w:right="136"/>
              <w:jc w:val="right"/>
              <w:rPr>
                <w:rFonts w:eastAsia="Arial Unicode MS"/>
                <w:sz w:val="18"/>
                <w:lang w:eastAsia="cs-CZ"/>
              </w:rPr>
            </w:pPr>
            <w:r w:rsidRPr="008048CB">
              <w:rPr>
                <w:rFonts w:eastAsia="Arial Unicode MS"/>
                <w:sz w:val="18"/>
                <w:lang w:eastAsia="cs-CZ"/>
              </w:rPr>
              <w:t>256 730</w:t>
            </w:r>
          </w:p>
        </w:tc>
      </w:tr>
      <w:tr w:rsidR="00AF4350" w:rsidRPr="003F7FBF" w:rsidTr="008048CB">
        <w:trPr>
          <w:trHeight w:val="397"/>
        </w:trPr>
        <w:tc>
          <w:tcPr>
            <w:tcW w:w="2970" w:type="pct"/>
            <w:shd w:val="clear" w:color="auto" w:fill="BDD6EE" w:themeFill="accent1" w:themeFillTint="66"/>
            <w:vAlign w:val="center"/>
            <w:hideMark/>
          </w:tcPr>
          <w:p w:rsidR="00AF4350" w:rsidRPr="008048CB" w:rsidRDefault="00AF4350" w:rsidP="00A34764">
            <w:pPr>
              <w:rPr>
                <w:rFonts w:eastAsia="Arial Unicode MS"/>
                <w:sz w:val="18"/>
                <w:lang w:eastAsia="cs-CZ"/>
              </w:rPr>
            </w:pPr>
            <w:r w:rsidRPr="008048CB">
              <w:rPr>
                <w:rFonts w:eastAsia="Arial Unicode MS"/>
                <w:sz w:val="18"/>
                <w:lang w:eastAsia="cs-CZ"/>
              </w:rPr>
              <w:t xml:space="preserve"> Celkový součet </w:t>
            </w:r>
          </w:p>
        </w:tc>
        <w:tc>
          <w:tcPr>
            <w:tcW w:w="781" w:type="pct"/>
            <w:shd w:val="clear" w:color="auto" w:fill="auto"/>
            <w:noWrap/>
            <w:vAlign w:val="center"/>
            <w:hideMark/>
          </w:tcPr>
          <w:p w:rsidR="00AF4350" w:rsidRPr="008048CB" w:rsidRDefault="00AF4350" w:rsidP="008048CB">
            <w:pPr>
              <w:ind w:right="178"/>
              <w:jc w:val="right"/>
              <w:rPr>
                <w:rFonts w:eastAsia="Arial Unicode MS"/>
                <w:sz w:val="18"/>
                <w:lang w:eastAsia="cs-CZ"/>
              </w:rPr>
            </w:pPr>
            <w:r w:rsidRPr="008048CB">
              <w:rPr>
                <w:rFonts w:eastAsia="Arial Unicode MS"/>
                <w:sz w:val="18"/>
                <w:lang w:eastAsia="cs-CZ"/>
              </w:rPr>
              <w:t>153</w:t>
            </w:r>
          </w:p>
        </w:tc>
        <w:tc>
          <w:tcPr>
            <w:tcW w:w="1249" w:type="pct"/>
            <w:shd w:val="clear" w:color="auto" w:fill="auto"/>
            <w:noWrap/>
            <w:vAlign w:val="center"/>
            <w:hideMark/>
          </w:tcPr>
          <w:p w:rsidR="00AF4350" w:rsidRPr="008048CB" w:rsidRDefault="00AF4350" w:rsidP="008048CB">
            <w:pPr>
              <w:ind w:right="136"/>
              <w:jc w:val="right"/>
              <w:rPr>
                <w:rFonts w:eastAsia="Arial Unicode MS"/>
                <w:sz w:val="18"/>
                <w:lang w:eastAsia="cs-CZ"/>
              </w:rPr>
            </w:pPr>
            <w:r w:rsidRPr="008048CB">
              <w:rPr>
                <w:rFonts w:eastAsia="Arial Unicode MS"/>
                <w:sz w:val="18"/>
                <w:lang w:eastAsia="cs-CZ"/>
              </w:rPr>
              <w:t>106 128 182</w:t>
            </w:r>
          </w:p>
        </w:tc>
      </w:tr>
    </w:tbl>
    <w:p w:rsidR="00AF4350" w:rsidRDefault="00AF4350" w:rsidP="008048CB">
      <w:pPr>
        <w:pStyle w:val="Zdrojobjektu"/>
      </w:pPr>
      <w:r w:rsidRPr="003F7FBF">
        <w:t>Zdroj: interní informace kraje</w:t>
      </w:r>
    </w:p>
    <w:p w:rsidR="00AF4350" w:rsidRPr="0039748C" w:rsidRDefault="00AF4350" w:rsidP="00A34764">
      <w:pPr>
        <w:rPr>
          <w:rFonts w:eastAsia="Arial Unicode MS"/>
          <w:lang w:eastAsia="cs-CZ"/>
        </w:rPr>
      </w:pPr>
      <w:r w:rsidRPr="0039748C">
        <w:rPr>
          <w:rFonts w:eastAsia="Arial Unicode MS"/>
          <w:lang w:eastAsia="cs-CZ"/>
        </w:rPr>
        <w:t>Podané žádosti byly po formální stránce zkontrolovány a byla jim vypočtena výše podpory jednotlivých sociálních služeb v souladu se schváleným Podprogramem č. 2.</w:t>
      </w:r>
    </w:p>
    <w:p w:rsidR="00AF4350" w:rsidRPr="008048CB" w:rsidRDefault="00AF4350" w:rsidP="00A34764">
      <w:pPr>
        <w:rPr>
          <w:rFonts w:eastAsia="Arial Unicode MS"/>
          <w:b/>
          <w:lang w:eastAsia="cs-CZ"/>
        </w:rPr>
      </w:pPr>
      <w:r w:rsidRPr="008048CB">
        <w:rPr>
          <w:rFonts w:eastAsia="Arial Unicode MS"/>
          <w:b/>
          <w:lang w:eastAsia="cs-CZ"/>
        </w:rPr>
        <w:t xml:space="preserve">Z důvodu zajištění stability sítě sociálních služeb byla alokace navýšena o další 4 mil. Kč na celkovou částku 44 mil. Kč. </w:t>
      </w:r>
    </w:p>
    <w:p w:rsidR="00AF4350" w:rsidRPr="0039748C" w:rsidRDefault="00AF4350" w:rsidP="00A34764">
      <w:pPr>
        <w:rPr>
          <w:rFonts w:eastAsia="Arial Unicode MS"/>
          <w:lang w:eastAsia="cs-CZ"/>
        </w:rPr>
      </w:pPr>
      <w:r w:rsidRPr="0039748C">
        <w:rPr>
          <w:rFonts w:eastAsia="Arial Unicode MS"/>
          <w:lang w:eastAsia="cs-CZ"/>
        </w:rPr>
        <w:t>Výpočet výše dotace jednotlivým sociálním službám byl realizován rovným a transparentním způsobem, který reflektoval již schválenou výši dotace jednotlivým sociálním službám v rámci Podprogramu č. 2.</w:t>
      </w:r>
    </w:p>
    <w:p w:rsidR="00AF4350" w:rsidRPr="008048CB" w:rsidRDefault="00AF4350" w:rsidP="00A34764">
      <w:pPr>
        <w:rPr>
          <w:rFonts w:eastAsia="Arial Unicode MS"/>
          <w:b/>
          <w:lang w:eastAsia="cs-CZ"/>
        </w:rPr>
      </w:pPr>
      <w:r w:rsidRPr="008048CB">
        <w:rPr>
          <w:rFonts w:eastAsia="Arial Unicode MS"/>
          <w:b/>
          <w:lang w:eastAsia="cs-CZ"/>
        </w:rPr>
        <w:t xml:space="preserve">OK v roce 2021 poskytl prostřednictvím Programu finanční podpory poskytování sociálních služeb v Olomouckém kraji, Podprogramu č. 2, dotaci z rozpočtu kraje 47 poskytovatelům sociálních služeb na zajištění 137 sociálních služeb v celkové výši </w:t>
      </w:r>
      <w:r w:rsidRPr="008048CB">
        <w:rPr>
          <w:rFonts w:eastAsia="Arial Unicode MS"/>
          <w:b/>
          <w:bCs/>
          <w:lang w:eastAsia="cs-CZ"/>
        </w:rPr>
        <w:t>44 000 000 Kč.</w:t>
      </w:r>
    </w:p>
    <w:p w:rsidR="00AF4350" w:rsidRPr="008048CB" w:rsidRDefault="00AF4350" w:rsidP="008048CB">
      <w:pPr>
        <w:pStyle w:val="Tun"/>
        <w:rPr>
          <w:b w:val="0"/>
          <w:u w:val="single"/>
        </w:rPr>
      </w:pPr>
      <w:r w:rsidRPr="008048CB">
        <w:rPr>
          <w:b w:val="0"/>
          <w:u w:val="single"/>
        </w:rPr>
        <w:t>Souhrn</w:t>
      </w:r>
    </w:p>
    <w:p w:rsidR="00AF4350" w:rsidRPr="0039748C" w:rsidRDefault="00AF4350" w:rsidP="00A34764">
      <w:pPr>
        <w:rPr>
          <w:rFonts w:ascii="Arial" w:eastAsia="Arial Unicode MS" w:hAnsi="Arial" w:cs="Arial"/>
          <w:sz w:val="24"/>
          <w:szCs w:val="24"/>
          <w:lang w:eastAsia="cs-CZ"/>
        </w:rPr>
      </w:pPr>
      <w:r w:rsidRPr="0039748C">
        <w:rPr>
          <w:rFonts w:eastAsia="Arial Unicode MS"/>
          <w:lang w:eastAsia="cs-CZ"/>
        </w:rPr>
        <w:t>Přehledný souhrn informací týkajících se Podprogramu č. 2 v letech 2019</w:t>
      </w:r>
      <w:r>
        <w:rPr>
          <w:rFonts w:eastAsia="Arial Unicode MS"/>
          <w:lang w:eastAsia="cs-CZ"/>
        </w:rPr>
        <w:t>–2021 je uveden v tabulce</w:t>
      </w:r>
      <w:r w:rsidRPr="0039748C">
        <w:rPr>
          <w:rFonts w:ascii="Arial" w:eastAsia="Arial Unicode MS" w:hAnsi="Arial" w:cs="Arial"/>
          <w:sz w:val="24"/>
          <w:szCs w:val="24"/>
          <w:lang w:eastAsia="cs-CZ"/>
        </w:rPr>
        <w:t>.</w:t>
      </w:r>
    </w:p>
    <w:p w:rsidR="00AF4350" w:rsidRPr="0039748C" w:rsidRDefault="00AF4350" w:rsidP="008048CB">
      <w:pPr>
        <w:pStyle w:val="popistabulkySPRSS2024"/>
      </w:pPr>
      <w:bookmarkStart w:id="158" w:name="_Toc117607104"/>
      <w:r w:rsidRPr="0039748C">
        <w:t xml:space="preserve">Tabulka </w:t>
      </w:r>
      <w:r w:rsidR="00412C70">
        <w:fldChar w:fldCharType="begin"/>
      </w:r>
      <w:r w:rsidR="00412C70">
        <w:instrText xml:space="preserve"> SEQ Tabulka \* ARABIC </w:instrText>
      </w:r>
      <w:r w:rsidR="00412C70">
        <w:fldChar w:fldCharType="separate"/>
      </w:r>
      <w:r w:rsidR="003A12AF">
        <w:rPr>
          <w:noProof/>
        </w:rPr>
        <w:t>44</w:t>
      </w:r>
      <w:r w:rsidR="00412C70">
        <w:rPr>
          <w:noProof/>
        </w:rPr>
        <w:fldChar w:fldCharType="end"/>
      </w:r>
      <w:r w:rsidRPr="0039748C">
        <w:t xml:space="preserve"> Souhrnné informace k Podprogramu č. 2</w:t>
      </w:r>
      <w:bookmarkEnd w:id="158"/>
    </w:p>
    <w:tbl>
      <w:tblPr>
        <w:tblStyle w:val="Svtlseznamzvraznn1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1609"/>
        <w:gridCol w:w="2193"/>
        <w:gridCol w:w="2191"/>
      </w:tblGrid>
      <w:tr w:rsidR="00AF4350" w:rsidRPr="0039748C" w:rsidTr="008048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3" w:type="pct"/>
            <w:shd w:val="clear" w:color="auto" w:fill="C6D9F1"/>
            <w:noWrap/>
            <w:vAlign w:val="center"/>
          </w:tcPr>
          <w:p w:rsidR="00AF4350" w:rsidRPr="008048CB" w:rsidRDefault="00AF4350" w:rsidP="008048CB">
            <w:pPr>
              <w:spacing w:before="60" w:after="60"/>
              <w:jc w:val="center"/>
              <w:rPr>
                <w:rFonts w:eastAsia="Calibri"/>
                <w:color w:val="auto"/>
                <w:lang w:eastAsia="cs-CZ"/>
              </w:rPr>
            </w:pPr>
            <w:r w:rsidRPr="008048CB">
              <w:rPr>
                <w:rFonts w:eastAsia="Calibri"/>
                <w:color w:val="auto"/>
                <w:lang w:eastAsia="cs-CZ"/>
              </w:rPr>
              <w:t>Údaj</w:t>
            </w:r>
          </w:p>
        </w:tc>
        <w:tc>
          <w:tcPr>
            <w:tcW w:w="888" w:type="pct"/>
            <w:shd w:val="clear" w:color="auto" w:fill="C6D9F1"/>
            <w:vAlign w:val="center"/>
          </w:tcPr>
          <w:p w:rsidR="00AF4350" w:rsidRPr="008048CB" w:rsidRDefault="00AF4350" w:rsidP="008048CB">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olor w:val="auto"/>
                <w:lang w:eastAsia="cs-CZ"/>
              </w:rPr>
            </w:pPr>
            <w:r w:rsidRPr="008048CB">
              <w:rPr>
                <w:rFonts w:eastAsia="Calibri"/>
                <w:color w:val="auto"/>
                <w:lang w:eastAsia="cs-CZ"/>
              </w:rPr>
              <w:t>2019</w:t>
            </w:r>
          </w:p>
        </w:tc>
        <w:tc>
          <w:tcPr>
            <w:tcW w:w="1210" w:type="pct"/>
            <w:shd w:val="clear" w:color="auto" w:fill="C6D9F1"/>
            <w:noWrap/>
            <w:vAlign w:val="center"/>
          </w:tcPr>
          <w:p w:rsidR="00AF4350" w:rsidRPr="008048CB" w:rsidRDefault="00AF4350" w:rsidP="008048CB">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olor w:val="auto"/>
                <w:lang w:eastAsia="cs-CZ"/>
              </w:rPr>
            </w:pPr>
            <w:r w:rsidRPr="008048CB">
              <w:rPr>
                <w:rFonts w:eastAsia="Calibri"/>
                <w:color w:val="auto"/>
                <w:lang w:eastAsia="cs-CZ"/>
              </w:rPr>
              <w:t>2020</w:t>
            </w:r>
          </w:p>
        </w:tc>
        <w:tc>
          <w:tcPr>
            <w:tcW w:w="1209" w:type="pct"/>
            <w:shd w:val="clear" w:color="auto" w:fill="C6D9F1"/>
            <w:vAlign w:val="center"/>
          </w:tcPr>
          <w:p w:rsidR="00AF4350" w:rsidRPr="008048CB" w:rsidRDefault="00AF4350" w:rsidP="008048CB">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olor w:val="auto"/>
                <w:lang w:eastAsia="cs-CZ"/>
              </w:rPr>
            </w:pPr>
            <w:r w:rsidRPr="008048CB">
              <w:rPr>
                <w:rFonts w:eastAsia="Calibri"/>
                <w:color w:val="auto"/>
                <w:lang w:eastAsia="cs-CZ"/>
              </w:rPr>
              <w:t>2021</w:t>
            </w:r>
          </w:p>
        </w:tc>
      </w:tr>
      <w:tr w:rsidR="00AF4350" w:rsidRPr="0039748C" w:rsidTr="008048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3" w:type="pct"/>
            <w:tcBorders>
              <w:top w:val="none" w:sz="0" w:space="0" w:color="auto"/>
              <w:left w:val="none" w:sz="0" w:space="0" w:color="auto"/>
              <w:bottom w:val="none" w:sz="0" w:space="0" w:color="auto"/>
            </w:tcBorders>
            <w:noWrap/>
            <w:vAlign w:val="center"/>
            <w:hideMark/>
          </w:tcPr>
          <w:p w:rsidR="00AF4350" w:rsidRPr="0039748C" w:rsidRDefault="00AF4350" w:rsidP="008048CB">
            <w:pPr>
              <w:spacing w:before="60" w:after="60"/>
              <w:jc w:val="left"/>
              <w:rPr>
                <w:rFonts w:eastAsia="Calibri"/>
                <w:lang w:eastAsia="cs-CZ"/>
              </w:rPr>
            </w:pPr>
            <w:r w:rsidRPr="0039748C">
              <w:rPr>
                <w:rFonts w:eastAsia="Calibri"/>
                <w:lang w:eastAsia="cs-CZ"/>
              </w:rPr>
              <w:t>Podání žádosti – počet služeb</w:t>
            </w:r>
          </w:p>
        </w:tc>
        <w:tc>
          <w:tcPr>
            <w:tcW w:w="888" w:type="pct"/>
            <w:tcBorders>
              <w:top w:val="none" w:sz="0" w:space="0" w:color="auto"/>
              <w:bottom w:val="none" w:sz="0" w:space="0" w:color="auto"/>
            </w:tcBorders>
            <w:vAlign w:val="center"/>
          </w:tcPr>
          <w:p w:rsidR="00AF4350" w:rsidRPr="0039748C" w:rsidRDefault="00AF4350" w:rsidP="008048CB">
            <w:pPr>
              <w:spacing w:before="60" w:after="60"/>
              <w:jc w:val="right"/>
              <w:cnfStyle w:val="000000100000" w:firstRow="0" w:lastRow="0" w:firstColumn="0" w:lastColumn="0" w:oddVBand="0" w:evenVBand="0" w:oddHBand="1" w:evenHBand="0" w:firstRowFirstColumn="0" w:firstRowLastColumn="0" w:lastRowFirstColumn="0" w:lastRowLastColumn="0"/>
              <w:rPr>
                <w:rFonts w:eastAsia="Calibri"/>
                <w:lang w:eastAsia="cs-CZ"/>
              </w:rPr>
            </w:pPr>
            <w:r w:rsidRPr="0039748C">
              <w:rPr>
                <w:rFonts w:eastAsia="Calibri"/>
                <w:lang w:eastAsia="cs-CZ"/>
              </w:rPr>
              <w:t>145</w:t>
            </w:r>
          </w:p>
        </w:tc>
        <w:tc>
          <w:tcPr>
            <w:tcW w:w="1210" w:type="pct"/>
            <w:tcBorders>
              <w:top w:val="none" w:sz="0" w:space="0" w:color="auto"/>
              <w:bottom w:val="none" w:sz="0" w:space="0" w:color="auto"/>
            </w:tcBorders>
            <w:noWrap/>
            <w:vAlign w:val="center"/>
          </w:tcPr>
          <w:p w:rsidR="00AF4350" w:rsidRPr="0039748C" w:rsidRDefault="00AF4350" w:rsidP="008048CB">
            <w:pPr>
              <w:spacing w:before="60" w:after="60"/>
              <w:jc w:val="right"/>
              <w:cnfStyle w:val="000000100000" w:firstRow="0" w:lastRow="0" w:firstColumn="0" w:lastColumn="0" w:oddVBand="0" w:evenVBand="0" w:oddHBand="1" w:evenHBand="0" w:firstRowFirstColumn="0" w:firstRowLastColumn="0" w:lastRowFirstColumn="0" w:lastRowLastColumn="0"/>
              <w:rPr>
                <w:rFonts w:eastAsia="Calibri"/>
                <w:lang w:eastAsia="cs-CZ"/>
              </w:rPr>
            </w:pPr>
            <w:r w:rsidRPr="0039748C">
              <w:rPr>
                <w:rFonts w:eastAsia="Calibri"/>
                <w:lang w:eastAsia="cs-CZ"/>
              </w:rPr>
              <w:t>144</w:t>
            </w:r>
          </w:p>
        </w:tc>
        <w:tc>
          <w:tcPr>
            <w:tcW w:w="1209" w:type="pct"/>
            <w:tcBorders>
              <w:top w:val="none" w:sz="0" w:space="0" w:color="auto"/>
              <w:bottom w:val="none" w:sz="0" w:space="0" w:color="auto"/>
              <w:right w:val="none" w:sz="0" w:space="0" w:color="auto"/>
            </w:tcBorders>
            <w:vAlign w:val="center"/>
          </w:tcPr>
          <w:p w:rsidR="00AF4350" w:rsidRPr="0039748C" w:rsidRDefault="00AF4350" w:rsidP="008048CB">
            <w:pPr>
              <w:spacing w:before="60" w:after="60"/>
              <w:jc w:val="right"/>
              <w:cnfStyle w:val="000000100000" w:firstRow="0" w:lastRow="0" w:firstColumn="0" w:lastColumn="0" w:oddVBand="0" w:evenVBand="0" w:oddHBand="1" w:evenHBand="0" w:firstRowFirstColumn="0" w:firstRowLastColumn="0" w:lastRowFirstColumn="0" w:lastRowLastColumn="0"/>
              <w:rPr>
                <w:rFonts w:eastAsia="Calibri"/>
                <w:lang w:eastAsia="cs-CZ"/>
              </w:rPr>
            </w:pPr>
            <w:r w:rsidRPr="0039748C">
              <w:rPr>
                <w:rFonts w:eastAsia="Calibri"/>
                <w:lang w:eastAsia="cs-CZ"/>
              </w:rPr>
              <w:t>153</w:t>
            </w:r>
          </w:p>
        </w:tc>
      </w:tr>
      <w:tr w:rsidR="00AF4350" w:rsidRPr="0039748C" w:rsidTr="008048CB">
        <w:trPr>
          <w:trHeight w:val="20"/>
        </w:trPr>
        <w:tc>
          <w:tcPr>
            <w:cnfStyle w:val="001000000000" w:firstRow="0" w:lastRow="0" w:firstColumn="1" w:lastColumn="0" w:oddVBand="0" w:evenVBand="0" w:oddHBand="0" w:evenHBand="0" w:firstRowFirstColumn="0" w:firstRowLastColumn="0" w:lastRowFirstColumn="0" w:lastRowLastColumn="0"/>
            <w:tcW w:w="1693" w:type="pct"/>
            <w:noWrap/>
            <w:vAlign w:val="center"/>
            <w:hideMark/>
          </w:tcPr>
          <w:p w:rsidR="00AF4350" w:rsidRPr="0039748C" w:rsidRDefault="00AF4350" w:rsidP="008048CB">
            <w:pPr>
              <w:spacing w:before="60" w:after="60"/>
              <w:jc w:val="left"/>
              <w:rPr>
                <w:rFonts w:eastAsia="Calibri"/>
                <w:lang w:eastAsia="cs-CZ"/>
              </w:rPr>
            </w:pPr>
            <w:r w:rsidRPr="0039748C">
              <w:rPr>
                <w:rFonts w:eastAsia="Calibri"/>
                <w:lang w:eastAsia="cs-CZ"/>
              </w:rPr>
              <w:t>Celková výše požadavku</w:t>
            </w:r>
          </w:p>
        </w:tc>
        <w:tc>
          <w:tcPr>
            <w:tcW w:w="888" w:type="pct"/>
            <w:vAlign w:val="center"/>
          </w:tcPr>
          <w:p w:rsidR="00AF4350" w:rsidRPr="0039748C" w:rsidRDefault="00AF4350" w:rsidP="008048CB">
            <w:pPr>
              <w:spacing w:before="60" w:after="60"/>
              <w:jc w:val="right"/>
              <w:cnfStyle w:val="000000000000" w:firstRow="0" w:lastRow="0" w:firstColumn="0" w:lastColumn="0" w:oddVBand="0" w:evenVBand="0" w:oddHBand="0" w:evenHBand="0" w:firstRowFirstColumn="0" w:firstRowLastColumn="0" w:lastRowFirstColumn="0" w:lastRowLastColumn="0"/>
              <w:rPr>
                <w:rFonts w:eastAsia="Calibri"/>
                <w:lang w:eastAsia="cs-CZ"/>
              </w:rPr>
            </w:pPr>
            <w:r w:rsidRPr="0039748C">
              <w:rPr>
                <w:rFonts w:eastAsia="Calibri"/>
                <w:lang w:eastAsia="cs-CZ"/>
              </w:rPr>
              <w:t>92 470 997 Kč</w:t>
            </w:r>
          </w:p>
        </w:tc>
        <w:tc>
          <w:tcPr>
            <w:tcW w:w="1210" w:type="pct"/>
            <w:noWrap/>
            <w:vAlign w:val="center"/>
          </w:tcPr>
          <w:p w:rsidR="00AF4350" w:rsidRPr="0039748C" w:rsidRDefault="00AF4350" w:rsidP="008048CB">
            <w:pPr>
              <w:spacing w:before="60" w:after="60"/>
              <w:jc w:val="right"/>
              <w:cnfStyle w:val="000000000000" w:firstRow="0" w:lastRow="0" w:firstColumn="0" w:lastColumn="0" w:oddVBand="0" w:evenVBand="0" w:oddHBand="0" w:evenHBand="0" w:firstRowFirstColumn="0" w:firstRowLastColumn="0" w:lastRowFirstColumn="0" w:lastRowLastColumn="0"/>
              <w:rPr>
                <w:rFonts w:eastAsia="Calibri"/>
                <w:lang w:eastAsia="cs-CZ"/>
              </w:rPr>
            </w:pPr>
            <w:r w:rsidRPr="0039748C">
              <w:rPr>
                <w:rFonts w:eastAsia="Calibri"/>
                <w:lang w:eastAsia="cs-CZ"/>
              </w:rPr>
              <w:t xml:space="preserve"> 103 271 403 Kč</w:t>
            </w:r>
          </w:p>
        </w:tc>
        <w:tc>
          <w:tcPr>
            <w:tcW w:w="1209" w:type="pct"/>
            <w:vAlign w:val="center"/>
          </w:tcPr>
          <w:p w:rsidR="00AF4350" w:rsidRPr="0039748C" w:rsidRDefault="00AF4350" w:rsidP="008048CB">
            <w:pPr>
              <w:spacing w:before="60" w:after="60"/>
              <w:jc w:val="right"/>
              <w:cnfStyle w:val="000000000000" w:firstRow="0" w:lastRow="0" w:firstColumn="0" w:lastColumn="0" w:oddVBand="0" w:evenVBand="0" w:oddHBand="0" w:evenHBand="0" w:firstRowFirstColumn="0" w:firstRowLastColumn="0" w:lastRowFirstColumn="0" w:lastRowLastColumn="0"/>
              <w:rPr>
                <w:rFonts w:eastAsia="Calibri"/>
                <w:lang w:eastAsia="cs-CZ"/>
              </w:rPr>
            </w:pPr>
            <w:r w:rsidRPr="0039748C">
              <w:rPr>
                <w:rFonts w:eastAsia="Calibri"/>
                <w:lang w:eastAsia="cs-CZ"/>
              </w:rPr>
              <w:t>106 128 182</w:t>
            </w:r>
          </w:p>
        </w:tc>
      </w:tr>
      <w:tr w:rsidR="00AF4350" w:rsidRPr="0039748C" w:rsidTr="008048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3" w:type="pct"/>
            <w:tcBorders>
              <w:top w:val="none" w:sz="0" w:space="0" w:color="auto"/>
              <w:left w:val="none" w:sz="0" w:space="0" w:color="auto"/>
              <w:bottom w:val="none" w:sz="0" w:space="0" w:color="auto"/>
            </w:tcBorders>
            <w:noWrap/>
            <w:vAlign w:val="center"/>
            <w:hideMark/>
          </w:tcPr>
          <w:p w:rsidR="00AF4350" w:rsidRPr="0039748C" w:rsidRDefault="00AF4350" w:rsidP="008048CB">
            <w:pPr>
              <w:spacing w:before="60" w:after="60"/>
              <w:jc w:val="left"/>
              <w:rPr>
                <w:rFonts w:eastAsia="Calibri"/>
                <w:lang w:eastAsia="cs-CZ"/>
              </w:rPr>
            </w:pPr>
            <w:r w:rsidRPr="0039748C">
              <w:rPr>
                <w:rFonts w:eastAsia="Calibri"/>
                <w:lang w:eastAsia="cs-CZ"/>
              </w:rPr>
              <w:t>Podpořené žádosti – služby</w:t>
            </w:r>
          </w:p>
        </w:tc>
        <w:tc>
          <w:tcPr>
            <w:tcW w:w="888" w:type="pct"/>
            <w:tcBorders>
              <w:top w:val="none" w:sz="0" w:space="0" w:color="auto"/>
              <w:bottom w:val="none" w:sz="0" w:space="0" w:color="auto"/>
            </w:tcBorders>
            <w:vAlign w:val="center"/>
          </w:tcPr>
          <w:p w:rsidR="00AF4350" w:rsidRPr="0039748C" w:rsidRDefault="00AF4350" w:rsidP="008048CB">
            <w:pPr>
              <w:spacing w:before="60" w:after="60"/>
              <w:jc w:val="right"/>
              <w:cnfStyle w:val="000000100000" w:firstRow="0" w:lastRow="0" w:firstColumn="0" w:lastColumn="0" w:oddVBand="0" w:evenVBand="0" w:oddHBand="1" w:evenHBand="0" w:firstRowFirstColumn="0" w:firstRowLastColumn="0" w:lastRowFirstColumn="0" w:lastRowLastColumn="0"/>
              <w:rPr>
                <w:rFonts w:eastAsia="Calibri"/>
                <w:lang w:eastAsia="cs-CZ"/>
              </w:rPr>
            </w:pPr>
            <w:r w:rsidRPr="0039748C">
              <w:rPr>
                <w:rFonts w:eastAsia="Calibri"/>
                <w:lang w:eastAsia="cs-CZ"/>
              </w:rPr>
              <w:t>145</w:t>
            </w:r>
          </w:p>
        </w:tc>
        <w:tc>
          <w:tcPr>
            <w:tcW w:w="1210" w:type="pct"/>
            <w:tcBorders>
              <w:top w:val="none" w:sz="0" w:space="0" w:color="auto"/>
              <w:bottom w:val="none" w:sz="0" w:space="0" w:color="auto"/>
            </w:tcBorders>
            <w:noWrap/>
            <w:vAlign w:val="center"/>
          </w:tcPr>
          <w:p w:rsidR="00AF4350" w:rsidRPr="0039748C" w:rsidRDefault="00AF4350" w:rsidP="008048CB">
            <w:pPr>
              <w:spacing w:before="60" w:after="60"/>
              <w:jc w:val="right"/>
              <w:cnfStyle w:val="000000100000" w:firstRow="0" w:lastRow="0" w:firstColumn="0" w:lastColumn="0" w:oddVBand="0" w:evenVBand="0" w:oddHBand="1" w:evenHBand="0" w:firstRowFirstColumn="0" w:firstRowLastColumn="0" w:lastRowFirstColumn="0" w:lastRowLastColumn="0"/>
              <w:rPr>
                <w:rFonts w:eastAsia="Calibri"/>
                <w:lang w:eastAsia="cs-CZ"/>
              </w:rPr>
            </w:pPr>
            <w:r w:rsidRPr="0039748C">
              <w:rPr>
                <w:rFonts w:eastAsia="Calibri"/>
                <w:lang w:eastAsia="cs-CZ"/>
              </w:rPr>
              <w:t>132</w:t>
            </w:r>
          </w:p>
        </w:tc>
        <w:tc>
          <w:tcPr>
            <w:tcW w:w="1209" w:type="pct"/>
            <w:tcBorders>
              <w:top w:val="none" w:sz="0" w:space="0" w:color="auto"/>
              <w:bottom w:val="none" w:sz="0" w:space="0" w:color="auto"/>
              <w:right w:val="none" w:sz="0" w:space="0" w:color="auto"/>
            </w:tcBorders>
            <w:vAlign w:val="center"/>
          </w:tcPr>
          <w:p w:rsidR="00AF4350" w:rsidRPr="0039748C" w:rsidRDefault="00AF4350" w:rsidP="008048CB">
            <w:pPr>
              <w:spacing w:before="60" w:after="60"/>
              <w:jc w:val="right"/>
              <w:cnfStyle w:val="000000100000" w:firstRow="0" w:lastRow="0" w:firstColumn="0" w:lastColumn="0" w:oddVBand="0" w:evenVBand="0" w:oddHBand="1" w:evenHBand="0" w:firstRowFirstColumn="0" w:firstRowLastColumn="0" w:lastRowFirstColumn="0" w:lastRowLastColumn="0"/>
              <w:rPr>
                <w:rFonts w:eastAsia="Calibri"/>
                <w:lang w:eastAsia="cs-CZ"/>
              </w:rPr>
            </w:pPr>
            <w:r w:rsidRPr="0039748C">
              <w:rPr>
                <w:rFonts w:eastAsia="Calibri"/>
                <w:lang w:eastAsia="cs-CZ"/>
              </w:rPr>
              <w:t>137</w:t>
            </w:r>
          </w:p>
        </w:tc>
      </w:tr>
      <w:tr w:rsidR="00AF4350" w:rsidRPr="0039748C" w:rsidTr="008048CB">
        <w:trPr>
          <w:trHeight w:val="20"/>
        </w:trPr>
        <w:tc>
          <w:tcPr>
            <w:cnfStyle w:val="001000000000" w:firstRow="0" w:lastRow="0" w:firstColumn="1" w:lastColumn="0" w:oddVBand="0" w:evenVBand="0" w:oddHBand="0" w:evenHBand="0" w:firstRowFirstColumn="0" w:firstRowLastColumn="0" w:lastRowFirstColumn="0" w:lastRowLastColumn="0"/>
            <w:tcW w:w="1693" w:type="pct"/>
            <w:noWrap/>
            <w:vAlign w:val="center"/>
            <w:hideMark/>
          </w:tcPr>
          <w:p w:rsidR="00AF4350" w:rsidRPr="0039748C" w:rsidRDefault="00AF4350" w:rsidP="008048CB">
            <w:pPr>
              <w:spacing w:before="60" w:after="60"/>
              <w:jc w:val="left"/>
              <w:rPr>
                <w:rFonts w:eastAsia="Calibri"/>
                <w:lang w:eastAsia="cs-CZ"/>
              </w:rPr>
            </w:pPr>
            <w:r w:rsidRPr="0039748C">
              <w:rPr>
                <w:rFonts w:eastAsia="Calibri"/>
                <w:lang w:eastAsia="cs-CZ"/>
              </w:rPr>
              <w:t>Celková výše podpory</w:t>
            </w:r>
          </w:p>
        </w:tc>
        <w:tc>
          <w:tcPr>
            <w:tcW w:w="888" w:type="pct"/>
            <w:vAlign w:val="center"/>
          </w:tcPr>
          <w:p w:rsidR="00AF4350" w:rsidRPr="0039748C" w:rsidRDefault="00AF4350" w:rsidP="008048CB">
            <w:pPr>
              <w:spacing w:before="60" w:after="60"/>
              <w:jc w:val="right"/>
              <w:cnfStyle w:val="000000000000" w:firstRow="0" w:lastRow="0" w:firstColumn="0" w:lastColumn="0" w:oddVBand="0" w:evenVBand="0" w:oddHBand="0" w:evenHBand="0" w:firstRowFirstColumn="0" w:firstRowLastColumn="0" w:lastRowFirstColumn="0" w:lastRowLastColumn="0"/>
              <w:rPr>
                <w:rFonts w:eastAsia="Calibri"/>
                <w:lang w:eastAsia="cs-CZ"/>
              </w:rPr>
            </w:pPr>
            <w:r w:rsidRPr="0039748C">
              <w:rPr>
                <w:rFonts w:eastAsia="Calibri"/>
                <w:lang w:eastAsia="cs-CZ"/>
              </w:rPr>
              <w:t>70 773 787 Kč</w:t>
            </w:r>
          </w:p>
        </w:tc>
        <w:tc>
          <w:tcPr>
            <w:tcW w:w="1210" w:type="pct"/>
            <w:noWrap/>
            <w:vAlign w:val="center"/>
          </w:tcPr>
          <w:p w:rsidR="00AF4350" w:rsidRPr="0039748C" w:rsidRDefault="00AF4350" w:rsidP="008048CB">
            <w:pPr>
              <w:spacing w:before="60" w:after="60"/>
              <w:jc w:val="right"/>
              <w:cnfStyle w:val="000000000000" w:firstRow="0" w:lastRow="0" w:firstColumn="0" w:lastColumn="0" w:oddVBand="0" w:evenVBand="0" w:oddHBand="0" w:evenHBand="0" w:firstRowFirstColumn="0" w:firstRowLastColumn="0" w:lastRowFirstColumn="0" w:lastRowLastColumn="0"/>
              <w:rPr>
                <w:rFonts w:eastAsia="Calibri"/>
                <w:lang w:eastAsia="cs-CZ"/>
              </w:rPr>
            </w:pPr>
            <w:r w:rsidRPr="0039748C">
              <w:rPr>
                <w:rFonts w:eastAsia="Calibri"/>
                <w:lang w:eastAsia="cs-CZ"/>
              </w:rPr>
              <w:t>44 801 591 Kč</w:t>
            </w:r>
          </w:p>
        </w:tc>
        <w:tc>
          <w:tcPr>
            <w:tcW w:w="1209" w:type="pct"/>
            <w:vAlign w:val="center"/>
          </w:tcPr>
          <w:p w:rsidR="00AF4350" w:rsidRPr="0039748C" w:rsidRDefault="00AF4350" w:rsidP="008048CB">
            <w:pPr>
              <w:spacing w:before="60" w:after="60"/>
              <w:jc w:val="right"/>
              <w:cnfStyle w:val="000000000000" w:firstRow="0" w:lastRow="0" w:firstColumn="0" w:lastColumn="0" w:oddVBand="0" w:evenVBand="0" w:oddHBand="0" w:evenHBand="0" w:firstRowFirstColumn="0" w:firstRowLastColumn="0" w:lastRowFirstColumn="0" w:lastRowLastColumn="0"/>
              <w:rPr>
                <w:rFonts w:eastAsia="Calibri"/>
                <w:lang w:eastAsia="cs-CZ"/>
              </w:rPr>
            </w:pPr>
            <w:r w:rsidRPr="0039748C">
              <w:rPr>
                <w:rFonts w:eastAsia="Calibri"/>
                <w:lang w:eastAsia="cs-CZ"/>
              </w:rPr>
              <w:t>44 000 000</w:t>
            </w:r>
          </w:p>
        </w:tc>
      </w:tr>
    </w:tbl>
    <w:p w:rsidR="00AF4350" w:rsidRPr="003F7FBF" w:rsidRDefault="00AF4350" w:rsidP="008048CB">
      <w:pPr>
        <w:pStyle w:val="Zdrojobjektu"/>
      </w:pPr>
      <w:r w:rsidRPr="003F7FBF">
        <w:t>Zdroj: interní informace kraje</w:t>
      </w:r>
    </w:p>
    <w:p w:rsidR="00AF4350" w:rsidRPr="0039748C" w:rsidRDefault="00AF4350" w:rsidP="00A34764">
      <w:pPr>
        <w:rPr>
          <w:rFonts w:eastAsia="Arial Unicode MS"/>
          <w:lang w:eastAsia="cs-CZ"/>
        </w:rPr>
      </w:pPr>
    </w:p>
    <w:p w:rsidR="00AF4350" w:rsidRPr="00396ACC" w:rsidRDefault="00AF4350" w:rsidP="008048CB">
      <w:pPr>
        <w:keepNext/>
        <w:rPr>
          <w:rFonts w:eastAsia="Arial Unicode MS"/>
          <w:lang w:eastAsia="cs-CZ"/>
        </w:rPr>
      </w:pPr>
      <w:r w:rsidRPr="0039748C">
        <w:rPr>
          <w:rFonts w:eastAsia="Arial Unicode MS"/>
          <w:lang w:eastAsia="cs-CZ"/>
        </w:rPr>
        <w:lastRenderedPageBreak/>
        <w:t>Pro zajímavost a úplnost informací je na tomto místě uveden graf, který shrnuje Informace týkající se Podprogramů č. 1 a 2; sumarizuje výši dotace na poskytování sociálních služeb z Podprogramů č. 1 a 2 od roku 2010 do roku 2021.</w:t>
      </w:r>
    </w:p>
    <w:p w:rsidR="00AF4350" w:rsidRDefault="00AF4350" w:rsidP="008048CB">
      <w:pPr>
        <w:pStyle w:val="popistabulkySPRSS2024"/>
      </w:pPr>
      <w:bookmarkStart w:id="159" w:name="_Toc117607051"/>
      <w:r>
        <w:t xml:space="preserve">Graf </w:t>
      </w:r>
      <w:r w:rsidR="00C140D0">
        <w:rPr>
          <w:noProof/>
        </w:rPr>
        <w:fldChar w:fldCharType="begin"/>
      </w:r>
      <w:r w:rsidR="00C140D0">
        <w:rPr>
          <w:noProof/>
        </w:rPr>
        <w:instrText xml:space="preserve"> SEQ Graf \* ARABIC </w:instrText>
      </w:r>
      <w:r w:rsidR="00C140D0">
        <w:rPr>
          <w:noProof/>
        </w:rPr>
        <w:fldChar w:fldCharType="separate"/>
      </w:r>
      <w:r w:rsidR="003A12AF">
        <w:rPr>
          <w:noProof/>
        </w:rPr>
        <w:t>25</w:t>
      </w:r>
      <w:r w:rsidR="00C140D0">
        <w:rPr>
          <w:noProof/>
        </w:rPr>
        <w:fldChar w:fldCharType="end"/>
      </w:r>
      <w:r>
        <w:t xml:space="preserve">: </w:t>
      </w:r>
      <w:r w:rsidRPr="00396ACC">
        <w:t>Souhrnné informace k Podprogramům č. 1 a 2</w:t>
      </w:r>
      <w:bookmarkEnd w:id="159"/>
    </w:p>
    <w:p w:rsidR="00AF4350" w:rsidRPr="00396ACC" w:rsidRDefault="00AF4350" w:rsidP="00A34764">
      <w:r w:rsidRPr="0039748C">
        <w:rPr>
          <w:rFonts w:eastAsia="Arial Unicode MS"/>
          <w:noProof/>
          <w:lang w:eastAsia="cs-CZ"/>
        </w:rPr>
        <w:drawing>
          <wp:inline distT="0" distB="0" distL="0" distR="0" wp14:anchorId="2FE4F1BE" wp14:editId="7D1ADF2F">
            <wp:extent cx="5716941" cy="3812876"/>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2491" cy="3823247"/>
                    </a:xfrm>
                    <a:prstGeom prst="rect">
                      <a:avLst/>
                    </a:prstGeom>
                    <a:noFill/>
                  </pic:spPr>
                </pic:pic>
              </a:graphicData>
            </a:graphic>
          </wp:inline>
        </w:drawing>
      </w:r>
    </w:p>
    <w:p w:rsidR="00AF4350" w:rsidRPr="003F7FBF" w:rsidRDefault="00AF4350" w:rsidP="008048CB">
      <w:pPr>
        <w:pStyle w:val="Zdrojobjektu"/>
      </w:pPr>
      <w:r w:rsidRPr="003F7FBF">
        <w:t>Zdroj: interní informace kraje</w:t>
      </w:r>
    </w:p>
    <w:p w:rsidR="00AF4350" w:rsidRPr="0039748C" w:rsidRDefault="00AF4350" w:rsidP="00A34764">
      <w:pPr>
        <w:rPr>
          <w:rFonts w:eastAsia="Arial Unicode MS"/>
          <w:lang w:eastAsia="cs-CZ"/>
        </w:rPr>
      </w:pPr>
    </w:p>
    <w:p w:rsidR="00AF4350" w:rsidRPr="008048CB" w:rsidRDefault="00AF4350" w:rsidP="00A34764">
      <w:pPr>
        <w:rPr>
          <w:rFonts w:eastAsia="Arial Unicode MS"/>
          <w:b/>
          <w:lang w:eastAsia="cs-CZ"/>
        </w:rPr>
      </w:pPr>
      <w:r w:rsidRPr="008048CB">
        <w:rPr>
          <w:rFonts w:eastAsia="Arial Unicode MS"/>
          <w:b/>
          <w:lang w:eastAsia="cs-CZ"/>
        </w:rPr>
        <w:t>Podprogram č. 3</w:t>
      </w:r>
    </w:p>
    <w:p w:rsidR="00AF4350" w:rsidRPr="0039748C" w:rsidRDefault="00AF4350" w:rsidP="00A34764">
      <w:pPr>
        <w:rPr>
          <w:rFonts w:eastAsia="Arial Unicode MS"/>
          <w:lang w:eastAsia="cs-CZ"/>
        </w:rPr>
      </w:pPr>
      <w:r w:rsidRPr="0039748C">
        <w:rPr>
          <w:rFonts w:eastAsia="Arial Unicode MS"/>
          <w:lang w:eastAsia="cs-CZ"/>
        </w:rPr>
        <w:t>Účelem podprogramu je finanční zajištění poskytování sociálních služeb poskytovaných příspěvkovými organizacemi zřizovanými OK. Finanční prostředky jsou určeny na pokrytí části neinvestičních nákladů (výdajů) příspěvkových organizací při zajišťování hlavních činností uvedených ve zřizovacích listinách.</w:t>
      </w:r>
    </w:p>
    <w:p w:rsidR="00AF4350" w:rsidRPr="0039748C" w:rsidRDefault="00AF4350" w:rsidP="00A34764">
      <w:pPr>
        <w:rPr>
          <w:rFonts w:eastAsia="Arial Unicode MS"/>
          <w:lang w:eastAsia="cs-CZ"/>
        </w:rPr>
      </w:pPr>
      <w:r w:rsidRPr="0039748C">
        <w:rPr>
          <w:rFonts w:eastAsia="Arial Unicode MS"/>
          <w:lang w:eastAsia="cs-CZ"/>
        </w:rPr>
        <w:t>Přehled poskytnutých příspěvků zřizovatele příspěvkovým organizacím v rámci Podpr</w:t>
      </w:r>
      <w:r>
        <w:rPr>
          <w:rFonts w:eastAsia="Arial Unicode MS"/>
          <w:lang w:eastAsia="cs-CZ"/>
        </w:rPr>
        <w:t>ogramu č. 3 je uveden v tabulce</w:t>
      </w:r>
      <w:r w:rsidRPr="0039748C">
        <w:rPr>
          <w:rFonts w:eastAsia="Arial Unicode MS"/>
          <w:lang w:eastAsia="cs-CZ"/>
        </w:rPr>
        <w:t xml:space="preserve">. </w:t>
      </w:r>
    </w:p>
    <w:p w:rsidR="00AF4350" w:rsidRPr="0039748C" w:rsidRDefault="00AF4350" w:rsidP="008048CB">
      <w:pPr>
        <w:pStyle w:val="popistabulkySPRSS2024"/>
      </w:pPr>
      <w:bookmarkStart w:id="160" w:name="_Toc117607105"/>
      <w:r w:rsidRPr="0039748C">
        <w:lastRenderedPageBreak/>
        <w:t xml:space="preserve">Tabulka </w:t>
      </w:r>
      <w:r w:rsidR="00412C70">
        <w:fldChar w:fldCharType="begin"/>
      </w:r>
      <w:r w:rsidR="00412C70">
        <w:instrText xml:space="preserve"> SEQ Tabulka \* ARABIC </w:instrText>
      </w:r>
      <w:r w:rsidR="00412C70">
        <w:fldChar w:fldCharType="separate"/>
      </w:r>
      <w:r w:rsidR="003A12AF">
        <w:rPr>
          <w:noProof/>
        </w:rPr>
        <w:t>45</w:t>
      </w:r>
      <w:r w:rsidR="00412C70">
        <w:rPr>
          <w:noProof/>
        </w:rPr>
        <w:fldChar w:fldCharType="end"/>
      </w:r>
      <w:r w:rsidRPr="0039748C">
        <w:t xml:space="preserve"> Souhrnné informace k Podprogramu č. 3</w:t>
      </w:r>
      <w:bookmarkEnd w:id="160"/>
    </w:p>
    <w:tbl>
      <w:tblPr>
        <w:tblW w:w="5000" w:type="pct"/>
        <w:tblCellMar>
          <w:left w:w="70" w:type="dxa"/>
          <w:right w:w="70" w:type="dxa"/>
        </w:tblCellMar>
        <w:tblLook w:val="04A0" w:firstRow="1" w:lastRow="0" w:firstColumn="1" w:lastColumn="0" w:noHBand="0" w:noVBand="1"/>
      </w:tblPr>
      <w:tblGrid>
        <w:gridCol w:w="4408"/>
        <w:gridCol w:w="1805"/>
        <w:gridCol w:w="1427"/>
        <w:gridCol w:w="1427"/>
      </w:tblGrid>
      <w:tr w:rsidR="008048CB" w:rsidRPr="008048CB" w:rsidTr="002D18F3">
        <w:trPr>
          <w:trHeight w:val="567"/>
          <w:tblHeader/>
        </w:trPr>
        <w:tc>
          <w:tcPr>
            <w:tcW w:w="2467" w:type="pct"/>
            <w:tcBorders>
              <w:top w:val="nil"/>
              <w:left w:val="nil"/>
              <w:bottom w:val="nil"/>
              <w:right w:val="nil"/>
            </w:tcBorders>
            <w:shd w:val="clear" w:color="auto" w:fill="auto"/>
            <w:noWrap/>
            <w:vAlign w:val="center"/>
            <w:hideMark/>
          </w:tcPr>
          <w:p w:rsidR="008048CB" w:rsidRPr="008048CB" w:rsidRDefault="008048CB" w:rsidP="008048CB">
            <w:pPr>
              <w:keepNext/>
              <w:spacing w:before="0"/>
              <w:jc w:val="left"/>
              <w:rPr>
                <w:rFonts w:cs="Segoe UI"/>
                <w:sz w:val="18"/>
                <w:szCs w:val="18"/>
                <w:lang w:eastAsia="cs-CZ"/>
              </w:rPr>
            </w:pPr>
          </w:p>
        </w:tc>
        <w:tc>
          <w:tcPr>
            <w:tcW w:w="1031"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048CB" w:rsidRPr="008048CB" w:rsidRDefault="008048CB" w:rsidP="008048CB">
            <w:pPr>
              <w:keepNext/>
              <w:spacing w:before="0"/>
              <w:jc w:val="center"/>
              <w:rPr>
                <w:rFonts w:cs="Segoe UI"/>
                <w:b/>
                <w:bCs/>
                <w:color w:val="000000"/>
                <w:sz w:val="18"/>
                <w:szCs w:val="18"/>
                <w:lang w:eastAsia="cs-CZ"/>
              </w:rPr>
            </w:pPr>
            <w:r w:rsidRPr="008048CB">
              <w:rPr>
                <w:rFonts w:cs="Segoe UI"/>
                <w:b/>
                <w:bCs/>
                <w:color w:val="000000"/>
                <w:sz w:val="18"/>
                <w:szCs w:val="18"/>
                <w:lang w:eastAsia="cs-CZ"/>
              </w:rPr>
              <w:t>2019</w:t>
            </w:r>
          </w:p>
        </w:tc>
        <w:tc>
          <w:tcPr>
            <w:tcW w:w="714"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8048CB" w:rsidRPr="008048CB" w:rsidRDefault="008048CB" w:rsidP="008048CB">
            <w:pPr>
              <w:keepNext/>
              <w:spacing w:before="0"/>
              <w:jc w:val="center"/>
              <w:rPr>
                <w:rFonts w:cs="Segoe UI"/>
                <w:b/>
                <w:bCs/>
                <w:color w:val="000000"/>
                <w:sz w:val="18"/>
                <w:szCs w:val="18"/>
                <w:lang w:eastAsia="cs-CZ"/>
              </w:rPr>
            </w:pPr>
            <w:r w:rsidRPr="008048CB">
              <w:rPr>
                <w:rFonts w:cs="Segoe UI"/>
                <w:b/>
                <w:bCs/>
                <w:color w:val="000000"/>
                <w:sz w:val="18"/>
                <w:szCs w:val="18"/>
                <w:lang w:eastAsia="cs-CZ"/>
              </w:rPr>
              <w:t>2020</w:t>
            </w:r>
          </w:p>
        </w:tc>
        <w:tc>
          <w:tcPr>
            <w:tcW w:w="787"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8048CB" w:rsidRPr="008048CB" w:rsidRDefault="008048CB" w:rsidP="008048CB">
            <w:pPr>
              <w:keepNext/>
              <w:spacing w:before="0"/>
              <w:jc w:val="center"/>
              <w:rPr>
                <w:rFonts w:cs="Segoe UI"/>
                <w:b/>
                <w:bCs/>
                <w:color w:val="000000"/>
                <w:sz w:val="18"/>
                <w:szCs w:val="18"/>
                <w:lang w:eastAsia="cs-CZ"/>
              </w:rPr>
            </w:pPr>
            <w:r w:rsidRPr="008048CB">
              <w:rPr>
                <w:rFonts w:cs="Segoe UI"/>
                <w:b/>
                <w:bCs/>
                <w:color w:val="000000"/>
                <w:sz w:val="18"/>
                <w:szCs w:val="18"/>
                <w:lang w:eastAsia="cs-CZ"/>
              </w:rPr>
              <w:t>2021</w:t>
            </w:r>
          </w:p>
        </w:tc>
      </w:tr>
      <w:tr w:rsidR="008048CB" w:rsidRPr="008048CB" w:rsidTr="002D18F3">
        <w:trPr>
          <w:trHeight w:val="567"/>
        </w:trPr>
        <w:tc>
          <w:tcPr>
            <w:tcW w:w="2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left"/>
              <w:rPr>
                <w:rFonts w:cs="Segoe UI"/>
                <w:b/>
                <w:bCs/>
                <w:color w:val="000000"/>
                <w:sz w:val="18"/>
                <w:szCs w:val="18"/>
                <w:lang w:eastAsia="cs-CZ"/>
              </w:rPr>
            </w:pPr>
            <w:r w:rsidRPr="008048CB">
              <w:rPr>
                <w:rFonts w:cs="Segoe UI"/>
                <w:b/>
                <w:bCs/>
                <w:color w:val="000000"/>
                <w:sz w:val="18"/>
                <w:szCs w:val="18"/>
                <w:lang w:eastAsia="cs-CZ"/>
              </w:rPr>
              <w:t>A) Provozní příspěvek:</w:t>
            </w:r>
          </w:p>
        </w:tc>
        <w:tc>
          <w:tcPr>
            <w:tcW w:w="1031" w:type="pct"/>
            <w:tcBorders>
              <w:top w:val="nil"/>
              <w:left w:val="nil"/>
              <w:bottom w:val="single" w:sz="4" w:space="0" w:color="auto"/>
              <w:right w:val="single" w:sz="4" w:space="0" w:color="auto"/>
            </w:tcBorders>
            <w:shd w:val="clear" w:color="auto" w:fill="auto"/>
            <w:vAlign w:val="center"/>
            <w:hideMark/>
          </w:tcPr>
          <w:p w:rsidR="008048CB" w:rsidRPr="008048CB" w:rsidRDefault="008048CB" w:rsidP="008048CB">
            <w:pPr>
              <w:keepNext/>
              <w:spacing w:before="0"/>
              <w:jc w:val="center"/>
              <w:rPr>
                <w:rFonts w:cs="Segoe UI"/>
                <w:color w:val="000000"/>
                <w:sz w:val="18"/>
                <w:szCs w:val="18"/>
                <w:lang w:eastAsia="cs-CZ"/>
              </w:rPr>
            </w:pPr>
            <w:r w:rsidRPr="008048CB">
              <w:rPr>
                <w:rFonts w:cs="Segoe UI"/>
                <w:color w:val="000000"/>
                <w:sz w:val="18"/>
                <w:szCs w:val="18"/>
                <w:lang w:eastAsia="cs-CZ"/>
              </w:rPr>
              <w:t>Použito k 31. 12. 2019</w:t>
            </w:r>
          </w:p>
        </w:tc>
        <w:tc>
          <w:tcPr>
            <w:tcW w:w="714" w:type="pct"/>
            <w:tcBorders>
              <w:top w:val="nil"/>
              <w:left w:val="nil"/>
              <w:bottom w:val="single" w:sz="4" w:space="0" w:color="auto"/>
              <w:right w:val="single" w:sz="4" w:space="0" w:color="auto"/>
            </w:tcBorders>
            <w:shd w:val="clear" w:color="auto" w:fill="auto"/>
            <w:vAlign w:val="center"/>
            <w:hideMark/>
          </w:tcPr>
          <w:p w:rsidR="008048CB" w:rsidRPr="008048CB" w:rsidRDefault="008048CB" w:rsidP="008048CB">
            <w:pPr>
              <w:keepNext/>
              <w:spacing w:before="0"/>
              <w:jc w:val="center"/>
              <w:rPr>
                <w:rFonts w:cs="Segoe UI"/>
                <w:color w:val="000000"/>
                <w:sz w:val="18"/>
                <w:szCs w:val="18"/>
                <w:lang w:eastAsia="cs-CZ"/>
              </w:rPr>
            </w:pPr>
            <w:r w:rsidRPr="008048CB">
              <w:rPr>
                <w:rFonts w:cs="Segoe UI"/>
                <w:color w:val="000000"/>
                <w:sz w:val="18"/>
                <w:szCs w:val="18"/>
                <w:lang w:eastAsia="cs-CZ"/>
              </w:rPr>
              <w:t>Použito k 31. 12. 2020</w:t>
            </w:r>
          </w:p>
        </w:tc>
        <w:tc>
          <w:tcPr>
            <w:tcW w:w="787" w:type="pct"/>
            <w:tcBorders>
              <w:top w:val="nil"/>
              <w:left w:val="nil"/>
              <w:bottom w:val="single" w:sz="4" w:space="0" w:color="auto"/>
              <w:right w:val="single" w:sz="4" w:space="0" w:color="auto"/>
            </w:tcBorders>
            <w:shd w:val="clear" w:color="auto" w:fill="auto"/>
            <w:vAlign w:val="center"/>
            <w:hideMark/>
          </w:tcPr>
          <w:p w:rsidR="008048CB" w:rsidRPr="008048CB" w:rsidRDefault="008048CB" w:rsidP="008048CB">
            <w:pPr>
              <w:keepNext/>
              <w:spacing w:before="0"/>
              <w:jc w:val="center"/>
              <w:rPr>
                <w:rFonts w:cs="Segoe UI"/>
                <w:color w:val="000000"/>
                <w:sz w:val="18"/>
                <w:szCs w:val="18"/>
                <w:lang w:eastAsia="cs-CZ"/>
              </w:rPr>
            </w:pPr>
            <w:r w:rsidRPr="008048CB">
              <w:rPr>
                <w:rFonts w:cs="Segoe UI"/>
                <w:color w:val="000000"/>
                <w:sz w:val="18"/>
                <w:szCs w:val="18"/>
                <w:lang w:eastAsia="cs-CZ"/>
              </w:rPr>
              <w:t>Použito k 31. 12. 2021</w:t>
            </w:r>
          </w:p>
        </w:tc>
      </w:tr>
      <w:tr w:rsidR="008048CB" w:rsidRPr="008048CB" w:rsidTr="002D18F3">
        <w:trPr>
          <w:trHeight w:val="567"/>
        </w:trPr>
        <w:tc>
          <w:tcPr>
            <w:tcW w:w="2467" w:type="pct"/>
            <w:tcBorders>
              <w:top w:val="nil"/>
              <w:left w:val="single" w:sz="4" w:space="0" w:color="auto"/>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ind w:firstLineChars="400" w:firstLine="720"/>
              <w:jc w:val="left"/>
              <w:rPr>
                <w:rFonts w:cs="Segoe UI"/>
                <w:color w:val="000000"/>
                <w:sz w:val="18"/>
                <w:szCs w:val="18"/>
                <w:lang w:eastAsia="cs-CZ"/>
              </w:rPr>
            </w:pPr>
            <w:r w:rsidRPr="008048CB">
              <w:rPr>
                <w:rFonts w:cs="Segoe UI"/>
                <w:color w:val="000000"/>
                <w:sz w:val="18"/>
                <w:szCs w:val="18"/>
                <w:lang w:eastAsia="cs-CZ"/>
              </w:rPr>
              <w:t xml:space="preserve">Příspěvek na provoz </w:t>
            </w:r>
          </w:p>
        </w:tc>
        <w:tc>
          <w:tcPr>
            <w:tcW w:w="1031"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31 731 495,35</w:t>
            </w:r>
          </w:p>
        </w:tc>
        <w:tc>
          <w:tcPr>
            <w:tcW w:w="714"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17 097 616,24</w:t>
            </w:r>
          </w:p>
        </w:tc>
        <w:tc>
          <w:tcPr>
            <w:tcW w:w="787"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18 349 976,38</w:t>
            </w:r>
          </w:p>
        </w:tc>
      </w:tr>
      <w:tr w:rsidR="008048CB" w:rsidRPr="008048CB" w:rsidTr="002D18F3">
        <w:trPr>
          <w:trHeight w:val="567"/>
        </w:trPr>
        <w:tc>
          <w:tcPr>
            <w:tcW w:w="2467" w:type="pct"/>
            <w:tcBorders>
              <w:top w:val="nil"/>
              <w:left w:val="single" w:sz="4" w:space="0" w:color="auto"/>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ind w:firstLineChars="400" w:firstLine="720"/>
              <w:jc w:val="left"/>
              <w:rPr>
                <w:rFonts w:cs="Segoe UI"/>
                <w:color w:val="000000"/>
                <w:sz w:val="18"/>
                <w:szCs w:val="18"/>
                <w:lang w:eastAsia="cs-CZ"/>
              </w:rPr>
            </w:pPr>
            <w:r w:rsidRPr="008048CB">
              <w:rPr>
                <w:rFonts w:cs="Segoe UI"/>
                <w:color w:val="000000"/>
                <w:sz w:val="18"/>
                <w:szCs w:val="18"/>
                <w:lang w:eastAsia="cs-CZ"/>
              </w:rPr>
              <w:t xml:space="preserve">Příspěvek na provoz - mzdové náklady </w:t>
            </w:r>
          </w:p>
        </w:tc>
        <w:tc>
          <w:tcPr>
            <w:tcW w:w="1031"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192 361 929,07</w:t>
            </w:r>
          </w:p>
        </w:tc>
        <w:tc>
          <w:tcPr>
            <w:tcW w:w="714"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251 272 753,21</w:t>
            </w:r>
          </w:p>
        </w:tc>
        <w:tc>
          <w:tcPr>
            <w:tcW w:w="787"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242 922 509,04</w:t>
            </w:r>
          </w:p>
        </w:tc>
      </w:tr>
      <w:tr w:rsidR="008048CB" w:rsidRPr="008048CB" w:rsidTr="002D18F3">
        <w:trPr>
          <w:trHeight w:val="567"/>
        </w:trPr>
        <w:tc>
          <w:tcPr>
            <w:tcW w:w="2467" w:type="pct"/>
            <w:tcBorders>
              <w:top w:val="nil"/>
              <w:left w:val="single" w:sz="4" w:space="0" w:color="auto"/>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ind w:firstLineChars="400" w:firstLine="720"/>
              <w:jc w:val="left"/>
              <w:rPr>
                <w:rFonts w:cs="Segoe UI"/>
                <w:color w:val="000000"/>
                <w:sz w:val="18"/>
                <w:szCs w:val="18"/>
                <w:lang w:eastAsia="cs-CZ"/>
              </w:rPr>
            </w:pPr>
            <w:r w:rsidRPr="008048CB">
              <w:rPr>
                <w:rFonts w:cs="Segoe UI"/>
                <w:color w:val="000000"/>
                <w:sz w:val="18"/>
                <w:szCs w:val="18"/>
                <w:lang w:eastAsia="cs-CZ"/>
              </w:rPr>
              <w:t xml:space="preserve">Příspěvek na provoz - odpisy </w:t>
            </w:r>
          </w:p>
        </w:tc>
        <w:tc>
          <w:tcPr>
            <w:tcW w:w="1031"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57 415 323,67</w:t>
            </w:r>
          </w:p>
        </w:tc>
        <w:tc>
          <w:tcPr>
            <w:tcW w:w="714"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57 486 702,62</w:t>
            </w:r>
          </w:p>
        </w:tc>
        <w:tc>
          <w:tcPr>
            <w:tcW w:w="787"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59 973 294,57</w:t>
            </w:r>
          </w:p>
        </w:tc>
      </w:tr>
      <w:tr w:rsidR="008048CB" w:rsidRPr="008048CB" w:rsidTr="002D18F3">
        <w:trPr>
          <w:trHeight w:val="567"/>
        </w:trPr>
        <w:tc>
          <w:tcPr>
            <w:tcW w:w="2467" w:type="pct"/>
            <w:tcBorders>
              <w:top w:val="nil"/>
              <w:left w:val="single" w:sz="4" w:space="0" w:color="auto"/>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ind w:firstLineChars="400" w:firstLine="720"/>
              <w:jc w:val="left"/>
              <w:rPr>
                <w:rFonts w:cs="Segoe UI"/>
                <w:color w:val="000000"/>
                <w:sz w:val="18"/>
                <w:szCs w:val="18"/>
                <w:lang w:eastAsia="cs-CZ"/>
              </w:rPr>
            </w:pPr>
            <w:r w:rsidRPr="008048CB">
              <w:rPr>
                <w:rFonts w:cs="Segoe UI"/>
                <w:color w:val="000000"/>
                <w:sz w:val="18"/>
                <w:szCs w:val="18"/>
                <w:lang w:eastAsia="cs-CZ"/>
              </w:rPr>
              <w:t xml:space="preserve">Příspěvek na provoz - účelově určený </w:t>
            </w:r>
          </w:p>
        </w:tc>
        <w:tc>
          <w:tcPr>
            <w:tcW w:w="1031"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463 000,00</w:t>
            </w:r>
          </w:p>
        </w:tc>
        <w:tc>
          <w:tcPr>
            <w:tcW w:w="714"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2 125 612,40</w:t>
            </w:r>
          </w:p>
        </w:tc>
        <w:tc>
          <w:tcPr>
            <w:tcW w:w="787"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188 702,79</w:t>
            </w:r>
          </w:p>
        </w:tc>
      </w:tr>
      <w:tr w:rsidR="008048CB" w:rsidRPr="008048CB" w:rsidTr="002D18F3">
        <w:trPr>
          <w:trHeight w:val="567"/>
        </w:trPr>
        <w:tc>
          <w:tcPr>
            <w:tcW w:w="2467" w:type="pct"/>
            <w:tcBorders>
              <w:top w:val="nil"/>
              <w:left w:val="single" w:sz="4" w:space="0" w:color="auto"/>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ind w:firstLineChars="400" w:firstLine="720"/>
              <w:jc w:val="left"/>
              <w:rPr>
                <w:rFonts w:cs="Segoe UI"/>
                <w:color w:val="000000"/>
                <w:sz w:val="18"/>
                <w:szCs w:val="18"/>
                <w:lang w:eastAsia="cs-CZ"/>
              </w:rPr>
            </w:pPr>
            <w:r w:rsidRPr="008048CB">
              <w:rPr>
                <w:rFonts w:cs="Segoe UI"/>
                <w:color w:val="000000"/>
                <w:sz w:val="18"/>
                <w:szCs w:val="18"/>
                <w:lang w:eastAsia="cs-CZ"/>
              </w:rPr>
              <w:t>Příspěvek na provoz - nájemné</w:t>
            </w:r>
          </w:p>
        </w:tc>
        <w:tc>
          <w:tcPr>
            <w:tcW w:w="1031"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                          -</w:t>
            </w:r>
          </w:p>
        </w:tc>
        <w:tc>
          <w:tcPr>
            <w:tcW w:w="714"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w:t>
            </w:r>
          </w:p>
        </w:tc>
        <w:tc>
          <w:tcPr>
            <w:tcW w:w="787"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 </w:t>
            </w:r>
          </w:p>
        </w:tc>
      </w:tr>
      <w:tr w:rsidR="008048CB" w:rsidRPr="008048CB" w:rsidTr="002D18F3">
        <w:trPr>
          <w:trHeight w:val="567"/>
        </w:trPr>
        <w:tc>
          <w:tcPr>
            <w:tcW w:w="2467" w:type="pct"/>
            <w:tcBorders>
              <w:top w:val="nil"/>
              <w:left w:val="single" w:sz="4" w:space="0" w:color="auto"/>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ind w:firstLineChars="400" w:firstLine="720"/>
              <w:jc w:val="left"/>
              <w:rPr>
                <w:rFonts w:cs="Segoe UI"/>
                <w:color w:val="000000"/>
                <w:sz w:val="18"/>
                <w:szCs w:val="18"/>
                <w:lang w:eastAsia="cs-CZ"/>
              </w:rPr>
            </w:pPr>
            <w:r w:rsidRPr="008048CB">
              <w:rPr>
                <w:rFonts w:cs="Segoe UI"/>
                <w:color w:val="000000"/>
                <w:sz w:val="18"/>
                <w:szCs w:val="18"/>
                <w:lang w:eastAsia="cs-CZ"/>
              </w:rPr>
              <w:t>Příspěvek na provoz - pojistné plnění</w:t>
            </w:r>
          </w:p>
        </w:tc>
        <w:tc>
          <w:tcPr>
            <w:tcW w:w="1031"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 </w:t>
            </w:r>
          </w:p>
        </w:tc>
        <w:tc>
          <w:tcPr>
            <w:tcW w:w="714"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 </w:t>
            </w:r>
          </w:p>
        </w:tc>
        <w:tc>
          <w:tcPr>
            <w:tcW w:w="787"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180 398,00</w:t>
            </w:r>
          </w:p>
        </w:tc>
      </w:tr>
      <w:tr w:rsidR="008048CB" w:rsidRPr="008048CB" w:rsidTr="002D18F3">
        <w:trPr>
          <w:trHeight w:val="567"/>
        </w:trPr>
        <w:tc>
          <w:tcPr>
            <w:tcW w:w="2467" w:type="pct"/>
            <w:tcBorders>
              <w:top w:val="nil"/>
              <w:left w:val="single" w:sz="4" w:space="0" w:color="auto"/>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ind w:firstLineChars="400" w:firstLine="720"/>
              <w:jc w:val="left"/>
              <w:rPr>
                <w:rFonts w:cs="Segoe UI"/>
                <w:color w:val="000000"/>
                <w:sz w:val="18"/>
                <w:szCs w:val="18"/>
                <w:lang w:eastAsia="cs-CZ"/>
              </w:rPr>
            </w:pPr>
            <w:r w:rsidRPr="008048CB">
              <w:rPr>
                <w:rFonts w:cs="Segoe UI"/>
                <w:color w:val="000000"/>
                <w:sz w:val="18"/>
                <w:szCs w:val="18"/>
                <w:lang w:eastAsia="cs-CZ"/>
              </w:rPr>
              <w:t>Příspěvek na provoz - opravy</w:t>
            </w:r>
          </w:p>
        </w:tc>
        <w:tc>
          <w:tcPr>
            <w:tcW w:w="1031"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12 805 042,02</w:t>
            </w:r>
          </w:p>
        </w:tc>
        <w:tc>
          <w:tcPr>
            <w:tcW w:w="714"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3 852 751,57</w:t>
            </w:r>
          </w:p>
        </w:tc>
        <w:tc>
          <w:tcPr>
            <w:tcW w:w="787" w:type="pct"/>
            <w:tcBorders>
              <w:top w:val="nil"/>
              <w:left w:val="nil"/>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2 393 661,67</w:t>
            </w:r>
          </w:p>
        </w:tc>
      </w:tr>
      <w:tr w:rsidR="008048CB" w:rsidRPr="008048CB" w:rsidTr="002D18F3">
        <w:trPr>
          <w:trHeight w:val="567"/>
        </w:trPr>
        <w:tc>
          <w:tcPr>
            <w:tcW w:w="2467"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048CB" w:rsidRPr="008048CB" w:rsidRDefault="008048CB" w:rsidP="008048CB">
            <w:pPr>
              <w:keepNext/>
              <w:spacing w:before="0"/>
              <w:jc w:val="left"/>
              <w:rPr>
                <w:rFonts w:cs="Segoe UI"/>
                <w:b/>
                <w:bCs/>
                <w:color w:val="000000"/>
                <w:sz w:val="18"/>
                <w:szCs w:val="18"/>
                <w:lang w:eastAsia="cs-CZ"/>
              </w:rPr>
            </w:pPr>
            <w:r w:rsidRPr="008048CB">
              <w:rPr>
                <w:rFonts w:cs="Segoe UI"/>
                <w:b/>
                <w:bCs/>
                <w:color w:val="000000"/>
                <w:sz w:val="18"/>
                <w:szCs w:val="18"/>
                <w:lang w:eastAsia="cs-CZ"/>
              </w:rPr>
              <w:t>CELKEM provozní příspěvek</w:t>
            </w:r>
          </w:p>
        </w:tc>
        <w:tc>
          <w:tcPr>
            <w:tcW w:w="1031" w:type="pct"/>
            <w:tcBorders>
              <w:top w:val="nil"/>
              <w:left w:val="nil"/>
              <w:bottom w:val="single" w:sz="4" w:space="0" w:color="auto"/>
              <w:right w:val="single" w:sz="4" w:space="0" w:color="auto"/>
            </w:tcBorders>
            <w:shd w:val="clear" w:color="auto" w:fill="BDD6EE" w:themeFill="accent1" w:themeFillTint="66"/>
            <w:noWrap/>
            <w:vAlign w:val="center"/>
            <w:hideMark/>
          </w:tcPr>
          <w:p w:rsidR="008048CB" w:rsidRPr="008048CB" w:rsidRDefault="008048CB" w:rsidP="008048CB">
            <w:pPr>
              <w:keepNext/>
              <w:spacing w:before="0"/>
              <w:jc w:val="right"/>
              <w:rPr>
                <w:rFonts w:cs="Segoe UI"/>
                <w:b/>
                <w:bCs/>
                <w:color w:val="000000"/>
                <w:sz w:val="18"/>
                <w:szCs w:val="18"/>
                <w:lang w:eastAsia="cs-CZ"/>
              </w:rPr>
            </w:pPr>
            <w:r w:rsidRPr="008048CB">
              <w:rPr>
                <w:rFonts w:cs="Segoe UI"/>
                <w:b/>
                <w:bCs/>
                <w:color w:val="000000"/>
                <w:sz w:val="18"/>
                <w:szCs w:val="18"/>
                <w:lang w:eastAsia="cs-CZ"/>
              </w:rPr>
              <w:t>294 776 790,11</w:t>
            </w:r>
          </w:p>
        </w:tc>
        <w:tc>
          <w:tcPr>
            <w:tcW w:w="714" w:type="pct"/>
            <w:tcBorders>
              <w:top w:val="nil"/>
              <w:left w:val="nil"/>
              <w:bottom w:val="single" w:sz="4" w:space="0" w:color="auto"/>
              <w:right w:val="single" w:sz="4" w:space="0" w:color="auto"/>
            </w:tcBorders>
            <w:shd w:val="clear" w:color="auto" w:fill="BDD6EE" w:themeFill="accent1" w:themeFillTint="66"/>
            <w:noWrap/>
            <w:vAlign w:val="center"/>
            <w:hideMark/>
          </w:tcPr>
          <w:p w:rsidR="008048CB" w:rsidRPr="008048CB" w:rsidRDefault="008048CB" w:rsidP="008048CB">
            <w:pPr>
              <w:keepNext/>
              <w:spacing w:before="0"/>
              <w:jc w:val="right"/>
              <w:rPr>
                <w:rFonts w:cs="Segoe UI"/>
                <w:b/>
                <w:bCs/>
                <w:color w:val="000000"/>
                <w:sz w:val="18"/>
                <w:szCs w:val="18"/>
                <w:lang w:eastAsia="cs-CZ"/>
              </w:rPr>
            </w:pPr>
            <w:r w:rsidRPr="008048CB">
              <w:rPr>
                <w:rFonts w:cs="Segoe UI"/>
                <w:b/>
                <w:bCs/>
                <w:color w:val="000000"/>
                <w:sz w:val="18"/>
                <w:szCs w:val="18"/>
                <w:lang w:eastAsia="cs-CZ"/>
              </w:rPr>
              <w:t>331 835 436,04</w:t>
            </w:r>
          </w:p>
        </w:tc>
        <w:tc>
          <w:tcPr>
            <w:tcW w:w="787" w:type="pct"/>
            <w:tcBorders>
              <w:top w:val="nil"/>
              <w:left w:val="nil"/>
              <w:bottom w:val="single" w:sz="4" w:space="0" w:color="auto"/>
              <w:right w:val="single" w:sz="4" w:space="0" w:color="auto"/>
            </w:tcBorders>
            <w:shd w:val="clear" w:color="auto" w:fill="BDD6EE" w:themeFill="accent1" w:themeFillTint="66"/>
            <w:noWrap/>
            <w:vAlign w:val="center"/>
            <w:hideMark/>
          </w:tcPr>
          <w:p w:rsidR="008048CB" w:rsidRPr="008048CB" w:rsidRDefault="008048CB" w:rsidP="008048CB">
            <w:pPr>
              <w:keepNext/>
              <w:spacing w:before="0"/>
              <w:jc w:val="right"/>
              <w:rPr>
                <w:rFonts w:cs="Segoe UI"/>
                <w:b/>
                <w:bCs/>
                <w:color w:val="000000"/>
                <w:sz w:val="18"/>
                <w:szCs w:val="18"/>
                <w:lang w:eastAsia="cs-CZ"/>
              </w:rPr>
            </w:pPr>
            <w:r w:rsidRPr="008048CB">
              <w:rPr>
                <w:rFonts w:cs="Segoe UI"/>
                <w:b/>
                <w:bCs/>
                <w:color w:val="000000"/>
                <w:sz w:val="18"/>
                <w:szCs w:val="18"/>
                <w:lang w:eastAsia="cs-CZ"/>
              </w:rPr>
              <w:t>324 008 542,45</w:t>
            </w:r>
          </w:p>
        </w:tc>
      </w:tr>
      <w:tr w:rsidR="008048CB" w:rsidRPr="008048CB" w:rsidTr="002D18F3">
        <w:trPr>
          <w:trHeight w:val="567"/>
        </w:trPr>
        <w:tc>
          <w:tcPr>
            <w:tcW w:w="2467" w:type="pct"/>
            <w:tcBorders>
              <w:top w:val="nil"/>
              <w:left w:val="single" w:sz="4" w:space="0" w:color="auto"/>
              <w:bottom w:val="single" w:sz="4" w:space="0" w:color="auto"/>
              <w:right w:val="single" w:sz="4" w:space="0" w:color="auto"/>
            </w:tcBorders>
            <w:shd w:val="clear" w:color="auto" w:fill="auto"/>
            <w:noWrap/>
            <w:vAlign w:val="center"/>
            <w:hideMark/>
          </w:tcPr>
          <w:p w:rsidR="008048CB" w:rsidRPr="008048CB" w:rsidRDefault="008048CB" w:rsidP="008048CB">
            <w:pPr>
              <w:keepNext/>
              <w:spacing w:before="0"/>
              <w:jc w:val="left"/>
              <w:rPr>
                <w:rFonts w:cs="Segoe UI"/>
                <w:b/>
                <w:bCs/>
                <w:color w:val="000000"/>
                <w:sz w:val="18"/>
                <w:szCs w:val="18"/>
                <w:lang w:eastAsia="cs-CZ"/>
              </w:rPr>
            </w:pPr>
            <w:r w:rsidRPr="008048CB">
              <w:rPr>
                <w:rFonts w:cs="Segoe UI"/>
                <w:b/>
                <w:bCs/>
                <w:color w:val="000000"/>
                <w:sz w:val="18"/>
                <w:szCs w:val="18"/>
                <w:lang w:eastAsia="cs-CZ"/>
              </w:rPr>
              <w:t>B) Příspěvek na provoz - investice</w:t>
            </w:r>
          </w:p>
        </w:tc>
        <w:tc>
          <w:tcPr>
            <w:tcW w:w="1031" w:type="pct"/>
            <w:tcBorders>
              <w:top w:val="nil"/>
              <w:left w:val="nil"/>
              <w:bottom w:val="single" w:sz="4" w:space="0" w:color="auto"/>
              <w:right w:val="single" w:sz="4" w:space="0" w:color="auto"/>
            </w:tcBorders>
            <w:shd w:val="clear" w:color="auto" w:fill="auto"/>
            <w:noWrap/>
            <w:vAlign w:val="bottom"/>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18 104 655,18</w:t>
            </w:r>
          </w:p>
        </w:tc>
        <w:tc>
          <w:tcPr>
            <w:tcW w:w="714" w:type="pct"/>
            <w:tcBorders>
              <w:top w:val="nil"/>
              <w:left w:val="nil"/>
              <w:bottom w:val="single" w:sz="4" w:space="0" w:color="auto"/>
              <w:right w:val="single" w:sz="4" w:space="0" w:color="auto"/>
            </w:tcBorders>
            <w:shd w:val="clear" w:color="auto" w:fill="auto"/>
            <w:noWrap/>
            <w:vAlign w:val="bottom"/>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12 229 856,45</w:t>
            </w:r>
          </w:p>
        </w:tc>
        <w:tc>
          <w:tcPr>
            <w:tcW w:w="787" w:type="pct"/>
            <w:tcBorders>
              <w:top w:val="nil"/>
              <w:left w:val="nil"/>
              <w:bottom w:val="single" w:sz="4" w:space="0" w:color="auto"/>
              <w:right w:val="single" w:sz="4" w:space="0" w:color="auto"/>
            </w:tcBorders>
            <w:shd w:val="clear" w:color="auto" w:fill="auto"/>
            <w:noWrap/>
            <w:vAlign w:val="bottom"/>
            <w:hideMark/>
          </w:tcPr>
          <w:p w:rsidR="008048CB" w:rsidRPr="008048CB" w:rsidRDefault="008048CB" w:rsidP="008048CB">
            <w:pPr>
              <w:keepNext/>
              <w:spacing w:before="0"/>
              <w:jc w:val="right"/>
              <w:rPr>
                <w:rFonts w:cs="Segoe UI"/>
                <w:color w:val="000000"/>
                <w:sz w:val="18"/>
                <w:szCs w:val="18"/>
                <w:lang w:eastAsia="cs-CZ"/>
              </w:rPr>
            </w:pPr>
            <w:r w:rsidRPr="008048CB">
              <w:rPr>
                <w:rFonts w:cs="Segoe UI"/>
                <w:color w:val="000000"/>
                <w:sz w:val="18"/>
                <w:szCs w:val="18"/>
                <w:lang w:eastAsia="cs-CZ"/>
              </w:rPr>
              <w:t xml:space="preserve">1 186 805,40 </w:t>
            </w:r>
          </w:p>
        </w:tc>
      </w:tr>
    </w:tbl>
    <w:p w:rsidR="00AF4350" w:rsidRPr="003F7FBF" w:rsidRDefault="00AF4350" w:rsidP="008048CB">
      <w:pPr>
        <w:pStyle w:val="Zdrojobjektu"/>
      </w:pPr>
      <w:r w:rsidRPr="003F7FBF">
        <w:t>Zdroj: interní informace kraje</w:t>
      </w:r>
    </w:p>
    <w:p w:rsidR="00AF4350" w:rsidRPr="0039748C" w:rsidRDefault="00AF4350" w:rsidP="00A34764">
      <w:pPr>
        <w:pStyle w:val="Nadpis3"/>
      </w:pPr>
      <w:bookmarkStart w:id="161" w:name="_Toc117606985"/>
      <w:r w:rsidRPr="0039748C">
        <w:t>Financování sociálních služeb prostřednictvím individuálního projektu</w:t>
      </w:r>
      <w:bookmarkEnd w:id="161"/>
    </w:p>
    <w:p w:rsidR="00AF4350" w:rsidRPr="0039748C" w:rsidRDefault="00AF4350" w:rsidP="00A34764">
      <w:pPr>
        <w:rPr>
          <w:rFonts w:eastAsia="Arial Unicode MS"/>
          <w:lang w:eastAsia="cs-CZ"/>
        </w:rPr>
      </w:pPr>
      <w:r w:rsidRPr="0039748C">
        <w:rPr>
          <w:rFonts w:eastAsia="Arial Unicode MS"/>
          <w:lang w:eastAsia="cs-CZ"/>
        </w:rPr>
        <w:t xml:space="preserve">Od 1. 1. 2019 bylo započato financování sociálních služeb azylové domy (§ 57) prostřednictvím individuálního projektu OK „Azylové domy v Olomouckém kraji I“ (registrační číslo projektu: CZ.03.2.60/0.0/0.0/15_005/0010213), který je spolufinancován v rámci Operačního programu Zaměstnanost (dále jen „IP“). </w:t>
      </w:r>
    </w:p>
    <w:p w:rsidR="00AF4350" w:rsidRPr="0039748C" w:rsidRDefault="00AF4350" w:rsidP="00A34764">
      <w:pPr>
        <w:rPr>
          <w:rFonts w:eastAsia="Calibri"/>
          <w:lang w:eastAsia="cs-CZ"/>
        </w:rPr>
      </w:pPr>
      <w:r w:rsidRPr="0039748C">
        <w:rPr>
          <w:rFonts w:eastAsia="Calibri"/>
          <w:lang w:eastAsia="cs-CZ"/>
        </w:rPr>
        <w:t xml:space="preserve">Financování těchto sociálních služeb bylo ukončeno 30. 6. 2022. </w:t>
      </w:r>
    </w:p>
    <w:p w:rsidR="00AF4350" w:rsidRPr="0039748C" w:rsidRDefault="00AF4350" w:rsidP="00A34764">
      <w:pPr>
        <w:rPr>
          <w:rFonts w:ascii="Arial" w:eastAsia="Arial Unicode MS" w:hAnsi="Arial" w:cs="Arial"/>
          <w:sz w:val="24"/>
          <w:szCs w:val="24"/>
          <w:lang w:eastAsia="cs-CZ"/>
        </w:rPr>
      </w:pPr>
      <w:r w:rsidRPr="0039748C">
        <w:rPr>
          <w:rFonts w:eastAsia="Arial Unicode MS"/>
          <w:lang w:eastAsia="cs-CZ"/>
        </w:rPr>
        <w:t>Souhrnné informace týkající se financování sociálních služeb prostřednictvím IP v letech 2019</w:t>
      </w:r>
      <w:r>
        <w:rPr>
          <w:rFonts w:eastAsia="Arial Unicode MS"/>
          <w:lang w:eastAsia="cs-CZ"/>
        </w:rPr>
        <w:t>–2021 jsou uvedeny v tabulce</w:t>
      </w:r>
      <w:r w:rsidRPr="0039748C">
        <w:rPr>
          <w:rFonts w:eastAsia="Arial Unicode MS"/>
          <w:lang w:eastAsia="cs-CZ"/>
        </w:rPr>
        <w:t>.</w:t>
      </w:r>
    </w:p>
    <w:p w:rsidR="00AF4350" w:rsidRPr="0039748C" w:rsidRDefault="00AF4350" w:rsidP="008048CB">
      <w:pPr>
        <w:pStyle w:val="popistabulkySPRSS2024"/>
      </w:pPr>
      <w:bookmarkStart w:id="162" w:name="_Toc117607106"/>
      <w:r w:rsidRPr="0039748C">
        <w:t xml:space="preserve">Tabulka </w:t>
      </w:r>
      <w:r w:rsidR="00412C70">
        <w:fldChar w:fldCharType="begin"/>
      </w:r>
      <w:r w:rsidR="00412C70">
        <w:instrText xml:space="preserve"> SEQ Tabulka \* ARABIC </w:instrText>
      </w:r>
      <w:r w:rsidR="00412C70">
        <w:fldChar w:fldCharType="separate"/>
      </w:r>
      <w:r w:rsidR="003A12AF">
        <w:rPr>
          <w:noProof/>
        </w:rPr>
        <w:t>46</w:t>
      </w:r>
      <w:r w:rsidR="00412C70">
        <w:rPr>
          <w:noProof/>
        </w:rPr>
        <w:fldChar w:fldCharType="end"/>
      </w:r>
      <w:r w:rsidRPr="0039748C">
        <w:t xml:space="preserve"> Souhrnné informace k financování z IP</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1" w:themeFillTint="66"/>
        <w:tblCellMar>
          <w:left w:w="70" w:type="dxa"/>
          <w:right w:w="70" w:type="dxa"/>
        </w:tblCellMar>
        <w:tblLook w:val="04A0" w:firstRow="1" w:lastRow="0" w:firstColumn="1" w:lastColumn="0" w:noHBand="0" w:noVBand="1"/>
      </w:tblPr>
      <w:tblGrid>
        <w:gridCol w:w="4130"/>
        <w:gridCol w:w="1644"/>
        <w:gridCol w:w="1644"/>
        <w:gridCol w:w="1644"/>
      </w:tblGrid>
      <w:tr w:rsidR="008048CB" w:rsidRPr="008048CB" w:rsidTr="002D18F3">
        <w:trPr>
          <w:trHeight w:val="567"/>
          <w:tblHeader/>
        </w:trPr>
        <w:tc>
          <w:tcPr>
            <w:tcW w:w="2279" w:type="pct"/>
            <w:shd w:val="clear" w:color="auto" w:fill="BDD6EE" w:themeFill="accent1" w:themeFillTint="66"/>
            <w:noWrap/>
            <w:vAlign w:val="center"/>
            <w:hideMark/>
          </w:tcPr>
          <w:p w:rsidR="008048CB" w:rsidRPr="008048CB" w:rsidRDefault="008048CB" w:rsidP="008048CB">
            <w:pPr>
              <w:spacing w:before="0"/>
              <w:jc w:val="center"/>
              <w:rPr>
                <w:rFonts w:cs="Segoe UI"/>
                <w:b/>
                <w:sz w:val="18"/>
                <w:szCs w:val="18"/>
                <w:lang w:eastAsia="cs-CZ"/>
              </w:rPr>
            </w:pPr>
            <w:r w:rsidRPr="008048CB">
              <w:rPr>
                <w:rFonts w:cs="Segoe UI"/>
                <w:b/>
                <w:sz w:val="18"/>
                <w:szCs w:val="18"/>
                <w:lang w:eastAsia="cs-CZ"/>
              </w:rPr>
              <w:t>Druh služby</w:t>
            </w:r>
          </w:p>
        </w:tc>
        <w:tc>
          <w:tcPr>
            <w:tcW w:w="907" w:type="pct"/>
            <w:shd w:val="clear" w:color="auto" w:fill="BDD6EE" w:themeFill="accent1" w:themeFillTint="66"/>
            <w:noWrap/>
            <w:vAlign w:val="center"/>
            <w:hideMark/>
          </w:tcPr>
          <w:p w:rsidR="008048CB" w:rsidRPr="008048CB" w:rsidRDefault="008048CB" w:rsidP="008048CB">
            <w:pPr>
              <w:spacing w:before="0"/>
              <w:jc w:val="center"/>
              <w:rPr>
                <w:rFonts w:cs="Segoe UI"/>
                <w:b/>
                <w:sz w:val="18"/>
                <w:szCs w:val="18"/>
                <w:lang w:eastAsia="cs-CZ"/>
              </w:rPr>
            </w:pPr>
            <w:r w:rsidRPr="008048CB">
              <w:rPr>
                <w:rFonts w:cs="Segoe UI"/>
                <w:b/>
                <w:sz w:val="18"/>
                <w:szCs w:val="18"/>
                <w:lang w:eastAsia="cs-CZ"/>
              </w:rPr>
              <w:t>2019</w:t>
            </w:r>
          </w:p>
        </w:tc>
        <w:tc>
          <w:tcPr>
            <w:tcW w:w="907" w:type="pct"/>
            <w:shd w:val="clear" w:color="auto" w:fill="BDD6EE" w:themeFill="accent1" w:themeFillTint="66"/>
            <w:noWrap/>
            <w:vAlign w:val="center"/>
            <w:hideMark/>
          </w:tcPr>
          <w:p w:rsidR="008048CB" w:rsidRPr="008048CB" w:rsidRDefault="008048CB" w:rsidP="008048CB">
            <w:pPr>
              <w:spacing w:before="0"/>
              <w:jc w:val="center"/>
              <w:rPr>
                <w:rFonts w:cs="Segoe UI"/>
                <w:b/>
                <w:sz w:val="18"/>
                <w:szCs w:val="18"/>
                <w:lang w:eastAsia="cs-CZ"/>
              </w:rPr>
            </w:pPr>
            <w:r w:rsidRPr="008048CB">
              <w:rPr>
                <w:rFonts w:cs="Segoe UI"/>
                <w:b/>
                <w:sz w:val="18"/>
                <w:szCs w:val="18"/>
                <w:lang w:eastAsia="cs-CZ"/>
              </w:rPr>
              <w:t>2020</w:t>
            </w:r>
          </w:p>
        </w:tc>
        <w:tc>
          <w:tcPr>
            <w:tcW w:w="907" w:type="pct"/>
            <w:shd w:val="clear" w:color="auto" w:fill="BDD6EE" w:themeFill="accent1" w:themeFillTint="66"/>
            <w:noWrap/>
            <w:vAlign w:val="center"/>
            <w:hideMark/>
          </w:tcPr>
          <w:p w:rsidR="008048CB" w:rsidRPr="008048CB" w:rsidRDefault="008048CB" w:rsidP="008048CB">
            <w:pPr>
              <w:spacing w:before="0"/>
              <w:jc w:val="center"/>
              <w:rPr>
                <w:rFonts w:cs="Segoe UI"/>
                <w:b/>
                <w:sz w:val="18"/>
                <w:szCs w:val="18"/>
                <w:lang w:eastAsia="cs-CZ"/>
              </w:rPr>
            </w:pPr>
            <w:r w:rsidRPr="008048CB">
              <w:rPr>
                <w:rFonts w:cs="Segoe UI"/>
                <w:b/>
                <w:sz w:val="18"/>
                <w:szCs w:val="18"/>
                <w:lang w:eastAsia="cs-CZ"/>
              </w:rPr>
              <w:t>2021</w:t>
            </w:r>
          </w:p>
        </w:tc>
      </w:tr>
      <w:tr w:rsidR="008048CB" w:rsidRPr="008048CB" w:rsidTr="002D18F3">
        <w:trPr>
          <w:trHeight w:val="567"/>
        </w:trPr>
        <w:tc>
          <w:tcPr>
            <w:tcW w:w="2279" w:type="pct"/>
            <w:shd w:val="clear" w:color="auto" w:fill="auto"/>
            <w:noWrap/>
            <w:vAlign w:val="center"/>
            <w:hideMark/>
          </w:tcPr>
          <w:p w:rsidR="008048CB" w:rsidRPr="008048CB" w:rsidRDefault="008048CB" w:rsidP="008048CB">
            <w:pPr>
              <w:spacing w:before="0"/>
              <w:jc w:val="center"/>
              <w:rPr>
                <w:rFonts w:eastAsia="Calibri" w:cs="Segoe UI"/>
                <w:sz w:val="18"/>
                <w:szCs w:val="18"/>
                <w:lang w:eastAsia="cs-CZ"/>
              </w:rPr>
            </w:pPr>
            <w:r w:rsidRPr="008048CB">
              <w:rPr>
                <w:rFonts w:eastAsia="Calibri" w:cs="Segoe UI"/>
                <w:sz w:val="18"/>
                <w:szCs w:val="18"/>
                <w:lang w:eastAsia="cs-CZ"/>
              </w:rPr>
              <w:t>Azylové domy</w:t>
            </w:r>
          </w:p>
        </w:tc>
        <w:tc>
          <w:tcPr>
            <w:tcW w:w="907" w:type="pct"/>
            <w:shd w:val="clear" w:color="auto" w:fill="auto"/>
            <w:noWrap/>
            <w:vAlign w:val="center"/>
            <w:hideMark/>
          </w:tcPr>
          <w:p w:rsidR="008048CB" w:rsidRPr="008048CB" w:rsidRDefault="008048CB" w:rsidP="0040650A">
            <w:pPr>
              <w:spacing w:before="0"/>
              <w:jc w:val="right"/>
              <w:rPr>
                <w:rFonts w:eastAsia="Calibri" w:cs="Segoe UI"/>
                <w:sz w:val="18"/>
                <w:szCs w:val="18"/>
                <w:lang w:eastAsia="cs-CZ"/>
              </w:rPr>
            </w:pPr>
            <w:r w:rsidRPr="008048CB">
              <w:rPr>
                <w:rFonts w:eastAsiaTheme="minorHAnsi" w:cs="Segoe UI"/>
                <w:sz w:val="18"/>
                <w:szCs w:val="18"/>
              </w:rPr>
              <w:t>74 996 350</w:t>
            </w:r>
          </w:p>
        </w:tc>
        <w:tc>
          <w:tcPr>
            <w:tcW w:w="907" w:type="pct"/>
            <w:shd w:val="clear" w:color="auto" w:fill="auto"/>
            <w:noWrap/>
            <w:vAlign w:val="center"/>
            <w:hideMark/>
          </w:tcPr>
          <w:p w:rsidR="008048CB" w:rsidRPr="008048CB" w:rsidRDefault="008048CB" w:rsidP="0040650A">
            <w:pPr>
              <w:spacing w:before="0"/>
              <w:jc w:val="right"/>
              <w:rPr>
                <w:rFonts w:eastAsia="Calibri" w:cs="Segoe UI"/>
                <w:sz w:val="18"/>
                <w:szCs w:val="18"/>
                <w:lang w:eastAsia="cs-CZ"/>
              </w:rPr>
            </w:pPr>
            <w:r w:rsidRPr="008048CB">
              <w:rPr>
                <w:rFonts w:eastAsiaTheme="minorHAnsi" w:cs="Segoe UI"/>
                <w:sz w:val="18"/>
                <w:szCs w:val="18"/>
              </w:rPr>
              <w:t>75</w:t>
            </w:r>
            <w:r w:rsidR="004E7626">
              <w:rPr>
                <w:rFonts w:eastAsiaTheme="minorHAnsi" w:cs="Segoe UI"/>
                <w:sz w:val="18"/>
                <w:szCs w:val="18"/>
              </w:rPr>
              <w:t> 335 913</w:t>
            </w:r>
          </w:p>
        </w:tc>
        <w:tc>
          <w:tcPr>
            <w:tcW w:w="907" w:type="pct"/>
            <w:shd w:val="clear" w:color="auto" w:fill="auto"/>
            <w:noWrap/>
            <w:vAlign w:val="center"/>
            <w:hideMark/>
          </w:tcPr>
          <w:p w:rsidR="008048CB" w:rsidRPr="008048CB" w:rsidRDefault="008048CB" w:rsidP="0040650A">
            <w:pPr>
              <w:spacing w:before="0"/>
              <w:jc w:val="right"/>
              <w:rPr>
                <w:rFonts w:eastAsia="Calibri" w:cs="Segoe UI"/>
                <w:sz w:val="18"/>
                <w:szCs w:val="18"/>
                <w:lang w:eastAsia="cs-CZ"/>
              </w:rPr>
            </w:pPr>
            <w:r w:rsidRPr="008048CB">
              <w:rPr>
                <w:rFonts w:eastAsiaTheme="minorHAnsi" w:cs="Segoe UI"/>
                <w:sz w:val="18"/>
                <w:szCs w:val="18"/>
              </w:rPr>
              <w:t>73</w:t>
            </w:r>
            <w:r w:rsidR="004E7626">
              <w:rPr>
                <w:rFonts w:eastAsiaTheme="minorHAnsi" w:cs="Segoe UI"/>
                <w:sz w:val="18"/>
                <w:szCs w:val="18"/>
              </w:rPr>
              <w:t> 471 163</w:t>
            </w:r>
          </w:p>
        </w:tc>
      </w:tr>
    </w:tbl>
    <w:p w:rsidR="00AF4350" w:rsidRPr="003F7FBF" w:rsidRDefault="00AF4350" w:rsidP="008048CB">
      <w:pPr>
        <w:pStyle w:val="Zdrojobjektu"/>
      </w:pPr>
      <w:r w:rsidRPr="003F7FBF">
        <w:t>Zdroj: interní informace kraje</w:t>
      </w:r>
    </w:p>
    <w:p w:rsidR="00AF4350" w:rsidRPr="0039748C" w:rsidRDefault="00AF4350" w:rsidP="00A34764">
      <w:pPr>
        <w:pStyle w:val="Nadpis2"/>
      </w:pPr>
      <w:bookmarkStart w:id="163" w:name="_Toc117606986"/>
      <w:r w:rsidRPr="0039748C">
        <w:lastRenderedPageBreak/>
        <w:t>Realizace rozvojových cílů a jejich finanční zajištění</w:t>
      </w:r>
      <w:bookmarkEnd w:id="163"/>
    </w:p>
    <w:p w:rsidR="00AF4350" w:rsidRPr="0039748C" w:rsidRDefault="00AF4350" w:rsidP="0040650A">
      <w:pPr>
        <w:keepNext/>
        <w:keepLines/>
        <w:rPr>
          <w:rFonts w:eastAsia="Arial Unicode MS"/>
          <w:lang w:eastAsia="cs-CZ"/>
        </w:rPr>
      </w:pPr>
      <w:r w:rsidRPr="0039748C">
        <w:rPr>
          <w:rFonts w:eastAsia="Arial Unicode MS"/>
          <w:lang w:eastAsia="cs-CZ"/>
        </w:rPr>
        <w:t>V OK jsou rozvojové cíle v oblasti sociálních služeb, včetně jejich aktualizace na základě nově identifikovaných potřeb na příslušný rok</w:t>
      </w:r>
      <w:r>
        <w:rPr>
          <w:rFonts w:eastAsia="Arial Unicode MS"/>
          <w:lang w:eastAsia="cs-CZ"/>
        </w:rPr>
        <w:t>,</w:t>
      </w:r>
      <w:r w:rsidRPr="0039748C">
        <w:rPr>
          <w:rFonts w:eastAsia="Arial Unicode MS"/>
          <w:lang w:eastAsia="cs-CZ"/>
        </w:rPr>
        <w:t xml:space="preserve"> realizovány prostřednictvím jednoletého prováděcího dokumentu ke střednědobému plánu – Akčního plán</w:t>
      </w:r>
      <w:r>
        <w:rPr>
          <w:rFonts w:eastAsia="Arial Unicode MS"/>
          <w:lang w:eastAsia="cs-CZ"/>
        </w:rPr>
        <w:t>u</w:t>
      </w:r>
      <w:r w:rsidRPr="0039748C">
        <w:rPr>
          <w:rFonts w:eastAsia="Arial Unicode MS"/>
          <w:lang w:eastAsia="cs-CZ"/>
        </w:rPr>
        <w:t>, který obsahuje finanční část střednědobého plánu konkretizovanou pro aktuální období a je přílohou (a potažmo podkladem pro podání) žádosti o</w:t>
      </w:r>
      <w:r w:rsidR="00BA3253">
        <w:rPr>
          <w:rFonts w:eastAsia="Arial Unicode MS"/>
          <w:lang w:eastAsia="cs-CZ"/>
        </w:rPr>
        <w:t> </w:t>
      </w:r>
      <w:r w:rsidRPr="0039748C">
        <w:rPr>
          <w:rFonts w:eastAsia="Arial Unicode MS"/>
          <w:lang w:eastAsia="cs-CZ"/>
        </w:rPr>
        <w:t>dotaci kraje na poskytování sociálních služeb z MPSV, dle §</w:t>
      </w:r>
      <w:r>
        <w:rPr>
          <w:rFonts w:eastAsia="Arial Unicode MS"/>
          <w:lang w:eastAsia="cs-CZ"/>
        </w:rPr>
        <w:t xml:space="preserve"> </w:t>
      </w:r>
      <w:r w:rsidRPr="0039748C">
        <w:rPr>
          <w:rFonts w:eastAsia="Arial Unicode MS"/>
          <w:lang w:eastAsia="cs-CZ"/>
        </w:rPr>
        <w:t xml:space="preserve">101a zákona o sociálních službách. </w:t>
      </w:r>
    </w:p>
    <w:p w:rsidR="00AF4350" w:rsidRPr="0039748C" w:rsidRDefault="00AF4350" w:rsidP="00A34764">
      <w:pPr>
        <w:rPr>
          <w:rFonts w:eastAsia="Arial Unicode MS"/>
          <w:lang w:eastAsia="cs-CZ"/>
        </w:rPr>
      </w:pPr>
      <w:r w:rsidRPr="0039748C">
        <w:rPr>
          <w:rFonts w:eastAsia="Arial Unicode MS"/>
          <w:lang w:eastAsia="cs-CZ"/>
        </w:rPr>
        <w:t xml:space="preserve">Požadavek na výši dotace na financování sociálních služeb zařazených do sítě uvedený v Akčním plánu: </w:t>
      </w:r>
    </w:p>
    <w:p w:rsidR="00AF4350" w:rsidRPr="00A34764" w:rsidRDefault="00AF4350" w:rsidP="00A34764">
      <w:pPr>
        <w:pStyle w:val="Odstavecseseznamem"/>
        <w:numPr>
          <w:ilvl w:val="0"/>
          <w:numId w:val="54"/>
        </w:numPr>
      </w:pPr>
      <w:r w:rsidRPr="00A34764">
        <w:t xml:space="preserve">zahrnuje </w:t>
      </w:r>
      <w:r w:rsidRPr="00A34764">
        <w:rPr>
          <w:rFonts w:eastAsia="Calibri"/>
        </w:rPr>
        <w:t>výsledky analýzy finančních dopadů navržených cílů a opatření v daném roce</w:t>
      </w:r>
      <w:r w:rsidR="00326174" w:rsidRPr="00A34764">
        <w:rPr>
          <w:rFonts w:eastAsia="Calibri"/>
        </w:rPr>
        <w:t>,</w:t>
      </w:r>
    </w:p>
    <w:p w:rsidR="00AF4350" w:rsidRPr="00A34764" w:rsidRDefault="00AF4350" w:rsidP="00A34764">
      <w:pPr>
        <w:pStyle w:val="Odstavecseseznamem"/>
        <w:numPr>
          <w:ilvl w:val="0"/>
          <w:numId w:val="54"/>
        </w:numPr>
      </w:pPr>
      <w:r w:rsidRPr="00A34764">
        <w:t>je definován na základě vzorců určených pro výpočet výše dotace poskytovatelům v rámci jednotlivých druhů sociálních služeb uvedených v Programu finanční podpory poskytování sociálních služeb v OK na daný rok; do konstrukce vzorců určených pro výpočet výše dotace koncovým příjemcům jsou zakomponovány závazné proměnné týkající se spolufinancování z jiných zdrojů (zpravidla municipalit), které jsou vyjádřeny koeficientem stanoveným jednotně pro jednotlivé druhy sociálních služeb a vychází z údajů (zpravidla mediánů) uvedených v</w:t>
      </w:r>
      <w:r w:rsidR="00BA3253">
        <w:t> </w:t>
      </w:r>
      <w:proofErr w:type="spellStart"/>
      <w:r w:rsidRPr="00A34764">
        <w:t>benchmarkingu</w:t>
      </w:r>
      <w:proofErr w:type="spellEnd"/>
      <w:r w:rsidRPr="00A34764">
        <w:t xml:space="preserve"> poskytovatelů sociálních služeb.</w:t>
      </w:r>
    </w:p>
    <w:p w:rsidR="00AF4350" w:rsidRPr="0039748C" w:rsidRDefault="00AF4350" w:rsidP="00A34764">
      <w:pPr>
        <w:rPr>
          <w:rFonts w:eastAsia="Arial Unicode MS"/>
          <w:lang w:eastAsia="cs-CZ"/>
        </w:rPr>
      </w:pPr>
      <w:r w:rsidRPr="0039748C">
        <w:rPr>
          <w:rFonts w:eastAsia="Arial Unicode MS"/>
          <w:lang w:eastAsia="cs-CZ"/>
        </w:rPr>
        <w:t>Bližší informace k obsahu Akčního plánu jsou uvedeny v části 1.2 tohoto dokumentu.</w:t>
      </w:r>
    </w:p>
    <w:p w:rsidR="0039748C" w:rsidRPr="0039748C" w:rsidRDefault="0039748C" w:rsidP="00A34764"/>
    <w:p w:rsidR="0039748C" w:rsidRPr="005F6AA9" w:rsidRDefault="0039748C" w:rsidP="00A34764">
      <w:pPr>
        <w:rPr>
          <w:rFonts w:eastAsia="Arial Unicode MS"/>
          <w:lang w:eastAsia="cs-CZ"/>
        </w:rPr>
      </w:pPr>
    </w:p>
    <w:p w:rsidR="00FB1999" w:rsidRPr="0040650A" w:rsidRDefault="00CF24C8" w:rsidP="0040650A">
      <w:pPr>
        <w:keepNext/>
        <w:keepLines/>
        <w:pageBreakBefore/>
        <w:pBdr>
          <w:bottom w:val="single" w:sz="12" w:space="1" w:color="2F5496" w:themeColor="accent5" w:themeShade="BF"/>
        </w:pBdr>
        <w:spacing w:before="0" w:after="360"/>
        <w:jc w:val="center"/>
        <w:outlineLvl w:val="0"/>
        <w:rPr>
          <w:rFonts w:eastAsia="Arial Unicode MS" w:cs="Segoe UI"/>
          <w:bCs/>
          <w:caps/>
          <w:color w:val="2F5496" w:themeColor="accent5" w:themeShade="BF"/>
          <w:sz w:val="36"/>
          <w:szCs w:val="32"/>
        </w:rPr>
      </w:pPr>
      <w:bookmarkStart w:id="164" w:name="_Toc393029390"/>
      <w:bookmarkStart w:id="165" w:name="_Toc392751930"/>
      <w:bookmarkEnd w:id="6"/>
      <w:bookmarkEnd w:id="7"/>
      <w:r w:rsidRPr="0040650A">
        <w:rPr>
          <w:rFonts w:eastAsia="Arial Unicode MS" w:cs="Segoe UI"/>
          <w:bCs/>
          <w:caps/>
          <w:color w:val="2F5496" w:themeColor="accent5" w:themeShade="BF"/>
          <w:sz w:val="36"/>
          <w:szCs w:val="32"/>
        </w:rPr>
        <w:lastRenderedPageBreak/>
        <w:t xml:space="preserve"> </w:t>
      </w:r>
      <w:bookmarkStart w:id="166" w:name="_Toc117606987"/>
      <w:bookmarkStart w:id="167" w:name="_Toc22896380"/>
      <w:bookmarkStart w:id="168" w:name="_Toc111537469"/>
      <w:bookmarkStart w:id="169" w:name="_Toc113622080"/>
      <w:bookmarkEnd w:id="164"/>
      <w:bookmarkEnd w:id="165"/>
      <w:r w:rsidR="00FB1999" w:rsidRPr="0040650A">
        <w:rPr>
          <w:rFonts w:eastAsia="Arial Unicode MS" w:cs="Segoe UI"/>
          <w:bCs/>
          <w:caps/>
          <w:color w:val="2F5496" w:themeColor="accent5" w:themeShade="BF"/>
          <w:sz w:val="36"/>
          <w:szCs w:val="32"/>
        </w:rPr>
        <w:t>Část C – STRATEGICKÁ</w:t>
      </w:r>
      <w:bookmarkEnd w:id="166"/>
      <w:r w:rsidR="00FB1999" w:rsidRPr="0040650A">
        <w:rPr>
          <w:rFonts w:eastAsia="Arial Unicode MS" w:cs="Segoe UI"/>
          <w:bCs/>
          <w:caps/>
          <w:color w:val="2F5496" w:themeColor="accent5" w:themeShade="BF"/>
          <w:sz w:val="36"/>
          <w:szCs w:val="32"/>
        </w:rPr>
        <w:t xml:space="preserve"> </w:t>
      </w:r>
    </w:p>
    <w:p w:rsidR="00FB1999" w:rsidRPr="007C2EB2" w:rsidRDefault="00FB1999" w:rsidP="00A34764">
      <w:pPr>
        <w:rPr>
          <w:rFonts w:eastAsia="Arial Unicode MS"/>
          <w:lang w:eastAsia="cs-CZ"/>
        </w:rPr>
      </w:pPr>
      <w:r w:rsidRPr="007C2EB2">
        <w:rPr>
          <w:rFonts w:eastAsia="Arial Unicode MS"/>
          <w:lang w:eastAsia="cs-CZ"/>
        </w:rPr>
        <w:t xml:space="preserve">Strategická část dokumentu obsahuje </w:t>
      </w:r>
      <w:r w:rsidR="003725A7">
        <w:rPr>
          <w:rFonts w:eastAsia="Arial Unicode MS"/>
          <w:lang w:eastAsia="cs-CZ"/>
        </w:rPr>
        <w:t>popis</w:t>
      </w:r>
      <w:r w:rsidR="00431616" w:rsidRPr="007C2EB2">
        <w:rPr>
          <w:rFonts w:eastAsia="Arial Unicode MS"/>
          <w:lang w:eastAsia="cs-CZ"/>
        </w:rPr>
        <w:t xml:space="preserve"> </w:t>
      </w:r>
      <w:r w:rsidRPr="007C2EB2">
        <w:rPr>
          <w:rFonts w:eastAsia="Arial Unicode MS"/>
          <w:lang w:eastAsia="cs-CZ"/>
        </w:rPr>
        <w:t>hlavních cílů</w:t>
      </w:r>
      <w:r w:rsidR="003725A7">
        <w:rPr>
          <w:rFonts w:eastAsia="Arial Unicode MS"/>
          <w:lang w:eastAsia="cs-CZ"/>
        </w:rPr>
        <w:t>, které navazují</w:t>
      </w:r>
      <w:r w:rsidRPr="007C2EB2">
        <w:rPr>
          <w:rFonts w:eastAsia="Arial Unicode MS"/>
          <w:lang w:eastAsia="cs-CZ"/>
        </w:rPr>
        <w:t xml:space="preserve"> na průřezové a specifické cíle </w:t>
      </w:r>
      <w:r w:rsidR="003725A7">
        <w:rPr>
          <w:rFonts w:eastAsia="Arial Unicode MS"/>
          <w:lang w:eastAsia="cs-CZ"/>
        </w:rPr>
        <w:t>a</w:t>
      </w:r>
      <w:r w:rsidR="000714F8">
        <w:rPr>
          <w:rFonts w:eastAsia="Arial Unicode MS"/>
          <w:lang w:eastAsia="cs-CZ"/>
        </w:rPr>
        <w:t> </w:t>
      </w:r>
      <w:r w:rsidR="003725A7">
        <w:rPr>
          <w:rFonts w:eastAsia="Arial Unicode MS"/>
          <w:lang w:eastAsia="cs-CZ"/>
        </w:rPr>
        <w:t>jejich</w:t>
      </w:r>
      <w:r w:rsidRPr="007C2EB2">
        <w:rPr>
          <w:rFonts w:eastAsia="Arial Unicode MS"/>
          <w:lang w:eastAsia="cs-CZ"/>
        </w:rPr>
        <w:t xml:space="preserve"> realizace </w:t>
      </w:r>
      <w:r w:rsidR="00431616">
        <w:rPr>
          <w:rFonts w:eastAsia="Arial Unicode MS"/>
          <w:lang w:eastAsia="cs-CZ"/>
        </w:rPr>
        <w:t>bude mít</w:t>
      </w:r>
      <w:r w:rsidR="00431616" w:rsidRPr="007C2EB2">
        <w:rPr>
          <w:rFonts w:eastAsia="Arial Unicode MS"/>
          <w:lang w:eastAsia="cs-CZ"/>
        </w:rPr>
        <w:t xml:space="preserve"> </w:t>
      </w:r>
      <w:r w:rsidRPr="007C2EB2">
        <w:rPr>
          <w:rFonts w:eastAsia="Arial Unicode MS"/>
          <w:lang w:eastAsia="cs-CZ"/>
        </w:rPr>
        <w:t>v letech 2024</w:t>
      </w:r>
      <w:r w:rsidR="00537220">
        <w:rPr>
          <w:rFonts w:eastAsia="Arial Unicode MS"/>
          <w:lang w:eastAsia="cs-CZ"/>
        </w:rPr>
        <w:t>–</w:t>
      </w:r>
      <w:r w:rsidRPr="007C2EB2">
        <w:rPr>
          <w:rFonts w:eastAsia="Arial Unicode MS"/>
          <w:lang w:eastAsia="cs-CZ"/>
        </w:rPr>
        <w:t xml:space="preserve">2026 zásadní vliv na modelaci sítě sociálních služeb OK. </w:t>
      </w:r>
      <w:r w:rsidR="00431616">
        <w:rPr>
          <w:rFonts w:eastAsia="Arial Unicode MS"/>
          <w:lang w:eastAsia="cs-CZ"/>
        </w:rPr>
        <w:t>V</w:t>
      </w:r>
      <w:r w:rsidRPr="007C2EB2">
        <w:rPr>
          <w:rFonts w:eastAsia="Arial Unicode MS"/>
          <w:lang w:eastAsia="cs-CZ"/>
        </w:rPr>
        <w:t>ize a</w:t>
      </w:r>
      <w:r w:rsidR="000714F8">
        <w:rPr>
          <w:rFonts w:eastAsia="Arial Unicode MS"/>
          <w:lang w:eastAsia="cs-CZ"/>
        </w:rPr>
        <w:t> </w:t>
      </w:r>
      <w:r w:rsidRPr="007C2EB2">
        <w:rPr>
          <w:rFonts w:eastAsia="Arial Unicode MS"/>
          <w:lang w:eastAsia="cs-CZ"/>
        </w:rPr>
        <w:t xml:space="preserve">hlavní cíle rozvoje sociálních služeb v OK </w:t>
      </w:r>
      <w:r w:rsidR="00B82A89">
        <w:rPr>
          <w:rFonts w:eastAsia="Arial Unicode MS"/>
          <w:lang w:eastAsia="cs-CZ"/>
        </w:rPr>
        <w:t>jsou v souladu s národními</w:t>
      </w:r>
      <w:r w:rsidRPr="007C2EB2">
        <w:rPr>
          <w:rFonts w:eastAsia="Arial Unicode MS"/>
          <w:lang w:eastAsia="cs-CZ"/>
        </w:rPr>
        <w:t xml:space="preserve"> priorit</w:t>
      </w:r>
      <w:r w:rsidR="00B82A89">
        <w:rPr>
          <w:rFonts w:eastAsia="Arial Unicode MS"/>
          <w:lang w:eastAsia="cs-CZ"/>
        </w:rPr>
        <w:t>ami</w:t>
      </w:r>
      <w:r w:rsidRPr="007C2EB2">
        <w:rPr>
          <w:rFonts w:eastAsia="Arial Unicode MS"/>
          <w:lang w:eastAsia="cs-CZ"/>
        </w:rPr>
        <w:t xml:space="preserve"> sociální politiky a</w:t>
      </w:r>
      <w:r w:rsidR="000714F8">
        <w:rPr>
          <w:rFonts w:eastAsia="Arial Unicode MS"/>
          <w:lang w:eastAsia="cs-CZ"/>
        </w:rPr>
        <w:t> </w:t>
      </w:r>
      <w:r w:rsidRPr="007C2EB2">
        <w:rPr>
          <w:rFonts w:eastAsia="Arial Unicode MS"/>
          <w:lang w:eastAsia="cs-CZ"/>
        </w:rPr>
        <w:t>strategi</w:t>
      </w:r>
      <w:r w:rsidR="00B82A89">
        <w:rPr>
          <w:rFonts w:eastAsia="Arial Unicode MS"/>
          <w:lang w:eastAsia="cs-CZ"/>
        </w:rPr>
        <w:t>emi</w:t>
      </w:r>
      <w:r w:rsidRPr="007C2EB2">
        <w:rPr>
          <w:rFonts w:eastAsia="Arial Unicode MS"/>
          <w:lang w:eastAsia="cs-CZ"/>
        </w:rPr>
        <w:t xml:space="preserve"> v oblasti zajišťování sociálních služeb, mezi které </w:t>
      </w:r>
      <w:r>
        <w:rPr>
          <w:rFonts w:eastAsia="Arial Unicode MS"/>
          <w:lang w:eastAsia="cs-CZ"/>
        </w:rPr>
        <w:t>patří</w:t>
      </w:r>
      <w:r w:rsidRPr="007C2EB2">
        <w:rPr>
          <w:rFonts w:eastAsia="Arial Unicode MS"/>
          <w:lang w:eastAsia="cs-CZ"/>
        </w:rPr>
        <w:t xml:space="preserve"> především </w:t>
      </w:r>
      <w:proofErr w:type="spellStart"/>
      <w:r w:rsidRPr="007C2EB2">
        <w:rPr>
          <w:rFonts w:eastAsia="Arial Unicode MS"/>
          <w:lang w:eastAsia="cs-CZ"/>
        </w:rPr>
        <w:t>deinstitucionalizac</w:t>
      </w:r>
      <w:r>
        <w:rPr>
          <w:rFonts w:eastAsia="Arial Unicode MS"/>
          <w:lang w:eastAsia="cs-CZ"/>
        </w:rPr>
        <w:t>e</w:t>
      </w:r>
      <w:proofErr w:type="spellEnd"/>
      <w:r w:rsidRPr="007C2EB2">
        <w:rPr>
          <w:rFonts w:eastAsia="Arial Unicode MS"/>
          <w:lang w:eastAsia="cs-CZ"/>
        </w:rPr>
        <w:t>, humanizac</w:t>
      </w:r>
      <w:r>
        <w:rPr>
          <w:rFonts w:eastAsia="Arial Unicode MS"/>
          <w:lang w:eastAsia="cs-CZ"/>
        </w:rPr>
        <w:t>e</w:t>
      </w:r>
      <w:r w:rsidRPr="007C2EB2">
        <w:rPr>
          <w:rFonts w:eastAsia="Arial Unicode MS"/>
          <w:lang w:eastAsia="cs-CZ"/>
        </w:rPr>
        <w:t xml:space="preserve">, udržitelnost a zvyšování efektivity sociálních služeb. </w:t>
      </w:r>
    </w:p>
    <w:p w:rsidR="003725A7" w:rsidRPr="007C2EB2" w:rsidRDefault="00FB1999" w:rsidP="00A34764">
      <w:pPr>
        <w:rPr>
          <w:rFonts w:eastAsia="Arial Unicode MS"/>
          <w:lang w:eastAsia="cs-CZ"/>
        </w:rPr>
      </w:pPr>
      <w:r w:rsidRPr="007C2EB2">
        <w:rPr>
          <w:rFonts w:eastAsia="Arial Unicode MS"/>
          <w:lang w:eastAsia="cs-CZ"/>
        </w:rPr>
        <w:t xml:space="preserve">Při tvorbě strategické části dokumentu byla využita dostupná data </w:t>
      </w:r>
      <w:r>
        <w:rPr>
          <w:rFonts w:eastAsia="Arial Unicode MS"/>
          <w:lang w:eastAsia="cs-CZ"/>
        </w:rPr>
        <w:t>z</w:t>
      </w:r>
      <w:r w:rsidRPr="007C2EB2">
        <w:rPr>
          <w:rFonts w:eastAsia="Arial Unicode MS"/>
          <w:lang w:eastAsia="cs-CZ"/>
        </w:rPr>
        <w:t> analytické</w:t>
      </w:r>
      <w:r w:rsidRPr="00D93F98">
        <w:rPr>
          <w:rFonts w:eastAsia="Arial Unicode MS"/>
          <w:lang w:eastAsia="cs-CZ"/>
        </w:rPr>
        <w:t xml:space="preserve"> </w:t>
      </w:r>
      <w:r w:rsidRPr="007C2EB2">
        <w:rPr>
          <w:rFonts w:eastAsia="Arial Unicode MS"/>
          <w:lang w:eastAsia="cs-CZ"/>
        </w:rPr>
        <w:t xml:space="preserve">části. Jednotlivé výstupy, mj. aktuálně zjištěná potřebnost sociálních služeb na území třinácti obcí s rozšířenou působností, data ze systému </w:t>
      </w:r>
      <w:proofErr w:type="spellStart"/>
      <w:r w:rsidRPr="007C2EB2">
        <w:rPr>
          <w:rFonts w:eastAsia="Arial Unicode MS"/>
          <w:lang w:eastAsia="cs-CZ"/>
        </w:rPr>
        <w:t>KISSoS</w:t>
      </w:r>
      <w:proofErr w:type="spellEnd"/>
      <w:r w:rsidRPr="007C2EB2">
        <w:rPr>
          <w:rFonts w:eastAsia="Arial Unicode MS"/>
          <w:lang w:eastAsia="cs-CZ"/>
        </w:rPr>
        <w:t xml:space="preserve"> a systému výkaznictví MPSV, byly vyhodnoceny a zpracovány s ohledem na skutečnost, že OK při plánování sociálních služeb a určování sítě na svém území musí </w:t>
      </w:r>
      <w:r w:rsidR="00B82A89">
        <w:rPr>
          <w:rFonts w:eastAsia="Arial Unicode MS"/>
          <w:lang w:eastAsia="cs-CZ"/>
        </w:rPr>
        <w:t>sice vycházet ze zjištěných</w:t>
      </w:r>
      <w:r w:rsidRPr="007C2EB2">
        <w:rPr>
          <w:rFonts w:eastAsia="Arial Unicode MS"/>
          <w:lang w:eastAsia="cs-CZ"/>
        </w:rPr>
        <w:t xml:space="preserve"> potřeb poskytování sociálních služeb, </w:t>
      </w:r>
      <w:r w:rsidR="00B82A89">
        <w:rPr>
          <w:rFonts w:eastAsia="Arial Unicode MS"/>
          <w:lang w:eastAsia="cs-CZ"/>
        </w:rPr>
        <w:t>současně však musí brát v úvahu</w:t>
      </w:r>
      <w:r w:rsidRPr="007C2EB2">
        <w:rPr>
          <w:rFonts w:eastAsia="Arial Unicode MS"/>
          <w:lang w:eastAsia="cs-CZ"/>
        </w:rPr>
        <w:t xml:space="preserve"> financov</w:t>
      </w:r>
      <w:r>
        <w:rPr>
          <w:rFonts w:eastAsia="Arial Unicode MS"/>
          <w:lang w:eastAsia="cs-CZ"/>
        </w:rPr>
        <w:t>ání</w:t>
      </w:r>
      <w:r w:rsidRPr="007C2EB2">
        <w:rPr>
          <w:rFonts w:eastAsia="Arial Unicode MS"/>
          <w:lang w:eastAsia="cs-CZ"/>
        </w:rPr>
        <w:t xml:space="preserve"> </w:t>
      </w:r>
      <w:r w:rsidR="00B82A89">
        <w:rPr>
          <w:rFonts w:eastAsia="Arial Unicode MS"/>
          <w:lang w:eastAsia="cs-CZ"/>
        </w:rPr>
        <w:t xml:space="preserve">(nejen </w:t>
      </w:r>
      <w:r w:rsidRPr="007C2EB2">
        <w:rPr>
          <w:rFonts w:eastAsia="Arial Unicode MS"/>
          <w:lang w:eastAsia="cs-CZ"/>
        </w:rPr>
        <w:t>nov</w:t>
      </w:r>
      <w:r>
        <w:rPr>
          <w:rFonts w:eastAsia="Arial Unicode MS"/>
          <w:lang w:eastAsia="cs-CZ"/>
        </w:rPr>
        <w:t>ých</w:t>
      </w:r>
      <w:r w:rsidR="00B82A89">
        <w:rPr>
          <w:rFonts w:eastAsia="Arial Unicode MS"/>
          <w:lang w:eastAsia="cs-CZ"/>
        </w:rPr>
        <w:t>)</w:t>
      </w:r>
      <w:r w:rsidRPr="007C2EB2">
        <w:rPr>
          <w:rFonts w:eastAsia="Arial Unicode MS"/>
          <w:lang w:eastAsia="cs-CZ"/>
        </w:rPr>
        <w:t xml:space="preserve"> kapacit sociální</w:t>
      </w:r>
      <w:r>
        <w:rPr>
          <w:rFonts w:eastAsia="Arial Unicode MS"/>
          <w:lang w:eastAsia="cs-CZ"/>
        </w:rPr>
        <w:t>ch</w:t>
      </w:r>
      <w:r w:rsidRPr="007C2EB2">
        <w:rPr>
          <w:rFonts w:eastAsia="Arial Unicode MS"/>
          <w:lang w:eastAsia="cs-CZ"/>
        </w:rPr>
        <w:t xml:space="preserve"> služ</w:t>
      </w:r>
      <w:r>
        <w:rPr>
          <w:rFonts w:eastAsia="Arial Unicode MS"/>
          <w:lang w:eastAsia="cs-CZ"/>
        </w:rPr>
        <w:t>e</w:t>
      </w:r>
      <w:r w:rsidRPr="007C2EB2">
        <w:rPr>
          <w:rFonts w:eastAsia="Arial Unicode MS"/>
          <w:lang w:eastAsia="cs-CZ"/>
        </w:rPr>
        <w:t>b z dostupných zdrojů.</w:t>
      </w:r>
      <w:r w:rsidR="000714F8">
        <w:rPr>
          <w:rFonts w:eastAsia="Arial Unicode MS"/>
          <w:lang w:eastAsia="cs-CZ"/>
        </w:rPr>
        <w:t xml:space="preserve"> </w:t>
      </w:r>
      <w:r w:rsidR="003725A7" w:rsidRPr="007C2EB2">
        <w:rPr>
          <w:rFonts w:eastAsia="Arial Unicode MS"/>
          <w:lang w:eastAsia="cs-CZ"/>
        </w:rPr>
        <w:t xml:space="preserve">OK jako správce sítě </w:t>
      </w:r>
      <w:r w:rsidR="000714F8">
        <w:rPr>
          <w:rFonts w:eastAsia="Arial Unicode MS"/>
          <w:lang w:eastAsia="cs-CZ"/>
        </w:rPr>
        <w:t>usiluje</w:t>
      </w:r>
      <w:r w:rsidR="003725A7">
        <w:rPr>
          <w:rFonts w:eastAsia="Arial Unicode MS"/>
          <w:lang w:eastAsia="cs-CZ"/>
        </w:rPr>
        <w:t xml:space="preserve"> o vyloučení rizika finanční nestability sociálních služeb zařazených v síti. </w:t>
      </w:r>
    </w:p>
    <w:p w:rsidR="00FB1999" w:rsidRDefault="00FB1999" w:rsidP="00A34764">
      <w:pPr>
        <w:rPr>
          <w:rFonts w:eastAsia="Arial Unicode MS"/>
          <w:lang w:eastAsia="cs-CZ"/>
        </w:rPr>
      </w:pPr>
      <w:r w:rsidRPr="007C2EB2">
        <w:rPr>
          <w:rFonts w:eastAsia="Arial Unicode MS"/>
          <w:lang w:eastAsia="cs-CZ"/>
        </w:rPr>
        <w:t xml:space="preserve">OK </w:t>
      </w:r>
      <w:r>
        <w:rPr>
          <w:rFonts w:eastAsia="Arial Unicode MS"/>
          <w:lang w:eastAsia="cs-CZ"/>
        </w:rPr>
        <w:t>p</w:t>
      </w:r>
      <w:r w:rsidRPr="007C2EB2">
        <w:rPr>
          <w:rFonts w:eastAsia="Arial Unicode MS"/>
          <w:lang w:eastAsia="cs-CZ"/>
        </w:rPr>
        <w:t xml:space="preserve">ostupnou realizací hlavních a specifických cílů pro jednotlivé </w:t>
      </w:r>
      <w:r w:rsidR="00B82A89">
        <w:rPr>
          <w:rFonts w:eastAsia="Arial Unicode MS"/>
          <w:lang w:eastAsia="cs-CZ"/>
        </w:rPr>
        <w:t>cílové skupiny</w:t>
      </w:r>
      <w:r w:rsidR="00B82A89" w:rsidRPr="007C2EB2">
        <w:rPr>
          <w:rFonts w:eastAsia="Arial Unicode MS"/>
          <w:lang w:eastAsia="cs-CZ"/>
        </w:rPr>
        <w:t xml:space="preserve"> </w:t>
      </w:r>
      <w:r w:rsidRPr="007C2EB2">
        <w:rPr>
          <w:rFonts w:eastAsia="Arial Unicode MS"/>
          <w:lang w:eastAsia="cs-CZ"/>
        </w:rPr>
        <w:t>směřuje k nastavení efektivně fungující sítě kvalitních a místně</w:t>
      </w:r>
      <w:r w:rsidR="00B82A89">
        <w:rPr>
          <w:rFonts w:eastAsia="Arial Unicode MS"/>
          <w:lang w:eastAsia="cs-CZ"/>
        </w:rPr>
        <w:t xml:space="preserve">, časově i finančně </w:t>
      </w:r>
      <w:r w:rsidRPr="007C2EB2">
        <w:rPr>
          <w:rFonts w:eastAsia="Arial Unicode MS"/>
          <w:lang w:eastAsia="cs-CZ"/>
        </w:rPr>
        <w:t xml:space="preserve">dostupných sociálních služeb reagujících na aktuálně zjištěné potřeby obyvatel </w:t>
      </w:r>
      <w:r>
        <w:rPr>
          <w:rFonts w:eastAsia="Arial Unicode MS"/>
          <w:lang w:eastAsia="cs-CZ"/>
        </w:rPr>
        <w:t>kraje</w:t>
      </w:r>
      <w:r w:rsidRPr="007C2EB2">
        <w:rPr>
          <w:rFonts w:eastAsia="Arial Unicode MS"/>
          <w:lang w:eastAsia="cs-CZ"/>
        </w:rPr>
        <w:t>.</w:t>
      </w:r>
    </w:p>
    <w:p w:rsidR="00FB1999" w:rsidRPr="00753C92" w:rsidRDefault="00FB1999" w:rsidP="00A34764">
      <w:pPr>
        <w:pStyle w:val="Nadpis1"/>
      </w:pPr>
      <w:bookmarkStart w:id="170" w:name="_Toc22896377"/>
      <w:bookmarkStart w:id="171" w:name="_Toc111537466"/>
      <w:bookmarkStart w:id="172" w:name="_Toc113622077"/>
      <w:bookmarkStart w:id="173" w:name="_Toc117606988"/>
      <w:r w:rsidRPr="007C2EB2">
        <w:t>Vize a hlavní cíle rozvoje sociálních služeb v OK</w:t>
      </w:r>
      <w:bookmarkEnd w:id="170"/>
      <w:bookmarkEnd w:id="171"/>
      <w:bookmarkEnd w:id="172"/>
      <w:bookmarkEnd w:id="173"/>
    </w:p>
    <w:p w:rsidR="00FB1999" w:rsidRPr="007C2EB2" w:rsidRDefault="00FB1999" w:rsidP="00A34764">
      <w:pPr>
        <w:rPr>
          <w:rFonts w:eastAsia="Arial Unicode MS"/>
          <w:lang w:eastAsia="cs-CZ"/>
        </w:rPr>
      </w:pPr>
      <w:r w:rsidRPr="007C2EB2">
        <w:rPr>
          <w:rFonts w:eastAsia="Arial Unicode MS"/>
          <w:lang w:eastAsia="cs-CZ"/>
        </w:rPr>
        <w:t>Identifikace potřeb na území OK probíhá prostřednictvím řady aktivit, které OK dlouhodobě realizuje a na kterých participují jak zástupci obcí, tak poskytovatelé sociálních služeb a jejich uživatelé. Hlavní analytické závěry, které vznikly sumarizací veškerých dostupných podkladů, včetně SWOT analýz za jednotlivé PS, které výrazně reflektovaly socioekonomické a demografické procesy na území OK</w:t>
      </w:r>
      <w:r>
        <w:rPr>
          <w:rFonts w:eastAsia="Arial Unicode MS"/>
          <w:lang w:eastAsia="cs-CZ"/>
        </w:rPr>
        <w:t>,</w:t>
      </w:r>
      <w:r w:rsidRPr="007C2EB2">
        <w:rPr>
          <w:rFonts w:eastAsia="Arial Unicode MS"/>
          <w:lang w:eastAsia="cs-CZ"/>
        </w:rPr>
        <w:t xml:space="preserve"> byly podkladem pro formulaci průřezových a specifických cílů a opatření ve strategické části Střednědobého plánu 2024</w:t>
      </w:r>
      <w:r w:rsidR="00537220">
        <w:rPr>
          <w:rFonts w:eastAsia="Arial Unicode MS"/>
          <w:lang w:eastAsia="cs-CZ"/>
        </w:rPr>
        <w:t>–</w:t>
      </w:r>
      <w:r w:rsidRPr="007C2EB2">
        <w:rPr>
          <w:rFonts w:eastAsia="Arial Unicode MS"/>
          <w:lang w:eastAsia="cs-CZ"/>
        </w:rPr>
        <w:t>2026.</w:t>
      </w:r>
    </w:p>
    <w:p w:rsidR="00FC585D" w:rsidRDefault="00FB1999" w:rsidP="00A34764">
      <w:pPr>
        <w:rPr>
          <w:rFonts w:eastAsia="Arial Unicode MS"/>
          <w:lang w:eastAsia="cs-CZ"/>
        </w:rPr>
      </w:pPr>
      <w:r w:rsidRPr="007C2EB2">
        <w:rPr>
          <w:rFonts w:eastAsia="Arial Unicode MS"/>
          <w:lang w:eastAsia="cs-CZ"/>
        </w:rPr>
        <w:t>Rozvojová opatření Střednědobého plánu 2024</w:t>
      </w:r>
      <w:r w:rsidR="00537220">
        <w:rPr>
          <w:rFonts w:eastAsia="Arial Unicode MS"/>
          <w:lang w:eastAsia="cs-CZ"/>
        </w:rPr>
        <w:t>–</w:t>
      </w:r>
      <w:r w:rsidRPr="007C2EB2">
        <w:rPr>
          <w:rFonts w:eastAsia="Arial Unicode MS"/>
          <w:lang w:eastAsia="cs-CZ"/>
        </w:rPr>
        <w:t xml:space="preserve">2026 byla zpracována na základě zjištění analytické části, identifikovaných potřeb a aktuálně zjištěné potřebnosti obyvatel na území jednotlivých SO ORP kraje </w:t>
      </w:r>
      <w:r w:rsidRPr="00FC585D">
        <w:rPr>
          <w:rFonts w:eastAsia="Arial Unicode MS"/>
          <w:b/>
          <w:lang w:eastAsia="cs-CZ"/>
        </w:rPr>
        <w:t>v období sestavování dokumentu</w:t>
      </w:r>
      <w:r w:rsidRPr="007C2EB2">
        <w:rPr>
          <w:rFonts w:eastAsia="Arial Unicode MS"/>
          <w:lang w:eastAsia="cs-CZ"/>
        </w:rPr>
        <w:t>.</w:t>
      </w:r>
    </w:p>
    <w:p w:rsidR="00FB1999" w:rsidRPr="007C2EB2" w:rsidRDefault="00FB1999" w:rsidP="008737E2">
      <w:pPr>
        <w:pStyle w:val="popistabulkySPRSS2024"/>
      </w:pPr>
      <w:bookmarkStart w:id="174" w:name="_Toc117607025"/>
      <w:r w:rsidRPr="007C2EB2">
        <w:t xml:space="preserve">Obrázek </w:t>
      </w:r>
      <w:r w:rsidR="00412C70">
        <w:fldChar w:fldCharType="begin"/>
      </w:r>
      <w:r w:rsidR="00412C70">
        <w:instrText xml:space="preserve"> SEQ Obrázek \* ARABIC </w:instrText>
      </w:r>
      <w:r w:rsidR="00412C70">
        <w:fldChar w:fldCharType="separate"/>
      </w:r>
      <w:r w:rsidR="003A12AF">
        <w:rPr>
          <w:noProof/>
        </w:rPr>
        <w:t>5</w:t>
      </w:r>
      <w:r w:rsidR="00412C70">
        <w:rPr>
          <w:noProof/>
        </w:rPr>
        <w:fldChar w:fldCharType="end"/>
      </w:r>
      <w:r w:rsidRPr="007C2EB2">
        <w:t xml:space="preserve"> Schéma Strategické části</w:t>
      </w:r>
      <w:bookmarkEnd w:id="174"/>
    </w:p>
    <w:p w:rsidR="00FB1999" w:rsidRPr="007C2EB2" w:rsidRDefault="00FB1999" w:rsidP="008737E2">
      <w:pPr>
        <w:spacing w:before="0"/>
        <w:rPr>
          <w:rFonts w:eastAsia="Arial Unicode MS"/>
          <w:sz w:val="18"/>
          <w:szCs w:val="24"/>
          <w:lang w:eastAsia="cs-CZ"/>
        </w:rPr>
      </w:pPr>
      <w:r w:rsidRPr="007C2EB2">
        <w:rPr>
          <w:rFonts w:eastAsia="Arial Unicode MS"/>
          <w:noProof/>
          <w:lang w:eastAsia="cs-CZ"/>
        </w:rPr>
        <w:drawing>
          <wp:inline distT="0" distB="0" distL="0" distR="0" wp14:anchorId="6565213D" wp14:editId="73B90436">
            <wp:extent cx="5580000" cy="2530800"/>
            <wp:effectExtent l="0" t="0" r="1905" b="317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80000" cy="2530800"/>
                    </a:xfrm>
                    <a:prstGeom prst="rect">
                      <a:avLst/>
                    </a:prstGeom>
                    <a:noFill/>
                    <a:ln>
                      <a:noFill/>
                    </a:ln>
                  </pic:spPr>
                </pic:pic>
              </a:graphicData>
            </a:graphic>
          </wp:inline>
        </w:drawing>
      </w:r>
    </w:p>
    <w:p w:rsidR="00FB1999" w:rsidRPr="007C2EB2" w:rsidRDefault="00FB1999" w:rsidP="008737E2">
      <w:pPr>
        <w:pStyle w:val="Zdrojobjektu"/>
      </w:pPr>
      <w:r w:rsidRPr="007C2EB2">
        <w:t>Zdroj: ACCENDO, 2019</w:t>
      </w:r>
    </w:p>
    <w:p w:rsidR="00FB1999" w:rsidRPr="007C2EB2" w:rsidRDefault="00FB1999" w:rsidP="00A34764">
      <w:pPr>
        <w:rPr>
          <w:rFonts w:eastAsia="Arial Unicode MS"/>
          <w:lang w:eastAsia="cs-CZ"/>
        </w:rPr>
      </w:pPr>
    </w:p>
    <w:p w:rsidR="00FB1999" w:rsidRPr="007C2EB2" w:rsidRDefault="00FB1999" w:rsidP="00A34764">
      <w:pPr>
        <w:rPr>
          <w:rFonts w:eastAsia="Arial Unicode MS"/>
          <w:lang w:eastAsia="cs-CZ"/>
        </w:rPr>
      </w:pPr>
      <w:r w:rsidRPr="007C2EB2">
        <w:rPr>
          <w:rFonts w:eastAsia="Arial Unicode MS"/>
          <w:b/>
          <w:lang w:eastAsia="cs-CZ"/>
        </w:rPr>
        <w:lastRenderedPageBreak/>
        <w:t>Vize</w:t>
      </w:r>
      <w:r w:rsidRPr="007C2EB2">
        <w:rPr>
          <w:rFonts w:eastAsia="Arial Unicode MS"/>
          <w:lang w:eastAsia="cs-CZ"/>
        </w:rPr>
        <w:t xml:space="preserve"> je popis žádoucího budoucího stavu rozvoje sociálních služeb na území OK, vztahuje se k plánu jako celku. K naplnění vize by mělo dojít v dlouhodobém horizontu.</w:t>
      </w:r>
    </w:p>
    <w:p w:rsidR="00FB1999" w:rsidRPr="007C2EB2" w:rsidRDefault="00FB1999" w:rsidP="00A34764">
      <w:pPr>
        <w:rPr>
          <w:rFonts w:eastAsia="Arial Unicode MS"/>
          <w:lang w:eastAsia="cs-CZ"/>
        </w:rPr>
      </w:pPr>
      <w:r w:rsidRPr="007C2EB2">
        <w:rPr>
          <w:rFonts w:eastAsia="Arial Unicode MS"/>
          <w:b/>
          <w:lang w:eastAsia="cs-CZ"/>
        </w:rPr>
        <w:t xml:space="preserve">Hlavní </w:t>
      </w:r>
      <w:r w:rsidRPr="00027B11">
        <w:rPr>
          <w:rFonts w:eastAsia="Arial Unicode MS"/>
          <w:b/>
          <w:lang w:eastAsia="cs-CZ"/>
        </w:rPr>
        <w:t>(</w:t>
      </w:r>
      <w:r w:rsidRPr="007C2EB2">
        <w:rPr>
          <w:rFonts w:eastAsia="Arial Unicode MS"/>
          <w:b/>
          <w:lang w:eastAsia="cs-CZ"/>
        </w:rPr>
        <w:t xml:space="preserve">prioritní) cíle </w:t>
      </w:r>
      <w:r w:rsidRPr="007C2EB2">
        <w:rPr>
          <w:rFonts w:eastAsia="Arial Unicode MS"/>
          <w:lang w:eastAsia="cs-CZ"/>
        </w:rPr>
        <w:t xml:space="preserve">rozvádí definovanou vizi. Jedná se o konkretizovaný (jasný, faktický a srozumitelný) popis budoucího stavu, jehož prostřednictvím bude naplněna stanovená vize. K naplnění hlavních cílů by mělo dojít ve střednědobém horizontu (což nemusí být bezprostředně po ukončení realizace plánu). </w:t>
      </w:r>
    </w:p>
    <w:p w:rsidR="00FB1999" w:rsidRPr="007C2EB2" w:rsidRDefault="00FB1999" w:rsidP="00A34764">
      <w:pPr>
        <w:rPr>
          <w:rFonts w:eastAsia="Arial Unicode MS"/>
          <w:lang w:eastAsia="cs-CZ"/>
        </w:rPr>
      </w:pPr>
      <w:r w:rsidRPr="007C2EB2">
        <w:rPr>
          <w:rFonts w:eastAsia="Arial Unicode MS"/>
          <w:b/>
          <w:lang w:eastAsia="cs-CZ"/>
        </w:rPr>
        <w:t>Průřezové cíle</w:t>
      </w:r>
      <w:r w:rsidRPr="007C2EB2">
        <w:rPr>
          <w:rFonts w:eastAsia="Arial Unicode MS"/>
          <w:lang w:eastAsia="cs-CZ"/>
        </w:rPr>
        <w:t xml:space="preserve"> jsou zaměřeny na problematiku, která se prolíná napříč všemi pracovními skupinami s územní působností celého OK. </w:t>
      </w:r>
    </w:p>
    <w:p w:rsidR="00FB1999" w:rsidRPr="007C2EB2" w:rsidRDefault="00FB1999" w:rsidP="00A34764">
      <w:pPr>
        <w:rPr>
          <w:rFonts w:eastAsia="Arial Unicode MS"/>
          <w:lang w:eastAsia="cs-CZ"/>
        </w:rPr>
      </w:pPr>
      <w:r w:rsidRPr="007C2EB2">
        <w:rPr>
          <w:rFonts w:eastAsia="Arial Unicode MS"/>
          <w:b/>
          <w:lang w:eastAsia="cs-CZ"/>
        </w:rPr>
        <w:t>Dílčí (specifické)</w:t>
      </w:r>
      <w:r w:rsidRPr="007C2EB2">
        <w:rPr>
          <w:rFonts w:eastAsia="Arial Unicode MS"/>
          <w:lang w:eastAsia="cs-CZ"/>
        </w:rPr>
        <w:t xml:space="preserve"> </w:t>
      </w:r>
      <w:r w:rsidRPr="007C2EB2">
        <w:rPr>
          <w:rFonts w:eastAsia="Arial Unicode MS"/>
          <w:b/>
          <w:lang w:eastAsia="cs-CZ"/>
        </w:rPr>
        <w:t>cíle</w:t>
      </w:r>
      <w:r w:rsidRPr="007C2EB2">
        <w:rPr>
          <w:rFonts w:eastAsia="Arial Unicode MS"/>
          <w:lang w:eastAsia="cs-CZ"/>
        </w:rPr>
        <w:t xml:space="preserve"> rozpracovávají hlavní cíle v konkrétních pracovních skupinách ve střednědobém horizontu na základě analytické části.</w:t>
      </w:r>
    </w:p>
    <w:p w:rsidR="00FB1999" w:rsidRPr="007C2EB2" w:rsidRDefault="00FB1999" w:rsidP="00A34764">
      <w:pPr>
        <w:rPr>
          <w:rFonts w:eastAsia="Arial Unicode MS"/>
          <w:lang w:eastAsia="cs-CZ"/>
        </w:rPr>
      </w:pPr>
      <w:r w:rsidRPr="007C2EB2">
        <w:rPr>
          <w:rFonts w:eastAsia="Arial Unicode MS"/>
          <w:b/>
          <w:lang w:eastAsia="cs-CZ"/>
        </w:rPr>
        <w:t>Opatření</w:t>
      </w:r>
      <w:r w:rsidRPr="007C2EB2">
        <w:rPr>
          <w:rFonts w:eastAsia="Arial Unicode MS"/>
          <w:lang w:eastAsia="cs-CZ"/>
        </w:rPr>
        <w:t xml:space="preserve"> definují konkrétní kroky vedoucí k dosažení požadovaných dílčích a průřezových cílů. </w:t>
      </w:r>
    </w:p>
    <w:p w:rsidR="00FB1999" w:rsidRPr="007C2EB2" w:rsidRDefault="00FB1999" w:rsidP="00A34764">
      <w:pPr>
        <w:rPr>
          <w:rFonts w:eastAsia="Arial Unicode MS"/>
          <w:lang w:eastAsia="cs-CZ"/>
        </w:rPr>
      </w:pPr>
      <w:r w:rsidRPr="007C2EB2">
        <w:rPr>
          <w:rFonts w:eastAsia="Arial Unicode MS"/>
          <w:lang w:eastAsia="cs-CZ"/>
        </w:rPr>
        <w:t>Při rozvoji sociálních služeb v OK jsou preferována flexibilní řešení umožňující dosáhnout odpovídající a včasné pomoci osobám v nepříznivé sociální situaci při respektování ekonomických omezení ve sféře veřejných rozpočtů. Veškeré rozvojové záměry stanovené Střednědobým plánem 2024</w:t>
      </w:r>
      <w:r w:rsidR="00B549A4">
        <w:rPr>
          <w:rFonts w:eastAsia="Arial Unicode MS"/>
          <w:lang w:eastAsia="cs-CZ"/>
        </w:rPr>
        <w:t>–</w:t>
      </w:r>
      <w:r w:rsidRPr="007C2EB2">
        <w:rPr>
          <w:rFonts w:eastAsia="Arial Unicode MS"/>
          <w:lang w:eastAsia="cs-CZ"/>
        </w:rPr>
        <w:t>2026</w:t>
      </w:r>
      <w:r w:rsidR="00B549A4">
        <w:rPr>
          <w:rFonts w:eastAsia="Arial Unicode MS"/>
          <w:lang w:eastAsia="cs-CZ"/>
        </w:rPr>
        <w:t>,</w:t>
      </w:r>
      <w:r w:rsidRPr="007C2EB2">
        <w:rPr>
          <w:rFonts w:eastAsia="Arial Unicode MS"/>
          <w:lang w:eastAsia="cs-CZ"/>
        </w:rPr>
        <w:t xml:space="preserve"> mající vliv na aktualizaci sítě sociálních služeb OK, budou realizovány v souladu s platnou legislativou a schválenými postupy pro aktualizaci sítě OK. </w:t>
      </w:r>
    </w:p>
    <w:p w:rsidR="00FB1999" w:rsidRPr="007C2EB2" w:rsidRDefault="00FB1999" w:rsidP="002D6E34">
      <w:pPr>
        <w:pStyle w:val="Tun"/>
      </w:pPr>
      <w:r w:rsidRPr="007C2EB2">
        <w:t>Vize Olomouckého kraje:</w:t>
      </w:r>
    </w:p>
    <w:p w:rsidR="00FB1999" w:rsidRPr="007C2EB2" w:rsidRDefault="00FB1999" w:rsidP="00A34764">
      <w:pPr>
        <w:rPr>
          <w:rFonts w:eastAsia="Arial Unicode MS"/>
          <w:lang w:eastAsia="cs-CZ"/>
        </w:rPr>
      </w:pPr>
      <w:r w:rsidRPr="007C2EB2">
        <w:rPr>
          <w:rFonts w:eastAsia="Arial Unicode MS"/>
          <w:lang w:eastAsia="cs-CZ"/>
        </w:rPr>
        <w:t>OK prostřednictvím efektivně fungující sítě kvalitních a místně</w:t>
      </w:r>
      <w:r w:rsidR="0070528A">
        <w:rPr>
          <w:rFonts w:eastAsia="Arial Unicode MS"/>
          <w:lang w:eastAsia="cs-CZ"/>
        </w:rPr>
        <w:t>, časově i finančně</w:t>
      </w:r>
      <w:r w:rsidRPr="007C2EB2">
        <w:rPr>
          <w:rFonts w:eastAsia="Arial Unicode MS"/>
          <w:lang w:eastAsia="cs-CZ"/>
        </w:rPr>
        <w:t xml:space="preserve"> dostupných sociálních služeb poskytuje </w:t>
      </w:r>
      <w:r w:rsidR="0070528A">
        <w:rPr>
          <w:rFonts w:eastAsia="Arial Unicode MS"/>
          <w:lang w:eastAsia="cs-CZ"/>
        </w:rPr>
        <w:t xml:space="preserve">pomoc a </w:t>
      </w:r>
      <w:r w:rsidRPr="007C2EB2">
        <w:rPr>
          <w:rFonts w:eastAsia="Arial Unicode MS"/>
          <w:lang w:eastAsia="cs-CZ"/>
        </w:rPr>
        <w:t xml:space="preserve">podporu osobám v nepříznivé sociální situaci při </w:t>
      </w:r>
      <w:r w:rsidR="0070528A">
        <w:rPr>
          <w:rFonts w:eastAsia="Arial Unicode MS"/>
          <w:lang w:eastAsia="cs-CZ"/>
        </w:rPr>
        <w:t>naplňování</w:t>
      </w:r>
      <w:r w:rsidR="0070528A" w:rsidRPr="007C2EB2">
        <w:rPr>
          <w:rFonts w:eastAsia="Arial Unicode MS"/>
          <w:lang w:eastAsia="cs-CZ"/>
        </w:rPr>
        <w:t xml:space="preserve"> </w:t>
      </w:r>
      <w:r w:rsidRPr="007C2EB2">
        <w:rPr>
          <w:rFonts w:eastAsia="Arial Unicode MS"/>
          <w:lang w:eastAsia="cs-CZ"/>
        </w:rPr>
        <w:t>jejich potřeb</w:t>
      </w:r>
      <w:r w:rsidR="00910531">
        <w:rPr>
          <w:rFonts w:eastAsia="Arial Unicode MS"/>
          <w:lang w:eastAsia="cs-CZ"/>
        </w:rPr>
        <w:t>, a</w:t>
      </w:r>
      <w:r w:rsidR="00B549A4">
        <w:rPr>
          <w:rFonts w:eastAsia="Arial Unicode MS"/>
          <w:lang w:eastAsia="cs-CZ"/>
        </w:rPr>
        <w:t> </w:t>
      </w:r>
      <w:r w:rsidR="00910531">
        <w:rPr>
          <w:rFonts w:eastAsia="Arial Unicode MS"/>
          <w:lang w:eastAsia="cs-CZ"/>
        </w:rPr>
        <w:t>to</w:t>
      </w:r>
      <w:r w:rsidRPr="007C2EB2">
        <w:rPr>
          <w:rFonts w:eastAsia="Arial Unicode MS"/>
          <w:lang w:eastAsia="cs-CZ"/>
        </w:rPr>
        <w:t xml:space="preserve"> s</w:t>
      </w:r>
      <w:r w:rsidR="00910531">
        <w:rPr>
          <w:rFonts w:eastAsia="Arial Unicode MS"/>
          <w:lang w:eastAsia="cs-CZ"/>
        </w:rPr>
        <w:t> cílem zvýšení</w:t>
      </w:r>
      <w:r w:rsidRPr="007C2EB2">
        <w:rPr>
          <w:rFonts w:eastAsia="Arial Unicode MS"/>
          <w:lang w:eastAsia="cs-CZ"/>
        </w:rPr>
        <w:t xml:space="preserve"> jejich samostatnosti, soběstačnosti a </w:t>
      </w:r>
      <w:r w:rsidR="00910531">
        <w:rPr>
          <w:rFonts w:eastAsia="Arial Unicode MS"/>
          <w:lang w:eastAsia="cs-CZ"/>
        </w:rPr>
        <w:t xml:space="preserve">co nejvyšší stupeň </w:t>
      </w:r>
      <w:r w:rsidRPr="007C2EB2">
        <w:rPr>
          <w:rFonts w:eastAsia="Arial Unicode MS"/>
          <w:lang w:eastAsia="cs-CZ"/>
        </w:rPr>
        <w:t>sociální</w:t>
      </w:r>
      <w:r w:rsidR="00910531">
        <w:rPr>
          <w:rFonts w:eastAsia="Arial Unicode MS"/>
          <w:lang w:eastAsia="cs-CZ"/>
        </w:rPr>
        <w:t>ho</w:t>
      </w:r>
      <w:r w:rsidRPr="007C2EB2">
        <w:rPr>
          <w:rFonts w:eastAsia="Arial Unicode MS"/>
          <w:lang w:eastAsia="cs-CZ"/>
        </w:rPr>
        <w:t xml:space="preserve"> začlenění. </w:t>
      </w:r>
    </w:p>
    <w:p w:rsidR="00FB1999" w:rsidRPr="002D6E34" w:rsidRDefault="00FB1999" w:rsidP="00A34764">
      <w:pPr>
        <w:rPr>
          <w:rFonts w:eastAsia="Arial Unicode MS"/>
          <w:b/>
          <w:lang w:eastAsia="cs-CZ"/>
        </w:rPr>
      </w:pPr>
      <w:r w:rsidRPr="002D6E34">
        <w:rPr>
          <w:rFonts w:eastAsia="Arial Unicode MS"/>
          <w:b/>
          <w:lang w:eastAsia="cs-CZ"/>
        </w:rPr>
        <w:t>Hlavní cíle:</w:t>
      </w:r>
    </w:p>
    <w:p w:rsidR="008E762B" w:rsidRPr="00A34764" w:rsidRDefault="00FB1999" w:rsidP="00A34764">
      <w:pPr>
        <w:pStyle w:val="Odstavecseseznamem"/>
        <w:numPr>
          <w:ilvl w:val="0"/>
          <w:numId w:val="62"/>
        </w:numPr>
      </w:pPr>
      <w:r w:rsidRPr="00A34764">
        <w:t xml:space="preserve">Systematické </w:t>
      </w:r>
      <w:r w:rsidR="00AA1981" w:rsidRPr="00A34764">
        <w:t>řízení změn</w:t>
      </w:r>
      <w:r w:rsidRPr="00A34764">
        <w:t xml:space="preserve"> </w:t>
      </w:r>
      <w:r w:rsidR="00AA1981" w:rsidRPr="00A34764">
        <w:t>směřující k</w:t>
      </w:r>
      <w:r w:rsidRPr="00A34764">
        <w:t xml:space="preserve"> optimalizac</w:t>
      </w:r>
      <w:r w:rsidR="00AA1981" w:rsidRPr="00A34764">
        <w:t>i</w:t>
      </w:r>
      <w:r w:rsidRPr="00A34764">
        <w:t xml:space="preserve"> </w:t>
      </w:r>
      <w:r w:rsidR="00F96CEE" w:rsidRPr="00A34764">
        <w:t xml:space="preserve">jednotek </w:t>
      </w:r>
      <w:r w:rsidR="00D17013" w:rsidRPr="00A34764">
        <w:t xml:space="preserve">ve </w:t>
      </w:r>
      <w:r w:rsidRPr="00A34764">
        <w:t>stávající sít</w:t>
      </w:r>
      <w:r w:rsidR="00D17013" w:rsidRPr="00A34764">
        <w:t>i</w:t>
      </w:r>
      <w:r w:rsidRPr="00A34764">
        <w:t xml:space="preserve"> sociálních služeb </w:t>
      </w:r>
      <w:r w:rsidR="008E762B" w:rsidRPr="00A34764">
        <w:t>vedoucí k zajištění flexibility při řešení nepříznivých sociálních situací.</w:t>
      </w:r>
    </w:p>
    <w:p w:rsidR="00FB1999" w:rsidRPr="00A34764" w:rsidRDefault="00FB1999" w:rsidP="00A34764">
      <w:pPr>
        <w:pStyle w:val="Odstavecseseznamem"/>
        <w:numPr>
          <w:ilvl w:val="0"/>
          <w:numId w:val="62"/>
        </w:numPr>
      </w:pPr>
      <w:proofErr w:type="gramStart"/>
      <w:r w:rsidRPr="00A34764">
        <w:t>Podpora</w:t>
      </w:r>
      <w:proofErr w:type="gramEnd"/>
      <w:r w:rsidRPr="00A34764">
        <w:t xml:space="preserve"> </w:t>
      </w:r>
      <w:r w:rsidR="008E762B" w:rsidRPr="00A34764">
        <w:t>rozvoje sociálních služeb</w:t>
      </w:r>
      <w:r w:rsidR="00AC3104" w:rsidRPr="00A34764">
        <w:t>,</w:t>
      </w:r>
      <w:r w:rsidR="008E762B" w:rsidRPr="00A34764">
        <w:t xml:space="preserve"> </w:t>
      </w:r>
      <w:r w:rsidRPr="00A34764">
        <w:t xml:space="preserve">na základě potřeb identifikovaných </w:t>
      </w:r>
      <w:r w:rsidR="00910531" w:rsidRPr="00A34764">
        <w:t>v</w:t>
      </w:r>
      <w:r w:rsidRPr="00A34764">
        <w:t xml:space="preserve"> území kraje</w:t>
      </w:r>
      <w:r w:rsidR="008E762B" w:rsidRPr="00A34764">
        <w:t xml:space="preserve">, </w:t>
      </w:r>
      <w:proofErr w:type="gramStart"/>
      <w:r w:rsidR="008E762B" w:rsidRPr="00A34764">
        <w:t>které:</w:t>
      </w:r>
      <w:proofErr w:type="gramEnd"/>
    </w:p>
    <w:p w:rsidR="008E762B" w:rsidRPr="00A34764" w:rsidRDefault="008E762B" w:rsidP="00A34764">
      <w:pPr>
        <w:pStyle w:val="Odstavecseseznamem"/>
        <w:numPr>
          <w:ilvl w:val="0"/>
          <w:numId w:val="256"/>
        </w:numPr>
      </w:pPr>
      <w:r w:rsidRPr="00A34764">
        <w:t xml:space="preserve">plně aplikují jako východisko pro </w:t>
      </w:r>
      <w:r w:rsidR="00F96CEE" w:rsidRPr="00A34764">
        <w:t>poskyt</w:t>
      </w:r>
      <w:r w:rsidR="00D17013" w:rsidRPr="00A34764">
        <w:t>ování</w:t>
      </w:r>
      <w:r w:rsidR="00F96CEE" w:rsidRPr="00A34764">
        <w:t xml:space="preserve"> sociální </w:t>
      </w:r>
      <w:r w:rsidRPr="00A34764">
        <w:t>služby skutečné prokázání nepříznivé sociální situace</w:t>
      </w:r>
      <w:r w:rsidR="00315810" w:rsidRPr="00A34764">
        <w:t xml:space="preserve"> osob</w:t>
      </w:r>
      <w:r w:rsidRPr="00A34764">
        <w:t xml:space="preserve"> a na to navazující identifikaci potřeb a jejich průběžn</w:t>
      </w:r>
      <w:r w:rsidR="00F96CEE" w:rsidRPr="00A34764">
        <w:t>é</w:t>
      </w:r>
      <w:r w:rsidRPr="00A34764">
        <w:t xml:space="preserve"> vyhodnocování</w:t>
      </w:r>
      <w:r w:rsidR="00341612" w:rsidRPr="00A34764">
        <w:t>,</w:t>
      </w:r>
    </w:p>
    <w:p w:rsidR="00341612" w:rsidRPr="00A34764" w:rsidRDefault="00341612" w:rsidP="00A34764">
      <w:pPr>
        <w:pStyle w:val="Odstavecseseznamem"/>
        <w:numPr>
          <w:ilvl w:val="0"/>
          <w:numId w:val="256"/>
        </w:numPr>
      </w:pPr>
      <w:r w:rsidRPr="00A34764">
        <w:t xml:space="preserve">podporují rozvoj samostatnosti a motivují uživatele k činnostem, které </w:t>
      </w:r>
      <w:r w:rsidR="00F96CEE" w:rsidRPr="00A34764">
        <w:t>zamezují</w:t>
      </w:r>
      <w:r w:rsidR="00B549A4" w:rsidRPr="00A34764">
        <w:t xml:space="preserve"> </w:t>
      </w:r>
      <w:r w:rsidRPr="00A34764">
        <w:t>dlouhodobému setrvání nebo prohlubová</w:t>
      </w:r>
      <w:r w:rsidR="00D17013" w:rsidRPr="00A34764">
        <w:t xml:space="preserve">ní nepříznivé sociální situace a </w:t>
      </w:r>
      <w:r w:rsidRPr="00A34764">
        <w:t>vedou k sociálnímu začleňování,</w:t>
      </w:r>
    </w:p>
    <w:p w:rsidR="008E762B" w:rsidRPr="00A34764" w:rsidRDefault="008E762B" w:rsidP="00A34764">
      <w:pPr>
        <w:pStyle w:val="Odstavecseseznamem"/>
        <w:numPr>
          <w:ilvl w:val="0"/>
          <w:numId w:val="256"/>
        </w:numPr>
      </w:pPr>
      <w:r w:rsidRPr="00A34764">
        <w:t>reagují na identifikované potřeby osob poskytováním sociálních služeb primárně v</w:t>
      </w:r>
      <w:r w:rsidR="009A6D06" w:rsidRPr="00A34764">
        <w:t> </w:t>
      </w:r>
      <w:r w:rsidRPr="00A34764">
        <w:t>přirozeném prostře</w:t>
      </w:r>
      <w:r w:rsidR="00341612" w:rsidRPr="00A34764">
        <w:t>dí</w:t>
      </w:r>
      <w:r w:rsidR="00F96CEE" w:rsidRPr="00A34764">
        <w:t xml:space="preserve"> uživatelů</w:t>
      </w:r>
      <w:r w:rsidR="00341612" w:rsidRPr="00A34764">
        <w:t>,</w:t>
      </w:r>
    </w:p>
    <w:p w:rsidR="004F083C" w:rsidRPr="00A34764" w:rsidRDefault="00FB1999" w:rsidP="00A34764">
      <w:pPr>
        <w:pStyle w:val="Odstavecseseznamem"/>
        <w:numPr>
          <w:ilvl w:val="0"/>
          <w:numId w:val="256"/>
        </w:numPr>
      </w:pPr>
      <w:r w:rsidRPr="00A34764">
        <w:t>jejichž financování bude založeno na principu subsidiarity s prokazatelným využitím všech relevantních finančních zdrojů (tj. prostředky státního rozpočtu, prostředky územně samosprávných celků, úhrady uživatelů služeb, příjmy ze zdravotních pojišťoven atd.)</w:t>
      </w:r>
      <w:r w:rsidR="00B549A4" w:rsidRPr="00A34764">
        <w:t>.</w:t>
      </w:r>
    </w:p>
    <w:p w:rsidR="00FB1999" w:rsidRPr="00A34764" w:rsidRDefault="00FB1999" w:rsidP="00A34764">
      <w:pPr>
        <w:pStyle w:val="Odstavecseseznamem"/>
        <w:numPr>
          <w:ilvl w:val="0"/>
          <w:numId w:val="62"/>
        </w:numPr>
      </w:pPr>
      <w:r w:rsidRPr="00A34764">
        <w:t xml:space="preserve">Podpora procesů směřující k </w:t>
      </w:r>
      <w:proofErr w:type="spellStart"/>
      <w:r w:rsidRPr="00A34764">
        <w:t>deinstitucionalizaci</w:t>
      </w:r>
      <w:proofErr w:type="spellEnd"/>
      <w:r w:rsidRPr="00A34764">
        <w:t xml:space="preserve"> a transformaci sociálních služeb, tj. přechod z institucionální péče do péče v přirozeném prostředí, </w:t>
      </w:r>
      <w:r w:rsidR="004C75A6" w:rsidRPr="00A34764">
        <w:t xml:space="preserve">včetně </w:t>
      </w:r>
      <w:r w:rsidRPr="00A34764">
        <w:t>zařízení pro děti do tří let</w:t>
      </w:r>
      <w:r w:rsidR="004C75A6" w:rsidRPr="00A34764">
        <w:t>.</w:t>
      </w:r>
    </w:p>
    <w:p w:rsidR="00FB1999" w:rsidRPr="00A34764" w:rsidRDefault="00FB1999" w:rsidP="00A34764">
      <w:pPr>
        <w:pStyle w:val="Odstavecseseznamem"/>
        <w:numPr>
          <w:ilvl w:val="0"/>
          <w:numId w:val="62"/>
        </w:numPr>
      </w:pPr>
      <w:r w:rsidRPr="00A34764">
        <w:t xml:space="preserve">Podpora pobytových služeb pro osoby s vysokou mírou podpory </w:t>
      </w:r>
      <w:r w:rsidR="00F96CEE" w:rsidRPr="00A34764">
        <w:t xml:space="preserve">a nutností celodenní péče </w:t>
      </w:r>
      <w:r w:rsidRPr="00A34764">
        <w:t xml:space="preserve">napříč věkovým spektrem, jejichž zdravotní </w:t>
      </w:r>
      <w:r w:rsidR="004C75A6" w:rsidRPr="00A34764">
        <w:t xml:space="preserve">stav </w:t>
      </w:r>
      <w:r w:rsidRPr="00A34764">
        <w:t>neumožňuje setrvat v přirozeném domácím prostředí ani za podpory terénních služeb.</w:t>
      </w:r>
    </w:p>
    <w:p w:rsidR="00AC3104" w:rsidRPr="00A34764" w:rsidRDefault="00AC3104" w:rsidP="00A34764">
      <w:pPr>
        <w:pStyle w:val="Odstavecseseznamem"/>
        <w:numPr>
          <w:ilvl w:val="0"/>
          <w:numId w:val="62"/>
        </w:numPr>
      </w:pPr>
      <w:r w:rsidRPr="00A34764">
        <w:t>Podpora dovednost</w:t>
      </w:r>
      <w:r w:rsidR="00B549A4" w:rsidRPr="00A34764">
        <w:t>í</w:t>
      </w:r>
      <w:r w:rsidRPr="00A34764">
        <w:t xml:space="preserve"> poskytovatelů sociálních služeb</w:t>
      </w:r>
      <w:r w:rsidR="00F96CEE" w:rsidRPr="00A34764">
        <w:t xml:space="preserve"> spočívající v </w:t>
      </w:r>
      <w:r w:rsidRPr="00A34764">
        <w:t>identifik</w:t>
      </w:r>
      <w:r w:rsidR="00F96CEE" w:rsidRPr="00A34764">
        <w:t>aci</w:t>
      </w:r>
      <w:r w:rsidRPr="00A34764">
        <w:t xml:space="preserve"> skutečn</w:t>
      </w:r>
      <w:r w:rsidR="00F96CEE" w:rsidRPr="00A34764">
        <w:t>ých</w:t>
      </w:r>
      <w:r w:rsidRPr="00A34764">
        <w:t xml:space="preserve"> potřeb uživatelů sociálních služeb.</w:t>
      </w:r>
    </w:p>
    <w:p w:rsidR="00FB1999" w:rsidRPr="00A34764" w:rsidRDefault="00FB1999" w:rsidP="00A34764">
      <w:pPr>
        <w:pStyle w:val="Odstavecseseznamem"/>
        <w:numPr>
          <w:ilvl w:val="0"/>
          <w:numId w:val="62"/>
        </w:numPr>
      </w:pPr>
      <w:r w:rsidRPr="00A34764">
        <w:t>P</w:t>
      </w:r>
      <w:r w:rsidR="00315810" w:rsidRPr="00A34764">
        <w:t>odpora</w:t>
      </w:r>
      <w:r w:rsidR="00F814AC" w:rsidRPr="00A34764">
        <w:t xml:space="preserve"> terénních</w:t>
      </w:r>
      <w:r w:rsidR="00315810" w:rsidRPr="00A34764">
        <w:t xml:space="preserve"> sociálních služeb navazujících </w:t>
      </w:r>
      <w:r w:rsidR="00B63C6F" w:rsidRPr="00A34764">
        <w:t>na zajištění</w:t>
      </w:r>
      <w:r w:rsidR="00D17013" w:rsidRPr="00A34764">
        <w:t xml:space="preserve"> </w:t>
      </w:r>
      <w:r w:rsidRPr="00A34764">
        <w:t>paliativní péč</w:t>
      </w:r>
      <w:r w:rsidR="00B63C6F" w:rsidRPr="00A34764">
        <w:t>e</w:t>
      </w:r>
      <w:r w:rsidR="006A4D3C" w:rsidRPr="00A34764">
        <w:t>.</w:t>
      </w:r>
      <w:r w:rsidR="00F96CEE" w:rsidRPr="00A34764">
        <w:t xml:space="preserve"> </w:t>
      </w:r>
    </w:p>
    <w:p w:rsidR="00FB1999" w:rsidRPr="00A34764" w:rsidRDefault="00CD5DC9" w:rsidP="00A34764">
      <w:pPr>
        <w:pStyle w:val="Odstavecseseznamem"/>
        <w:numPr>
          <w:ilvl w:val="0"/>
          <w:numId w:val="62"/>
        </w:numPr>
      </w:pPr>
      <w:r w:rsidRPr="00A34764">
        <w:t>P</w:t>
      </w:r>
      <w:r w:rsidR="00F814AC" w:rsidRPr="00A34764">
        <w:t xml:space="preserve">rohlubování </w:t>
      </w:r>
      <w:r w:rsidRPr="00A34764">
        <w:t>odbornosti</w:t>
      </w:r>
      <w:r w:rsidR="00FB1999" w:rsidRPr="00A34764">
        <w:t xml:space="preserve"> </w:t>
      </w:r>
      <w:r w:rsidR="00B63C6F" w:rsidRPr="00A34764">
        <w:t>pracovníků vykonávajících sociální práci na obcích, zvyšování jejich kompetencí při</w:t>
      </w:r>
      <w:r w:rsidR="00586244" w:rsidRPr="00A34764">
        <w:t xml:space="preserve"> koordinaci sociálních služeb</w:t>
      </w:r>
      <w:r w:rsidR="00F814AC" w:rsidRPr="00A34764">
        <w:t xml:space="preserve">, včetně rozvoje </w:t>
      </w:r>
      <w:r w:rsidR="00B63C6F" w:rsidRPr="00A34764">
        <w:t>depistáží a case managementu</w:t>
      </w:r>
      <w:r w:rsidR="00FB1999" w:rsidRPr="00A34764">
        <w:t>.</w:t>
      </w:r>
    </w:p>
    <w:p w:rsidR="00AC3104" w:rsidRPr="009A6D06" w:rsidRDefault="00AC3104" w:rsidP="00A34764">
      <w:pPr>
        <w:pStyle w:val="Odstavecseseznamem"/>
        <w:numPr>
          <w:ilvl w:val="0"/>
          <w:numId w:val="62"/>
        </w:numPr>
      </w:pPr>
      <w:r w:rsidRPr="009A6D06">
        <w:t xml:space="preserve">Podpora </w:t>
      </w:r>
      <w:r w:rsidR="00F814AC" w:rsidRPr="009A6D06">
        <w:t>osob neformálně</w:t>
      </w:r>
      <w:r w:rsidRPr="009A6D06">
        <w:t xml:space="preserve"> pečujících zvyšování</w:t>
      </w:r>
      <w:r w:rsidR="00F814AC" w:rsidRPr="009A6D06">
        <w:t>m</w:t>
      </w:r>
      <w:r w:rsidRPr="009A6D06">
        <w:t xml:space="preserve"> jejich kompetencí</w:t>
      </w:r>
      <w:r w:rsidR="00F814AC" w:rsidRPr="009A6D06">
        <w:t xml:space="preserve"> prostřednictvím </w:t>
      </w:r>
      <w:r w:rsidR="00624B9A" w:rsidRPr="009A6D06">
        <w:t>podpůrných služeb ve spolupráci obcí, OK a poskytovatelů sociálních služeb</w:t>
      </w:r>
      <w:r w:rsidR="00B1490C" w:rsidRPr="009A6D06">
        <w:t>.</w:t>
      </w:r>
    </w:p>
    <w:p w:rsidR="00FB1999" w:rsidRPr="00A34764" w:rsidRDefault="00FB1999" w:rsidP="00A34764">
      <w:pPr>
        <w:pStyle w:val="Odstavecseseznamem"/>
        <w:numPr>
          <w:ilvl w:val="0"/>
          <w:numId w:val="62"/>
        </w:numPr>
      </w:pPr>
      <w:r w:rsidRPr="00A34764">
        <w:t>Podpora dobrovolnictví rozvoje</w:t>
      </w:r>
      <w:r w:rsidR="00F814AC" w:rsidRPr="00A34764">
        <w:t>m</w:t>
      </w:r>
      <w:r w:rsidRPr="00A34764">
        <w:t xml:space="preserve"> přijímajících organizací a dobrovolnických center.</w:t>
      </w:r>
    </w:p>
    <w:p w:rsidR="00FB1999" w:rsidRPr="007C2EB2" w:rsidRDefault="00FB1999" w:rsidP="00A34764">
      <w:pPr>
        <w:pStyle w:val="Nadpis1"/>
      </w:pPr>
      <w:bookmarkStart w:id="175" w:name="_Toc393029388"/>
      <w:bookmarkStart w:id="176" w:name="_Toc399140761"/>
      <w:bookmarkStart w:id="177" w:name="_Toc22896379"/>
      <w:bookmarkStart w:id="178" w:name="_Toc111537468"/>
      <w:bookmarkStart w:id="179" w:name="_Toc113622079"/>
      <w:bookmarkStart w:id="180" w:name="_Toc117606989"/>
      <w:r w:rsidRPr="007C2EB2">
        <w:lastRenderedPageBreak/>
        <w:t>Průřezové cíle a opatření</w:t>
      </w:r>
      <w:bookmarkEnd w:id="175"/>
      <w:bookmarkEnd w:id="176"/>
      <w:bookmarkEnd w:id="177"/>
      <w:bookmarkEnd w:id="178"/>
      <w:bookmarkEnd w:id="179"/>
      <w:bookmarkEnd w:id="180"/>
      <w:r w:rsidRPr="007C2EB2">
        <w:t xml:space="preserve"> </w:t>
      </w:r>
    </w:p>
    <w:p w:rsidR="00FB1999" w:rsidRDefault="00847F00" w:rsidP="00A34764">
      <w:pPr>
        <w:rPr>
          <w:rFonts w:eastAsia="Arial Unicode MS"/>
          <w:lang w:eastAsia="cs-CZ"/>
        </w:rPr>
      </w:pPr>
      <w:r>
        <w:rPr>
          <w:rFonts w:eastAsia="Arial Unicode MS"/>
          <w:lang w:eastAsia="cs-CZ"/>
        </w:rPr>
        <w:t>Na p</w:t>
      </w:r>
      <w:r w:rsidR="00FB1999">
        <w:rPr>
          <w:rFonts w:eastAsia="Arial Unicode MS"/>
          <w:lang w:eastAsia="cs-CZ"/>
        </w:rPr>
        <w:t>růřezov</w:t>
      </w:r>
      <w:r>
        <w:rPr>
          <w:rFonts w:eastAsia="Arial Unicode MS"/>
          <w:lang w:eastAsia="cs-CZ"/>
        </w:rPr>
        <w:t>é</w:t>
      </w:r>
      <w:r w:rsidR="00FB1999">
        <w:rPr>
          <w:rFonts w:eastAsia="Arial Unicode MS"/>
          <w:lang w:eastAsia="cs-CZ"/>
        </w:rPr>
        <w:t xml:space="preserve"> cíl</w:t>
      </w:r>
      <w:r>
        <w:rPr>
          <w:rFonts w:eastAsia="Arial Unicode MS"/>
          <w:lang w:eastAsia="cs-CZ"/>
        </w:rPr>
        <w:t>e</w:t>
      </w:r>
      <w:r w:rsidR="00FB1999">
        <w:rPr>
          <w:rFonts w:eastAsia="Arial Unicode MS"/>
          <w:lang w:eastAsia="cs-CZ"/>
        </w:rPr>
        <w:t xml:space="preserve"> </w:t>
      </w:r>
      <w:r>
        <w:rPr>
          <w:rFonts w:eastAsia="Arial Unicode MS"/>
          <w:lang w:eastAsia="cs-CZ"/>
        </w:rPr>
        <w:t xml:space="preserve">navazují konkrétní </w:t>
      </w:r>
      <w:r w:rsidR="00FB1999">
        <w:rPr>
          <w:rFonts w:eastAsia="Arial Unicode MS"/>
          <w:lang w:eastAsia="cs-CZ"/>
        </w:rPr>
        <w:t xml:space="preserve">opatření, která se prolínají napříč </w:t>
      </w:r>
      <w:r w:rsidR="00FB1999" w:rsidRPr="007C2EB2">
        <w:rPr>
          <w:rFonts w:eastAsia="Arial Unicode MS"/>
          <w:lang w:eastAsia="cs-CZ"/>
        </w:rPr>
        <w:t>všemi cílovými skupinami</w:t>
      </w:r>
      <w:r w:rsidR="00FB1999">
        <w:rPr>
          <w:rFonts w:eastAsia="Arial Unicode MS"/>
          <w:lang w:eastAsia="cs-CZ"/>
        </w:rPr>
        <w:t xml:space="preserve">. </w:t>
      </w:r>
    </w:p>
    <w:p w:rsidR="00FB1999" w:rsidRPr="007C2EB2" w:rsidRDefault="00FB1999" w:rsidP="00A34764">
      <w:pPr>
        <w:rPr>
          <w:rFonts w:eastAsia="Arial Unicode MS"/>
          <w:lang w:eastAsia="cs-CZ"/>
        </w:rPr>
      </w:pPr>
      <w:r w:rsidRPr="007C2EB2">
        <w:rPr>
          <w:rFonts w:eastAsia="Arial Unicode MS"/>
          <w:lang w:eastAsia="cs-CZ"/>
        </w:rPr>
        <w:t>Průřezový cíl zaměřený na podporu kvality stávajících sociálních služeb reaguje na aktuální trendy v oblasti sociálních služeb</w:t>
      </w:r>
      <w:r w:rsidR="00847F00">
        <w:rPr>
          <w:rFonts w:eastAsia="Arial Unicode MS"/>
          <w:lang w:eastAsia="cs-CZ"/>
        </w:rPr>
        <w:t>,</w:t>
      </w:r>
      <w:r w:rsidRPr="007C2EB2">
        <w:rPr>
          <w:rFonts w:eastAsia="Arial Unicode MS"/>
          <w:lang w:eastAsia="cs-CZ"/>
        </w:rPr>
        <w:t xml:space="preserve"> a to především na zvyšování kompetencí odborného potenciálu pracovníků, </w:t>
      </w:r>
      <w:r w:rsidRPr="007C2EB2">
        <w:rPr>
          <w:rFonts w:eastAsia="Arial Unicode MS"/>
          <w:bCs/>
          <w:lang w:eastAsia="cs-CZ"/>
        </w:rPr>
        <w:t>sdílení dobré praxe či podporu spolupráce zainteresovaných subjektů</w:t>
      </w:r>
      <w:r w:rsidRPr="007C2EB2">
        <w:rPr>
          <w:rFonts w:eastAsia="Arial Unicode MS"/>
          <w:lang w:eastAsia="cs-CZ"/>
        </w:rPr>
        <w:t xml:space="preserve">. </w:t>
      </w:r>
      <w:r w:rsidRPr="007C2EB2">
        <w:rPr>
          <w:rFonts w:eastAsia="Arial Unicode MS"/>
          <w:bCs/>
          <w:lang w:eastAsia="cs-CZ"/>
        </w:rPr>
        <w:t>OK přímo reaguje na aktuálně probíhající změny v oblasti sociálních služeb</w:t>
      </w:r>
      <w:r w:rsidRPr="007C2EB2">
        <w:rPr>
          <w:rFonts w:eastAsia="Arial Unicode MS"/>
          <w:lang w:eastAsia="cs-CZ"/>
        </w:rPr>
        <w:t xml:space="preserve"> </w:t>
      </w:r>
      <w:r>
        <w:rPr>
          <w:rFonts w:eastAsia="Arial Unicode MS"/>
          <w:lang w:eastAsia="cs-CZ"/>
        </w:rPr>
        <w:t>p</w:t>
      </w:r>
      <w:r w:rsidRPr="007C2EB2">
        <w:rPr>
          <w:rFonts w:eastAsia="Arial Unicode MS"/>
          <w:lang w:eastAsia="cs-CZ"/>
        </w:rPr>
        <w:t>růběžným přizpůsobováním materiálně-technických podmínek poskytovaných služeb s ohledem na individuální potřeby uživatelů a </w:t>
      </w:r>
      <w:r w:rsidRPr="007C2EB2">
        <w:rPr>
          <w:rFonts w:eastAsia="Arial Unicode MS"/>
          <w:bCs/>
          <w:lang w:eastAsia="cs-CZ"/>
        </w:rPr>
        <w:t xml:space="preserve">podporou procesu transformace a </w:t>
      </w:r>
      <w:proofErr w:type="spellStart"/>
      <w:r w:rsidRPr="007C2EB2">
        <w:rPr>
          <w:rFonts w:eastAsia="Arial Unicode MS"/>
          <w:bCs/>
          <w:lang w:eastAsia="cs-CZ"/>
        </w:rPr>
        <w:t>deinstitucionalizace</w:t>
      </w:r>
      <w:proofErr w:type="spellEnd"/>
      <w:r>
        <w:rPr>
          <w:rFonts w:eastAsia="Arial Unicode MS"/>
          <w:bCs/>
          <w:lang w:eastAsia="cs-CZ"/>
        </w:rPr>
        <w:t>.</w:t>
      </w:r>
      <w:r w:rsidRPr="007C2EB2">
        <w:rPr>
          <w:rFonts w:eastAsia="Arial Unicode MS"/>
          <w:bCs/>
          <w:lang w:eastAsia="cs-CZ"/>
        </w:rPr>
        <w:t xml:space="preserve"> </w:t>
      </w:r>
      <w:r>
        <w:rPr>
          <w:rFonts w:eastAsia="Arial Unicode MS"/>
          <w:bCs/>
          <w:lang w:eastAsia="cs-CZ"/>
        </w:rPr>
        <w:t>V</w:t>
      </w:r>
      <w:r w:rsidRPr="007C2EB2">
        <w:rPr>
          <w:rFonts w:eastAsia="Arial Unicode MS"/>
          <w:bCs/>
          <w:lang w:eastAsia="cs-CZ"/>
        </w:rPr>
        <w:t xml:space="preserve">ýsledným stavem </w:t>
      </w:r>
      <w:r w:rsidR="00847F00">
        <w:rPr>
          <w:rFonts w:eastAsia="Arial Unicode MS"/>
          <w:bCs/>
          <w:lang w:eastAsia="cs-CZ"/>
        </w:rPr>
        <w:t xml:space="preserve">má být </w:t>
      </w:r>
      <w:r w:rsidRPr="007C2EB2">
        <w:rPr>
          <w:rFonts w:eastAsia="Arial Unicode MS"/>
          <w:bCs/>
          <w:lang w:eastAsia="cs-CZ"/>
        </w:rPr>
        <w:t xml:space="preserve">péče </w:t>
      </w:r>
      <w:r w:rsidR="00847F00">
        <w:rPr>
          <w:rFonts w:eastAsia="Arial Unicode MS"/>
          <w:bCs/>
          <w:lang w:eastAsia="cs-CZ"/>
        </w:rPr>
        <w:t xml:space="preserve">a pomoc </w:t>
      </w:r>
      <w:r>
        <w:rPr>
          <w:rFonts w:eastAsia="Arial Unicode MS"/>
          <w:bCs/>
          <w:lang w:eastAsia="cs-CZ"/>
        </w:rPr>
        <w:t xml:space="preserve">poskytovaná </w:t>
      </w:r>
      <w:r w:rsidRPr="007C2EB2">
        <w:rPr>
          <w:rFonts w:eastAsia="Arial Unicode MS"/>
          <w:bCs/>
          <w:lang w:eastAsia="cs-CZ"/>
        </w:rPr>
        <w:t>v přirozeném prostředí člověk</w:t>
      </w:r>
      <w:r>
        <w:rPr>
          <w:rFonts w:eastAsia="Arial Unicode MS"/>
          <w:bCs/>
          <w:lang w:eastAsia="cs-CZ"/>
        </w:rPr>
        <w:t xml:space="preserve">a a snižování </w:t>
      </w:r>
      <w:r w:rsidR="00847F00">
        <w:rPr>
          <w:rFonts w:eastAsia="Arial Unicode MS"/>
          <w:bCs/>
          <w:lang w:eastAsia="cs-CZ"/>
        </w:rPr>
        <w:t>„</w:t>
      </w:r>
      <w:r>
        <w:rPr>
          <w:rFonts w:eastAsia="Arial Unicode MS"/>
          <w:bCs/>
          <w:lang w:eastAsia="cs-CZ"/>
        </w:rPr>
        <w:t>ústavních kapacit</w:t>
      </w:r>
      <w:r w:rsidR="00847F00">
        <w:rPr>
          <w:rFonts w:eastAsia="Arial Unicode MS"/>
          <w:bCs/>
          <w:lang w:eastAsia="cs-CZ"/>
        </w:rPr>
        <w:t>“</w:t>
      </w:r>
      <w:r w:rsidRPr="007C2EB2">
        <w:rPr>
          <w:rFonts w:eastAsia="Arial Unicode MS"/>
          <w:bCs/>
          <w:lang w:eastAsia="cs-CZ"/>
        </w:rPr>
        <w:t xml:space="preserve">. </w:t>
      </w:r>
      <w:r>
        <w:rPr>
          <w:rFonts w:eastAsia="Arial Unicode MS"/>
          <w:bCs/>
          <w:lang w:eastAsia="cs-CZ"/>
        </w:rPr>
        <w:t>Opatření neopomíjí ani</w:t>
      </w:r>
      <w:r w:rsidRPr="007C2EB2">
        <w:rPr>
          <w:rFonts w:eastAsia="Arial Unicode MS"/>
          <w:bCs/>
          <w:lang w:eastAsia="cs-CZ"/>
        </w:rPr>
        <w:t xml:space="preserve"> </w:t>
      </w:r>
      <w:r>
        <w:rPr>
          <w:rFonts w:eastAsia="Arial Unicode MS"/>
          <w:bCs/>
          <w:lang w:eastAsia="cs-CZ"/>
        </w:rPr>
        <w:t>reformu</w:t>
      </w:r>
      <w:r w:rsidRPr="007C2EB2">
        <w:rPr>
          <w:rFonts w:eastAsia="Arial Unicode MS"/>
          <w:bCs/>
          <w:lang w:eastAsia="cs-CZ"/>
        </w:rPr>
        <w:t xml:space="preserve"> psychiatrické péče, kdy OK </w:t>
      </w:r>
      <w:r w:rsidRPr="007C2EB2">
        <w:t xml:space="preserve">bude realizovat činnosti směřující k podpoře reformních procesů a k rozvoji informovanosti odborné a laické veřejnosti a efektivní spolupráci mezi </w:t>
      </w:r>
      <w:r>
        <w:t xml:space="preserve">zainteresovanými </w:t>
      </w:r>
      <w:r w:rsidRPr="007C2EB2">
        <w:t>subjekty</w:t>
      </w:r>
      <w:r>
        <w:t>.</w:t>
      </w:r>
    </w:p>
    <w:p w:rsidR="00FB1999" w:rsidRDefault="00FB1999" w:rsidP="00A34764">
      <w:pPr>
        <w:rPr>
          <w:rFonts w:eastAsia="Arial Unicode MS"/>
          <w:lang w:eastAsia="cs-CZ"/>
        </w:rPr>
      </w:pPr>
      <w:r>
        <w:rPr>
          <w:rFonts w:eastAsia="Arial Unicode MS"/>
          <w:lang w:eastAsia="cs-CZ"/>
        </w:rPr>
        <w:t xml:space="preserve">Opatření směřující ke zvýšení kvality života osob v nepříznivé sociální situaci jsou zaměřena na rozšíření </w:t>
      </w:r>
      <w:r w:rsidRPr="007C2EB2">
        <w:rPr>
          <w:rFonts w:eastAsia="Arial Unicode MS"/>
          <w:lang w:eastAsia="cs-CZ"/>
        </w:rPr>
        <w:t>podpory pečujících</w:t>
      </w:r>
      <w:r>
        <w:rPr>
          <w:rFonts w:eastAsia="Arial Unicode MS"/>
          <w:lang w:eastAsia="cs-CZ"/>
        </w:rPr>
        <w:t xml:space="preserve"> s cílem umožnit jejich blízkým</w:t>
      </w:r>
      <w:r w:rsidRPr="007C2EB2">
        <w:rPr>
          <w:rFonts w:eastAsia="Arial Unicode MS"/>
          <w:lang w:eastAsia="cs-CZ"/>
        </w:rPr>
        <w:t xml:space="preserve"> žít</w:t>
      </w:r>
      <w:r w:rsidR="00847F00">
        <w:rPr>
          <w:rFonts w:eastAsia="Arial Unicode MS"/>
          <w:lang w:eastAsia="cs-CZ"/>
        </w:rPr>
        <w:t>,</w:t>
      </w:r>
      <w:r w:rsidRPr="007C2EB2">
        <w:rPr>
          <w:rFonts w:eastAsia="Arial Unicode MS"/>
          <w:lang w:eastAsia="cs-CZ"/>
        </w:rPr>
        <w:t xml:space="preserve"> a </w:t>
      </w:r>
      <w:r w:rsidR="00847F00">
        <w:rPr>
          <w:rFonts w:eastAsia="Arial Unicode MS"/>
          <w:lang w:eastAsia="cs-CZ"/>
        </w:rPr>
        <w:t xml:space="preserve">to v závěru života, </w:t>
      </w:r>
      <w:r w:rsidRPr="007C2EB2">
        <w:rPr>
          <w:rFonts w:eastAsia="Arial Unicode MS"/>
          <w:lang w:eastAsia="cs-CZ"/>
        </w:rPr>
        <w:t>v</w:t>
      </w:r>
      <w:r>
        <w:rPr>
          <w:rFonts w:eastAsia="Arial Unicode MS"/>
          <w:lang w:eastAsia="cs-CZ"/>
        </w:rPr>
        <w:t> </w:t>
      </w:r>
      <w:r w:rsidRPr="007C2EB2">
        <w:rPr>
          <w:rFonts w:eastAsia="Arial Unicode MS"/>
          <w:lang w:eastAsia="cs-CZ"/>
        </w:rPr>
        <w:t>domácím</w:t>
      </w:r>
      <w:r>
        <w:rPr>
          <w:rFonts w:eastAsia="Arial Unicode MS"/>
          <w:lang w:eastAsia="cs-CZ"/>
        </w:rPr>
        <w:t xml:space="preserve"> prostředí</w:t>
      </w:r>
      <w:r w:rsidR="00847F00">
        <w:rPr>
          <w:rFonts w:eastAsia="Arial Unicode MS"/>
          <w:lang w:eastAsia="cs-CZ"/>
        </w:rPr>
        <w:t>.</w:t>
      </w:r>
      <w:r w:rsidRPr="007C2EB2">
        <w:rPr>
          <w:rFonts w:eastAsia="Arial Unicode MS"/>
          <w:lang w:eastAsia="cs-CZ"/>
        </w:rPr>
        <w:t xml:space="preserve"> </w:t>
      </w:r>
      <w:r w:rsidR="00847F00">
        <w:rPr>
          <w:rFonts w:eastAsia="Arial Unicode MS"/>
          <w:lang w:eastAsia="cs-CZ"/>
        </w:rPr>
        <w:t>S</w:t>
      </w:r>
      <w:r>
        <w:rPr>
          <w:rFonts w:eastAsia="Arial Unicode MS"/>
          <w:lang w:eastAsia="cs-CZ"/>
        </w:rPr>
        <w:t>ekundárním efektem je</w:t>
      </w:r>
      <w:r w:rsidRPr="007C2EB2">
        <w:rPr>
          <w:rFonts w:eastAsia="Arial Unicode MS"/>
          <w:lang w:eastAsia="cs-CZ"/>
        </w:rPr>
        <w:t xml:space="preserve"> </w:t>
      </w:r>
      <w:r>
        <w:rPr>
          <w:rFonts w:eastAsia="Arial Unicode MS"/>
          <w:lang w:eastAsia="cs-CZ"/>
        </w:rPr>
        <w:t>pak snižování</w:t>
      </w:r>
      <w:r w:rsidRPr="007C2EB2">
        <w:rPr>
          <w:rFonts w:eastAsia="Arial Unicode MS"/>
          <w:lang w:eastAsia="cs-CZ"/>
        </w:rPr>
        <w:t xml:space="preserve"> tlaku na </w:t>
      </w:r>
      <w:r w:rsidR="00847F00">
        <w:rPr>
          <w:rFonts w:eastAsia="Arial Unicode MS"/>
          <w:lang w:eastAsia="cs-CZ"/>
        </w:rPr>
        <w:t xml:space="preserve">zvyšování objemů </w:t>
      </w:r>
      <w:r w:rsidRPr="007C2EB2">
        <w:rPr>
          <w:rFonts w:eastAsia="Arial Unicode MS"/>
          <w:lang w:eastAsia="cs-CZ"/>
        </w:rPr>
        <w:t>veřejn</w:t>
      </w:r>
      <w:r w:rsidR="00847F00">
        <w:rPr>
          <w:rFonts w:eastAsia="Arial Unicode MS"/>
          <w:lang w:eastAsia="cs-CZ"/>
        </w:rPr>
        <w:t>ých</w:t>
      </w:r>
      <w:r w:rsidRPr="007C2EB2">
        <w:rPr>
          <w:rFonts w:eastAsia="Arial Unicode MS"/>
          <w:lang w:eastAsia="cs-CZ"/>
        </w:rPr>
        <w:t xml:space="preserve"> financ</w:t>
      </w:r>
      <w:r w:rsidR="00847F00">
        <w:rPr>
          <w:rFonts w:eastAsia="Arial Unicode MS"/>
          <w:lang w:eastAsia="cs-CZ"/>
        </w:rPr>
        <w:t>í</w:t>
      </w:r>
      <w:r>
        <w:rPr>
          <w:rFonts w:eastAsia="Arial Unicode MS"/>
          <w:lang w:eastAsia="cs-CZ"/>
        </w:rPr>
        <w:t xml:space="preserve"> potřebných na zajištění </w:t>
      </w:r>
      <w:r w:rsidR="00847F00">
        <w:rPr>
          <w:rFonts w:eastAsia="Arial Unicode MS"/>
          <w:lang w:eastAsia="cs-CZ"/>
        </w:rPr>
        <w:t xml:space="preserve">pobytových </w:t>
      </w:r>
      <w:r>
        <w:rPr>
          <w:rFonts w:eastAsia="Arial Unicode MS"/>
          <w:lang w:eastAsia="cs-CZ"/>
        </w:rPr>
        <w:t>sociálních služeb</w:t>
      </w:r>
      <w:r w:rsidRPr="007C2EB2">
        <w:rPr>
          <w:rFonts w:eastAsia="Arial Unicode MS"/>
          <w:lang w:eastAsia="cs-CZ"/>
        </w:rPr>
        <w:t xml:space="preserve">. Obdobně </w:t>
      </w:r>
      <w:r w:rsidR="004C75A6">
        <w:rPr>
          <w:rFonts w:eastAsia="Arial Unicode MS"/>
          <w:lang w:eastAsia="cs-CZ"/>
        </w:rPr>
        <w:t xml:space="preserve">je </w:t>
      </w:r>
      <w:r w:rsidRPr="007C2EB2">
        <w:rPr>
          <w:rFonts w:eastAsia="Arial Unicode MS"/>
          <w:lang w:eastAsia="cs-CZ"/>
        </w:rPr>
        <w:t>nahlíženo na nutnost podpory aktivit souvisejících s oblastí paliativní péče</w:t>
      </w:r>
      <w:r>
        <w:rPr>
          <w:rFonts w:eastAsia="Arial Unicode MS"/>
          <w:lang w:eastAsia="cs-CZ"/>
        </w:rPr>
        <w:t>.</w:t>
      </w:r>
      <w:r w:rsidRPr="007C2EB2">
        <w:rPr>
          <w:rFonts w:eastAsia="Arial Unicode MS"/>
          <w:lang w:eastAsia="cs-CZ"/>
        </w:rPr>
        <w:t xml:space="preserve"> OK jako jeden z prvních </w:t>
      </w:r>
      <w:r>
        <w:rPr>
          <w:rFonts w:eastAsia="Arial Unicode MS"/>
          <w:lang w:eastAsia="cs-CZ"/>
        </w:rPr>
        <w:t>krajů</w:t>
      </w:r>
      <w:r w:rsidR="00847F00">
        <w:rPr>
          <w:rFonts w:eastAsia="Arial Unicode MS"/>
          <w:lang w:eastAsia="cs-CZ"/>
        </w:rPr>
        <w:t xml:space="preserve"> schválil</w:t>
      </w:r>
      <w:r w:rsidRPr="007C2EB2">
        <w:rPr>
          <w:rFonts w:eastAsia="Arial Unicode MS"/>
          <w:lang w:eastAsia="cs-CZ"/>
        </w:rPr>
        <w:t xml:space="preserve"> Koncepci podpory rozvoje paliativní péče, </w:t>
      </w:r>
      <w:r w:rsidR="00847F00">
        <w:rPr>
          <w:rFonts w:eastAsia="Arial Unicode MS"/>
          <w:lang w:eastAsia="cs-CZ"/>
        </w:rPr>
        <w:t xml:space="preserve">jejímž cílem je podpora takové formy péče, která umožní </w:t>
      </w:r>
      <w:r w:rsidRPr="007C2EB2">
        <w:rPr>
          <w:rFonts w:eastAsia="Arial Unicode MS"/>
          <w:lang w:eastAsia="cs-CZ"/>
        </w:rPr>
        <w:t xml:space="preserve">lidem </w:t>
      </w:r>
      <w:r>
        <w:rPr>
          <w:rFonts w:eastAsia="Arial Unicode MS"/>
          <w:lang w:eastAsia="cs-CZ"/>
        </w:rPr>
        <w:t>v terminálním stádiu nemoci</w:t>
      </w:r>
      <w:r w:rsidR="00847F00">
        <w:rPr>
          <w:rFonts w:eastAsia="Arial Unicode MS"/>
          <w:lang w:eastAsia="cs-CZ"/>
        </w:rPr>
        <w:t xml:space="preserve"> setrvat v domácím prostředí</w:t>
      </w:r>
      <w:r w:rsidRPr="007C2EB2">
        <w:rPr>
          <w:rFonts w:eastAsia="Arial Unicode MS"/>
          <w:lang w:eastAsia="cs-CZ"/>
        </w:rPr>
        <w:t xml:space="preserve">. </w:t>
      </w:r>
    </w:p>
    <w:p w:rsidR="00FB1999" w:rsidRPr="007C2EB2" w:rsidRDefault="00FB1999" w:rsidP="00A34764">
      <w:pPr>
        <w:rPr>
          <w:rFonts w:eastAsia="Arial Unicode MS"/>
          <w:lang w:eastAsia="cs-CZ"/>
        </w:rPr>
      </w:pPr>
      <w:r w:rsidRPr="007C2EB2">
        <w:rPr>
          <w:rFonts w:eastAsia="Arial Unicode MS"/>
          <w:lang w:eastAsia="cs-CZ"/>
        </w:rPr>
        <w:t xml:space="preserve">Jednou ze základních podmínek </w:t>
      </w:r>
      <w:r>
        <w:rPr>
          <w:rFonts w:eastAsia="Arial Unicode MS"/>
          <w:lang w:eastAsia="cs-CZ"/>
        </w:rPr>
        <w:t xml:space="preserve">poskytování </w:t>
      </w:r>
      <w:r w:rsidRPr="007C2EB2">
        <w:rPr>
          <w:rFonts w:eastAsia="Arial Unicode MS"/>
          <w:lang w:eastAsia="cs-CZ"/>
        </w:rPr>
        <w:t xml:space="preserve">sociálních služeb na </w:t>
      </w:r>
      <w:r w:rsidR="004C75A6">
        <w:rPr>
          <w:rFonts w:eastAsia="Arial Unicode MS"/>
          <w:lang w:eastAsia="cs-CZ"/>
        </w:rPr>
        <w:t xml:space="preserve">území kraje je dostupnost </w:t>
      </w:r>
      <w:r w:rsidR="00491D57">
        <w:rPr>
          <w:rFonts w:eastAsia="Arial Unicode MS"/>
          <w:lang w:eastAsia="cs-CZ"/>
        </w:rPr>
        <w:t>informací</w:t>
      </w:r>
      <w:r w:rsidRPr="007C2EB2">
        <w:rPr>
          <w:rFonts w:eastAsia="Arial Unicode MS"/>
          <w:lang w:eastAsia="cs-CZ"/>
        </w:rPr>
        <w:t xml:space="preserve"> o</w:t>
      </w:r>
      <w:r w:rsidR="00624B9A">
        <w:rPr>
          <w:rFonts w:eastAsia="Arial Unicode MS"/>
          <w:lang w:eastAsia="cs-CZ"/>
        </w:rPr>
        <w:t> </w:t>
      </w:r>
      <w:r>
        <w:rPr>
          <w:rFonts w:eastAsia="Arial Unicode MS"/>
          <w:lang w:eastAsia="cs-CZ"/>
        </w:rPr>
        <w:t xml:space="preserve">jejich činnosti </w:t>
      </w:r>
      <w:r w:rsidR="00491D57">
        <w:rPr>
          <w:rFonts w:eastAsia="Arial Unicode MS"/>
          <w:lang w:eastAsia="cs-CZ"/>
        </w:rPr>
        <w:t>všem</w:t>
      </w:r>
      <w:r>
        <w:rPr>
          <w:rFonts w:eastAsia="Arial Unicode MS"/>
          <w:lang w:eastAsia="cs-CZ"/>
        </w:rPr>
        <w:t xml:space="preserve"> potenciálním uživatelům</w:t>
      </w:r>
      <w:r w:rsidRPr="007C2EB2">
        <w:rPr>
          <w:rFonts w:eastAsia="Arial Unicode MS"/>
          <w:lang w:eastAsia="cs-CZ"/>
        </w:rPr>
        <w:t xml:space="preserve">. Z tohoto důvodu byl mezi průřezové cíle zařazen cíl zaměřený na </w:t>
      </w:r>
      <w:r w:rsidRPr="007C2EB2">
        <w:rPr>
          <w:rFonts w:eastAsia="Arial Unicode MS"/>
          <w:bCs/>
          <w:lang w:eastAsia="cs-CZ"/>
        </w:rPr>
        <w:t>zajištění, podporu a rozvoj dostatečné informovanosti občanů OK</w:t>
      </w:r>
      <w:r>
        <w:rPr>
          <w:rFonts w:eastAsia="Arial Unicode MS"/>
          <w:bCs/>
          <w:lang w:eastAsia="cs-CZ"/>
        </w:rPr>
        <w:t>.</w:t>
      </w:r>
    </w:p>
    <w:p w:rsidR="00FB1999" w:rsidRPr="007C2EB2" w:rsidRDefault="00FB1999" w:rsidP="00A34764">
      <w:pPr>
        <w:rPr>
          <w:rFonts w:eastAsia="Arial Unicode MS"/>
          <w:bCs/>
          <w:lang w:eastAsia="cs-CZ"/>
        </w:rPr>
      </w:pPr>
      <w:r w:rsidRPr="007C2EB2">
        <w:rPr>
          <w:rFonts w:eastAsia="Arial Unicode MS"/>
          <w:lang w:eastAsia="cs-CZ"/>
        </w:rPr>
        <w:t xml:space="preserve">Nedílnou součástí sociálních služeb </w:t>
      </w:r>
      <w:r w:rsidR="00B53E33">
        <w:rPr>
          <w:rFonts w:eastAsia="Arial Unicode MS"/>
          <w:lang w:eastAsia="cs-CZ"/>
        </w:rPr>
        <w:t>je i</w:t>
      </w:r>
      <w:r w:rsidRPr="007C2EB2">
        <w:rPr>
          <w:rFonts w:eastAsia="Arial Unicode MS"/>
          <w:lang w:eastAsia="cs-CZ"/>
        </w:rPr>
        <w:t xml:space="preserve"> oblast dobrovolnictví, kter</w:t>
      </w:r>
      <w:r>
        <w:rPr>
          <w:rFonts w:eastAsia="Arial Unicode MS"/>
          <w:lang w:eastAsia="cs-CZ"/>
        </w:rPr>
        <w:t>á</w:t>
      </w:r>
      <w:r w:rsidRPr="007C2EB2">
        <w:rPr>
          <w:rFonts w:eastAsia="Arial Unicode MS"/>
          <w:lang w:eastAsia="cs-CZ"/>
        </w:rPr>
        <w:t xml:space="preserve"> sehrává </w:t>
      </w:r>
      <w:r>
        <w:rPr>
          <w:rFonts w:eastAsia="Arial Unicode MS"/>
          <w:lang w:eastAsia="cs-CZ"/>
        </w:rPr>
        <w:t>významnou</w:t>
      </w:r>
      <w:r w:rsidRPr="007C2EB2">
        <w:rPr>
          <w:rFonts w:eastAsia="Arial Unicode MS"/>
          <w:lang w:eastAsia="cs-CZ"/>
        </w:rPr>
        <w:t xml:space="preserve"> roli v oblastech </w:t>
      </w:r>
      <w:r w:rsidRPr="007C2EB2">
        <w:rPr>
          <w:rFonts w:eastAsia="Arial Unicode MS"/>
          <w:bCs/>
          <w:lang w:eastAsia="cs-CZ"/>
        </w:rPr>
        <w:t>mezigen</w:t>
      </w:r>
      <w:r>
        <w:rPr>
          <w:rFonts w:eastAsia="Arial Unicode MS"/>
          <w:bCs/>
          <w:lang w:eastAsia="cs-CZ"/>
        </w:rPr>
        <w:t>eračního a komunitního soužití</w:t>
      </w:r>
      <w:r w:rsidRPr="007C2EB2">
        <w:rPr>
          <w:rFonts w:eastAsia="Arial Unicode MS"/>
          <w:bCs/>
          <w:lang w:eastAsia="cs-CZ"/>
        </w:rPr>
        <w:t xml:space="preserve">. </w:t>
      </w:r>
    </w:p>
    <w:p w:rsidR="00FB1999" w:rsidRPr="007C2EB2" w:rsidRDefault="00FB1999" w:rsidP="00A34764">
      <w:pPr>
        <w:pStyle w:val="Nadpis2"/>
      </w:pPr>
      <w:bookmarkStart w:id="181" w:name="_Toc117606990"/>
      <w:r w:rsidRPr="007C2EB2">
        <w:t>Seznam průřezových cílů a opatření</w:t>
      </w:r>
      <w:bookmarkEnd w:id="167"/>
      <w:bookmarkEnd w:id="168"/>
      <w:bookmarkEnd w:id="169"/>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FB1999" w:rsidRPr="002D18F3" w:rsidTr="00FB1999">
        <w:trPr>
          <w:trHeight w:val="397"/>
        </w:trPr>
        <w:tc>
          <w:tcPr>
            <w:tcW w:w="1356" w:type="pct"/>
            <w:shd w:val="clear" w:color="auto" w:fill="FABF8F"/>
            <w:vAlign w:val="center"/>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Cíl </w:t>
            </w:r>
            <w:r w:rsidR="00021F44" w:rsidRPr="002D18F3">
              <w:rPr>
                <w:rFonts w:eastAsia="Arial Unicode MS"/>
                <w:b/>
                <w:lang w:eastAsia="cs-CZ"/>
              </w:rPr>
              <w:t xml:space="preserve">P </w:t>
            </w:r>
            <w:r w:rsidRPr="002D18F3">
              <w:rPr>
                <w:rFonts w:eastAsia="Arial Unicode MS"/>
                <w:b/>
                <w:lang w:eastAsia="cs-CZ"/>
              </w:rPr>
              <w:t xml:space="preserve">1 </w:t>
            </w:r>
          </w:p>
        </w:tc>
        <w:tc>
          <w:tcPr>
            <w:tcW w:w="3644" w:type="pct"/>
            <w:shd w:val="clear" w:color="auto" w:fill="FABF8F"/>
            <w:vAlign w:val="center"/>
          </w:tcPr>
          <w:p w:rsidR="00FB1999" w:rsidRPr="002D18F3" w:rsidRDefault="00FB1999" w:rsidP="002D18F3">
            <w:pPr>
              <w:spacing w:before="0"/>
              <w:rPr>
                <w:rFonts w:eastAsia="Arial Unicode MS"/>
                <w:b/>
                <w:lang w:eastAsia="cs-CZ"/>
              </w:rPr>
            </w:pPr>
            <w:r w:rsidRPr="002D18F3">
              <w:rPr>
                <w:rFonts w:eastAsia="Arial Unicode MS"/>
                <w:b/>
                <w:lang w:eastAsia="cs-CZ"/>
              </w:rPr>
              <w:t xml:space="preserve">Podpora </w:t>
            </w:r>
            <w:r w:rsidR="00021F44" w:rsidRPr="002D18F3">
              <w:rPr>
                <w:rFonts w:eastAsia="Arial Unicode MS"/>
                <w:b/>
                <w:lang w:eastAsia="cs-CZ"/>
              </w:rPr>
              <w:t xml:space="preserve">rozvoje </w:t>
            </w:r>
            <w:r w:rsidRPr="002D18F3">
              <w:rPr>
                <w:rFonts w:eastAsia="Arial Unicode MS"/>
                <w:b/>
                <w:lang w:eastAsia="cs-CZ"/>
              </w:rPr>
              <w:t>a zachování procesu aktivního plánování sociálních služeb na území OK</w:t>
            </w:r>
          </w:p>
        </w:tc>
      </w:tr>
      <w:tr w:rsidR="00FB1999" w:rsidRPr="007C2EB2" w:rsidTr="00FB1999">
        <w:trPr>
          <w:trHeight w:val="397"/>
        </w:trPr>
        <w:tc>
          <w:tcPr>
            <w:tcW w:w="1356" w:type="pct"/>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1.1</w:t>
            </w:r>
          </w:p>
        </w:tc>
        <w:tc>
          <w:tcPr>
            <w:tcW w:w="3644" w:type="pct"/>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Podpora a rozvoj proces</w:t>
            </w:r>
            <w:r w:rsidR="00431F96">
              <w:rPr>
                <w:rFonts w:eastAsia="Arial Unicode MS"/>
                <w:lang w:eastAsia="cs-CZ"/>
              </w:rPr>
              <w:t>ů</w:t>
            </w:r>
            <w:r w:rsidRPr="007C2EB2">
              <w:rPr>
                <w:rFonts w:eastAsia="Arial Unicode MS"/>
                <w:lang w:eastAsia="cs-CZ"/>
              </w:rPr>
              <w:t xml:space="preserve"> strategického plánování sociálních služeb na krajské úrovni</w:t>
            </w:r>
          </w:p>
        </w:tc>
      </w:tr>
      <w:tr w:rsidR="00FB1999" w:rsidRPr="007C2EB2"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1.2</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Podpora a udržení procesu aktivního a jednotného plánování sociálních služeb na úrovni všech SO ORP OK</w:t>
            </w:r>
          </w:p>
        </w:tc>
      </w:tr>
      <w:tr w:rsidR="00FB1999" w:rsidRPr="007C2EB2"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1.3</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 xml:space="preserve">Podpora partnerství a spolupráce OK </w:t>
            </w:r>
            <w:r w:rsidR="001A76A9">
              <w:rPr>
                <w:rFonts w:eastAsia="Arial Unicode MS"/>
                <w:lang w:eastAsia="cs-CZ"/>
              </w:rPr>
              <w:t xml:space="preserve">s </w:t>
            </w:r>
            <w:r w:rsidRPr="007C2EB2">
              <w:rPr>
                <w:rFonts w:eastAsia="Arial Unicode MS"/>
                <w:lang w:eastAsia="cs-CZ"/>
              </w:rPr>
              <w:t>obcemi s rozšířenou působností v oblasti plánování a síťování sociálních služeb s dopadem na financování sociálních služeb</w:t>
            </w:r>
          </w:p>
        </w:tc>
      </w:tr>
      <w:tr w:rsidR="00FB1999" w:rsidRPr="007C2EB2"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1.4</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rPr>
                <w:rFonts w:eastAsia="Arial Unicode MS"/>
                <w:highlight w:val="yellow"/>
                <w:lang w:eastAsia="cs-CZ"/>
              </w:rPr>
            </w:pPr>
            <w:r w:rsidRPr="007C2EB2">
              <w:rPr>
                <w:rFonts w:eastAsia="Arial Unicode MS"/>
                <w:lang w:eastAsia="cs-CZ"/>
              </w:rPr>
              <w:t>Podpora rozvoje sociální práce na území OK a v návaznosti na proces identifikace potřeb v plánování sociálních služeb</w:t>
            </w:r>
          </w:p>
        </w:tc>
      </w:tr>
      <w:tr w:rsidR="00FB1999" w:rsidRPr="002D18F3" w:rsidTr="00FB1999">
        <w:trPr>
          <w:trHeight w:val="397"/>
        </w:trPr>
        <w:tc>
          <w:tcPr>
            <w:tcW w:w="1356" w:type="pct"/>
            <w:shd w:val="clear" w:color="auto" w:fill="F7CAAC" w:themeFill="accent2" w:themeFillTint="66"/>
            <w:vAlign w:val="center"/>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Cíl </w:t>
            </w:r>
            <w:r w:rsidR="00021F44" w:rsidRPr="002D18F3">
              <w:rPr>
                <w:rFonts w:eastAsia="Arial Unicode MS"/>
                <w:b/>
                <w:lang w:eastAsia="cs-CZ"/>
              </w:rPr>
              <w:t xml:space="preserve">P </w:t>
            </w:r>
            <w:r w:rsidRPr="002D18F3">
              <w:rPr>
                <w:rFonts w:eastAsia="Arial Unicode MS"/>
                <w:b/>
                <w:lang w:eastAsia="cs-CZ"/>
              </w:rPr>
              <w:t xml:space="preserve">2 </w:t>
            </w:r>
          </w:p>
        </w:tc>
        <w:tc>
          <w:tcPr>
            <w:tcW w:w="3644" w:type="pct"/>
            <w:shd w:val="clear" w:color="auto" w:fill="F7CAAC" w:themeFill="accent2" w:themeFillTint="66"/>
            <w:vAlign w:val="center"/>
          </w:tcPr>
          <w:p w:rsidR="00FB1999" w:rsidRPr="002D18F3" w:rsidRDefault="00FB1999" w:rsidP="002D18F3">
            <w:pPr>
              <w:spacing w:before="0"/>
              <w:rPr>
                <w:rFonts w:eastAsia="Arial Unicode MS"/>
                <w:b/>
                <w:lang w:eastAsia="cs-CZ"/>
              </w:rPr>
            </w:pPr>
            <w:r w:rsidRPr="002D18F3">
              <w:rPr>
                <w:rFonts w:eastAsia="Arial Unicode MS"/>
                <w:b/>
                <w:lang w:eastAsia="cs-CZ"/>
              </w:rPr>
              <w:t>Podpora rozvoje systému řízení krajské sítě sociálních služeb OK a její optimalizace v návaznosti na potřebnost, dostupnost, kvalitu a finanční udržitelnost</w:t>
            </w:r>
          </w:p>
        </w:tc>
      </w:tr>
      <w:tr w:rsidR="00FB1999" w:rsidRPr="007C2EB2" w:rsidTr="00FB1999">
        <w:trPr>
          <w:trHeight w:val="397"/>
        </w:trPr>
        <w:tc>
          <w:tcPr>
            <w:tcW w:w="1356" w:type="pct"/>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2.1</w:t>
            </w:r>
          </w:p>
        </w:tc>
        <w:tc>
          <w:tcPr>
            <w:tcW w:w="3644" w:type="pct"/>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 xml:space="preserve">Aktualizace sítě sociálních služeb na daný rok na základě identifikovaných a ověřených potřeb </w:t>
            </w:r>
          </w:p>
        </w:tc>
      </w:tr>
      <w:tr w:rsidR="00FB1999" w:rsidRPr="007C2EB2" w:rsidTr="00FB1999">
        <w:trPr>
          <w:trHeight w:val="397"/>
        </w:trPr>
        <w:tc>
          <w:tcPr>
            <w:tcW w:w="1356" w:type="pct"/>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2.2</w:t>
            </w:r>
          </w:p>
        </w:tc>
        <w:tc>
          <w:tcPr>
            <w:tcW w:w="3644" w:type="pct"/>
            <w:shd w:val="clear" w:color="auto" w:fill="E2EFD9" w:themeFill="accent6" w:themeFillTint="33"/>
            <w:vAlign w:val="center"/>
          </w:tcPr>
          <w:p w:rsidR="00FB1999" w:rsidRPr="00D21EF1" w:rsidRDefault="00D21EF1" w:rsidP="002D18F3">
            <w:pPr>
              <w:spacing w:before="0"/>
              <w:rPr>
                <w:rFonts w:eastAsia="Arial Unicode MS"/>
                <w:lang w:eastAsia="cs-CZ"/>
              </w:rPr>
            </w:pPr>
            <w:r w:rsidRPr="00D21EF1">
              <w:rPr>
                <w:rFonts w:eastAsia="Arial Unicode MS"/>
                <w:lang w:eastAsia="cs-CZ"/>
              </w:rPr>
              <w:t>Průběžné zavádění nástrojů na definici požadavků pro nastavení jednotlivých druhů sociálních služeb</w:t>
            </w:r>
          </w:p>
        </w:tc>
      </w:tr>
      <w:tr w:rsidR="00FB1999" w:rsidRPr="002D18F3"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Cíl </w:t>
            </w:r>
            <w:r w:rsidR="00021F44" w:rsidRPr="002D18F3">
              <w:rPr>
                <w:rFonts w:eastAsia="Arial Unicode MS"/>
                <w:b/>
                <w:lang w:eastAsia="cs-CZ"/>
              </w:rPr>
              <w:t xml:space="preserve">P </w:t>
            </w:r>
            <w:r w:rsidRPr="002D18F3">
              <w:rPr>
                <w:rFonts w:eastAsia="Arial Unicode MS"/>
                <w:b/>
                <w:lang w:eastAsia="cs-CZ"/>
              </w:rPr>
              <w:t xml:space="preserve">3 </w:t>
            </w:r>
          </w:p>
        </w:tc>
        <w:tc>
          <w:tcPr>
            <w:tcW w:w="3644"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FB1999" w:rsidRPr="002D18F3" w:rsidRDefault="00FB1999" w:rsidP="002D18F3">
            <w:pPr>
              <w:spacing w:before="0"/>
              <w:rPr>
                <w:rFonts w:eastAsia="Arial Unicode MS"/>
                <w:b/>
                <w:lang w:eastAsia="cs-CZ"/>
              </w:rPr>
            </w:pPr>
            <w:r w:rsidRPr="002D18F3">
              <w:rPr>
                <w:rFonts w:eastAsia="Arial Unicode MS"/>
                <w:b/>
                <w:lang w:eastAsia="cs-CZ"/>
              </w:rPr>
              <w:t xml:space="preserve">Podpora zvyšování kvality sociálních služeb v OK </w:t>
            </w:r>
          </w:p>
        </w:tc>
      </w:tr>
      <w:tr w:rsidR="00FB1999" w:rsidRPr="007C2EB2"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3.1</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Zvyšování kompetencí pracovníků v sociálních službách</w:t>
            </w:r>
          </w:p>
        </w:tc>
      </w:tr>
      <w:tr w:rsidR="00FB1999" w:rsidRPr="007C2EB2"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FB1999" w:rsidRPr="007C2EB2" w:rsidRDefault="00FB1999" w:rsidP="002D18F3">
            <w:pPr>
              <w:spacing w:before="0"/>
              <w:jc w:val="left"/>
              <w:rPr>
                <w:rFonts w:eastAsia="Arial Unicode MS"/>
                <w:lang w:eastAsia="cs-CZ"/>
              </w:rPr>
            </w:pPr>
            <w:r w:rsidRPr="007C2EB2">
              <w:rPr>
                <w:rFonts w:eastAsia="Arial Unicode MS"/>
                <w:lang w:eastAsia="cs-CZ"/>
              </w:rPr>
              <w:lastRenderedPageBreak/>
              <w:t xml:space="preserve">Opatření </w:t>
            </w:r>
            <w:r w:rsidR="00C140D0">
              <w:rPr>
                <w:rFonts w:eastAsia="Arial Unicode MS"/>
                <w:lang w:eastAsia="cs-CZ"/>
              </w:rPr>
              <w:t xml:space="preserve">P </w:t>
            </w:r>
            <w:r w:rsidRPr="007C2EB2">
              <w:rPr>
                <w:rFonts w:eastAsia="Arial Unicode MS"/>
                <w:lang w:eastAsia="cs-CZ"/>
              </w:rPr>
              <w:t>3.2</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Metodická podpora poskytovatelů sociálních služeb OK</w:t>
            </w:r>
          </w:p>
        </w:tc>
      </w:tr>
      <w:tr w:rsidR="00FB1999" w:rsidRPr="007C2EB2"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3.3</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 xml:space="preserve">Podpora procesu transformace a </w:t>
            </w:r>
            <w:proofErr w:type="spellStart"/>
            <w:r w:rsidRPr="007C2EB2">
              <w:rPr>
                <w:rFonts w:eastAsia="Arial Unicode MS"/>
                <w:lang w:eastAsia="cs-CZ"/>
              </w:rPr>
              <w:t>deinstitucionalizace</w:t>
            </w:r>
            <w:proofErr w:type="spellEnd"/>
            <w:r w:rsidRPr="007C2EB2">
              <w:rPr>
                <w:rFonts w:eastAsia="Arial Unicode MS"/>
                <w:lang w:eastAsia="cs-CZ"/>
              </w:rPr>
              <w:t xml:space="preserve"> u stávajících pobytových sociálních služeb včetně podpory reformy psychiatrické péče</w:t>
            </w:r>
          </w:p>
        </w:tc>
      </w:tr>
      <w:tr w:rsidR="00FB1999" w:rsidRPr="007C2EB2"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3.4</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Podpora humanizace a zlepšení materiálně technických podmínek stávajících sociálních služeb s ohledem na individuální potřeby uživatelů</w:t>
            </w:r>
          </w:p>
        </w:tc>
      </w:tr>
      <w:tr w:rsidR="00FB1999" w:rsidRPr="002D18F3"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FB1999" w:rsidRPr="002D18F3" w:rsidRDefault="00FB1999" w:rsidP="002D18F3">
            <w:pPr>
              <w:spacing w:before="0"/>
              <w:jc w:val="left"/>
              <w:rPr>
                <w:rFonts w:eastAsia="Arial Unicode MS"/>
                <w:b/>
                <w:lang w:eastAsia="cs-CZ"/>
              </w:rPr>
            </w:pPr>
            <w:r w:rsidRPr="002D18F3">
              <w:rPr>
                <w:rFonts w:eastAsia="Arial Unicode MS"/>
                <w:b/>
                <w:lang w:eastAsia="cs-CZ"/>
              </w:rPr>
              <w:t>Cíl</w:t>
            </w:r>
            <w:r w:rsidR="00021F44" w:rsidRPr="002D18F3">
              <w:rPr>
                <w:rFonts w:eastAsia="Arial Unicode MS"/>
                <w:b/>
                <w:lang w:eastAsia="cs-CZ"/>
              </w:rPr>
              <w:t xml:space="preserve"> P</w:t>
            </w:r>
            <w:r w:rsidRPr="002D18F3">
              <w:rPr>
                <w:rFonts w:eastAsia="Arial Unicode MS"/>
                <w:b/>
                <w:lang w:eastAsia="cs-CZ"/>
              </w:rPr>
              <w:t xml:space="preserve"> 4 </w:t>
            </w:r>
          </w:p>
        </w:tc>
        <w:tc>
          <w:tcPr>
            <w:tcW w:w="3644"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FB1999" w:rsidRPr="002D18F3" w:rsidRDefault="00FB1999" w:rsidP="002D18F3">
            <w:pPr>
              <w:spacing w:before="0"/>
              <w:rPr>
                <w:rFonts w:eastAsia="Arial Unicode MS"/>
                <w:b/>
                <w:lang w:eastAsia="cs-CZ"/>
              </w:rPr>
            </w:pPr>
            <w:r w:rsidRPr="002D18F3">
              <w:rPr>
                <w:rFonts w:eastAsia="Arial Unicode MS"/>
                <w:b/>
                <w:lang w:eastAsia="cs-CZ"/>
              </w:rPr>
              <w:t xml:space="preserve">Posilování systému služeb vedoucích ke zvýšení </w:t>
            </w:r>
            <w:r w:rsidRPr="002D18F3">
              <w:rPr>
                <w:rFonts w:eastAsia="Arial Unicode MS"/>
                <w:b/>
                <w:lang w:val="x-none" w:eastAsia="cs-CZ"/>
              </w:rPr>
              <w:t>kvality života osob</w:t>
            </w:r>
            <w:r w:rsidRPr="002D18F3">
              <w:rPr>
                <w:rFonts w:eastAsia="Arial Unicode MS"/>
                <w:b/>
                <w:lang w:eastAsia="cs-CZ"/>
              </w:rPr>
              <w:t xml:space="preserve"> v </w:t>
            </w:r>
            <w:r w:rsidRPr="002D18F3">
              <w:rPr>
                <w:rFonts w:eastAsia="Arial Unicode MS"/>
                <w:b/>
                <w:lang w:val="x-none" w:eastAsia="cs-CZ"/>
              </w:rPr>
              <w:t>nepříznivé sociální situaci</w:t>
            </w:r>
            <w:r w:rsidRPr="002D18F3">
              <w:rPr>
                <w:rFonts w:eastAsia="Arial Unicode MS"/>
                <w:b/>
                <w:lang w:eastAsia="cs-CZ"/>
              </w:rPr>
              <w:t xml:space="preserve"> </w:t>
            </w:r>
          </w:p>
        </w:tc>
      </w:tr>
      <w:tr w:rsidR="00FB1999" w:rsidRPr="007C2EB2"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4.1</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 xml:space="preserve">Podpora aktivit zaměřených na neformálně pečující osoby </w:t>
            </w:r>
            <w:r w:rsidRPr="007C2EB2">
              <w:rPr>
                <w:rFonts w:eastAsia="Arial Unicode MS"/>
                <w:lang w:val="x-none" w:eastAsia="cs-CZ"/>
              </w:rPr>
              <w:t>včetně podpory spolupráce mezi sociálními službami a osobami</w:t>
            </w:r>
            <w:r w:rsidRPr="007C2EB2">
              <w:rPr>
                <w:rFonts w:eastAsia="Arial Unicode MS"/>
                <w:lang w:eastAsia="cs-CZ"/>
              </w:rPr>
              <w:t xml:space="preserve"> neformálně pečujícími</w:t>
            </w:r>
          </w:p>
        </w:tc>
      </w:tr>
      <w:tr w:rsidR="00FB1999" w:rsidRPr="007C2EB2"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4.2</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Podpora aktivit zaměřených na prevenci a řešení problémů vznikajících v souvislosti s proh</w:t>
            </w:r>
            <w:r w:rsidR="00021F44">
              <w:rPr>
                <w:rFonts w:eastAsia="Arial Unicode MS"/>
                <w:lang w:eastAsia="cs-CZ"/>
              </w:rPr>
              <w:t>lubováním zadluženosti</w:t>
            </w:r>
          </w:p>
        </w:tc>
      </w:tr>
      <w:tr w:rsidR="00FB1999" w:rsidRPr="007C2EB2"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4.3</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Podpora aktivit zaměřených na oblast paliativní péče</w:t>
            </w:r>
          </w:p>
        </w:tc>
      </w:tr>
      <w:tr w:rsidR="00FB1999" w:rsidRPr="007C2EB2"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4.4</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Podpora aktivit zaměřených na oblast osob s chronickým</w:t>
            </w:r>
            <w:r w:rsidRPr="007C2EB2">
              <w:rPr>
                <w:rFonts w:eastAsia="Arial Unicode MS"/>
                <w:b/>
                <w:lang w:eastAsia="cs-CZ"/>
              </w:rPr>
              <w:t xml:space="preserve"> </w:t>
            </w:r>
            <w:r w:rsidRPr="007C2EB2">
              <w:rPr>
                <w:rFonts w:eastAsia="Arial Unicode MS"/>
                <w:lang w:eastAsia="cs-CZ"/>
              </w:rPr>
              <w:t>duševním onemocněním</w:t>
            </w:r>
          </w:p>
        </w:tc>
      </w:tr>
      <w:tr w:rsidR="00FB1999" w:rsidRPr="002D18F3" w:rsidTr="00FB1999">
        <w:trPr>
          <w:trHeight w:val="397"/>
        </w:trPr>
        <w:tc>
          <w:tcPr>
            <w:tcW w:w="1356" w:type="pct"/>
            <w:shd w:val="clear" w:color="auto" w:fill="FABF8F"/>
            <w:vAlign w:val="center"/>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Cíl </w:t>
            </w:r>
            <w:r w:rsidR="00021F44" w:rsidRPr="002D18F3">
              <w:rPr>
                <w:rFonts w:eastAsia="Arial Unicode MS"/>
                <w:b/>
                <w:lang w:eastAsia="cs-CZ"/>
              </w:rPr>
              <w:t xml:space="preserve">P </w:t>
            </w:r>
            <w:r w:rsidRPr="002D18F3">
              <w:rPr>
                <w:rFonts w:eastAsia="Arial Unicode MS"/>
                <w:b/>
                <w:lang w:eastAsia="cs-CZ"/>
              </w:rPr>
              <w:t xml:space="preserve">5 </w:t>
            </w:r>
          </w:p>
        </w:tc>
        <w:tc>
          <w:tcPr>
            <w:tcW w:w="3644" w:type="pct"/>
            <w:shd w:val="clear" w:color="auto" w:fill="FABF8F"/>
            <w:vAlign w:val="center"/>
          </w:tcPr>
          <w:p w:rsidR="00FB1999" w:rsidRPr="002D18F3" w:rsidRDefault="00FB1999" w:rsidP="002D18F3">
            <w:pPr>
              <w:spacing w:before="0"/>
              <w:rPr>
                <w:rFonts w:eastAsia="Arial Unicode MS"/>
                <w:b/>
                <w:lang w:eastAsia="cs-CZ"/>
              </w:rPr>
            </w:pPr>
            <w:r w:rsidRPr="002D18F3">
              <w:rPr>
                <w:rFonts w:eastAsia="Arial Unicode MS"/>
                <w:b/>
                <w:lang w:eastAsia="cs-CZ"/>
              </w:rPr>
              <w:t xml:space="preserve">Zajištění, podpora a rozvoj dostatečné informovanosti občanů OK v oblasti sociálních služeb </w:t>
            </w:r>
          </w:p>
        </w:tc>
      </w:tr>
      <w:tr w:rsidR="00FB1999" w:rsidRPr="007C2EB2" w:rsidTr="00FB1999">
        <w:trPr>
          <w:trHeight w:val="397"/>
        </w:trPr>
        <w:tc>
          <w:tcPr>
            <w:tcW w:w="1356" w:type="pct"/>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5.1</w:t>
            </w:r>
          </w:p>
        </w:tc>
        <w:tc>
          <w:tcPr>
            <w:tcW w:w="3644" w:type="pct"/>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 xml:space="preserve">Zajištění kvalitní a dostatečné informovanosti občanů OK o sociálních službách v OK </w:t>
            </w:r>
          </w:p>
        </w:tc>
      </w:tr>
      <w:tr w:rsidR="00FB1999" w:rsidRPr="007C2EB2" w:rsidTr="00FB1999">
        <w:trPr>
          <w:trHeight w:val="397"/>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5.2</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Podpora a aktualizace Elektronického katalogu poskytovatelů sociálních služeb OK</w:t>
            </w:r>
          </w:p>
        </w:tc>
      </w:tr>
      <w:tr w:rsidR="00FB1999" w:rsidRPr="002D18F3" w:rsidTr="00FB1999">
        <w:trPr>
          <w:trHeight w:val="397"/>
        </w:trPr>
        <w:tc>
          <w:tcPr>
            <w:tcW w:w="1356" w:type="pct"/>
            <w:shd w:val="clear" w:color="auto" w:fill="FABF8F"/>
            <w:vAlign w:val="center"/>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Cíl </w:t>
            </w:r>
            <w:r w:rsidR="00021F44" w:rsidRPr="002D18F3">
              <w:rPr>
                <w:rFonts w:eastAsia="Arial Unicode MS"/>
                <w:b/>
                <w:lang w:eastAsia="cs-CZ"/>
              </w:rPr>
              <w:t xml:space="preserve">P </w:t>
            </w:r>
            <w:r w:rsidRPr="002D18F3">
              <w:rPr>
                <w:rFonts w:eastAsia="Arial Unicode MS"/>
                <w:b/>
                <w:lang w:eastAsia="cs-CZ"/>
              </w:rPr>
              <w:t xml:space="preserve">6 </w:t>
            </w:r>
          </w:p>
        </w:tc>
        <w:tc>
          <w:tcPr>
            <w:tcW w:w="3644" w:type="pct"/>
            <w:shd w:val="clear" w:color="auto" w:fill="FABF8F"/>
            <w:vAlign w:val="center"/>
          </w:tcPr>
          <w:p w:rsidR="00FB1999" w:rsidRPr="002D18F3" w:rsidRDefault="00FB1999" w:rsidP="002D18F3">
            <w:pPr>
              <w:spacing w:before="0"/>
              <w:rPr>
                <w:rFonts w:eastAsia="Arial Unicode MS"/>
                <w:b/>
                <w:lang w:eastAsia="cs-CZ"/>
              </w:rPr>
            </w:pPr>
            <w:r w:rsidRPr="002D18F3">
              <w:rPr>
                <w:rFonts w:eastAsia="Arial Unicode MS"/>
                <w:b/>
                <w:lang w:eastAsia="cs-CZ"/>
              </w:rPr>
              <w:t xml:space="preserve">Podpora a koordinace dobrovolnických aktivit na území OK </w:t>
            </w:r>
          </w:p>
        </w:tc>
      </w:tr>
      <w:tr w:rsidR="00FB1999" w:rsidRPr="007C2EB2" w:rsidTr="00FB1999">
        <w:trPr>
          <w:trHeight w:val="397"/>
        </w:trPr>
        <w:tc>
          <w:tcPr>
            <w:tcW w:w="1356" w:type="pct"/>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6.1</w:t>
            </w:r>
          </w:p>
        </w:tc>
        <w:tc>
          <w:tcPr>
            <w:tcW w:w="3644" w:type="pct"/>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 xml:space="preserve">Podpora koordinace využití dobrovolníků v oblasti sociální integrace </w:t>
            </w:r>
          </w:p>
        </w:tc>
      </w:tr>
      <w:tr w:rsidR="00FB1999" w:rsidRPr="007C2EB2" w:rsidTr="00FB1999">
        <w:trPr>
          <w:trHeight w:val="397"/>
        </w:trPr>
        <w:tc>
          <w:tcPr>
            <w:tcW w:w="1356" w:type="pct"/>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6.2</w:t>
            </w:r>
          </w:p>
        </w:tc>
        <w:tc>
          <w:tcPr>
            <w:tcW w:w="3644" w:type="pct"/>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Podpora vzdělávacích aktivit s přímou vazbou na dobrovolnickou činnost</w:t>
            </w:r>
          </w:p>
        </w:tc>
      </w:tr>
      <w:tr w:rsidR="00FB1999" w:rsidRPr="007C2EB2" w:rsidTr="00FB1999">
        <w:trPr>
          <w:trHeight w:val="397"/>
        </w:trPr>
        <w:tc>
          <w:tcPr>
            <w:tcW w:w="1356" w:type="pct"/>
            <w:shd w:val="clear" w:color="auto" w:fill="E2EFD9" w:themeFill="accent6" w:themeFillTint="33"/>
            <w:vAlign w:val="center"/>
          </w:tcPr>
          <w:p w:rsidR="00FB1999" w:rsidRPr="007C2EB2" w:rsidRDefault="00FB1999" w:rsidP="002D18F3">
            <w:pPr>
              <w:spacing w:before="0"/>
              <w:jc w:val="left"/>
              <w:rPr>
                <w:rFonts w:eastAsia="Arial Unicode MS"/>
                <w:lang w:eastAsia="cs-CZ"/>
              </w:rPr>
            </w:pPr>
            <w:r w:rsidRPr="007C2EB2">
              <w:rPr>
                <w:rFonts w:eastAsia="Arial Unicode MS"/>
                <w:lang w:eastAsia="cs-CZ"/>
              </w:rPr>
              <w:t xml:space="preserve">Opatření </w:t>
            </w:r>
            <w:r w:rsidR="00C140D0">
              <w:rPr>
                <w:rFonts w:eastAsia="Arial Unicode MS"/>
                <w:lang w:eastAsia="cs-CZ"/>
              </w:rPr>
              <w:t xml:space="preserve">P </w:t>
            </w:r>
            <w:r w:rsidRPr="007C2EB2">
              <w:rPr>
                <w:rFonts w:eastAsia="Arial Unicode MS"/>
                <w:lang w:eastAsia="cs-CZ"/>
              </w:rPr>
              <w:t>6.3</w:t>
            </w:r>
          </w:p>
        </w:tc>
        <w:tc>
          <w:tcPr>
            <w:tcW w:w="3644" w:type="pct"/>
            <w:shd w:val="clear" w:color="auto" w:fill="E2EFD9" w:themeFill="accent6" w:themeFillTint="33"/>
            <w:vAlign w:val="center"/>
          </w:tcPr>
          <w:p w:rsidR="00FB1999" w:rsidRPr="007C2EB2" w:rsidRDefault="00FB1999" w:rsidP="002D18F3">
            <w:pPr>
              <w:spacing w:before="0"/>
              <w:rPr>
                <w:rFonts w:eastAsia="Arial Unicode MS"/>
                <w:lang w:eastAsia="cs-CZ"/>
              </w:rPr>
            </w:pPr>
            <w:r w:rsidRPr="007C2EB2">
              <w:rPr>
                <w:rFonts w:eastAsia="Arial Unicode MS"/>
                <w:lang w:eastAsia="cs-CZ"/>
              </w:rPr>
              <w:t>Podpora propagace dobrovolnických aktivit</w:t>
            </w:r>
          </w:p>
        </w:tc>
      </w:tr>
    </w:tbl>
    <w:p w:rsidR="00FB1999" w:rsidRPr="007C2EB2" w:rsidRDefault="00FB1999" w:rsidP="00A34764">
      <w:pPr>
        <w:pStyle w:val="Nadpis2"/>
      </w:pPr>
      <w:bookmarkStart w:id="182" w:name="_Toc22896381"/>
      <w:bookmarkStart w:id="183" w:name="_Toc111537470"/>
      <w:bookmarkStart w:id="184" w:name="_Toc113622081"/>
      <w:bookmarkStart w:id="185" w:name="_Toc117606991"/>
      <w:r w:rsidRPr="007C2EB2">
        <w:t>Popis průřezových cílů</w:t>
      </w:r>
      <w:bookmarkEnd w:id="182"/>
      <w:bookmarkEnd w:id="183"/>
      <w:bookmarkEnd w:id="184"/>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FB1999" w:rsidRPr="002D18F3" w:rsidTr="00FB1999">
        <w:trPr>
          <w:cantSplit/>
          <w:trHeight w:val="397"/>
        </w:trPr>
        <w:tc>
          <w:tcPr>
            <w:tcW w:w="1356" w:type="pct"/>
            <w:shd w:val="clear" w:color="auto" w:fill="FABF8F"/>
          </w:tcPr>
          <w:p w:rsidR="00FB1999" w:rsidRPr="002D18F3" w:rsidRDefault="00FB1999" w:rsidP="0085360A">
            <w:pPr>
              <w:spacing w:before="0"/>
              <w:jc w:val="left"/>
              <w:rPr>
                <w:rFonts w:eastAsia="Arial Unicode MS"/>
                <w:b/>
                <w:lang w:eastAsia="cs-CZ"/>
              </w:rPr>
            </w:pPr>
            <w:r w:rsidRPr="002D18F3">
              <w:rPr>
                <w:rFonts w:eastAsia="Arial Unicode MS"/>
                <w:b/>
                <w:lang w:eastAsia="cs-CZ"/>
              </w:rPr>
              <w:t>Cíl P 1</w:t>
            </w:r>
          </w:p>
        </w:tc>
        <w:tc>
          <w:tcPr>
            <w:tcW w:w="3644" w:type="pct"/>
            <w:shd w:val="clear" w:color="auto" w:fill="FABF8F"/>
          </w:tcPr>
          <w:p w:rsidR="00FB1999" w:rsidRPr="002D18F3" w:rsidRDefault="00FB1999" w:rsidP="0085360A">
            <w:pPr>
              <w:spacing w:before="0"/>
              <w:rPr>
                <w:rFonts w:eastAsia="Arial Unicode MS"/>
                <w:b/>
                <w:lang w:eastAsia="cs-CZ"/>
              </w:rPr>
            </w:pPr>
            <w:r w:rsidRPr="002D18F3">
              <w:rPr>
                <w:rFonts w:eastAsia="Arial Unicode MS"/>
                <w:b/>
                <w:lang w:eastAsia="cs-CZ"/>
              </w:rPr>
              <w:t>Podpora rozvoje a zachování procesu aktivního plánování sociálních služeb na území OK</w:t>
            </w:r>
          </w:p>
        </w:tc>
      </w:tr>
      <w:tr w:rsidR="00FB1999" w:rsidRPr="002D18F3" w:rsidTr="00FB1999">
        <w:trPr>
          <w:cantSplit/>
          <w:trHeight w:val="397"/>
        </w:trPr>
        <w:tc>
          <w:tcPr>
            <w:tcW w:w="1356" w:type="pct"/>
            <w:shd w:val="clear" w:color="auto" w:fill="E2EFD9" w:themeFill="accent6" w:themeFillTint="33"/>
          </w:tcPr>
          <w:p w:rsidR="00FB1999" w:rsidRPr="002D18F3" w:rsidRDefault="00FB1999" w:rsidP="0085360A">
            <w:pPr>
              <w:spacing w:before="0"/>
              <w:jc w:val="left"/>
              <w:rPr>
                <w:rFonts w:eastAsia="Arial Unicode MS"/>
                <w:b/>
                <w:lang w:eastAsia="cs-CZ"/>
              </w:rPr>
            </w:pPr>
            <w:r w:rsidRPr="002D18F3">
              <w:rPr>
                <w:rFonts w:eastAsia="Arial Unicode MS"/>
                <w:b/>
                <w:lang w:eastAsia="cs-CZ"/>
              </w:rPr>
              <w:t>Kód opatření</w:t>
            </w:r>
          </w:p>
        </w:tc>
        <w:tc>
          <w:tcPr>
            <w:tcW w:w="3644" w:type="pct"/>
            <w:shd w:val="clear" w:color="auto" w:fill="E2EFD9" w:themeFill="accent6" w:themeFillTint="33"/>
          </w:tcPr>
          <w:p w:rsidR="00FB1999" w:rsidRPr="002D18F3" w:rsidRDefault="00FB1999" w:rsidP="0085360A">
            <w:pPr>
              <w:spacing w:before="0"/>
              <w:rPr>
                <w:rFonts w:eastAsia="Arial Unicode MS"/>
                <w:b/>
                <w:lang w:eastAsia="cs-CZ"/>
              </w:rPr>
            </w:pPr>
            <w:r w:rsidRPr="002D18F3">
              <w:rPr>
                <w:rFonts w:eastAsia="Arial Unicode MS"/>
                <w:b/>
                <w:lang w:eastAsia="cs-CZ"/>
              </w:rPr>
              <w:t>P 1.1</w:t>
            </w:r>
          </w:p>
        </w:tc>
      </w:tr>
      <w:tr w:rsidR="00FB1999" w:rsidRPr="002D18F3" w:rsidTr="00FB1999">
        <w:trPr>
          <w:cantSplit/>
          <w:trHeight w:val="397"/>
        </w:trPr>
        <w:tc>
          <w:tcPr>
            <w:tcW w:w="1356" w:type="pct"/>
            <w:shd w:val="clear" w:color="auto" w:fill="E2EFD9" w:themeFill="accent6" w:themeFillTint="33"/>
          </w:tcPr>
          <w:p w:rsidR="00FB1999" w:rsidRPr="002D18F3" w:rsidRDefault="00FB1999" w:rsidP="0085360A">
            <w:pPr>
              <w:spacing w:before="0"/>
              <w:jc w:val="left"/>
              <w:rPr>
                <w:rFonts w:eastAsia="Arial Unicode MS"/>
                <w:b/>
                <w:lang w:eastAsia="cs-CZ"/>
              </w:rPr>
            </w:pPr>
            <w:r w:rsidRPr="002D18F3">
              <w:rPr>
                <w:rFonts w:eastAsia="Arial Unicode MS"/>
                <w:b/>
                <w:lang w:eastAsia="cs-CZ"/>
              </w:rPr>
              <w:t xml:space="preserve">Název opatření </w:t>
            </w:r>
          </w:p>
        </w:tc>
        <w:tc>
          <w:tcPr>
            <w:tcW w:w="3644" w:type="pct"/>
            <w:shd w:val="clear" w:color="auto" w:fill="E2EFD9" w:themeFill="accent6" w:themeFillTint="33"/>
          </w:tcPr>
          <w:p w:rsidR="00FB1999" w:rsidRPr="002D18F3" w:rsidRDefault="00FB1999" w:rsidP="0085360A">
            <w:pPr>
              <w:spacing w:before="0"/>
              <w:rPr>
                <w:rFonts w:eastAsia="Arial Unicode MS"/>
                <w:b/>
                <w:lang w:eastAsia="cs-CZ"/>
              </w:rPr>
            </w:pPr>
            <w:r w:rsidRPr="002D18F3">
              <w:rPr>
                <w:rFonts w:eastAsia="Arial Unicode MS"/>
                <w:b/>
                <w:lang w:eastAsia="cs-CZ"/>
              </w:rPr>
              <w:t xml:space="preserve">Podpora a rozvoj </w:t>
            </w:r>
            <w:r w:rsidR="00431F96" w:rsidRPr="002D18F3">
              <w:rPr>
                <w:rFonts w:eastAsia="Arial Unicode MS"/>
                <w:b/>
                <w:lang w:eastAsia="cs-CZ"/>
              </w:rPr>
              <w:t xml:space="preserve">procesů </w:t>
            </w:r>
            <w:r w:rsidRPr="002D18F3">
              <w:rPr>
                <w:rFonts w:eastAsia="Arial Unicode MS"/>
                <w:b/>
                <w:lang w:eastAsia="cs-CZ"/>
              </w:rPr>
              <w:t>strategického plánování sociálních služeb na krajské úrovni</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85360A">
            <w:pPr>
              <w:spacing w:before="0"/>
              <w:rPr>
                <w:rFonts w:eastAsia="Arial Unicode MS"/>
                <w:strike/>
                <w:lang w:eastAsia="cs-CZ"/>
              </w:rPr>
            </w:pPr>
            <w:r w:rsidRPr="007C2EB2">
              <w:rPr>
                <w:rFonts w:eastAsia="Arial Unicode MS"/>
                <w:lang w:eastAsia="cs-CZ"/>
              </w:rPr>
              <w:t xml:space="preserve">Podpora kontinuity a kvality procesů plánování rozvoje a dostupnosti sociálních služeb se zaměřením na </w:t>
            </w:r>
            <w:r w:rsidR="00491D57">
              <w:rPr>
                <w:rFonts w:eastAsia="Arial Unicode MS"/>
                <w:lang w:eastAsia="cs-CZ"/>
              </w:rPr>
              <w:t xml:space="preserve">jejich </w:t>
            </w:r>
            <w:r w:rsidRPr="007C2EB2">
              <w:rPr>
                <w:rFonts w:eastAsia="Arial Unicode MS"/>
                <w:lang w:eastAsia="cs-CZ"/>
              </w:rPr>
              <w:t xml:space="preserve">strategické plánování z krajské úrovně, </w:t>
            </w:r>
            <w:r w:rsidR="00431F96">
              <w:rPr>
                <w:rFonts w:eastAsia="Arial Unicode MS"/>
                <w:lang w:eastAsia="cs-CZ"/>
              </w:rPr>
              <w:t xml:space="preserve">jejichž výstupem </w:t>
            </w:r>
            <w:r w:rsidRPr="007C2EB2">
              <w:rPr>
                <w:rFonts w:eastAsia="Arial Unicode MS"/>
                <w:lang w:eastAsia="cs-CZ"/>
              </w:rPr>
              <w:t>je efektivně fungující síť sociálních služeb odpovídající skutečným potřebám a dostupným finančním zdrojům.</w:t>
            </w:r>
            <w:r w:rsidR="00F91443">
              <w:rPr>
                <w:rFonts w:eastAsia="Arial Unicode MS"/>
                <w:lang w:eastAsia="cs-CZ"/>
              </w:rPr>
              <w:t xml:space="preserve"> Provedena bude evaluace</w:t>
            </w:r>
            <w:r w:rsidRPr="007C2EB2">
              <w:rPr>
                <w:rFonts w:eastAsia="Arial Unicode MS"/>
                <w:lang w:eastAsia="cs-CZ"/>
              </w:rPr>
              <w:t xml:space="preserve"> činnosti celé organizační struktury podílející se na plánování sociálních služeb na krajské úrovni,</w:t>
            </w:r>
            <w:r w:rsidR="00F91443">
              <w:rPr>
                <w:rFonts w:eastAsia="Arial Unicode MS"/>
                <w:lang w:eastAsia="cs-CZ"/>
              </w:rPr>
              <w:t xml:space="preserve"> s možností </w:t>
            </w:r>
            <w:r w:rsidR="006153FB">
              <w:rPr>
                <w:rFonts w:eastAsia="Arial Unicode MS"/>
                <w:lang w:eastAsia="cs-CZ"/>
              </w:rPr>
              <w:t xml:space="preserve">případné </w:t>
            </w:r>
            <w:r w:rsidR="00F91443">
              <w:rPr>
                <w:rFonts w:eastAsia="Arial Unicode MS"/>
                <w:lang w:eastAsia="cs-CZ"/>
              </w:rPr>
              <w:t>modifikace</w:t>
            </w:r>
            <w:r w:rsidR="006153FB">
              <w:rPr>
                <w:rFonts w:eastAsia="Arial Unicode MS"/>
                <w:lang w:eastAsia="cs-CZ"/>
              </w:rPr>
              <w:t xml:space="preserve"> směřující k zefektivnění </w:t>
            </w:r>
            <w:r w:rsidR="00491D57">
              <w:rPr>
                <w:rFonts w:eastAsia="Arial Unicode MS"/>
                <w:lang w:eastAsia="cs-CZ"/>
              </w:rPr>
              <w:t xml:space="preserve">její </w:t>
            </w:r>
            <w:r w:rsidR="006153FB">
              <w:rPr>
                <w:rFonts w:eastAsia="Arial Unicode MS"/>
                <w:lang w:eastAsia="cs-CZ"/>
              </w:rPr>
              <w:t>činnost</w:t>
            </w:r>
            <w:r w:rsidR="00491D57">
              <w:rPr>
                <w:rFonts w:eastAsia="Arial Unicode MS"/>
                <w:lang w:eastAsia="cs-CZ"/>
              </w:rPr>
              <w:t>i</w:t>
            </w:r>
            <w:r w:rsidR="006153FB">
              <w:rPr>
                <w:rFonts w:eastAsia="Arial Unicode MS"/>
                <w:lang w:eastAsia="cs-CZ"/>
              </w:rPr>
              <w:t xml:space="preserve">. </w:t>
            </w:r>
            <w:r w:rsidR="00491D57">
              <w:rPr>
                <w:rFonts w:eastAsia="Arial Unicode MS"/>
                <w:lang w:eastAsia="cs-CZ"/>
              </w:rPr>
              <w:t>Současně bude p</w:t>
            </w:r>
            <w:r w:rsidR="006153FB">
              <w:rPr>
                <w:rFonts w:eastAsia="Arial Unicode MS"/>
                <w:lang w:eastAsia="cs-CZ"/>
              </w:rPr>
              <w:t xml:space="preserve">odpořena </w:t>
            </w:r>
            <w:r w:rsidRPr="007C2EB2">
              <w:rPr>
                <w:rFonts w:eastAsia="Arial Unicode MS"/>
                <w:lang w:eastAsia="cs-CZ"/>
              </w:rPr>
              <w:t>metodická a evaluační činnost napříč organizační strukturou zaměřená na strategické plánování sociálních služeb v přímé vazbě na</w:t>
            </w:r>
            <w:r w:rsidR="009A6D06">
              <w:rPr>
                <w:rFonts w:eastAsia="Arial Unicode MS"/>
                <w:lang w:eastAsia="cs-CZ"/>
              </w:rPr>
              <w:t xml:space="preserve"> </w:t>
            </w:r>
            <w:r w:rsidR="009A6D06">
              <w:rPr>
                <w:rFonts w:eastAsia="Arial Unicode MS"/>
                <w:bCs/>
                <w:lang w:eastAsia="cs-CZ"/>
              </w:rPr>
              <w:t>p</w:t>
            </w:r>
            <w:r w:rsidR="009A6D06" w:rsidRPr="009A6D06">
              <w:rPr>
                <w:rFonts w:eastAsia="Arial Unicode MS"/>
                <w:bCs/>
                <w:lang w:eastAsia="cs-CZ"/>
              </w:rPr>
              <w:t>růběžné zavádění nástrojů na definici požadavků pro nastavení jednotlivých druhů sociálních služeb</w:t>
            </w:r>
            <w:r w:rsidRPr="007C2EB2">
              <w:rPr>
                <w:rFonts w:eastAsia="Arial Unicode MS"/>
                <w:lang w:eastAsia="cs-CZ"/>
              </w:rPr>
              <w:t xml:space="preserve"> </w:t>
            </w:r>
            <w:r w:rsidR="009A6D06">
              <w:rPr>
                <w:rFonts w:eastAsia="Arial Unicode MS"/>
                <w:lang w:eastAsia="cs-CZ"/>
              </w:rPr>
              <w:t xml:space="preserve">v </w:t>
            </w:r>
            <w:r w:rsidRPr="007C2EB2">
              <w:rPr>
                <w:rFonts w:eastAsia="Arial Unicode MS"/>
                <w:lang w:eastAsia="cs-CZ"/>
              </w:rPr>
              <w:t xml:space="preserve">OK. </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lastRenderedPageBreak/>
              <w:t>Předpokládaný dopad opatření</w:t>
            </w:r>
          </w:p>
        </w:tc>
        <w:tc>
          <w:tcPr>
            <w:tcW w:w="3644" w:type="pct"/>
          </w:tcPr>
          <w:p w:rsidR="009A6D06" w:rsidRDefault="00FB1999" w:rsidP="0085360A">
            <w:pPr>
              <w:spacing w:before="0"/>
              <w:rPr>
                <w:rFonts w:eastAsia="Arial Unicode MS"/>
                <w:lang w:eastAsia="cs-CZ"/>
              </w:rPr>
            </w:pPr>
            <w:r w:rsidRPr="007C2EB2">
              <w:rPr>
                <w:rFonts w:eastAsia="Arial Unicode MS"/>
                <w:lang w:eastAsia="cs-CZ"/>
              </w:rPr>
              <w:t>Efektivní síť sociálních služeb, do níž jsou zařazeni poskytovatelé sociálních služeb</w:t>
            </w:r>
            <w:r w:rsidR="00CE523A">
              <w:rPr>
                <w:rFonts w:eastAsia="Arial Unicode MS"/>
                <w:lang w:eastAsia="cs-CZ"/>
              </w:rPr>
              <w:t>,</w:t>
            </w:r>
            <w:r w:rsidRPr="007C2EB2">
              <w:rPr>
                <w:rFonts w:eastAsia="Arial Unicode MS"/>
                <w:lang w:eastAsia="cs-CZ"/>
              </w:rPr>
              <w:t xml:space="preserve"> reagující na identifikované potřeby občanů</w:t>
            </w:r>
            <w:r w:rsidR="00CE523A">
              <w:rPr>
                <w:rFonts w:eastAsia="Arial Unicode MS"/>
                <w:lang w:eastAsia="cs-CZ"/>
              </w:rPr>
              <w:t>,</w:t>
            </w:r>
            <w:r w:rsidRPr="007C2EB2">
              <w:rPr>
                <w:rFonts w:eastAsia="Arial Unicode MS"/>
                <w:lang w:eastAsia="cs-CZ"/>
              </w:rPr>
              <w:t xml:space="preserve"> vedoucí k</w:t>
            </w:r>
            <w:r w:rsidR="009A6D06">
              <w:rPr>
                <w:rFonts w:eastAsia="Arial Unicode MS"/>
                <w:lang w:eastAsia="cs-CZ"/>
              </w:rPr>
              <w:t> </w:t>
            </w:r>
            <w:r w:rsidRPr="007C2EB2">
              <w:rPr>
                <w:rFonts w:eastAsia="Arial Unicode MS"/>
                <w:lang w:eastAsia="cs-CZ"/>
              </w:rPr>
              <w:t>zajištění nezbytné pomoci a podpory při řešení nepříznivé situac</w:t>
            </w:r>
            <w:r w:rsidR="00CE523A">
              <w:rPr>
                <w:rFonts w:eastAsia="Arial Unicode MS"/>
                <w:lang w:eastAsia="cs-CZ"/>
              </w:rPr>
              <w:t>e</w:t>
            </w:r>
            <w:r w:rsidRPr="007C2EB2">
              <w:rPr>
                <w:rFonts w:eastAsia="Arial Unicode MS"/>
                <w:lang w:eastAsia="cs-CZ"/>
              </w:rPr>
              <w:t xml:space="preserve"> osob na území kraje v návaznosti na </w:t>
            </w:r>
            <w:r w:rsidR="009A6D06" w:rsidRPr="009A6D06">
              <w:rPr>
                <w:rFonts w:eastAsia="Arial Unicode MS"/>
                <w:bCs/>
                <w:lang w:eastAsia="cs-CZ"/>
              </w:rPr>
              <w:t>průběžné zavádění nástrojů na definici požadavků pro nastavení jednotlivých druhů sociálních služeb</w:t>
            </w:r>
            <w:r w:rsidR="009A6D06" w:rsidRPr="009A6D06">
              <w:rPr>
                <w:rFonts w:eastAsia="Arial Unicode MS"/>
                <w:lang w:eastAsia="cs-CZ"/>
              </w:rPr>
              <w:t xml:space="preserve"> v</w:t>
            </w:r>
            <w:r w:rsidR="009A6D06">
              <w:rPr>
                <w:rFonts w:eastAsia="Arial Unicode MS"/>
                <w:lang w:eastAsia="cs-CZ"/>
              </w:rPr>
              <w:t> </w:t>
            </w:r>
            <w:r w:rsidR="009A6D06" w:rsidRPr="009A6D06">
              <w:rPr>
                <w:rFonts w:eastAsia="Arial Unicode MS"/>
                <w:lang w:eastAsia="cs-CZ"/>
              </w:rPr>
              <w:t>OK</w:t>
            </w:r>
            <w:r w:rsidR="009A6D06">
              <w:rPr>
                <w:rFonts w:eastAsia="Arial Unicode MS"/>
                <w:lang w:eastAsia="cs-CZ"/>
              </w:rPr>
              <w:t>.</w:t>
            </w:r>
          </w:p>
          <w:p w:rsidR="00FB1999" w:rsidRPr="007C2EB2" w:rsidRDefault="00FB1999" w:rsidP="0085360A">
            <w:pPr>
              <w:spacing w:before="0"/>
              <w:rPr>
                <w:rFonts w:eastAsia="Arial Unicode MS"/>
                <w:lang w:eastAsia="cs-CZ"/>
              </w:rPr>
            </w:pPr>
            <w:r w:rsidRPr="007C2EB2">
              <w:rPr>
                <w:rFonts w:eastAsia="Arial Unicode MS"/>
                <w:lang w:eastAsia="cs-CZ"/>
              </w:rPr>
              <w:t>Kontinuita a upevnění spolupráce mezi stěžejními aktéry plánovacího procesu (zástupci OÚORP, kraje a poskytovatelé sociálních služeb na území OK) vedoucí k získání relevantních informací z oblasti potřebnosti sociálních služeb na celém území OK. Zajištění a podpora procesu plánování sociálních služeb na krajské úrovni, v přímé vazbě na modelaci sítě sociálních služeb odpovídající skutečným potřebám a dostupným finančním zdrojům.</w:t>
            </w:r>
            <w:r w:rsidRPr="007C2EB2">
              <w:rPr>
                <w:rFonts w:ascii="Arial" w:hAnsi="Arial" w:cs="Arial"/>
              </w:rPr>
              <w:t xml:space="preserve"> </w:t>
            </w:r>
          </w:p>
          <w:p w:rsidR="00FB1999" w:rsidRPr="007C2EB2" w:rsidRDefault="00FB1999" w:rsidP="0085360A">
            <w:pPr>
              <w:spacing w:before="0"/>
              <w:rPr>
                <w:rFonts w:eastAsia="Arial Unicode MS"/>
                <w:lang w:eastAsia="cs-CZ"/>
              </w:rPr>
            </w:pPr>
            <w:r w:rsidRPr="007C2EB2">
              <w:rPr>
                <w:rFonts w:eastAsia="Arial Unicode MS"/>
                <w:lang w:eastAsia="cs-CZ"/>
              </w:rPr>
              <w:t>Prostřednictvím Akčních plánů reaguje OK na aktuální potřebnost sociálních služeb na svém území a na základě nastaveného procesu každoroční evaluace cílů a opatření Střednědobého plánu 2024</w:t>
            </w:r>
            <w:r w:rsidR="00CE523A">
              <w:rPr>
                <w:rFonts w:eastAsia="Arial Unicode MS"/>
                <w:lang w:eastAsia="cs-CZ"/>
              </w:rPr>
              <w:t>–</w:t>
            </w:r>
            <w:r w:rsidRPr="007C2EB2">
              <w:rPr>
                <w:rFonts w:eastAsia="Arial Unicode MS"/>
                <w:lang w:eastAsia="cs-CZ"/>
              </w:rPr>
              <w:t xml:space="preserve">2026 vyhodnocuje aktuální požadavky ze strany uživatelů i poskytovatelů sociálních služeb. </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85360A">
            <w:pPr>
              <w:pStyle w:val="Odstavecseseznamem"/>
              <w:numPr>
                <w:ilvl w:val="0"/>
                <w:numId w:val="12"/>
              </w:numPr>
              <w:spacing w:before="0" w:line="240" w:lineRule="auto"/>
            </w:pPr>
            <w:r w:rsidRPr="00A34764">
              <w:t xml:space="preserve">Výjezdní pracovní zasedání týmu pracovníků KÚOK a členů Skupiny ORP a KRKOS </w:t>
            </w:r>
          </w:p>
          <w:p w:rsidR="00FB1999" w:rsidRPr="00A34764" w:rsidRDefault="00FB1999" w:rsidP="0085360A">
            <w:pPr>
              <w:pStyle w:val="Odstavecseseznamem"/>
              <w:numPr>
                <w:ilvl w:val="0"/>
                <w:numId w:val="12"/>
              </w:numPr>
              <w:spacing w:before="0" w:line="240" w:lineRule="auto"/>
            </w:pPr>
            <w:r w:rsidRPr="00A34764">
              <w:t>Cyklický proces strategického plánování sociálních služeb na krajské úrovni</w:t>
            </w:r>
          </w:p>
          <w:p w:rsidR="00FB1999" w:rsidRPr="00A34764" w:rsidRDefault="00FB1999" w:rsidP="0085360A">
            <w:pPr>
              <w:pStyle w:val="Odstavecseseznamem"/>
              <w:numPr>
                <w:ilvl w:val="0"/>
                <w:numId w:val="12"/>
              </w:numPr>
              <w:spacing w:before="0" w:line="240" w:lineRule="auto"/>
            </w:pPr>
            <w:r w:rsidRPr="00A34764">
              <w:t>Tvorba Akčních plánů na příslušný rok</w:t>
            </w:r>
          </w:p>
          <w:p w:rsidR="00FB1999" w:rsidRPr="00A34764" w:rsidRDefault="00491D57" w:rsidP="0085360A">
            <w:pPr>
              <w:pStyle w:val="Odstavecseseznamem"/>
              <w:numPr>
                <w:ilvl w:val="0"/>
                <w:numId w:val="12"/>
              </w:numPr>
              <w:spacing w:before="0" w:line="240" w:lineRule="auto"/>
            </w:pPr>
            <w:r w:rsidRPr="00A34764">
              <w:t>Evaluace č</w:t>
            </w:r>
            <w:r w:rsidR="00FB1999" w:rsidRPr="00A34764">
              <w:t>innost</w:t>
            </w:r>
            <w:r w:rsidRPr="00A34764">
              <w:t>i</w:t>
            </w:r>
            <w:r w:rsidR="00FB1999" w:rsidRPr="00A34764">
              <w:t xml:space="preserve"> PS zařazených do organizační struktury pro plánování sociálních služeb na krajské úrovni </w:t>
            </w:r>
          </w:p>
          <w:p w:rsidR="00FB1999" w:rsidRPr="00A34764" w:rsidRDefault="00FB1999" w:rsidP="0085360A">
            <w:pPr>
              <w:pStyle w:val="Odstavecseseznamem"/>
              <w:numPr>
                <w:ilvl w:val="0"/>
                <w:numId w:val="12"/>
              </w:numPr>
              <w:spacing w:before="0" w:line="240" w:lineRule="auto"/>
            </w:pPr>
            <w:r w:rsidRPr="00A34764">
              <w:t>Pravidelná roční evaluace Střednědobého plánu 2024</w:t>
            </w:r>
            <w:r w:rsidR="00CE523A" w:rsidRPr="00A34764">
              <w:t>–</w:t>
            </w:r>
            <w:r w:rsidRPr="00A34764">
              <w:t>2026</w:t>
            </w:r>
          </w:p>
          <w:p w:rsidR="00FB1999" w:rsidRPr="00A34764" w:rsidRDefault="00FB1999" w:rsidP="0085360A">
            <w:pPr>
              <w:pStyle w:val="Odstavecseseznamem"/>
              <w:numPr>
                <w:ilvl w:val="0"/>
                <w:numId w:val="12"/>
              </w:numPr>
              <w:spacing w:before="0" w:line="240" w:lineRule="auto"/>
            </w:pPr>
            <w:r w:rsidRPr="00A34764">
              <w:t>Aktualizace cílů a opatření Střednědobého plánu 2024</w:t>
            </w:r>
            <w:r w:rsidR="00CE523A" w:rsidRPr="00A34764">
              <w:t>–</w:t>
            </w:r>
            <w:r w:rsidRPr="00A34764">
              <w:t>2026 v případě nově identifikovaných potřeb zjištěných na území OK prostřednictvím aktualizace sítě sociálních služeb OK</w:t>
            </w:r>
          </w:p>
          <w:p w:rsidR="00FB1999" w:rsidRPr="00A34764" w:rsidRDefault="00FB1999" w:rsidP="0085360A">
            <w:pPr>
              <w:pStyle w:val="Odstavecseseznamem"/>
              <w:numPr>
                <w:ilvl w:val="0"/>
                <w:numId w:val="12"/>
              </w:numPr>
              <w:spacing w:before="0" w:line="240" w:lineRule="auto"/>
            </w:pPr>
            <w:r w:rsidRPr="00A34764">
              <w:t xml:space="preserve">Upevnění spolupráce v oblasti plánování sociálních služeb napříč krajskou a obecní úrovní </w:t>
            </w:r>
          </w:p>
          <w:p w:rsidR="00FB1999" w:rsidRPr="00A34764" w:rsidRDefault="00FB1999" w:rsidP="0085360A">
            <w:pPr>
              <w:pStyle w:val="Odstavecseseznamem"/>
              <w:numPr>
                <w:ilvl w:val="0"/>
                <w:numId w:val="12"/>
              </w:numPr>
              <w:spacing w:before="0" w:line="240" w:lineRule="auto"/>
            </w:pPr>
            <w:r w:rsidRPr="00A34764">
              <w:t>Využití klíčové aktivity individuálního projektu zaměřené na podporu plánování sociálních služeb na krajské úrovni</w:t>
            </w:r>
          </w:p>
        </w:tc>
      </w:tr>
      <w:tr w:rsidR="00FB1999" w:rsidRPr="007C2EB2" w:rsidTr="00491D57">
        <w:trPr>
          <w:cantSplit/>
          <w:trHeight w:val="70"/>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Pr>
          <w:p w:rsidR="00FB1999" w:rsidRPr="00A34764" w:rsidRDefault="00FB1999" w:rsidP="0085360A">
            <w:pPr>
              <w:pStyle w:val="Odstavecseseznamem"/>
              <w:numPr>
                <w:ilvl w:val="0"/>
                <w:numId w:val="33"/>
              </w:numPr>
              <w:spacing w:before="0" w:line="240" w:lineRule="auto"/>
            </w:pPr>
            <w:r w:rsidRPr="00A34764">
              <w:t>Nezájem o využití klíčové aktivity individuálního projektu zaměřené na podporu plánování sociálních služeb na krajské úrovni</w:t>
            </w:r>
          </w:p>
          <w:p w:rsidR="00FB1999" w:rsidRPr="00A34764" w:rsidRDefault="00FB1999" w:rsidP="0085360A">
            <w:pPr>
              <w:pStyle w:val="Odstavecseseznamem"/>
              <w:numPr>
                <w:ilvl w:val="0"/>
                <w:numId w:val="33"/>
              </w:numPr>
              <w:spacing w:before="0" w:line="240" w:lineRule="auto"/>
            </w:pPr>
            <w:r w:rsidRPr="00A34764">
              <w:t>Nezájem o spolupráci v oblasti plánování sociálních služeb napříč krajskou a obecní úrovní</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OK, PS zařazené do organizační struktury pro plánování sociálních služeb na krajské úrovni</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2024</w:t>
            </w:r>
            <w:r w:rsidR="00CE523A">
              <w:rPr>
                <w:rFonts w:eastAsia="Arial Unicode MS"/>
                <w:lang w:eastAsia="cs-CZ"/>
              </w:rPr>
              <w:t>–</w:t>
            </w:r>
            <w:r w:rsidRPr="007C2EB2">
              <w:rPr>
                <w:rFonts w:eastAsia="Arial Unicode MS"/>
                <w:lang w:eastAsia="cs-CZ"/>
              </w:rPr>
              <w:t>2026</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Finanční zdroje</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OK, EU/ESF</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Hodnotící indikátory</w:t>
            </w:r>
          </w:p>
        </w:tc>
        <w:tc>
          <w:tcPr>
            <w:tcW w:w="3644" w:type="pct"/>
          </w:tcPr>
          <w:p w:rsidR="00FB1999" w:rsidRPr="00A34764" w:rsidRDefault="00FB1999" w:rsidP="0085360A">
            <w:pPr>
              <w:pStyle w:val="Odstavecseseznamem"/>
              <w:numPr>
                <w:ilvl w:val="0"/>
                <w:numId w:val="32"/>
              </w:numPr>
              <w:spacing w:before="0" w:line="240" w:lineRule="auto"/>
            </w:pPr>
            <w:r w:rsidRPr="00A34764">
              <w:t>Zpracovaný Akční plán na příslušný rok</w:t>
            </w:r>
          </w:p>
          <w:p w:rsidR="00FB1999" w:rsidRPr="00A34764" w:rsidRDefault="00FB1999" w:rsidP="0085360A">
            <w:pPr>
              <w:pStyle w:val="Odstavecseseznamem"/>
              <w:numPr>
                <w:ilvl w:val="0"/>
                <w:numId w:val="32"/>
              </w:numPr>
              <w:spacing w:before="0" w:line="240" w:lineRule="auto"/>
            </w:pPr>
            <w:r w:rsidRPr="00A34764">
              <w:t>Efektivní, aktualizovaná síť sociálních služeb OK na jednotlivé roky platnosti Střednědobého plánu 2024</w:t>
            </w:r>
            <w:r w:rsidR="00CE523A" w:rsidRPr="00A34764">
              <w:t>–</w:t>
            </w:r>
            <w:r w:rsidRPr="00A34764">
              <w:t>2026</w:t>
            </w:r>
          </w:p>
          <w:p w:rsidR="00FB1999" w:rsidRPr="00A34764" w:rsidRDefault="00FB1999" w:rsidP="0085360A">
            <w:pPr>
              <w:pStyle w:val="Odstavecseseznamem"/>
              <w:numPr>
                <w:ilvl w:val="0"/>
                <w:numId w:val="32"/>
              </w:numPr>
              <w:spacing w:before="0" w:line="240" w:lineRule="auto"/>
            </w:pPr>
            <w:r w:rsidRPr="00A34764">
              <w:t>Zpracovaná evaluační zpráva za jednotlivé roky platnosti Střednědobého plánu 2024</w:t>
            </w:r>
            <w:r w:rsidR="00CE523A" w:rsidRPr="00A34764">
              <w:t>–</w:t>
            </w:r>
            <w:r w:rsidRPr="00A34764">
              <w:t>2026</w:t>
            </w:r>
          </w:p>
        </w:tc>
      </w:tr>
      <w:tr w:rsidR="00FB1999" w:rsidRPr="002D18F3" w:rsidTr="00FB1999">
        <w:trPr>
          <w:cantSplit/>
          <w:trHeight w:val="397"/>
        </w:trPr>
        <w:tc>
          <w:tcPr>
            <w:tcW w:w="1356" w:type="pct"/>
            <w:shd w:val="clear" w:color="auto" w:fill="E2EFD9" w:themeFill="accent6" w:themeFillTint="33"/>
          </w:tcPr>
          <w:p w:rsidR="00FB1999" w:rsidRPr="002D18F3" w:rsidRDefault="00FB1999" w:rsidP="0085360A">
            <w:pPr>
              <w:keepNext/>
              <w:spacing w:before="0"/>
              <w:jc w:val="left"/>
              <w:rPr>
                <w:rFonts w:eastAsia="Arial Unicode MS"/>
                <w:b/>
                <w:lang w:eastAsia="cs-CZ"/>
              </w:rPr>
            </w:pPr>
            <w:r w:rsidRPr="002D18F3">
              <w:rPr>
                <w:rFonts w:eastAsia="Arial Unicode MS"/>
                <w:b/>
                <w:lang w:eastAsia="cs-CZ"/>
              </w:rPr>
              <w:lastRenderedPageBreak/>
              <w:t xml:space="preserve">Kód opatření </w:t>
            </w:r>
          </w:p>
        </w:tc>
        <w:tc>
          <w:tcPr>
            <w:tcW w:w="3644" w:type="pct"/>
            <w:shd w:val="clear" w:color="auto" w:fill="E2EFD9" w:themeFill="accent6" w:themeFillTint="33"/>
          </w:tcPr>
          <w:p w:rsidR="00FB1999" w:rsidRPr="002D18F3" w:rsidRDefault="00FB1999" w:rsidP="0085360A">
            <w:pPr>
              <w:keepNext/>
              <w:spacing w:before="0"/>
              <w:rPr>
                <w:rFonts w:eastAsia="Arial Unicode MS"/>
                <w:b/>
                <w:lang w:eastAsia="cs-CZ"/>
              </w:rPr>
            </w:pPr>
            <w:r w:rsidRPr="002D18F3">
              <w:rPr>
                <w:rFonts w:eastAsia="Arial Unicode MS"/>
                <w:b/>
                <w:lang w:eastAsia="cs-CZ"/>
              </w:rPr>
              <w:t>P 1.2</w:t>
            </w:r>
          </w:p>
        </w:tc>
      </w:tr>
      <w:tr w:rsidR="00FB1999" w:rsidRPr="002D18F3" w:rsidTr="00FB1999">
        <w:trPr>
          <w:cantSplit/>
          <w:trHeight w:val="397"/>
        </w:trPr>
        <w:tc>
          <w:tcPr>
            <w:tcW w:w="1356" w:type="pct"/>
            <w:shd w:val="clear" w:color="auto" w:fill="E2EFD9" w:themeFill="accent6" w:themeFillTint="33"/>
          </w:tcPr>
          <w:p w:rsidR="00FB1999" w:rsidRPr="002D18F3" w:rsidRDefault="00FB1999" w:rsidP="0085360A">
            <w:pPr>
              <w:keepNext/>
              <w:spacing w:before="0"/>
              <w:jc w:val="left"/>
              <w:rPr>
                <w:rFonts w:eastAsia="Arial Unicode MS"/>
                <w:b/>
                <w:lang w:eastAsia="cs-CZ"/>
              </w:rPr>
            </w:pPr>
            <w:r w:rsidRPr="002D18F3">
              <w:rPr>
                <w:rFonts w:eastAsia="Arial Unicode MS"/>
                <w:b/>
                <w:lang w:eastAsia="cs-CZ"/>
              </w:rPr>
              <w:t>Název opatření</w:t>
            </w:r>
          </w:p>
        </w:tc>
        <w:tc>
          <w:tcPr>
            <w:tcW w:w="3644" w:type="pct"/>
            <w:shd w:val="clear" w:color="auto" w:fill="E2EFD9" w:themeFill="accent6" w:themeFillTint="33"/>
          </w:tcPr>
          <w:p w:rsidR="00FB1999" w:rsidRPr="002D18F3" w:rsidRDefault="00FB1999" w:rsidP="0085360A">
            <w:pPr>
              <w:keepNext/>
              <w:spacing w:before="0"/>
              <w:rPr>
                <w:rFonts w:eastAsia="Arial Unicode MS"/>
                <w:b/>
                <w:lang w:eastAsia="cs-CZ"/>
              </w:rPr>
            </w:pPr>
            <w:r w:rsidRPr="002D18F3">
              <w:rPr>
                <w:rFonts w:eastAsia="Arial Unicode MS"/>
                <w:b/>
                <w:lang w:eastAsia="cs-CZ"/>
              </w:rPr>
              <w:t>Podpora a udržení procesu aktivního a jednotného plánování sociálních služeb na úrovni všech SO ORP OK</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Stálá podpora aktivního zapojení územních samosprávných celků v oblasti plánování sociálních služeb, vzájemné koordinace aktivit, multidisciplinárního přístupu a meziresortní spolupráce. V souladu s principem subsidiarity podpora řešení problémů co nejblíže místu, kde vznikají, a to prostřednictvím všech subjektů, které jsou kompetentní k jejich řešení.</w:t>
            </w:r>
          </w:p>
          <w:p w:rsidR="00FB1999" w:rsidRPr="007C2EB2" w:rsidRDefault="00FB1999" w:rsidP="0085360A">
            <w:pPr>
              <w:spacing w:before="0"/>
              <w:rPr>
                <w:rFonts w:eastAsia="Arial Unicode MS"/>
                <w:lang w:eastAsia="cs-CZ"/>
              </w:rPr>
            </w:pPr>
            <w:r w:rsidRPr="007C2EB2">
              <w:rPr>
                <w:rFonts w:eastAsia="Arial Unicode MS"/>
                <w:lang w:eastAsia="cs-CZ"/>
              </w:rPr>
              <w:t>Komplexní systém metodické podpory v zásadních oblastech</w:t>
            </w:r>
            <w:r w:rsidR="001A76A9">
              <w:rPr>
                <w:rFonts w:eastAsia="Arial Unicode MS"/>
                <w:lang w:eastAsia="cs-CZ"/>
              </w:rPr>
              <w:t>,</w:t>
            </w:r>
            <w:r w:rsidRPr="007C2EB2">
              <w:rPr>
                <w:rFonts w:eastAsia="Arial Unicode MS"/>
                <w:lang w:eastAsia="cs-CZ"/>
              </w:rPr>
              <w:t xml:space="preserve"> jako jsou koordinační role obcí s rozšířenou působností v návaznosti na identifikaci potřeb občanů na území správního obvodu, zpracování komunitní plánů, podpora procesu plánování na místní úrovni, monitoring a vyhodnocení plnění nastavených opatření a spolupráce s poskytovateli zajišťující sociální služby na daném území. </w:t>
            </w:r>
          </w:p>
          <w:p w:rsidR="00FB1999" w:rsidRPr="007C2EB2" w:rsidRDefault="00FB1999" w:rsidP="0085360A">
            <w:pPr>
              <w:spacing w:before="0"/>
              <w:rPr>
                <w:rFonts w:eastAsia="Arial Unicode MS"/>
                <w:lang w:eastAsia="cs-CZ"/>
              </w:rPr>
            </w:pPr>
            <w:r w:rsidRPr="007C2EB2">
              <w:rPr>
                <w:rFonts w:eastAsia="Arial Unicode MS"/>
                <w:lang w:eastAsia="cs-CZ"/>
              </w:rPr>
              <w:t xml:space="preserve">Akceptace a zavedení do praxe Aktualizované metodické příručky pro plánování sociálních služeb na místní úrovni, nastavení časové návaznosti a kompatibilní </w:t>
            </w:r>
            <w:proofErr w:type="spellStart"/>
            <w:r w:rsidRPr="007C2EB2">
              <w:rPr>
                <w:rFonts w:eastAsia="Arial Unicode MS"/>
                <w:lang w:eastAsia="cs-CZ"/>
              </w:rPr>
              <w:t>provazby</w:t>
            </w:r>
            <w:proofErr w:type="spellEnd"/>
            <w:r w:rsidRPr="007C2EB2">
              <w:rPr>
                <w:rFonts w:eastAsia="Arial Unicode MS"/>
                <w:lang w:eastAsia="cs-CZ"/>
              </w:rPr>
              <w:t xml:space="preserve"> komunitních plánů na Střednědobý plán OK tak, aby komunitní plány ze všech 13 SO ORP byly validním podkladem pro tvorbu krajského střednědobého plánu a modelaci sítě sociálních služeb v OK.</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Předpokládaný dopad opatření</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Komunitní plány dle území jednotlivých SO ORP zpracované v souladu s </w:t>
            </w:r>
            <w:r w:rsidRPr="007C2EB2">
              <w:rPr>
                <w:rFonts w:eastAsia="Arial Unicode MS"/>
                <w:bCs/>
                <w:lang w:eastAsia="cs-CZ"/>
              </w:rPr>
              <w:t>Aktualizovanou metodickou příručkou pro plánování sociálních služeb na místní úrovni</w:t>
            </w:r>
            <w:r w:rsidRPr="007C2EB2">
              <w:rPr>
                <w:rFonts w:eastAsia="Arial Unicode MS"/>
                <w:lang w:eastAsia="cs-CZ"/>
              </w:rPr>
              <w:t>, vycházející z identifikovaných potřeb na daném území, respektující nutnost finanční spoluúčasti obcí na financování sociálních služeb zabezpečujících potřeby jejich občanů.</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85360A">
            <w:pPr>
              <w:pStyle w:val="Odstavecseseznamem"/>
              <w:numPr>
                <w:ilvl w:val="0"/>
                <w:numId w:val="13"/>
              </w:numPr>
              <w:spacing w:before="0" w:line="240" w:lineRule="auto"/>
            </w:pPr>
            <w:r w:rsidRPr="00A34764">
              <w:t xml:space="preserve">Využití klíčové aktivity IP zaměřené na podporu plánování sociálních služeb na obecní úrovni (metodická podpora </w:t>
            </w:r>
            <w:r w:rsidRPr="00A34764">
              <w:rPr>
                <w:bCs/>
              </w:rPr>
              <w:t xml:space="preserve">zaměřená komplexně na proces plánování sociálních služeb a </w:t>
            </w:r>
            <w:r w:rsidRPr="00A34764">
              <w:t>vzdělávání zainteresovaných osob)</w:t>
            </w:r>
          </w:p>
          <w:p w:rsidR="00FB1999" w:rsidRPr="00A34764" w:rsidRDefault="00FB1999" w:rsidP="0085360A">
            <w:pPr>
              <w:pStyle w:val="Odstavecseseznamem"/>
              <w:numPr>
                <w:ilvl w:val="0"/>
                <w:numId w:val="13"/>
              </w:numPr>
              <w:spacing w:before="0" w:line="240" w:lineRule="auto"/>
            </w:pPr>
            <w:r w:rsidRPr="00A34764">
              <w:t>Udržení aktivní komunikační platformy přenosu informací pracovních skupin KRKOS a Skupiny ORP</w:t>
            </w:r>
          </w:p>
          <w:p w:rsidR="00FB1999" w:rsidRPr="00A34764" w:rsidRDefault="00FB1999" w:rsidP="0085360A">
            <w:pPr>
              <w:pStyle w:val="Odstavecseseznamem"/>
              <w:numPr>
                <w:ilvl w:val="0"/>
                <w:numId w:val="13"/>
              </w:numPr>
              <w:spacing w:before="0" w:line="240" w:lineRule="auto"/>
            </w:pPr>
            <w:r w:rsidRPr="00A34764">
              <w:t>Akceptace a využití „Aktualizované metodické příručky pro plánování sociálních služeb na místní úrovni“</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Pr>
          <w:p w:rsidR="00FB1999" w:rsidRPr="00A34764" w:rsidRDefault="00FB1999" w:rsidP="0085360A">
            <w:pPr>
              <w:pStyle w:val="Odstavecseseznamem"/>
              <w:numPr>
                <w:ilvl w:val="0"/>
                <w:numId w:val="17"/>
              </w:numPr>
              <w:spacing w:before="0" w:line="240" w:lineRule="auto"/>
            </w:pPr>
            <w:r w:rsidRPr="00A34764">
              <w:t>Nedostatečné využití metodické podpory prostřednictvím klíčové aktivity IP</w:t>
            </w:r>
          </w:p>
          <w:p w:rsidR="00FB1999" w:rsidRPr="00A34764" w:rsidRDefault="00FB1999" w:rsidP="0085360A">
            <w:pPr>
              <w:pStyle w:val="Odstavecseseznamem"/>
              <w:numPr>
                <w:ilvl w:val="0"/>
                <w:numId w:val="17"/>
              </w:numPr>
              <w:spacing w:before="0" w:line="240" w:lineRule="auto"/>
            </w:pPr>
            <w:r w:rsidRPr="00A34764">
              <w:t>Nezájem o vzájemný přenos informací v rámci organizační struktury pro plánování sociálních služeb na krajské úrovni</w:t>
            </w:r>
          </w:p>
          <w:p w:rsidR="00FB1999" w:rsidRPr="00A34764" w:rsidRDefault="00FB1999" w:rsidP="0085360A">
            <w:pPr>
              <w:pStyle w:val="Odstavecseseznamem"/>
              <w:numPr>
                <w:ilvl w:val="0"/>
                <w:numId w:val="17"/>
              </w:numPr>
              <w:spacing w:before="0" w:line="240" w:lineRule="auto"/>
            </w:pPr>
            <w:r w:rsidRPr="00A34764">
              <w:t>Nedostatečné využívání modulu „Obce – potřebnost sociálních služeb“ ze strany OÚORP</w:t>
            </w:r>
          </w:p>
          <w:p w:rsidR="00FB1999" w:rsidRPr="00A34764" w:rsidRDefault="00FB1999" w:rsidP="0085360A">
            <w:pPr>
              <w:pStyle w:val="Odstavecseseznamem"/>
              <w:numPr>
                <w:ilvl w:val="0"/>
                <w:numId w:val="17"/>
              </w:numPr>
              <w:spacing w:before="0" w:line="240" w:lineRule="auto"/>
            </w:pPr>
            <w:r w:rsidRPr="00A34764">
              <w:t>Nedostatečná akceptace metodické podpory prostřednictvím Aktualizované metodické příručky pro plánování sociálních služeb na místní úrovni</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OK, KRKOS, Skupina ORP, pracovní a řídící skupiny komunitního plánování na místní úrovni</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2024</w:t>
            </w:r>
            <w:r w:rsidR="001A76A9">
              <w:rPr>
                <w:rFonts w:eastAsia="Arial Unicode MS"/>
                <w:lang w:eastAsia="cs-CZ"/>
              </w:rPr>
              <w:t>–</w:t>
            </w:r>
            <w:r w:rsidRPr="007C2EB2">
              <w:rPr>
                <w:rFonts w:eastAsia="Arial Unicode MS"/>
                <w:lang w:eastAsia="cs-CZ"/>
              </w:rPr>
              <w:t>2026</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OK, EU/ESF</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lastRenderedPageBreak/>
              <w:t>Hodnotící indikátory výstupů a výsledků</w:t>
            </w:r>
          </w:p>
          <w:p w:rsidR="00FB1999" w:rsidRPr="002D18F3" w:rsidRDefault="00FB1999" w:rsidP="0085360A">
            <w:pPr>
              <w:spacing w:before="0"/>
              <w:jc w:val="left"/>
              <w:rPr>
                <w:rFonts w:eastAsia="Arial Unicode MS"/>
                <w:b/>
                <w:lang w:eastAsia="cs-CZ"/>
              </w:rPr>
            </w:pPr>
          </w:p>
        </w:tc>
        <w:tc>
          <w:tcPr>
            <w:tcW w:w="3644" w:type="pct"/>
          </w:tcPr>
          <w:p w:rsidR="00FB1999" w:rsidRPr="00A34764" w:rsidRDefault="00FB1999" w:rsidP="0085360A">
            <w:pPr>
              <w:pStyle w:val="Odstavecseseznamem"/>
              <w:numPr>
                <w:ilvl w:val="0"/>
                <w:numId w:val="15"/>
              </w:numPr>
              <w:spacing w:before="0" w:line="240" w:lineRule="auto"/>
            </w:pPr>
            <w:r w:rsidRPr="00A34764">
              <w:t>Počet hodin metodické podpory klíčové aktivity IP zaměřené na podporu plánování sociálních služeb na obecní úrovni</w:t>
            </w:r>
          </w:p>
          <w:p w:rsidR="00FB1999" w:rsidRPr="00A34764" w:rsidRDefault="00FB1999" w:rsidP="0085360A">
            <w:pPr>
              <w:pStyle w:val="Odstavecseseznamem"/>
              <w:numPr>
                <w:ilvl w:val="0"/>
                <w:numId w:val="15"/>
              </w:numPr>
              <w:spacing w:before="0" w:line="240" w:lineRule="auto"/>
            </w:pPr>
            <w:r w:rsidRPr="00A34764">
              <w:t>Pravidelné jednání skupiny KRKOS a Skupiny ORP</w:t>
            </w:r>
          </w:p>
          <w:p w:rsidR="00FB1999" w:rsidRPr="00A34764" w:rsidRDefault="00FB1999" w:rsidP="0085360A">
            <w:pPr>
              <w:pStyle w:val="Odstavecseseznamem"/>
              <w:numPr>
                <w:ilvl w:val="0"/>
                <w:numId w:val="15"/>
              </w:numPr>
              <w:spacing w:before="0" w:line="240" w:lineRule="auto"/>
            </w:pPr>
            <w:r w:rsidRPr="00A34764">
              <w:t>Komunitní plány zpracované dle územní působnosti OÚORP, vytvořené v souladu s Aktualizovanou metodickou příručkou pro plánování sociálních služeb na místní úrovni</w:t>
            </w:r>
          </w:p>
        </w:tc>
      </w:tr>
      <w:tr w:rsidR="00FB1999" w:rsidRPr="007C2EB2" w:rsidTr="00FB1999">
        <w:trPr>
          <w:cantSplit/>
          <w:trHeight w:val="397"/>
        </w:trPr>
        <w:tc>
          <w:tcPr>
            <w:tcW w:w="1356" w:type="pct"/>
            <w:shd w:val="clear" w:color="auto" w:fill="E2EFD9" w:themeFill="accent6" w:themeFillTint="33"/>
          </w:tcPr>
          <w:p w:rsidR="00FB1999" w:rsidRPr="002D18F3" w:rsidRDefault="00FB1999" w:rsidP="0085360A">
            <w:pPr>
              <w:spacing w:before="0"/>
              <w:jc w:val="left"/>
              <w:rPr>
                <w:rFonts w:eastAsia="Arial Unicode MS"/>
                <w:b/>
                <w:lang w:eastAsia="cs-CZ"/>
              </w:rPr>
            </w:pPr>
            <w:r w:rsidRPr="002D18F3">
              <w:rPr>
                <w:rFonts w:eastAsia="Arial Unicode MS"/>
                <w:b/>
                <w:lang w:eastAsia="cs-CZ"/>
              </w:rPr>
              <w:t xml:space="preserve">Kód patření </w:t>
            </w:r>
          </w:p>
        </w:tc>
        <w:tc>
          <w:tcPr>
            <w:tcW w:w="3644" w:type="pct"/>
            <w:shd w:val="clear" w:color="auto" w:fill="E2EFD9" w:themeFill="accent6" w:themeFillTint="33"/>
          </w:tcPr>
          <w:p w:rsidR="00FB1999" w:rsidRPr="002D18F3" w:rsidRDefault="00FB1999" w:rsidP="0085360A">
            <w:pPr>
              <w:spacing w:before="0"/>
              <w:rPr>
                <w:rFonts w:eastAsia="Arial Unicode MS"/>
                <w:b/>
                <w:lang w:eastAsia="cs-CZ"/>
              </w:rPr>
            </w:pPr>
            <w:r w:rsidRPr="002D18F3">
              <w:rPr>
                <w:rFonts w:eastAsia="Arial Unicode MS"/>
                <w:b/>
                <w:lang w:eastAsia="cs-CZ"/>
              </w:rPr>
              <w:t>P 1.3</w:t>
            </w:r>
          </w:p>
        </w:tc>
      </w:tr>
      <w:tr w:rsidR="00FB1999" w:rsidRPr="007C2EB2" w:rsidTr="00FB1999">
        <w:trPr>
          <w:cantSplit/>
          <w:trHeight w:val="397"/>
        </w:trPr>
        <w:tc>
          <w:tcPr>
            <w:tcW w:w="1356" w:type="pct"/>
            <w:shd w:val="clear" w:color="auto" w:fill="E2EFD9" w:themeFill="accent6" w:themeFillTint="33"/>
          </w:tcPr>
          <w:p w:rsidR="00FB1999" w:rsidRPr="002D18F3" w:rsidRDefault="00FB1999" w:rsidP="0085360A">
            <w:pPr>
              <w:spacing w:before="0"/>
              <w:jc w:val="left"/>
              <w:rPr>
                <w:rFonts w:eastAsia="Arial Unicode MS"/>
                <w:b/>
                <w:lang w:eastAsia="cs-CZ"/>
              </w:rPr>
            </w:pPr>
            <w:r w:rsidRPr="002D18F3">
              <w:rPr>
                <w:rFonts w:eastAsia="Arial Unicode MS"/>
                <w:b/>
                <w:lang w:eastAsia="cs-CZ"/>
              </w:rPr>
              <w:t>Název opatření</w:t>
            </w:r>
          </w:p>
        </w:tc>
        <w:tc>
          <w:tcPr>
            <w:tcW w:w="3644" w:type="pct"/>
            <w:shd w:val="clear" w:color="auto" w:fill="E2EFD9" w:themeFill="accent6" w:themeFillTint="33"/>
          </w:tcPr>
          <w:p w:rsidR="00FB1999" w:rsidRPr="002D18F3" w:rsidRDefault="00FB1999" w:rsidP="0085360A">
            <w:pPr>
              <w:spacing w:before="0"/>
              <w:rPr>
                <w:rFonts w:eastAsia="Arial Unicode MS"/>
                <w:b/>
                <w:lang w:eastAsia="cs-CZ"/>
              </w:rPr>
            </w:pPr>
            <w:r w:rsidRPr="002D18F3">
              <w:rPr>
                <w:rFonts w:eastAsia="Arial Unicode MS"/>
                <w:b/>
                <w:lang w:eastAsia="cs-CZ"/>
              </w:rPr>
              <w:t>Podpora partnerství a spolupráce OK s obcemi s rozšířenou působností v oblasti plánování a síťování sociálních služeb s dopadem na financování sociálních služeb</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 xml:space="preserve">Participace a klíčová role obcí s rozšířenou působností v procesu modelace a optimalizace sítě sociálních služeb na území OK a plánování sociálních služeb, s přímou návazností na financování sociálních služeb ze strany obcí. Cílené vedení zástupců obcí a politické reprezentace obcí ke změně postoje k financování sociálních služeb řešících nepříznivé sociální situace a sociální začleňování občanů na jejich území. Přenos dobré praxe v oblasti financování sociálních služeb a motivace obcí ke koordinaci vedoucí ke spolufinancování; zajištění podílu financování sociálních služeb z rozpočtu obcí. </w:t>
            </w:r>
            <w:r w:rsidRPr="00F95BF2">
              <w:rPr>
                <w:rFonts w:eastAsia="Arial Unicode MS"/>
                <w:lang w:eastAsia="cs-CZ"/>
              </w:rPr>
              <w:t>Posílení významu financování obcí jako kritéria při aktualizaci sítě sociálních služeb.</w:t>
            </w:r>
            <w:r w:rsidRPr="007C2EB2">
              <w:rPr>
                <w:rFonts w:eastAsia="Arial Unicode MS"/>
                <w:lang w:eastAsia="cs-CZ"/>
              </w:rPr>
              <w:t xml:space="preserve"> </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Předpokládaný dopad opatření</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 xml:space="preserve">Změna postoje obcí k financování sociálních služeb řešících nepříznivé sociální situace a sociální začleňování občanů na jejich území, a to až na úroveň obcí I. typu. </w:t>
            </w:r>
          </w:p>
          <w:p w:rsidR="00FB1999" w:rsidRPr="007C2EB2" w:rsidRDefault="00FB1999" w:rsidP="0085360A">
            <w:pPr>
              <w:spacing w:before="0"/>
              <w:rPr>
                <w:rFonts w:eastAsia="Arial Unicode MS"/>
                <w:lang w:eastAsia="cs-CZ"/>
              </w:rPr>
            </w:pPr>
            <w:r w:rsidRPr="007C2EB2">
              <w:rPr>
                <w:rFonts w:eastAsia="Arial Unicode MS"/>
                <w:lang w:eastAsia="cs-CZ"/>
              </w:rPr>
              <w:t xml:space="preserve">V návaznosti na zahájení procesů optimalizace sítě služeb je finanční spoluúčasti obce deklarací potřebnosti dané služby v regionu. Jedná se o nezbytný předpoklad pro </w:t>
            </w:r>
            <w:r w:rsidRPr="007C2EB2">
              <w:rPr>
                <w:rFonts w:eastAsia="Arial Unicode MS"/>
                <w:bCs/>
                <w:lang w:eastAsia="cs-CZ"/>
              </w:rPr>
              <w:t xml:space="preserve">navýšení jednotek u služby stávající, či zařazení nové služby do </w:t>
            </w:r>
            <w:r w:rsidRPr="007C2EB2">
              <w:rPr>
                <w:rFonts w:eastAsia="Arial Unicode MS"/>
                <w:lang w:eastAsia="cs-CZ"/>
              </w:rPr>
              <w:t>krajské sítě služeb financované z rozpočtu OK a ze státního rozpočtu přerozdělovaného prostřednictvím OK.</w:t>
            </w:r>
          </w:p>
          <w:p w:rsidR="00FB1999" w:rsidRPr="007C2EB2" w:rsidRDefault="00FB1999" w:rsidP="0085360A">
            <w:pPr>
              <w:spacing w:before="0"/>
              <w:rPr>
                <w:rFonts w:eastAsia="Arial Unicode MS"/>
                <w:lang w:eastAsia="cs-CZ"/>
              </w:rPr>
            </w:pPr>
            <w:r w:rsidRPr="007C2EB2">
              <w:rPr>
                <w:rFonts w:eastAsia="Arial Unicode MS"/>
                <w:lang w:eastAsia="cs-CZ"/>
              </w:rPr>
              <w:t>Obce i poskytovatelé sociálních služeb participující na řešení nepříznivé sociální situace občanů v souladu s hlavními cíli Střednědobého plánu 2024</w:t>
            </w:r>
            <w:r w:rsidR="001A76A9">
              <w:rPr>
                <w:rFonts w:eastAsia="Arial Unicode MS"/>
                <w:lang w:eastAsia="cs-CZ"/>
              </w:rPr>
              <w:t>–</w:t>
            </w:r>
            <w:r w:rsidRPr="007C2EB2">
              <w:rPr>
                <w:rFonts w:eastAsia="Arial Unicode MS"/>
                <w:lang w:eastAsia="cs-CZ"/>
              </w:rPr>
              <w:t xml:space="preserve">2026. </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85360A">
            <w:pPr>
              <w:pStyle w:val="Odstavecseseznamem"/>
              <w:numPr>
                <w:ilvl w:val="0"/>
                <w:numId w:val="16"/>
              </w:numPr>
              <w:spacing w:before="0" w:line="240" w:lineRule="auto"/>
            </w:pPr>
            <w:r w:rsidRPr="00A34764">
              <w:t>Jednání vedoucí k nastavení participace obcí na financování sociálních služeb zařazených do sítě sociálních služeb OK, působících na území OÚORP</w:t>
            </w:r>
          </w:p>
          <w:p w:rsidR="00FB1999" w:rsidRPr="00A34764" w:rsidRDefault="00FB1999" w:rsidP="0085360A">
            <w:pPr>
              <w:pStyle w:val="Odstavecseseznamem"/>
              <w:numPr>
                <w:ilvl w:val="0"/>
                <w:numId w:val="16"/>
              </w:numPr>
              <w:spacing w:before="0" w:line="240" w:lineRule="auto"/>
            </w:pPr>
            <w:r w:rsidRPr="00A34764">
              <w:t>Vyjádření zástupců OÚORP k žádostem o zařazení nové sociální služby do sítě sociálních služeb a navýšení jednotek u stávajících sociální</w:t>
            </w:r>
            <w:r w:rsidR="001A76A9" w:rsidRPr="00A34764">
              <w:t>ch</w:t>
            </w:r>
            <w:r w:rsidRPr="00A34764">
              <w:t xml:space="preserve"> služeb do sítě již zařazených prostřednictvím aplikace </w:t>
            </w:r>
            <w:proofErr w:type="spellStart"/>
            <w:r w:rsidRPr="00A34764">
              <w:t>KISSoS</w:t>
            </w:r>
            <w:proofErr w:type="spellEnd"/>
            <w:r w:rsidRPr="00A34764">
              <w:t xml:space="preserve">. Prostřednictvím finanční participace bude vyjádřena potřebnost nové služby a rozvoj sociální služby na území příslušného OÚORP </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Pr>
          <w:p w:rsidR="00FB1999" w:rsidRPr="00A34764" w:rsidRDefault="00FB1999" w:rsidP="0085360A">
            <w:pPr>
              <w:pStyle w:val="Odstavecseseznamem"/>
              <w:numPr>
                <w:ilvl w:val="0"/>
                <w:numId w:val="17"/>
              </w:numPr>
              <w:spacing w:before="0" w:line="240" w:lineRule="auto"/>
            </w:pPr>
            <w:r w:rsidRPr="00A34764">
              <w:t xml:space="preserve">Nezájem obcí o jednání vedoucí k nastavení spoluúčasti na financování sociálních služeb působících na jejich území </w:t>
            </w:r>
          </w:p>
          <w:p w:rsidR="00FB1999" w:rsidRPr="00A34764" w:rsidRDefault="00FB1999" w:rsidP="0085360A">
            <w:pPr>
              <w:pStyle w:val="Odstavecseseznamem"/>
              <w:numPr>
                <w:ilvl w:val="0"/>
                <w:numId w:val="17"/>
              </w:numPr>
              <w:spacing w:before="0" w:line="240" w:lineRule="auto"/>
            </w:pPr>
            <w:r w:rsidRPr="00A34764">
              <w:t>Nedostatečná participace obcí na financování krajské sítě sociálních služeb</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OK, OÚORP, obce OK</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2024</w:t>
            </w:r>
            <w:r w:rsidR="009621BD">
              <w:rPr>
                <w:rFonts w:eastAsia="Arial Unicode MS"/>
                <w:lang w:eastAsia="cs-CZ"/>
              </w:rPr>
              <w:t>–</w:t>
            </w:r>
            <w:r w:rsidRPr="007C2EB2">
              <w:rPr>
                <w:rFonts w:eastAsia="Arial Unicode MS"/>
                <w:lang w:eastAsia="cs-CZ"/>
              </w:rPr>
              <w:t>2026</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OK, EU/ESF</w:t>
            </w:r>
          </w:p>
        </w:tc>
      </w:tr>
      <w:tr w:rsidR="00FB1999" w:rsidRPr="007C2EB2" w:rsidTr="00FB1999">
        <w:trPr>
          <w:cantSplit/>
          <w:trHeight w:val="397"/>
        </w:trPr>
        <w:tc>
          <w:tcPr>
            <w:tcW w:w="1356" w:type="pct"/>
            <w:tcBorders>
              <w:bottom w:val="single" w:sz="4" w:space="0" w:color="auto"/>
            </w:tcBorders>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lastRenderedPageBreak/>
              <w:t>Hodnotící indikátory výstupů a výsledků</w:t>
            </w:r>
          </w:p>
        </w:tc>
        <w:tc>
          <w:tcPr>
            <w:tcW w:w="3644" w:type="pct"/>
            <w:tcBorders>
              <w:bottom w:val="single" w:sz="4" w:space="0" w:color="auto"/>
            </w:tcBorders>
          </w:tcPr>
          <w:p w:rsidR="00FB1999" w:rsidRPr="00A34764" w:rsidRDefault="00FB1999" w:rsidP="0085360A">
            <w:pPr>
              <w:pStyle w:val="Odstavecseseznamem"/>
              <w:numPr>
                <w:ilvl w:val="0"/>
                <w:numId w:val="15"/>
              </w:numPr>
              <w:spacing w:before="0" w:line="240" w:lineRule="auto"/>
            </w:pPr>
            <w:r w:rsidRPr="00A34764">
              <w:t>Počet jednání se zástupci obcí zaměřených na financování sociálních služeb za spoluúčasti obcí</w:t>
            </w:r>
          </w:p>
          <w:p w:rsidR="00FB1999" w:rsidRPr="00A34764" w:rsidRDefault="00FB1999" w:rsidP="0085360A">
            <w:pPr>
              <w:pStyle w:val="Odstavecseseznamem"/>
              <w:numPr>
                <w:ilvl w:val="0"/>
                <w:numId w:val="15"/>
              </w:numPr>
              <w:spacing w:before="0" w:line="240" w:lineRule="auto"/>
            </w:pPr>
            <w:r w:rsidRPr="00A34764">
              <w:t xml:space="preserve">Efektivní a ekonomicky udržitelná síť sociálních služeb aktualizovaná na základě objektivně zjištěné potřebnosti poskytování sociálních služeb na území OK s finanční spoluúčastí obcí </w:t>
            </w:r>
          </w:p>
        </w:tc>
      </w:tr>
      <w:tr w:rsidR="00FB1999" w:rsidRPr="007C2EB2" w:rsidTr="00FB1999">
        <w:trPr>
          <w:cantSplit/>
          <w:trHeight w:val="397"/>
        </w:trPr>
        <w:tc>
          <w:tcPr>
            <w:tcW w:w="1356" w:type="pct"/>
            <w:shd w:val="clear" w:color="auto" w:fill="E2EFD9" w:themeFill="accent6" w:themeFillTint="33"/>
          </w:tcPr>
          <w:p w:rsidR="00FB1999" w:rsidRPr="002D18F3" w:rsidRDefault="00FB1999" w:rsidP="0085360A">
            <w:pPr>
              <w:spacing w:before="0"/>
              <w:jc w:val="left"/>
              <w:rPr>
                <w:rFonts w:eastAsia="Arial Unicode MS"/>
                <w:b/>
                <w:lang w:eastAsia="cs-CZ"/>
              </w:rPr>
            </w:pPr>
            <w:r w:rsidRPr="002D18F3">
              <w:rPr>
                <w:rFonts w:eastAsia="Arial Unicode MS"/>
                <w:b/>
                <w:lang w:eastAsia="cs-CZ"/>
              </w:rPr>
              <w:t xml:space="preserve">Kód patření </w:t>
            </w:r>
          </w:p>
        </w:tc>
        <w:tc>
          <w:tcPr>
            <w:tcW w:w="3644" w:type="pct"/>
            <w:shd w:val="clear" w:color="auto" w:fill="E2EFD9" w:themeFill="accent6" w:themeFillTint="33"/>
          </w:tcPr>
          <w:p w:rsidR="00FB1999" w:rsidRPr="002D18F3" w:rsidRDefault="00FB1999" w:rsidP="0085360A">
            <w:pPr>
              <w:spacing w:before="0"/>
              <w:rPr>
                <w:rFonts w:eastAsia="Arial Unicode MS"/>
                <w:b/>
                <w:lang w:eastAsia="cs-CZ"/>
              </w:rPr>
            </w:pPr>
            <w:r w:rsidRPr="002D18F3">
              <w:rPr>
                <w:rFonts w:eastAsia="Arial Unicode MS"/>
                <w:b/>
                <w:lang w:eastAsia="cs-CZ"/>
              </w:rPr>
              <w:t>P 1.4</w:t>
            </w:r>
          </w:p>
        </w:tc>
      </w:tr>
      <w:tr w:rsidR="00FB1999" w:rsidRPr="007C2EB2" w:rsidTr="00FB1999">
        <w:trPr>
          <w:cantSplit/>
          <w:trHeight w:val="397"/>
        </w:trPr>
        <w:tc>
          <w:tcPr>
            <w:tcW w:w="1356" w:type="pct"/>
            <w:shd w:val="clear" w:color="auto" w:fill="E2EFD9" w:themeFill="accent6" w:themeFillTint="33"/>
          </w:tcPr>
          <w:p w:rsidR="00FB1999" w:rsidRPr="002D18F3" w:rsidRDefault="00FB1999" w:rsidP="0085360A">
            <w:pPr>
              <w:spacing w:before="0"/>
              <w:jc w:val="left"/>
              <w:rPr>
                <w:rFonts w:eastAsia="Arial Unicode MS"/>
                <w:b/>
                <w:lang w:eastAsia="cs-CZ"/>
              </w:rPr>
            </w:pPr>
            <w:r w:rsidRPr="002D18F3">
              <w:rPr>
                <w:rFonts w:eastAsia="Arial Unicode MS"/>
                <w:b/>
                <w:lang w:eastAsia="cs-CZ"/>
              </w:rPr>
              <w:t>Název opatření</w:t>
            </w:r>
          </w:p>
        </w:tc>
        <w:tc>
          <w:tcPr>
            <w:tcW w:w="3644" w:type="pct"/>
            <w:shd w:val="clear" w:color="auto" w:fill="E2EFD9" w:themeFill="accent6" w:themeFillTint="33"/>
          </w:tcPr>
          <w:p w:rsidR="00FB1999" w:rsidRPr="002D18F3" w:rsidRDefault="00FB1999" w:rsidP="0085360A">
            <w:pPr>
              <w:spacing w:before="0"/>
              <w:rPr>
                <w:rFonts w:eastAsia="Arial Unicode MS"/>
                <w:b/>
                <w:lang w:eastAsia="cs-CZ"/>
              </w:rPr>
            </w:pPr>
            <w:r w:rsidRPr="002D18F3">
              <w:rPr>
                <w:rFonts w:eastAsia="Arial Unicode MS"/>
                <w:b/>
                <w:lang w:eastAsia="cs-CZ"/>
              </w:rPr>
              <w:t>Podpora rozvoje sociální práce na území OK a v návaznosti na proces identifikace potřeb v plánování sociálních služeb</w:t>
            </w:r>
          </w:p>
        </w:tc>
      </w:tr>
      <w:tr w:rsidR="00FB1999" w:rsidRPr="007C2EB2" w:rsidTr="00FB1999">
        <w:trPr>
          <w:cantSplit/>
          <w:trHeight w:val="3526"/>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85360A">
            <w:pPr>
              <w:spacing w:before="0"/>
              <w:rPr>
                <w:rFonts w:eastAsia="Arial Unicode MS"/>
                <w:b/>
                <w:bCs/>
                <w:lang w:eastAsia="cs-CZ"/>
              </w:rPr>
            </w:pPr>
            <w:r w:rsidRPr="007C2EB2">
              <w:rPr>
                <w:rFonts w:eastAsia="Arial Unicode MS"/>
                <w:lang w:eastAsia="cs-CZ"/>
              </w:rPr>
              <w:t xml:space="preserve">Podpora poskytování sociálních služeb stabilizovaným systémem sociální práce, rozvojem kompetencí sociálních pracovníků na obcích II. a III. typu v oblastech koordinace sociálních služeb a poskytování činností sociální práce vzhledem k řešení nepříznivé sociální situace. Prostřednictvím kurzů, exkurzí a workshopů mají možnost sociální pracovníci na obcích získávat informace vztažené k inovativním a moderním metodám sociální práce. Podpora kooperace OK a </w:t>
            </w:r>
            <w:r w:rsidRPr="007C2EB2">
              <w:rPr>
                <w:rFonts w:eastAsia="Arial Unicode MS"/>
                <w:bCs/>
                <w:lang w:eastAsia="cs-CZ"/>
              </w:rPr>
              <w:t xml:space="preserve">obcí při řešení nepříznivé sociální situace občanů, a to za pomoci využívání Katalogu poskytovatelů sociálních služeb OK jako nástroje pro poskytnutí kvalitního základního sociálního poradenství potencionálním uživatelům služeb. Využití aplikace </w:t>
            </w:r>
            <w:proofErr w:type="spellStart"/>
            <w:r w:rsidRPr="007C2EB2">
              <w:rPr>
                <w:rFonts w:eastAsia="Arial Unicode MS"/>
                <w:bCs/>
                <w:lang w:eastAsia="cs-CZ"/>
              </w:rPr>
              <w:t>KISSoS</w:t>
            </w:r>
            <w:proofErr w:type="spellEnd"/>
            <w:r w:rsidRPr="007C2EB2">
              <w:rPr>
                <w:rFonts w:eastAsia="Arial Unicode MS"/>
                <w:bCs/>
                <w:lang w:eastAsia="cs-CZ"/>
              </w:rPr>
              <w:t xml:space="preserve"> </w:t>
            </w:r>
            <w:r w:rsidR="009621BD">
              <w:rPr>
                <w:rFonts w:eastAsia="Arial Unicode MS"/>
                <w:bCs/>
                <w:lang w:eastAsia="cs-CZ"/>
              </w:rPr>
              <w:t>–</w:t>
            </w:r>
            <w:r w:rsidRPr="007C2EB2">
              <w:rPr>
                <w:rFonts w:eastAsia="Arial Unicode MS"/>
                <w:bCs/>
                <w:lang w:eastAsia="cs-CZ"/>
              </w:rPr>
              <w:t xml:space="preserve"> modulu „Evidence žadatelů a uživatelů sociálních služeb, monitoring výskytu nepříznivých sociálních situací na území OK“ a modulu „Obce – Potřebnost sociálních služeb“.</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Předpokládaný dopad opatření</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 xml:space="preserve">Podpora koordinace poskytování sociálních služeb rozšířeným a stabilizovaným systémem sociální práce na obcích, včetně provázanosti se systémem sociálních dávek, podpor a příspěvků, rozvoj metody case managementu v sociální práci. Realizace metodické, konzultační podpory a vzdělávání zaměřeného na prohlubování znalostí a dovedností nezbytných pro výkon sociální práce pro pracovníky obcí odpovědných za koordinaci sociálních služeb. Participace </w:t>
            </w:r>
            <w:r w:rsidRPr="007C2EB2">
              <w:rPr>
                <w:rFonts w:eastAsia="Arial Unicode MS"/>
                <w:bCs/>
                <w:lang w:eastAsia="cs-CZ"/>
              </w:rPr>
              <w:t xml:space="preserve">obcí na řešení nepříznivé sociální situace občanů prostřednictvím základního sociálního poradenství v souladu s principem subsidiarity. Dopad na </w:t>
            </w:r>
            <w:r w:rsidRPr="007C2EB2">
              <w:rPr>
                <w:rFonts w:eastAsia="Arial Unicode MS"/>
                <w:lang w:eastAsia="cs-CZ"/>
              </w:rPr>
              <w:t xml:space="preserve">modelaci sítě sociálních služeb s ohledem na </w:t>
            </w:r>
            <w:r w:rsidRPr="007C2EB2">
              <w:rPr>
                <w:rFonts w:eastAsia="Arial Unicode MS"/>
                <w:bCs/>
                <w:lang w:eastAsia="cs-CZ"/>
              </w:rPr>
              <w:t>proces identifikace aktuálních potřeb</w:t>
            </w:r>
            <w:r w:rsidRPr="007C2EB2">
              <w:rPr>
                <w:rFonts w:eastAsia="Arial Unicode MS"/>
                <w:lang w:eastAsia="cs-CZ"/>
              </w:rPr>
              <w:t xml:space="preserve"> na území OK.</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85360A">
            <w:pPr>
              <w:pStyle w:val="Odstavecseseznamem"/>
              <w:numPr>
                <w:ilvl w:val="0"/>
                <w:numId w:val="57"/>
              </w:numPr>
              <w:spacing w:before="0" w:line="240" w:lineRule="auto"/>
            </w:pPr>
            <w:r w:rsidRPr="00A34764">
              <w:t>Realizace pracovních setkání za účasti pracovníků obecních úřadů II. a III. typu se zástupci spolupracujících institucí</w:t>
            </w:r>
          </w:p>
          <w:p w:rsidR="00FB1999" w:rsidRPr="00A34764" w:rsidRDefault="00FB1999" w:rsidP="0085360A">
            <w:pPr>
              <w:pStyle w:val="Odstavecseseznamem"/>
              <w:numPr>
                <w:ilvl w:val="0"/>
                <w:numId w:val="57"/>
              </w:numPr>
              <w:spacing w:before="0" w:line="240" w:lineRule="auto"/>
            </w:pPr>
            <w:r w:rsidRPr="00A34764">
              <w:t>Realizace akreditovaného vzdělávání zaměřeného na prohlubování znalostí a dovedností nezbytných pro výkon sociální práce</w:t>
            </w:r>
          </w:p>
          <w:p w:rsidR="00FB1999" w:rsidRPr="00A34764" w:rsidRDefault="00FB1999" w:rsidP="0085360A">
            <w:pPr>
              <w:pStyle w:val="Odstavecseseznamem"/>
              <w:numPr>
                <w:ilvl w:val="0"/>
                <w:numId w:val="57"/>
              </w:numPr>
              <w:spacing w:before="0" w:line="240" w:lineRule="auto"/>
            </w:pPr>
            <w:r w:rsidRPr="00A34764">
              <w:t>Kooperace OK a obcí při využívání Katalogu poskytovatelů sociálních služeb OK</w:t>
            </w:r>
          </w:p>
          <w:p w:rsidR="00FB1999" w:rsidRPr="00A34764" w:rsidRDefault="00FB1999" w:rsidP="0085360A">
            <w:pPr>
              <w:pStyle w:val="Odstavecseseznamem"/>
              <w:numPr>
                <w:ilvl w:val="0"/>
                <w:numId w:val="57"/>
              </w:numPr>
              <w:spacing w:before="0" w:line="240" w:lineRule="auto"/>
            </w:pPr>
            <w:r w:rsidRPr="00A34764">
              <w:t xml:space="preserve">Realizace sociálních šetření u potřebných osob a kazuistického setkávání zaměřeného na řešení nepříznivé sociální situace za účasti pracovníků obecních úřadů II. a III. typu se zástupci kraje </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Pr>
          <w:p w:rsidR="00FB1999" w:rsidRPr="00A34764" w:rsidRDefault="00FB1999" w:rsidP="0085360A">
            <w:pPr>
              <w:pStyle w:val="Odstavecseseznamem"/>
              <w:numPr>
                <w:ilvl w:val="0"/>
                <w:numId w:val="17"/>
              </w:numPr>
              <w:spacing w:before="0" w:line="240" w:lineRule="auto"/>
            </w:pPr>
            <w:r w:rsidRPr="00A34764">
              <w:t>Nezájem sociálních pracovníků o účast na pracovních setkání</w:t>
            </w:r>
            <w:r w:rsidR="009621BD" w:rsidRPr="00A34764">
              <w:t>ch</w:t>
            </w:r>
            <w:r w:rsidRPr="00A34764">
              <w:t xml:space="preserve"> </w:t>
            </w:r>
          </w:p>
          <w:p w:rsidR="00FB1999" w:rsidRPr="00A34764" w:rsidRDefault="00FB1999" w:rsidP="0085360A">
            <w:pPr>
              <w:pStyle w:val="Odstavecseseznamem"/>
              <w:numPr>
                <w:ilvl w:val="0"/>
                <w:numId w:val="17"/>
              </w:numPr>
              <w:spacing w:before="0" w:line="240" w:lineRule="auto"/>
            </w:pPr>
            <w:r w:rsidRPr="00A34764">
              <w:t>Nezájem sociálních pracovníků o účast na akreditovaném vzdělávání zaměřené</w:t>
            </w:r>
            <w:r w:rsidR="009621BD" w:rsidRPr="00A34764">
              <w:t>m</w:t>
            </w:r>
            <w:r w:rsidRPr="00A34764">
              <w:t xml:space="preserve"> na prohlubování znalostí </w:t>
            </w:r>
          </w:p>
          <w:p w:rsidR="00FB1999" w:rsidRPr="00A34764" w:rsidRDefault="00FB1999" w:rsidP="0085360A">
            <w:pPr>
              <w:pStyle w:val="Odstavecseseznamem"/>
              <w:numPr>
                <w:ilvl w:val="0"/>
                <w:numId w:val="17"/>
              </w:numPr>
              <w:spacing w:before="0" w:line="240" w:lineRule="auto"/>
            </w:pPr>
            <w:r w:rsidRPr="00A34764">
              <w:t>Nezájem sociálních pracovníků o využívání Katalogu poskytovatelů sociálních služeb OK</w:t>
            </w:r>
          </w:p>
          <w:p w:rsidR="00FB1999" w:rsidRPr="00A34764" w:rsidRDefault="00FB1999" w:rsidP="0085360A">
            <w:pPr>
              <w:pStyle w:val="Odstavecseseznamem"/>
              <w:numPr>
                <w:ilvl w:val="0"/>
                <w:numId w:val="17"/>
              </w:numPr>
              <w:spacing w:before="0" w:line="240" w:lineRule="auto"/>
            </w:pPr>
            <w:r w:rsidRPr="00A34764">
              <w:t>Nezájem sociálních pracovníků o spoluúčast na sociálním šetření a</w:t>
            </w:r>
            <w:r w:rsidR="009621BD" w:rsidRPr="00A34764">
              <w:t> </w:t>
            </w:r>
            <w:r w:rsidRPr="00A34764">
              <w:t>dalším setkávání za účelem řešení nepříznivé sociální situace potřebné osoby</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lastRenderedPageBreak/>
              <w:t>Předpokládaní realizátoři a partneři opatření</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 xml:space="preserve">OK, sociální pracovníci obcí II. a III. typu </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2024</w:t>
            </w:r>
            <w:r w:rsidR="009621BD">
              <w:rPr>
                <w:rFonts w:eastAsia="Arial Unicode MS"/>
                <w:lang w:eastAsia="cs-CZ"/>
              </w:rPr>
              <w:t>–</w:t>
            </w:r>
            <w:r w:rsidRPr="007C2EB2">
              <w:rPr>
                <w:rFonts w:eastAsia="Arial Unicode MS"/>
                <w:lang w:eastAsia="cs-CZ"/>
              </w:rPr>
              <w:t>2026</w:t>
            </w:r>
          </w:p>
        </w:tc>
      </w:tr>
      <w:tr w:rsidR="00FB1999" w:rsidRPr="007C2EB2" w:rsidTr="00FB1999">
        <w:trPr>
          <w:cantSplit/>
          <w:trHeight w:val="397"/>
        </w:trPr>
        <w:tc>
          <w:tcPr>
            <w:tcW w:w="1356" w:type="pct"/>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85360A">
            <w:pPr>
              <w:spacing w:before="0"/>
              <w:rPr>
                <w:rFonts w:eastAsia="Arial Unicode MS"/>
                <w:lang w:eastAsia="cs-CZ"/>
              </w:rPr>
            </w:pPr>
            <w:r w:rsidRPr="007C2EB2">
              <w:rPr>
                <w:rFonts w:eastAsia="Arial Unicode MS"/>
                <w:lang w:eastAsia="cs-CZ"/>
              </w:rPr>
              <w:t>OK, EU/ESF</w:t>
            </w:r>
          </w:p>
        </w:tc>
      </w:tr>
      <w:tr w:rsidR="00FB1999" w:rsidRPr="007C2EB2" w:rsidTr="00FB1999">
        <w:trPr>
          <w:cantSplit/>
          <w:trHeight w:val="397"/>
        </w:trPr>
        <w:tc>
          <w:tcPr>
            <w:tcW w:w="1356" w:type="pct"/>
            <w:tcBorders>
              <w:bottom w:val="single" w:sz="4" w:space="0" w:color="auto"/>
            </w:tcBorders>
            <w:shd w:val="clear" w:color="auto" w:fill="CCECFF"/>
          </w:tcPr>
          <w:p w:rsidR="00FB1999" w:rsidRPr="002D18F3" w:rsidRDefault="00FB1999" w:rsidP="0085360A">
            <w:pPr>
              <w:spacing w:before="0"/>
              <w:jc w:val="left"/>
              <w:rPr>
                <w:rFonts w:eastAsia="Arial Unicode MS"/>
                <w:b/>
                <w:lang w:eastAsia="cs-CZ"/>
              </w:rPr>
            </w:pPr>
            <w:r w:rsidRPr="002D18F3">
              <w:rPr>
                <w:rFonts w:eastAsia="Arial Unicode MS"/>
                <w:b/>
                <w:lang w:eastAsia="cs-CZ"/>
              </w:rPr>
              <w:t>Hodnotící indikátory výstupů a výsledků</w:t>
            </w:r>
          </w:p>
        </w:tc>
        <w:tc>
          <w:tcPr>
            <w:tcW w:w="3644" w:type="pct"/>
            <w:tcBorders>
              <w:bottom w:val="single" w:sz="4" w:space="0" w:color="auto"/>
            </w:tcBorders>
          </w:tcPr>
          <w:p w:rsidR="00FB1999" w:rsidRPr="00A34764" w:rsidRDefault="00FB1999" w:rsidP="0085360A">
            <w:pPr>
              <w:pStyle w:val="Odstavecseseznamem"/>
              <w:numPr>
                <w:ilvl w:val="0"/>
                <w:numId w:val="15"/>
              </w:numPr>
              <w:spacing w:before="0" w:line="240" w:lineRule="auto"/>
            </w:pPr>
            <w:r w:rsidRPr="00A34764">
              <w:t>Počet pracovních setkání</w:t>
            </w:r>
          </w:p>
          <w:p w:rsidR="00FB1999" w:rsidRPr="00A34764" w:rsidRDefault="00FB1999" w:rsidP="0085360A">
            <w:pPr>
              <w:pStyle w:val="Odstavecseseznamem"/>
              <w:numPr>
                <w:ilvl w:val="0"/>
                <w:numId w:val="15"/>
              </w:numPr>
              <w:spacing w:before="0" w:line="240" w:lineRule="auto"/>
            </w:pPr>
            <w:r w:rsidRPr="00A34764">
              <w:t>Počet akreditovaných vzdělávání</w:t>
            </w:r>
          </w:p>
          <w:p w:rsidR="00FB1999" w:rsidRPr="00A34764" w:rsidRDefault="00FB1999" w:rsidP="0085360A">
            <w:pPr>
              <w:pStyle w:val="Odstavecseseznamem"/>
              <w:numPr>
                <w:ilvl w:val="0"/>
                <w:numId w:val="15"/>
              </w:numPr>
              <w:spacing w:before="0" w:line="240" w:lineRule="auto"/>
            </w:pPr>
            <w:r w:rsidRPr="00A34764">
              <w:t>Počet sociálních šetření</w:t>
            </w:r>
          </w:p>
        </w:tc>
      </w:tr>
    </w:tbl>
    <w:p w:rsidR="00FB1999" w:rsidRPr="007C2EB2" w:rsidRDefault="00FB1999" w:rsidP="002D18F3">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FB1999" w:rsidRPr="007C2EB2" w:rsidTr="00FB1999">
        <w:trPr>
          <w:trHeight w:val="397"/>
          <w:jc w:val="center"/>
        </w:trPr>
        <w:tc>
          <w:tcPr>
            <w:tcW w:w="1356" w:type="pct"/>
            <w:shd w:val="clear" w:color="auto" w:fill="FABF8F"/>
          </w:tcPr>
          <w:p w:rsidR="00FB1999" w:rsidRPr="002D18F3" w:rsidRDefault="00FB1999" w:rsidP="0085360A">
            <w:pPr>
              <w:spacing w:before="0"/>
              <w:jc w:val="left"/>
              <w:rPr>
                <w:rFonts w:eastAsia="Arial Unicode MS"/>
                <w:b/>
              </w:rPr>
            </w:pPr>
            <w:r w:rsidRPr="002D18F3">
              <w:rPr>
                <w:rFonts w:eastAsia="Arial Unicode MS"/>
                <w:b/>
              </w:rPr>
              <w:t>Cíl P 2</w:t>
            </w:r>
          </w:p>
        </w:tc>
        <w:tc>
          <w:tcPr>
            <w:tcW w:w="3644" w:type="pct"/>
            <w:shd w:val="clear" w:color="auto" w:fill="FABF8F"/>
          </w:tcPr>
          <w:p w:rsidR="00FB1999" w:rsidRPr="002D18F3" w:rsidRDefault="00FB1999" w:rsidP="0085360A">
            <w:pPr>
              <w:spacing w:before="0"/>
              <w:rPr>
                <w:rFonts w:eastAsia="Arial Unicode MS"/>
                <w:b/>
              </w:rPr>
            </w:pPr>
            <w:r w:rsidRPr="002D18F3">
              <w:rPr>
                <w:rFonts w:eastAsia="Arial Unicode MS"/>
                <w:b/>
              </w:rPr>
              <w:t>Podpora rozvoje systému řízení krajské sítě sociálních služeb OK a její optimalizace v návaznosti na potřebnost, dostupnost, kvalitu a finanční udržitelnost</w:t>
            </w:r>
          </w:p>
        </w:tc>
      </w:tr>
      <w:tr w:rsidR="00FB1999" w:rsidRPr="007C2EB2" w:rsidTr="00FB1999">
        <w:trPr>
          <w:trHeight w:val="397"/>
          <w:jc w:val="center"/>
        </w:trPr>
        <w:tc>
          <w:tcPr>
            <w:tcW w:w="1356" w:type="pct"/>
            <w:shd w:val="clear" w:color="auto" w:fill="E2EFD9" w:themeFill="accent6" w:themeFillTint="33"/>
          </w:tcPr>
          <w:p w:rsidR="00FB1999" w:rsidRPr="002D18F3" w:rsidRDefault="00FB1999" w:rsidP="0085360A">
            <w:pPr>
              <w:spacing w:before="0"/>
              <w:jc w:val="left"/>
              <w:rPr>
                <w:rFonts w:eastAsia="Arial Unicode MS"/>
                <w:b/>
              </w:rPr>
            </w:pPr>
            <w:r w:rsidRPr="002D18F3">
              <w:rPr>
                <w:rFonts w:eastAsia="Arial Unicode MS"/>
                <w:b/>
              </w:rPr>
              <w:t xml:space="preserve">Kód opatření </w:t>
            </w:r>
          </w:p>
        </w:tc>
        <w:tc>
          <w:tcPr>
            <w:tcW w:w="3644" w:type="pct"/>
            <w:shd w:val="clear" w:color="auto" w:fill="E2EFD9" w:themeFill="accent6" w:themeFillTint="33"/>
          </w:tcPr>
          <w:p w:rsidR="00FB1999" w:rsidRPr="002D18F3" w:rsidRDefault="00FB1999" w:rsidP="0085360A">
            <w:pPr>
              <w:spacing w:before="0"/>
              <w:rPr>
                <w:rFonts w:eastAsia="Arial Unicode MS"/>
                <w:b/>
              </w:rPr>
            </w:pPr>
            <w:r w:rsidRPr="002D18F3">
              <w:rPr>
                <w:rFonts w:eastAsia="Arial Unicode MS"/>
                <w:b/>
              </w:rPr>
              <w:t>P 2.1</w:t>
            </w:r>
          </w:p>
        </w:tc>
      </w:tr>
      <w:tr w:rsidR="00FB1999" w:rsidRPr="007C2EB2" w:rsidTr="00FB1999">
        <w:trPr>
          <w:trHeight w:val="397"/>
          <w:jc w:val="center"/>
        </w:trPr>
        <w:tc>
          <w:tcPr>
            <w:tcW w:w="1356" w:type="pct"/>
            <w:shd w:val="clear" w:color="auto" w:fill="E2EFD9" w:themeFill="accent6" w:themeFillTint="33"/>
          </w:tcPr>
          <w:p w:rsidR="00FB1999" w:rsidRPr="002D18F3" w:rsidRDefault="00FB1999" w:rsidP="0085360A">
            <w:pPr>
              <w:spacing w:before="0"/>
              <w:jc w:val="left"/>
              <w:rPr>
                <w:rFonts w:eastAsia="Arial Unicode MS"/>
                <w:b/>
              </w:rPr>
            </w:pPr>
            <w:r w:rsidRPr="002D18F3">
              <w:rPr>
                <w:rFonts w:eastAsia="Arial Unicode MS"/>
                <w:b/>
              </w:rPr>
              <w:t>Název opatření</w:t>
            </w:r>
          </w:p>
        </w:tc>
        <w:tc>
          <w:tcPr>
            <w:tcW w:w="3644" w:type="pct"/>
            <w:shd w:val="clear" w:color="auto" w:fill="E2EFD9" w:themeFill="accent6" w:themeFillTint="33"/>
          </w:tcPr>
          <w:p w:rsidR="00FB1999" w:rsidRPr="002D18F3" w:rsidRDefault="00FB1999" w:rsidP="0085360A">
            <w:pPr>
              <w:spacing w:before="0"/>
              <w:rPr>
                <w:rFonts w:eastAsia="Arial Unicode MS"/>
                <w:b/>
              </w:rPr>
            </w:pPr>
            <w:r w:rsidRPr="002D18F3">
              <w:rPr>
                <w:rFonts w:eastAsia="Arial Unicode MS"/>
                <w:b/>
              </w:rPr>
              <w:t>Aktualizace sítě sociálních služeb na daný rok</w:t>
            </w:r>
            <w:r w:rsidRPr="002D18F3">
              <w:rPr>
                <w:rFonts w:eastAsia="Arial Unicode MS"/>
                <w:b/>
                <w:i/>
              </w:rPr>
              <w:t xml:space="preserve"> </w:t>
            </w:r>
            <w:r w:rsidRPr="002D18F3">
              <w:rPr>
                <w:rFonts w:eastAsia="Arial Unicode MS"/>
                <w:b/>
              </w:rPr>
              <w:t>na základě identifikovaných a ověřených potřeb</w:t>
            </w:r>
            <w:r w:rsidRPr="002D18F3">
              <w:rPr>
                <w:rFonts w:eastAsia="Arial Unicode MS"/>
                <w:b/>
                <w:i/>
              </w:rPr>
              <w:t xml:space="preserve"> </w:t>
            </w:r>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Charakteristika opatření</w:t>
            </w:r>
          </w:p>
        </w:tc>
        <w:tc>
          <w:tcPr>
            <w:tcW w:w="3644" w:type="pct"/>
          </w:tcPr>
          <w:p w:rsidR="00FB1999" w:rsidRPr="007C2EB2" w:rsidRDefault="00FB1999" w:rsidP="0085360A">
            <w:pPr>
              <w:spacing w:before="0"/>
              <w:rPr>
                <w:rFonts w:eastAsia="Arial Unicode MS"/>
              </w:rPr>
            </w:pPr>
            <w:r w:rsidRPr="007C2EB2">
              <w:rPr>
                <w:rFonts w:eastAsia="Arial Unicode MS"/>
              </w:rPr>
              <w:t>OK prostřednictvím efektivně fungující sítě sociálních služeb, kterou tvoří registrované sociální služby, v dostatečné kapacitě, náležité kvalitě a odpovídající místní dostupnosti</w:t>
            </w:r>
            <w:r w:rsidR="003843A7">
              <w:rPr>
                <w:rFonts w:eastAsia="Arial Unicode MS"/>
              </w:rPr>
              <w:t>,</w:t>
            </w:r>
            <w:r w:rsidRPr="007C2EB2">
              <w:rPr>
                <w:rFonts w:eastAsia="Arial Unicode MS"/>
              </w:rPr>
              <w:t xml:space="preserve"> napomáhá řešit nepříznivou sociální situaci obyvatel. Krajská síť sociálních služeb je součástí Akčního plánu na příslušný kalendářní rok. Síť sociálních služeb OK představují sociální služby, které jsou vyhodnoceny jako potřebné, dostupné, kvalitní, efektivní a zajištěné vícezdrojovým financováním.</w:t>
            </w:r>
          </w:p>
          <w:p w:rsidR="00FB1999" w:rsidRPr="007C2EB2" w:rsidRDefault="00FB1999" w:rsidP="0085360A">
            <w:pPr>
              <w:spacing w:before="0"/>
              <w:rPr>
                <w:rFonts w:eastAsia="Arial Unicode MS"/>
                <w:highlight w:val="green"/>
              </w:rPr>
            </w:pPr>
            <w:r w:rsidRPr="007C2EB2">
              <w:rPr>
                <w:rFonts w:eastAsia="Arial Unicode MS"/>
              </w:rPr>
              <w:t>Aktualizace sítě probíhá v souladu s </w:t>
            </w:r>
            <w:proofErr w:type="spellStart"/>
            <w:r w:rsidRPr="007C2EB2">
              <w:rPr>
                <w:rFonts w:eastAsia="Arial Unicode MS"/>
              </w:rPr>
              <w:t>POSTUPem</w:t>
            </w:r>
            <w:proofErr w:type="spellEnd"/>
            <w:r w:rsidRPr="007C2EB2">
              <w:rPr>
                <w:rFonts w:eastAsia="Arial Unicode MS"/>
              </w:rPr>
              <w:t xml:space="preserve">, a to na základě podaných žádostí o zařazení nových sociálních služeb do sítě sociálních služeb OK, nebo aktualizaci jednotek u sociálních služeb do sítě sociálních služeb již zařazených. </w:t>
            </w:r>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Předpokládaný dopad opatření</w:t>
            </w:r>
          </w:p>
        </w:tc>
        <w:tc>
          <w:tcPr>
            <w:tcW w:w="3644" w:type="pct"/>
          </w:tcPr>
          <w:p w:rsidR="00FB1999" w:rsidRPr="007C2EB2" w:rsidRDefault="00FB1999" w:rsidP="0085360A">
            <w:pPr>
              <w:spacing w:before="0"/>
              <w:rPr>
                <w:rFonts w:eastAsia="Arial Unicode MS"/>
              </w:rPr>
            </w:pPr>
            <w:r w:rsidRPr="007C2EB2">
              <w:rPr>
                <w:rFonts w:eastAsia="Arial Unicode MS"/>
              </w:rPr>
              <w:t>OK jako správce sítě naplňuje zákonný požadavek o zajištění dostupnosti sociálních služeb na svém území. Síť sociálních služeb je tvořena sociálními službami, které jsou časově a místně dostupné, vznikly v souladu se Střednědobým plánem kraje, za finanční spoluúčasti jednotlivých samospráv. Modelována a aktualizována je na základě identifikovaných potřeb osob v území OK,</w:t>
            </w:r>
            <w:r w:rsidRPr="007C2EB2">
              <w:t xml:space="preserve"> </w:t>
            </w:r>
            <w:r w:rsidRPr="007C2EB2">
              <w:rPr>
                <w:rFonts w:eastAsia="Arial Unicode MS"/>
              </w:rPr>
              <w:t>s ohledem na dostupné finanční zdroje, splňující kritéria hospodárnosti a účelného využití dotace.</w:t>
            </w:r>
          </w:p>
          <w:p w:rsidR="00FB1999" w:rsidRPr="007C2EB2" w:rsidRDefault="00FB1999" w:rsidP="0085360A">
            <w:pPr>
              <w:spacing w:before="0"/>
              <w:rPr>
                <w:rFonts w:eastAsia="Arial Unicode MS"/>
              </w:rPr>
            </w:pPr>
            <w:r w:rsidRPr="007C2EB2">
              <w:rPr>
                <w:rFonts w:eastAsia="Arial Unicode MS"/>
              </w:rPr>
              <w:t xml:space="preserve">Potřebné a validní množství vykazovaných dat a informací od poskytovatelů sociálních služeb a od obcí využitelných pro modelaci sítě sociálních služeb OK, získává OK prostřednictvím aplikace </w:t>
            </w:r>
            <w:proofErr w:type="spellStart"/>
            <w:r w:rsidRPr="007C2EB2">
              <w:rPr>
                <w:rFonts w:eastAsia="Arial Unicode MS"/>
              </w:rPr>
              <w:t>KISSoS</w:t>
            </w:r>
            <w:proofErr w:type="spellEnd"/>
            <w:r w:rsidRPr="007C2EB2">
              <w:rPr>
                <w:rFonts w:eastAsia="Arial Unicode MS"/>
              </w:rPr>
              <w:t>.</w:t>
            </w:r>
          </w:p>
          <w:p w:rsidR="00FB1999" w:rsidRPr="007C2EB2" w:rsidRDefault="00FB1999" w:rsidP="0085360A">
            <w:pPr>
              <w:spacing w:before="0"/>
              <w:rPr>
                <w:rFonts w:eastAsia="Arial Unicode MS"/>
              </w:rPr>
            </w:pPr>
            <w:r w:rsidRPr="007C2EB2">
              <w:rPr>
                <w:rFonts w:eastAsia="Arial Unicode MS"/>
              </w:rPr>
              <w:t xml:space="preserve">V zájmu efektivity je při aktualizaci sítě upřednostněna </w:t>
            </w:r>
            <w:proofErr w:type="spellStart"/>
            <w:r w:rsidRPr="007C2EB2">
              <w:rPr>
                <w:rFonts w:eastAsia="Arial Unicode MS"/>
              </w:rPr>
              <w:t>reprofilizace</w:t>
            </w:r>
            <w:proofErr w:type="spellEnd"/>
            <w:r w:rsidR="00BE461C">
              <w:rPr>
                <w:rFonts w:eastAsia="Arial Unicode MS"/>
              </w:rPr>
              <w:t>,</w:t>
            </w:r>
            <w:r w:rsidRPr="007C2EB2">
              <w:rPr>
                <w:rFonts w:eastAsia="Arial Unicode MS"/>
              </w:rPr>
              <w:t xml:space="preserve"> případně rozšiřování stávajících služeb před tvorbou malých služeb – zejm. v případě služeb s nízkým potenciálem růstu kapacit. </w:t>
            </w:r>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 xml:space="preserve">Aktivity vedoucí k naplnění opatření </w:t>
            </w:r>
          </w:p>
        </w:tc>
        <w:tc>
          <w:tcPr>
            <w:tcW w:w="3644" w:type="pct"/>
          </w:tcPr>
          <w:p w:rsidR="00FB1999" w:rsidRPr="00A34764" w:rsidRDefault="00FB1999" w:rsidP="0085360A">
            <w:pPr>
              <w:pStyle w:val="Odstavecseseznamem"/>
              <w:numPr>
                <w:ilvl w:val="0"/>
                <w:numId w:val="20"/>
              </w:numPr>
              <w:spacing w:before="0" w:line="240" w:lineRule="auto"/>
            </w:pPr>
            <w:r w:rsidRPr="00A34764">
              <w:t>Zpracování Akčního plánu na daný kalendářní rok, jehož přílohou je síť sociálních služeb OK</w:t>
            </w:r>
          </w:p>
          <w:p w:rsidR="00FB1999" w:rsidRPr="00A34764" w:rsidRDefault="00FB1999" w:rsidP="0085360A">
            <w:pPr>
              <w:pStyle w:val="Odstavecseseznamem"/>
              <w:numPr>
                <w:ilvl w:val="0"/>
                <w:numId w:val="20"/>
              </w:numPr>
              <w:spacing w:before="0" w:line="240" w:lineRule="auto"/>
            </w:pPr>
            <w:r w:rsidRPr="00A34764">
              <w:t>Vyjádření OÚORP zpracovaná zástupci Skupiny ORP k žádostem poskytovatelů o zařazení</w:t>
            </w:r>
            <w:r w:rsidRPr="00A34764">
              <w:rPr>
                <w:color w:val="FF0000"/>
              </w:rPr>
              <w:t xml:space="preserve"> </w:t>
            </w:r>
            <w:r w:rsidRPr="00A34764">
              <w:t>nových sociálních služeb do sítě sociálních služeb OK</w:t>
            </w:r>
          </w:p>
          <w:p w:rsidR="00FB1999" w:rsidRPr="00A34764" w:rsidRDefault="00FB1999" w:rsidP="0085360A">
            <w:pPr>
              <w:pStyle w:val="Odstavecseseznamem"/>
              <w:numPr>
                <w:ilvl w:val="0"/>
                <w:numId w:val="20"/>
              </w:numPr>
              <w:spacing w:before="0" w:line="240" w:lineRule="auto"/>
            </w:pPr>
            <w:r w:rsidRPr="00A34764">
              <w:t xml:space="preserve">Využití aplikace </w:t>
            </w:r>
            <w:proofErr w:type="spellStart"/>
            <w:r w:rsidRPr="00A34764">
              <w:t>KISSoS</w:t>
            </w:r>
            <w:proofErr w:type="spellEnd"/>
            <w:r w:rsidRPr="00A34764">
              <w:t xml:space="preserve"> k posouzení podaných žádostí o zařazení nových sociálních služeb do sítě sociálních služeb OK, nebo aktualizaci jednotek u sociálních služeb do sítě sociálních služeb již zařazených</w:t>
            </w:r>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Rizika a ohrožení naplnění opatření</w:t>
            </w:r>
          </w:p>
        </w:tc>
        <w:tc>
          <w:tcPr>
            <w:tcW w:w="3644" w:type="pct"/>
          </w:tcPr>
          <w:p w:rsidR="00FB1999" w:rsidRPr="00A34764" w:rsidRDefault="00FB1999" w:rsidP="0085360A">
            <w:pPr>
              <w:pStyle w:val="Odstavecseseznamem"/>
              <w:numPr>
                <w:ilvl w:val="0"/>
                <w:numId w:val="17"/>
              </w:numPr>
              <w:spacing w:before="0" w:line="240" w:lineRule="auto"/>
            </w:pPr>
            <w:r w:rsidRPr="00A34764">
              <w:t>Nezájem zástupců Skupiny ORP o zpracování relevantních vyjádření k podaným žádostem na základě validních podkladů</w:t>
            </w:r>
          </w:p>
          <w:p w:rsidR="00FB1999" w:rsidRPr="00A34764" w:rsidRDefault="00FB1999" w:rsidP="0085360A">
            <w:pPr>
              <w:pStyle w:val="Odstavecseseznamem"/>
              <w:numPr>
                <w:ilvl w:val="0"/>
                <w:numId w:val="17"/>
              </w:numPr>
              <w:spacing w:before="0" w:line="240" w:lineRule="auto"/>
            </w:pPr>
            <w:r w:rsidRPr="00A34764">
              <w:lastRenderedPageBreak/>
              <w:t xml:space="preserve">Nedostatečné množství validních podkladů v aplikaci </w:t>
            </w:r>
            <w:proofErr w:type="spellStart"/>
            <w:r w:rsidRPr="00A34764">
              <w:t>KISSoS</w:t>
            </w:r>
            <w:proofErr w:type="spellEnd"/>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lastRenderedPageBreak/>
              <w:t>Předpokládaní realizátoři a partneři opatření</w:t>
            </w:r>
          </w:p>
        </w:tc>
        <w:tc>
          <w:tcPr>
            <w:tcW w:w="3644" w:type="pct"/>
          </w:tcPr>
          <w:p w:rsidR="00FB1999" w:rsidRPr="007C2EB2" w:rsidRDefault="00FB1999" w:rsidP="0085360A">
            <w:pPr>
              <w:spacing w:before="0"/>
              <w:rPr>
                <w:rFonts w:eastAsia="Arial Unicode MS"/>
              </w:rPr>
            </w:pPr>
            <w:r w:rsidRPr="007C2EB2">
              <w:rPr>
                <w:rFonts w:eastAsia="Arial Unicode MS"/>
              </w:rPr>
              <w:t>OK, zástupci PS zařazených do organizační struktury pro plánování sociálních služeb na krajské úrovni</w:t>
            </w:r>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Časový harmonogram</w:t>
            </w:r>
          </w:p>
        </w:tc>
        <w:tc>
          <w:tcPr>
            <w:tcW w:w="3644" w:type="pct"/>
          </w:tcPr>
          <w:p w:rsidR="00FB1999" w:rsidRPr="007C2EB2" w:rsidRDefault="00FB1999" w:rsidP="0085360A">
            <w:pPr>
              <w:spacing w:before="0"/>
              <w:rPr>
                <w:rFonts w:eastAsia="Arial Unicode MS"/>
              </w:rPr>
            </w:pPr>
            <w:r w:rsidRPr="007C2EB2">
              <w:rPr>
                <w:rFonts w:eastAsia="Arial Unicode MS"/>
              </w:rPr>
              <w:t>2024</w:t>
            </w:r>
            <w:r w:rsidR="00BE461C">
              <w:rPr>
                <w:rFonts w:eastAsia="Arial Unicode MS"/>
              </w:rPr>
              <w:t>–</w:t>
            </w:r>
            <w:r w:rsidRPr="007C2EB2">
              <w:rPr>
                <w:rFonts w:eastAsia="Arial Unicode MS"/>
              </w:rPr>
              <w:t>2026</w:t>
            </w:r>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Přepokládané finanční zdroje</w:t>
            </w:r>
          </w:p>
        </w:tc>
        <w:tc>
          <w:tcPr>
            <w:tcW w:w="3644" w:type="pct"/>
          </w:tcPr>
          <w:p w:rsidR="00FB1999" w:rsidRPr="007C2EB2" w:rsidRDefault="00FB1999" w:rsidP="0085360A">
            <w:pPr>
              <w:spacing w:before="0"/>
              <w:rPr>
                <w:rFonts w:eastAsia="Arial Unicode MS"/>
              </w:rPr>
            </w:pPr>
            <w:r w:rsidRPr="007C2EB2">
              <w:rPr>
                <w:rFonts w:eastAsia="Arial Unicode MS"/>
              </w:rPr>
              <w:t>OK</w:t>
            </w:r>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Hodnotící indikátory výstupů a výsledků</w:t>
            </w:r>
          </w:p>
        </w:tc>
        <w:tc>
          <w:tcPr>
            <w:tcW w:w="3644" w:type="pct"/>
          </w:tcPr>
          <w:p w:rsidR="00FB1999" w:rsidRPr="00A34764" w:rsidRDefault="00FB1999" w:rsidP="0085360A">
            <w:pPr>
              <w:pStyle w:val="Odstavecseseznamem"/>
              <w:numPr>
                <w:ilvl w:val="0"/>
                <w:numId w:val="34"/>
              </w:numPr>
              <w:spacing w:before="0" w:line="240" w:lineRule="auto"/>
            </w:pPr>
            <w:r w:rsidRPr="00A34764">
              <w:t>Zpracovaný Akční plán na daný kalendářní rok</w:t>
            </w:r>
          </w:p>
          <w:p w:rsidR="00FB1999" w:rsidRPr="007C2EB2" w:rsidRDefault="00FB1999" w:rsidP="0085360A">
            <w:pPr>
              <w:spacing w:before="0"/>
              <w:rPr>
                <w:rFonts w:eastAsia="Arial Unicode MS"/>
              </w:rPr>
            </w:pPr>
          </w:p>
        </w:tc>
      </w:tr>
      <w:tr w:rsidR="00FB1999" w:rsidRPr="007C2EB2" w:rsidTr="00B30496">
        <w:trPr>
          <w:trHeight w:val="397"/>
          <w:jc w:val="center"/>
        </w:trPr>
        <w:tc>
          <w:tcPr>
            <w:tcW w:w="1356" w:type="pct"/>
            <w:shd w:val="clear" w:color="auto" w:fill="E2EFD9" w:themeFill="accent6" w:themeFillTint="33"/>
          </w:tcPr>
          <w:p w:rsidR="00FB1999" w:rsidRPr="002D18F3" w:rsidRDefault="00FB1999" w:rsidP="0085360A">
            <w:pPr>
              <w:spacing w:before="0"/>
              <w:jc w:val="left"/>
              <w:rPr>
                <w:rFonts w:eastAsia="Arial Unicode MS"/>
                <w:b/>
              </w:rPr>
            </w:pPr>
            <w:r w:rsidRPr="002D18F3">
              <w:rPr>
                <w:rFonts w:eastAsia="Arial Unicode MS"/>
                <w:b/>
              </w:rPr>
              <w:t xml:space="preserve">Kód opatření </w:t>
            </w:r>
          </w:p>
        </w:tc>
        <w:tc>
          <w:tcPr>
            <w:tcW w:w="3644" w:type="pct"/>
            <w:shd w:val="clear" w:color="auto" w:fill="E2EFD9" w:themeFill="accent6" w:themeFillTint="33"/>
          </w:tcPr>
          <w:p w:rsidR="00FB1999" w:rsidRPr="002D18F3" w:rsidRDefault="00FB1999" w:rsidP="0085360A">
            <w:pPr>
              <w:spacing w:before="0"/>
              <w:rPr>
                <w:rFonts w:eastAsia="Arial Unicode MS"/>
                <w:b/>
              </w:rPr>
            </w:pPr>
            <w:r w:rsidRPr="002D18F3">
              <w:rPr>
                <w:rFonts w:eastAsia="Arial Unicode MS"/>
                <w:b/>
              </w:rPr>
              <w:t>P 2.2</w:t>
            </w:r>
          </w:p>
        </w:tc>
      </w:tr>
      <w:tr w:rsidR="00FB1999" w:rsidRPr="007C2EB2" w:rsidTr="00B30496">
        <w:trPr>
          <w:trHeight w:val="397"/>
          <w:jc w:val="center"/>
        </w:trPr>
        <w:tc>
          <w:tcPr>
            <w:tcW w:w="1356" w:type="pct"/>
            <w:shd w:val="clear" w:color="auto" w:fill="E2EFD9" w:themeFill="accent6" w:themeFillTint="33"/>
          </w:tcPr>
          <w:p w:rsidR="00FB1999" w:rsidRPr="002D18F3" w:rsidRDefault="00FB1999" w:rsidP="0085360A">
            <w:pPr>
              <w:spacing w:before="0"/>
              <w:jc w:val="left"/>
              <w:rPr>
                <w:rFonts w:eastAsia="Arial Unicode MS"/>
                <w:b/>
              </w:rPr>
            </w:pPr>
            <w:r w:rsidRPr="002D18F3">
              <w:rPr>
                <w:rFonts w:eastAsia="Arial Unicode MS"/>
                <w:b/>
              </w:rPr>
              <w:t>Název opatření</w:t>
            </w:r>
          </w:p>
        </w:tc>
        <w:tc>
          <w:tcPr>
            <w:tcW w:w="3644" w:type="pct"/>
            <w:shd w:val="clear" w:color="auto" w:fill="E2EFD9" w:themeFill="accent6" w:themeFillTint="33"/>
          </w:tcPr>
          <w:p w:rsidR="00FB1999" w:rsidRPr="002D18F3" w:rsidRDefault="00D21EF1" w:rsidP="0085360A">
            <w:pPr>
              <w:spacing w:before="0"/>
              <w:rPr>
                <w:rFonts w:eastAsia="Arial Unicode MS"/>
                <w:b/>
              </w:rPr>
            </w:pPr>
            <w:r w:rsidRPr="002D18F3">
              <w:rPr>
                <w:rFonts w:eastAsia="Arial Unicode MS"/>
                <w:b/>
              </w:rPr>
              <w:t xml:space="preserve">Průběžné zavádění nástrojů na definici požadavků pro nastavení jednotlivých druhů sociálních služeb </w:t>
            </w:r>
          </w:p>
        </w:tc>
      </w:tr>
      <w:tr w:rsidR="00FB1999" w:rsidRPr="007C2EB2" w:rsidTr="00D21EF1">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Charakteristika opatření</w:t>
            </w:r>
          </w:p>
        </w:tc>
        <w:tc>
          <w:tcPr>
            <w:tcW w:w="3644" w:type="pct"/>
            <w:shd w:val="clear" w:color="auto" w:fill="auto"/>
          </w:tcPr>
          <w:p w:rsidR="00FB1999" w:rsidRPr="00D21EF1" w:rsidRDefault="00FB1999" w:rsidP="0085360A">
            <w:pPr>
              <w:spacing w:before="0"/>
              <w:rPr>
                <w:rFonts w:eastAsia="Arial Unicode MS"/>
              </w:rPr>
            </w:pPr>
            <w:r w:rsidRPr="00D21EF1">
              <w:rPr>
                <w:rFonts w:eastAsia="Arial Unicode MS"/>
              </w:rPr>
              <w:t>Podpora kvality sociálních služeb v návaznosti na definování základní charakteristiky sociálních služeb zařazených do sítě sociálních</w:t>
            </w:r>
            <w:r w:rsidR="004D7D98" w:rsidRPr="00D21EF1">
              <w:rPr>
                <w:rFonts w:eastAsia="Arial Unicode MS"/>
              </w:rPr>
              <w:t xml:space="preserve"> služeb OK</w:t>
            </w:r>
            <w:r w:rsidR="00ED0E6E">
              <w:rPr>
                <w:rFonts w:eastAsia="Arial Unicode MS"/>
              </w:rPr>
              <w:t>.</w:t>
            </w:r>
            <w:r w:rsidR="004D7D98" w:rsidRPr="00D21EF1">
              <w:rPr>
                <w:rFonts w:eastAsia="Arial Unicode MS"/>
              </w:rPr>
              <w:t xml:space="preserve"> Průběžné</w:t>
            </w:r>
            <w:r w:rsidRPr="00D21EF1">
              <w:rPr>
                <w:rFonts w:eastAsia="Arial Unicode MS"/>
              </w:rPr>
              <w:t xml:space="preserve"> </w:t>
            </w:r>
            <w:r w:rsidR="004D7D98" w:rsidRPr="00D21EF1">
              <w:rPr>
                <w:rFonts w:eastAsia="Arial Unicode MS"/>
              </w:rPr>
              <w:t xml:space="preserve">zavádění nástrojů na </w:t>
            </w:r>
            <w:r w:rsidR="00B63C6F" w:rsidRPr="00D21EF1">
              <w:rPr>
                <w:rFonts w:eastAsia="Arial Unicode MS"/>
              </w:rPr>
              <w:t>definici</w:t>
            </w:r>
            <w:r w:rsidR="004D7D98" w:rsidRPr="00D21EF1">
              <w:rPr>
                <w:rFonts w:eastAsia="Arial Unicode MS"/>
              </w:rPr>
              <w:t xml:space="preserve"> požadavků pro nastavení jednotlivých druhů sociálních služeb</w:t>
            </w:r>
            <w:r w:rsidR="00D21EF1" w:rsidRPr="00D21EF1">
              <w:rPr>
                <w:rFonts w:eastAsia="Arial Unicode MS"/>
              </w:rPr>
              <w:t xml:space="preserve"> za účelem zajištění efektivity, účelnosti a udržitelnosti sítě sociálních služeb OK.</w:t>
            </w:r>
          </w:p>
          <w:p w:rsidR="00FB1999" w:rsidRPr="00D21EF1" w:rsidRDefault="00FB1999" w:rsidP="0085360A">
            <w:pPr>
              <w:spacing w:before="0"/>
              <w:rPr>
                <w:rFonts w:eastAsia="Arial Unicode MS"/>
              </w:rPr>
            </w:pPr>
            <w:r w:rsidRPr="00D21EF1">
              <w:rPr>
                <w:rFonts w:eastAsia="Arial Unicode MS"/>
              </w:rPr>
              <w:t>Nastavení mechanismů monitoringu hospodaření, výkaznictví a efektivity sociálních služeb zařazených do krajské sítě sociálních služeb. Optimalizace sítě sociálních služeb vzhledem k měnícím se potřebám obyvatel a prioritám území, v návaznosti na efektivitu sítě.</w:t>
            </w:r>
          </w:p>
        </w:tc>
      </w:tr>
      <w:tr w:rsidR="00FB1999" w:rsidRPr="007C2EB2" w:rsidTr="00D21EF1">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Předpokládaný dopad opatření</w:t>
            </w:r>
          </w:p>
        </w:tc>
        <w:tc>
          <w:tcPr>
            <w:tcW w:w="3644" w:type="pct"/>
            <w:shd w:val="clear" w:color="auto" w:fill="auto"/>
          </w:tcPr>
          <w:p w:rsidR="00FB1999" w:rsidRPr="00D21EF1" w:rsidRDefault="004D7D98" w:rsidP="0085360A">
            <w:pPr>
              <w:spacing w:before="0"/>
              <w:rPr>
                <w:rFonts w:eastAsia="Arial Unicode MS"/>
              </w:rPr>
            </w:pPr>
            <w:r w:rsidRPr="00D21EF1">
              <w:rPr>
                <w:rFonts w:eastAsia="Arial Unicode MS"/>
              </w:rPr>
              <w:t xml:space="preserve">Průběžným </w:t>
            </w:r>
            <w:r w:rsidR="00961BCC" w:rsidRPr="00D21EF1">
              <w:rPr>
                <w:rFonts w:eastAsia="Arial Unicode MS"/>
              </w:rPr>
              <w:t xml:space="preserve">definováním </w:t>
            </w:r>
            <w:r w:rsidRPr="00D21EF1">
              <w:rPr>
                <w:rFonts w:eastAsia="Arial Unicode MS"/>
              </w:rPr>
              <w:t>požadavků</w:t>
            </w:r>
            <w:r w:rsidR="00FB1999" w:rsidRPr="00D21EF1">
              <w:rPr>
                <w:rFonts w:eastAsia="Arial Unicode MS"/>
              </w:rPr>
              <w:t xml:space="preserve"> na jednotlivé druhy sociálních služeb</w:t>
            </w:r>
            <w:r w:rsidR="00961BCC" w:rsidRPr="00D21EF1">
              <w:rPr>
                <w:rFonts w:eastAsia="Arial Unicode MS"/>
              </w:rPr>
              <w:t xml:space="preserve"> bude deklarovat</w:t>
            </w:r>
            <w:r w:rsidR="00FB1999" w:rsidRPr="00D21EF1">
              <w:rPr>
                <w:rFonts w:eastAsia="Arial Unicode MS"/>
              </w:rPr>
              <w:t xml:space="preserve"> OK své </w:t>
            </w:r>
            <w:r w:rsidRPr="00D21EF1">
              <w:rPr>
                <w:rFonts w:eastAsia="Arial Unicode MS"/>
              </w:rPr>
              <w:t>nároky na</w:t>
            </w:r>
            <w:r w:rsidR="00FB1999" w:rsidRPr="00D21EF1">
              <w:rPr>
                <w:rFonts w:eastAsia="Arial Unicode MS"/>
              </w:rPr>
              <w:t xml:space="preserve"> </w:t>
            </w:r>
            <w:r w:rsidRPr="00D21EF1">
              <w:rPr>
                <w:rFonts w:eastAsia="Arial Unicode MS"/>
              </w:rPr>
              <w:t>služ</w:t>
            </w:r>
            <w:r w:rsidR="00FB1999" w:rsidRPr="00D21EF1">
              <w:rPr>
                <w:rFonts w:eastAsia="Arial Unicode MS"/>
              </w:rPr>
              <w:t>b</w:t>
            </w:r>
            <w:r w:rsidRPr="00D21EF1">
              <w:rPr>
                <w:rFonts w:eastAsia="Arial Unicode MS"/>
              </w:rPr>
              <w:t>y zařazené</w:t>
            </w:r>
            <w:r w:rsidR="00FB1999" w:rsidRPr="00D21EF1">
              <w:rPr>
                <w:rFonts w:eastAsia="Arial Unicode MS"/>
              </w:rPr>
              <w:t xml:space="preserve"> v krajské síti. Zpřesňování </w:t>
            </w:r>
            <w:r w:rsidR="00F95BF2" w:rsidRPr="00D21EF1">
              <w:rPr>
                <w:rFonts w:eastAsia="Arial Unicode MS"/>
              </w:rPr>
              <w:t>cílů</w:t>
            </w:r>
            <w:r w:rsidR="00FB1999" w:rsidRPr="00D21EF1">
              <w:rPr>
                <w:rFonts w:eastAsia="Arial Unicode MS"/>
              </w:rPr>
              <w:t xml:space="preserve"> jednotlivých druhů sociálních služeb považuje OK za významný proces v rámci nastavení efektivní sítě sociálních služeb. Poskytovatelé sociálních služeb reflektují nastavené požadavky OK vedoucí ke změnám v nastavení služby v návaznosti na měnící se potřeby osob a priority v území a dokáží cíleně reagovat na nepříznivé sociální situace.</w:t>
            </w:r>
          </w:p>
          <w:p w:rsidR="00FB1999" w:rsidRPr="00D21EF1" w:rsidRDefault="00FB1999" w:rsidP="0085360A">
            <w:pPr>
              <w:spacing w:before="0"/>
              <w:rPr>
                <w:rFonts w:eastAsia="Arial Unicode MS"/>
              </w:rPr>
            </w:pPr>
            <w:r w:rsidRPr="00D21EF1">
              <w:rPr>
                <w:rFonts w:eastAsia="Arial Unicode MS"/>
              </w:rPr>
              <w:t xml:space="preserve">OK nabízí metodickou podporu poskytovatelům sociálních služeb prostřednictvím metodických návštěv a metodických setkání služeb. </w:t>
            </w:r>
          </w:p>
          <w:p w:rsidR="00FB1999" w:rsidRPr="00D21EF1" w:rsidRDefault="00FB1999" w:rsidP="0085360A">
            <w:pPr>
              <w:spacing w:before="0"/>
              <w:rPr>
                <w:rFonts w:eastAsia="Arial Unicode MS"/>
              </w:rPr>
            </w:pPr>
            <w:r w:rsidRPr="00D21EF1">
              <w:rPr>
                <w:rFonts w:eastAsia="Arial Unicode MS"/>
              </w:rPr>
              <w:t>OK plní zákonný požadavek a jako správce sítě zajišťuje kvalitu služeb a jejich dostupnost v rámci svého území.</w:t>
            </w:r>
          </w:p>
        </w:tc>
      </w:tr>
      <w:tr w:rsidR="00FB1999" w:rsidRPr="007C2EB2" w:rsidTr="00D21EF1">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 xml:space="preserve">Aktivity vedoucí k naplnění opatření </w:t>
            </w:r>
          </w:p>
        </w:tc>
        <w:tc>
          <w:tcPr>
            <w:tcW w:w="3644" w:type="pct"/>
            <w:shd w:val="clear" w:color="auto" w:fill="auto"/>
          </w:tcPr>
          <w:p w:rsidR="00FB1999" w:rsidRPr="00A34764" w:rsidRDefault="00B63C6F" w:rsidP="0085360A">
            <w:pPr>
              <w:pStyle w:val="Odstavecseseznamem"/>
              <w:numPr>
                <w:ilvl w:val="0"/>
                <w:numId w:val="61"/>
              </w:numPr>
              <w:spacing w:before="0" w:line="240" w:lineRule="auto"/>
            </w:pPr>
            <w:r w:rsidRPr="00A34764">
              <w:t>Zavádění nástrojů na definici požadavků pro nastavení jednotlivých druhů sociálních služeb</w:t>
            </w:r>
          </w:p>
          <w:p w:rsidR="00FB1999" w:rsidRPr="00A34764" w:rsidRDefault="00FB1999" w:rsidP="0085360A">
            <w:pPr>
              <w:pStyle w:val="Odstavecseseznamem"/>
              <w:numPr>
                <w:ilvl w:val="0"/>
                <w:numId w:val="61"/>
              </w:numPr>
              <w:spacing w:before="0" w:line="240" w:lineRule="auto"/>
            </w:pPr>
            <w:r w:rsidRPr="00A34764">
              <w:t>Metodické návštěvy a metodické setkávání poskytovatelů sociálních služeb</w:t>
            </w:r>
          </w:p>
          <w:p w:rsidR="00FB1999" w:rsidRPr="00A34764" w:rsidRDefault="00FB1999" w:rsidP="0085360A">
            <w:pPr>
              <w:pStyle w:val="Odstavecseseznamem"/>
              <w:numPr>
                <w:ilvl w:val="0"/>
                <w:numId w:val="61"/>
              </w:numPr>
              <w:spacing w:before="0" w:line="240" w:lineRule="auto"/>
            </w:pPr>
            <w:r w:rsidRPr="00A34764">
              <w:t>Zpracovaný Akční plán na daný kalendářní rok platnosti Střednědobého plánu 2024</w:t>
            </w:r>
            <w:r w:rsidR="00867C8A" w:rsidRPr="00A34764">
              <w:t>–</w:t>
            </w:r>
            <w:r w:rsidRPr="00A34764">
              <w:t>2026</w:t>
            </w:r>
          </w:p>
          <w:p w:rsidR="00FB1999" w:rsidRPr="00A34764" w:rsidRDefault="00FB1999" w:rsidP="0085360A">
            <w:pPr>
              <w:pStyle w:val="Odstavecseseznamem"/>
              <w:numPr>
                <w:ilvl w:val="0"/>
                <w:numId w:val="61"/>
              </w:numPr>
              <w:spacing w:before="0" w:line="240" w:lineRule="auto"/>
            </w:pPr>
            <w:r w:rsidRPr="00A34764">
              <w:t>Aktualizovaná síť sociálních služeb OK na jednotlivé roky platnosti Střednědobého plánu 2024</w:t>
            </w:r>
            <w:r w:rsidR="00867C8A" w:rsidRPr="00A34764">
              <w:t>–</w:t>
            </w:r>
            <w:r w:rsidRPr="00A34764">
              <w:t>2026</w:t>
            </w:r>
          </w:p>
          <w:p w:rsidR="00FB1999" w:rsidRPr="00A34764" w:rsidRDefault="00FB1999" w:rsidP="0085360A">
            <w:pPr>
              <w:pStyle w:val="Odstavecseseznamem"/>
              <w:numPr>
                <w:ilvl w:val="0"/>
                <w:numId w:val="61"/>
              </w:numPr>
              <w:spacing w:before="0" w:line="240" w:lineRule="auto"/>
            </w:pPr>
            <w:r w:rsidRPr="00A34764">
              <w:t xml:space="preserve">Využití modulů aplikace </w:t>
            </w:r>
            <w:proofErr w:type="spellStart"/>
            <w:r w:rsidRPr="00A34764">
              <w:t>KISSoS</w:t>
            </w:r>
            <w:proofErr w:type="spellEnd"/>
            <w:r w:rsidRPr="00A34764">
              <w:t xml:space="preserve"> k efektivnímu nastavení, správě a řízení sítě sociálních služeb v OK s cílem zajištění dat pro evidenci, kontrolu a hodnocení efektivity a účelnosti sociálních služeb</w:t>
            </w:r>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Rizika a ohrožení naplnění opatření</w:t>
            </w:r>
          </w:p>
        </w:tc>
        <w:tc>
          <w:tcPr>
            <w:tcW w:w="3644" w:type="pct"/>
          </w:tcPr>
          <w:p w:rsidR="00FB1999" w:rsidRPr="00A34764" w:rsidRDefault="00FB1999" w:rsidP="0085360A">
            <w:pPr>
              <w:pStyle w:val="Odstavecseseznamem"/>
              <w:numPr>
                <w:ilvl w:val="0"/>
                <w:numId w:val="17"/>
              </w:numPr>
              <w:spacing w:before="0" w:line="240" w:lineRule="auto"/>
            </w:pPr>
            <w:r w:rsidRPr="00A34764">
              <w:t xml:space="preserve">Nezájem poskytovatelů sociálních služeb o spolupráci s OK při procesu </w:t>
            </w:r>
            <w:r w:rsidR="00D21EF1" w:rsidRPr="00A34764">
              <w:t>zavádění nástrojů na definici požadavků pro nastavení jednotlivých druhů sociálních služeb</w:t>
            </w:r>
          </w:p>
          <w:p w:rsidR="00FB1999" w:rsidRPr="00A34764" w:rsidRDefault="00FB1999" w:rsidP="0085360A">
            <w:pPr>
              <w:pStyle w:val="Odstavecseseznamem"/>
              <w:numPr>
                <w:ilvl w:val="0"/>
                <w:numId w:val="17"/>
              </w:numPr>
              <w:spacing w:before="0" w:line="240" w:lineRule="auto"/>
            </w:pPr>
            <w:r w:rsidRPr="00A34764">
              <w:t>Nezájem poskytovatelů sociálních služeb o spolupráci s OK při procesu realizace metodických návštěv a metodických setkání služeb</w:t>
            </w:r>
          </w:p>
          <w:p w:rsidR="00FB1999" w:rsidRPr="00A34764" w:rsidRDefault="00FB1999" w:rsidP="0085360A">
            <w:pPr>
              <w:pStyle w:val="Odstavecseseznamem"/>
              <w:numPr>
                <w:ilvl w:val="0"/>
                <w:numId w:val="17"/>
              </w:numPr>
              <w:spacing w:before="0" w:line="240" w:lineRule="auto"/>
            </w:pPr>
            <w:r w:rsidRPr="00A34764">
              <w:t xml:space="preserve">Nedostatečné množství validních podkladů v aplikaci </w:t>
            </w:r>
            <w:proofErr w:type="spellStart"/>
            <w:r w:rsidRPr="00A34764">
              <w:t>KISSoS</w:t>
            </w:r>
            <w:proofErr w:type="spellEnd"/>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lastRenderedPageBreak/>
              <w:t>Předpokládaní realizátoři a partneři opatření</w:t>
            </w:r>
          </w:p>
        </w:tc>
        <w:tc>
          <w:tcPr>
            <w:tcW w:w="3644" w:type="pct"/>
          </w:tcPr>
          <w:p w:rsidR="00FB1999" w:rsidRPr="007C2EB2" w:rsidRDefault="00FB1999" w:rsidP="0085360A">
            <w:pPr>
              <w:spacing w:before="0"/>
              <w:rPr>
                <w:rFonts w:eastAsia="Arial Unicode MS"/>
              </w:rPr>
            </w:pPr>
            <w:r w:rsidRPr="007C2EB2">
              <w:rPr>
                <w:rFonts w:eastAsia="Arial Unicode MS"/>
              </w:rPr>
              <w:t>OK, poskytovatelé sociálních služeb zařazení do sítě sociálních služeb OK</w:t>
            </w:r>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Časový harmonogram</w:t>
            </w:r>
          </w:p>
        </w:tc>
        <w:tc>
          <w:tcPr>
            <w:tcW w:w="3644" w:type="pct"/>
          </w:tcPr>
          <w:p w:rsidR="00FB1999" w:rsidRPr="007C2EB2" w:rsidRDefault="00FB1999" w:rsidP="0085360A">
            <w:pPr>
              <w:spacing w:before="0"/>
              <w:rPr>
                <w:rFonts w:eastAsia="Arial Unicode MS"/>
              </w:rPr>
            </w:pPr>
            <w:r w:rsidRPr="007C2EB2">
              <w:rPr>
                <w:rFonts w:eastAsia="Arial Unicode MS"/>
              </w:rPr>
              <w:t>2024</w:t>
            </w:r>
            <w:r w:rsidR="00867C8A">
              <w:rPr>
                <w:rFonts w:eastAsia="Arial Unicode MS"/>
              </w:rPr>
              <w:t>–</w:t>
            </w:r>
            <w:r w:rsidRPr="007C2EB2">
              <w:rPr>
                <w:rFonts w:eastAsia="Arial Unicode MS"/>
              </w:rPr>
              <w:t>2026</w:t>
            </w:r>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Přepokládané finanční zdroje</w:t>
            </w:r>
          </w:p>
        </w:tc>
        <w:tc>
          <w:tcPr>
            <w:tcW w:w="3644" w:type="pct"/>
          </w:tcPr>
          <w:p w:rsidR="00FB1999" w:rsidRPr="007C2EB2" w:rsidRDefault="00FB1999" w:rsidP="0085360A">
            <w:pPr>
              <w:spacing w:before="0"/>
              <w:rPr>
                <w:rFonts w:eastAsia="Arial Unicode MS"/>
              </w:rPr>
            </w:pPr>
            <w:r w:rsidRPr="007C2EB2">
              <w:rPr>
                <w:rFonts w:eastAsia="Arial Unicode MS"/>
              </w:rPr>
              <w:t>OK, EU/ESF</w:t>
            </w:r>
          </w:p>
        </w:tc>
      </w:tr>
      <w:tr w:rsidR="00FB1999" w:rsidRPr="007C2EB2" w:rsidTr="00FB1999">
        <w:trPr>
          <w:trHeight w:val="397"/>
          <w:jc w:val="center"/>
        </w:trPr>
        <w:tc>
          <w:tcPr>
            <w:tcW w:w="1356" w:type="pct"/>
            <w:shd w:val="clear" w:color="auto" w:fill="CCECFF"/>
          </w:tcPr>
          <w:p w:rsidR="00FB1999" w:rsidRPr="002D18F3" w:rsidRDefault="00FB1999" w:rsidP="0085360A">
            <w:pPr>
              <w:spacing w:before="0"/>
              <w:jc w:val="left"/>
              <w:rPr>
                <w:rFonts w:eastAsia="Arial Unicode MS"/>
                <w:b/>
              </w:rPr>
            </w:pPr>
            <w:r w:rsidRPr="002D18F3">
              <w:rPr>
                <w:rFonts w:eastAsia="Arial Unicode MS"/>
                <w:b/>
              </w:rPr>
              <w:t>Hodnotící indikátory výstupů a výsledků</w:t>
            </w:r>
          </w:p>
        </w:tc>
        <w:tc>
          <w:tcPr>
            <w:tcW w:w="3644" w:type="pct"/>
          </w:tcPr>
          <w:p w:rsidR="00FB1999" w:rsidRPr="00A34764" w:rsidRDefault="00FB1999" w:rsidP="0085360A">
            <w:pPr>
              <w:pStyle w:val="Odstavecseseznamem"/>
              <w:numPr>
                <w:ilvl w:val="0"/>
                <w:numId w:val="34"/>
              </w:numPr>
              <w:spacing w:before="0" w:line="240" w:lineRule="auto"/>
            </w:pPr>
            <w:r w:rsidRPr="00A34764">
              <w:t>Zpracovaný Akční plán na daný kalendářní rok</w:t>
            </w:r>
          </w:p>
        </w:tc>
      </w:tr>
    </w:tbl>
    <w:p w:rsidR="00FB1999" w:rsidRPr="007C2EB2" w:rsidRDefault="00FB1999" w:rsidP="002D18F3">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FB1999" w:rsidRPr="007C2EB2" w:rsidTr="00FB1999">
        <w:trPr>
          <w:trHeight w:val="397"/>
          <w:jc w:val="center"/>
        </w:trPr>
        <w:tc>
          <w:tcPr>
            <w:tcW w:w="1356" w:type="pct"/>
            <w:shd w:val="clear" w:color="auto" w:fill="FABF8F"/>
          </w:tcPr>
          <w:p w:rsidR="00FB1999" w:rsidRPr="002D18F3" w:rsidRDefault="00FB1999" w:rsidP="002D18F3">
            <w:pPr>
              <w:spacing w:before="0"/>
              <w:jc w:val="left"/>
              <w:rPr>
                <w:rFonts w:eastAsia="Arial Unicode MS"/>
                <w:b/>
                <w:lang w:eastAsia="cs-CZ"/>
              </w:rPr>
            </w:pPr>
            <w:r w:rsidRPr="002D18F3">
              <w:rPr>
                <w:rFonts w:eastAsia="Arial Unicode MS"/>
                <w:b/>
                <w:lang w:eastAsia="cs-CZ"/>
              </w:rPr>
              <w:t>Cíl P 3</w:t>
            </w:r>
          </w:p>
        </w:tc>
        <w:tc>
          <w:tcPr>
            <w:tcW w:w="3644" w:type="pct"/>
            <w:shd w:val="clear" w:color="auto" w:fill="FABF8F"/>
          </w:tcPr>
          <w:p w:rsidR="00FB1999" w:rsidRPr="002D18F3" w:rsidRDefault="00FB1999" w:rsidP="002D18F3">
            <w:pPr>
              <w:spacing w:before="0"/>
              <w:rPr>
                <w:rFonts w:eastAsia="Arial Unicode MS"/>
                <w:b/>
                <w:lang w:eastAsia="cs-CZ"/>
              </w:rPr>
            </w:pPr>
            <w:r w:rsidRPr="002D18F3">
              <w:rPr>
                <w:rFonts w:eastAsia="Arial Unicode MS"/>
                <w:b/>
                <w:lang w:eastAsia="cs-CZ"/>
              </w:rPr>
              <w:t>Podpora zvyšování kvality sociálních služeb v OK</w:t>
            </w:r>
          </w:p>
        </w:tc>
      </w:tr>
      <w:tr w:rsidR="00FB1999" w:rsidRPr="007C2EB2" w:rsidTr="00FB1999">
        <w:trPr>
          <w:trHeight w:val="397"/>
          <w:jc w:val="center"/>
        </w:trPr>
        <w:tc>
          <w:tcPr>
            <w:tcW w:w="1356" w:type="pct"/>
            <w:shd w:val="clear" w:color="auto" w:fill="E2EFD9" w:themeFill="accent6" w:themeFillTint="33"/>
          </w:tcPr>
          <w:p w:rsidR="00FB1999" w:rsidRPr="002D18F3" w:rsidRDefault="00FB1999" w:rsidP="002D18F3">
            <w:pPr>
              <w:keepNext/>
              <w:spacing w:before="0"/>
              <w:jc w:val="left"/>
              <w:rPr>
                <w:rFonts w:eastAsia="Arial Unicode MS"/>
                <w:b/>
                <w:lang w:eastAsia="cs-CZ"/>
              </w:rPr>
            </w:pPr>
            <w:r w:rsidRPr="002D18F3">
              <w:rPr>
                <w:rFonts w:eastAsia="Arial Unicode MS"/>
                <w:b/>
                <w:lang w:eastAsia="cs-CZ"/>
              </w:rPr>
              <w:t xml:space="preserve">Kód opatření </w:t>
            </w:r>
          </w:p>
        </w:tc>
        <w:tc>
          <w:tcPr>
            <w:tcW w:w="3644" w:type="pct"/>
            <w:shd w:val="clear" w:color="auto" w:fill="E2EFD9" w:themeFill="accent6" w:themeFillTint="33"/>
          </w:tcPr>
          <w:p w:rsidR="00FB1999" w:rsidRPr="002D18F3" w:rsidRDefault="00FB1999" w:rsidP="002D18F3">
            <w:pPr>
              <w:keepNext/>
              <w:spacing w:before="0"/>
              <w:rPr>
                <w:rFonts w:eastAsia="Arial Unicode MS"/>
                <w:b/>
                <w:lang w:eastAsia="cs-CZ"/>
              </w:rPr>
            </w:pPr>
            <w:r w:rsidRPr="002D18F3">
              <w:rPr>
                <w:rFonts w:eastAsia="Arial Unicode MS"/>
                <w:b/>
                <w:lang w:eastAsia="cs-CZ"/>
              </w:rPr>
              <w:t>P 3.1</w:t>
            </w:r>
          </w:p>
        </w:tc>
      </w:tr>
      <w:tr w:rsidR="00FB1999" w:rsidRPr="007C2EB2" w:rsidTr="00FB1999">
        <w:trPr>
          <w:trHeight w:val="397"/>
          <w:jc w:val="center"/>
        </w:trPr>
        <w:tc>
          <w:tcPr>
            <w:tcW w:w="1356" w:type="pct"/>
            <w:shd w:val="clear" w:color="auto" w:fill="E2EFD9" w:themeFill="accent6" w:themeFillTint="33"/>
          </w:tcPr>
          <w:p w:rsidR="00FB1999" w:rsidRPr="002D18F3" w:rsidRDefault="00FB1999" w:rsidP="002D18F3">
            <w:pPr>
              <w:keepNext/>
              <w:spacing w:before="0"/>
              <w:jc w:val="left"/>
              <w:rPr>
                <w:rFonts w:eastAsia="Arial Unicode MS"/>
                <w:b/>
                <w:lang w:eastAsia="cs-CZ"/>
              </w:rPr>
            </w:pPr>
            <w:r w:rsidRPr="002D18F3">
              <w:rPr>
                <w:rFonts w:eastAsia="Arial Unicode MS"/>
                <w:b/>
                <w:lang w:eastAsia="cs-CZ"/>
              </w:rPr>
              <w:t>Název opatření</w:t>
            </w:r>
          </w:p>
        </w:tc>
        <w:tc>
          <w:tcPr>
            <w:tcW w:w="3644" w:type="pct"/>
            <w:shd w:val="clear" w:color="auto" w:fill="E2EFD9" w:themeFill="accent6" w:themeFillTint="33"/>
          </w:tcPr>
          <w:p w:rsidR="00FB1999" w:rsidRPr="002D18F3" w:rsidRDefault="00FB1999" w:rsidP="002D18F3">
            <w:pPr>
              <w:keepNext/>
              <w:spacing w:before="0"/>
              <w:rPr>
                <w:rFonts w:eastAsia="Arial Unicode MS"/>
                <w:b/>
                <w:lang w:eastAsia="cs-CZ"/>
              </w:rPr>
            </w:pPr>
            <w:r w:rsidRPr="002D18F3">
              <w:rPr>
                <w:rFonts w:eastAsia="Arial Unicode MS"/>
                <w:b/>
                <w:lang w:eastAsia="cs-CZ"/>
              </w:rPr>
              <w:t xml:space="preserve">Zvyšování kompetencí pracovníků v sociálních službách </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 xml:space="preserve">Komplexní zvyšování kvalifikovanosti personálu poskytovatelů sociálních služeb s přímým dopadem na kvalitu poskytovaných služeb. Poskytovatelé sociálních služeb prostřednictvím svých zaměstnanců kvalitně identifikují a řeší potřeby stávajících i potenciálních uživatelů sociálních služeb. Pracovníci v sociálních službách průběžně zvyšují své kompetence pro řešení specifických problémů a nepříznivé sociální situace uživatelů sociálních služeb vedoucích k jejich postupnému sociálnímu začlenění. Podpora získávání přehledu o vývoji </w:t>
            </w:r>
            <w:proofErr w:type="spellStart"/>
            <w:r w:rsidRPr="007C2EB2">
              <w:rPr>
                <w:rFonts w:eastAsia="Arial Unicode MS"/>
                <w:lang w:eastAsia="cs-CZ"/>
              </w:rPr>
              <w:t>asistivních</w:t>
            </w:r>
            <w:proofErr w:type="spellEnd"/>
            <w:r w:rsidRPr="007C2EB2">
              <w:rPr>
                <w:rFonts w:eastAsia="Arial Unicode MS"/>
                <w:lang w:eastAsia="cs-CZ"/>
              </w:rPr>
              <w:t xml:space="preserve"> a</w:t>
            </w:r>
            <w:r>
              <w:rPr>
                <w:rFonts w:eastAsia="Arial Unicode MS"/>
                <w:lang w:eastAsia="cs-CZ"/>
              </w:rPr>
              <w:t> </w:t>
            </w:r>
            <w:r w:rsidRPr="007C2EB2">
              <w:rPr>
                <w:rFonts w:eastAsia="Arial Unicode MS"/>
                <w:lang w:eastAsia="cs-CZ"/>
              </w:rPr>
              <w:t>informačních technologií v oblasti péče o osoby ohrožené sociálním vyloučením a podpora jejich zavádění do praxe.</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Předpokládaný dopad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Kvalitně poskytované sociální služby na území OK, jejichž pracovníci prostřednictvím zvyšování kvalifikace a vzdělávání erudovaně reagují na specifické a individuální potřeby uživatelů. Prostřednictvím podpory vzdělávání pracovníků v sociálních službách dochází k posilování kvality sociálních služeb a zavádění inovativních metod sociální práce.</w:t>
            </w:r>
            <w:r w:rsidRPr="007C2EB2">
              <w:rPr>
                <w:rFonts w:ascii="Arial" w:hAnsi="Arial" w:cs="Arial"/>
                <w:sz w:val="26"/>
                <w:szCs w:val="26"/>
              </w:rPr>
              <w:t xml:space="preserve"> </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2D18F3">
            <w:pPr>
              <w:pStyle w:val="Odstavecseseznamem"/>
              <w:numPr>
                <w:ilvl w:val="0"/>
                <w:numId w:val="19"/>
              </w:numPr>
              <w:spacing w:before="0"/>
            </w:pPr>
            <w:r w:rsidRPr="00A34764">
              <w:t>Podpora realizace účelných projektů podávaných v rámci vyhlášených výzev EU/ESF zaměřených na zvyšování kvality péče v sociálních službách</w:t>
            </w:r>
          </w:p>
          <w:p w:rsidR="00FB1999" w:rsidRPr="00A34764" w:rsidRDefault="00FB1999" w:rsidP="002D18F3">
            <w:pPr>
              <w:pStyle w:val="Odstavecseseznamem"/>
              <w:numPr>
                <w:ilvl w:val="0"/>
                <w:numId w:val="19"/>
              </w:numPr>
              <w:spacing w:before="0"/>
            </w:pPr>
            <w:r w:rsidRPr="00A34764">
              <w:t>Podpora předávání příkladů dobré praxe a výměnných stáží</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Pr>
          <w:p w:rsidR="00FB1999" w:rsidRPr="00A34764" w:rsidRDefault="00FB1999" w:rsidP="002D18F3">
            <w:pPr>
              <w:pStyle w:val="Odstavecseseznamem"/>
              <w:numPr>
                <w:ilvl w:val="0"/>
                <w:numId w:val="18"/>
              </w:numPr>
              <w:spacing w:before="0"/>
            </w:pPr>
            <w:r w:rsidRPr="00A34764">
              <w:t>Nedostatek vyhlášených výzev z EU/ESF zaměřených na</w:t>
            </w:r>
            <w:r w:rsidRPr="00A34764">
              <w:rPr>
                <w:b/>
                <w:bCs/>
              </w:rPr>
              <w:t xml:space="preserve"> </w:t>
            </w:r>
            <w:r w:rsidRPr="00A34764">
              <w:rPr>
                <w:bCs/>
              </w:rPr>
              <w:t xml:space="preserve">zvyšování kvality kompetencí </w:t>
            </w:r>
            <w:r w:rsidRPr="00A34764">
              <w:t>a podporu vzdělávání pracovníků v sociálních službách</w:t>
            </w:r>
          </w:p>
          <w:p w:rsidR="00FB1999" w:rsidRPr="00A34764" w:rsidRDefault="00FB1999" w:rsidP="002D18F3">
            <w:pPr>
              <w:pStyle w:val="Odstavecseseznamem"/>
              <w:numPr>
                <w:ilvl w:val="0"/>
                <w:numId w:val="18"/>
              </w:numPr>
              <w:spacing w:before="0"/>
            </w:pPr>
            <w:r w:rsidRPr="00A34764">
              <w:t>Nezájem poskytovatelů sociálních služeb o podávání projektových žádostí do vyhlášených výzev</w:t>
            </w:r>
          </w:p>
          <w:p w:rsidR="00FB1999" w:rsidRPr="00A34764" w:rsidRDefault="00FB1999" w:rsidP="002D18F3">
            <w:pPr>
              <w:pStyle w:val="Odstavecseseznamem"/>
              <w:numPr>
                <w:ilvl w:val="0"/>
                <w:numId w:val="18"/>
              </w:numPr>
              <w:spacing w:before="0"/>
            </w:pPr>
            <w:r w:rsidRPr="00A34764">
              <w:t xml:space="preserve">Nezájem </w:t>
            </w:r>
            <w:r w:rsidRPr="00A34764">
              <w:rPr>
                <w:bCs/>
              </w:rPr>
              <w:t>pracovníků v sociálních službách</w:t>
            </w:r>
            <w:r w:rsidRPr="00A34764">
              <w:rPr>
                <w:b/>
                <w:bCs/>
              </w:rPr>
              <w:t xml:space="preserve"> </w:t>
            </w:r>
            <w:r w:rsidRPr="00A34764">
              <w:t>o zvyšování svých kompetencí</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OK, poskytovatelé sociálních služeb zařazených do sítě sociálních služeb OK, vzdělávací instituce</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2024</w:t>
            </w:r>
            <w:r w:rsidR="001A0E30">
              <w:rPr>
                <w:rFonts w:eastAsia="Arial Unicode MS"/>
                <w:lang w:eastAsia="cs-CZ"/>
              </w:rPr>
              <w:t>–</w:t>
            </w:r>
            <w:r w:rsidRPr="007C2EB2">
              <w:rPr>
                <w:rFonts w:eastAsia="Arial Unicode MS"/>
                <w:lang w:eastAsia="cs-CZ"/>
              </w:rPr>
              <w:t>2026</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EU/ESF</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Hodnotící indikátory výstupů a výsledků</w:t>
            </w:r>
          </w:p>
        </w:tc>
        <w:tc>
          <w:tcPr>
            <w:tcW w:w="3644" w:type="pct"/>
          </w:tcPr>
          <w:p w:rsidR="00FB1999" w:rsidRPr="00A34764" w:rsidRDefault="00FB1999" w:rsidP="002D18F3">
            <w:pPr>
              <w:pStyle w:val="Odstavecseseznamem"/>
              <w:numPr>
                <w:ilvl w:val="0"/>
                <w:numId w:val="15"/>
              </w:numPr>
              <w:spacing w:before="0"/>
            </w:pPr>
            <w:r w:rsidRPr="00A34764">
              <w:t>Počet podpořených projektů</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keepNext/>
              <w:spacing w:before="0"/>
              <w:jc w:val="left"/>
              <w:rPr>
                <w:rFonts w:eastAsia="Arial Unicode MS"/>
                <w:b/>
                <w:lang w:eastAsia="cs-CZ"/>
              </w:rPr>
            </w:pPr>
            <w:r w:rsidRPr="002D18F3">
              <w:rPr>
                <w:rFonts w:eastAsia="Arial Unicode MS"/>
                <w:b/>
                <w:lang w:eastAsia="cs-CZ"/>
              </w:rPr>
              <w:lastRenderedPageBreak/>
              <w:t xml:space="preserve">Kód opatření </w:t>
            </w:r>
          </w:p>
        </w:tc>
        <w:tc>
          <w:tcPr>
            <w:tcW w:w="3644" w:type="pct"/>
            <w:shd w:val="clear" w:color="auto" w:fill="E2EFD9" w:themeFill="accent6" w:themeFillTint="33"/>
          </w:tcPr>
          <w:p w:rsidR="00FB1999" w:rsidRPr="002D18F3" w:rsidRDefault="00FB1999" w:rsidP="002D18F3">
            <w:pPr>
              <w:keepNext/>
              <w:spacing w:before="0"/>
              <w:rPr>
                <w:rFonts w:eastAsia="Arial Unicode MS"/>
                <w:b/>
                <w:lang w:eastAsia="cs-CZ"/>
              </w:rPr>
            </w:pPr>
            <w:r w:rsidRPr="002D18F3">
              <w:rPr>
                <w:rFonts w:eastAsia="Arial Unicode MS"/>
                <w:b/>
                <w:lang w:eastAsia="cs-CZ"/>
              </w:rPr>
              <w:t>P 3.2</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keepNext/>
              <w:spacing w:before="0"/>
              <w:jc w:val="left"/>
              <w:rPr>
                <w:rFonts w:eastAsia="Arial Unicode MS"/>
                <w:b/>
                <w:lang w:eastAsia="cs-CZ"/>
              </w:rPr>
            </w:pPr>
            <w:r w:rsidRPr="002D18F3">
              <w:rPr>
                <w:rFonts w:eastAsia="Arial Unicode MS"/>
                <w:b/>
                <w:lang w:eastAsia="cs-CZ"/>
              </w:rPr>
              <w:t>Název opatření</w:t>
            </w:r>
          </w:p>
        </w:tc>
        <w:tc>
          <w:tcPr>
            <w:tcW w:w="3644" w:type="pct"/>
            <w:shd w:val="clear" w:color="auto" w:fill="E2EFD9" w:themeFill="accent6" w:themeFillTint="33"/>
          </w:tcPr>
          <w:p w:rsidR="00FB1999" w:rsidRPr="002D18F3" w:rsidRDefault="00FB1999" w:rsidP="002D18F3">
            <w:pPr>
              <w:keepNext/>
              <w:spacing w:before="0"/>
              <w:rPr>
                <w:rFonts w:eastAsia="Arial Unicode MS"/>
                <w:b/>
                <w:lang w:eastAsia="cs-CZ"/>
              </w:rPr>
            </w:pPr>
            <w:r w:rsidRPr="002D18F3">
              <w:rPr>
                <w:rFonts w:eastAsia="Arial Unicode MS"/>
                <w:b/>
                <w:lang w:eastAsia="cs-CZ"/>
              </w:rPr>
              <w:t>Metodická podpora poskytovatelů sociálních služeb OK</w:t>
            </w:r>
          </w:p>
        </w:tc>
      </w:tr>
      <w:tr w:rsidR="00FB1999" w:rsidRPr="007C2EB2" w:rsidTr="002050FD">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Charakteristika opatření</w:t>
            </w:r>
          </w:p>
        </w:tc>
        <w:tc>
          <w:tcPr>
            <w:tcW w:w="3644" w:type="pct"/>
            <w:shd w:val="clear" w:color="auto" w:fill="auto"/>
          </w:tcPr>
          <w:p w:rsidR="00FB1999" w:rsidRPr="007C2EB2" w:rsidRDefault="00FB1999" w:rsidP="002D18F3">
            <w:pPr>
              <w:spacing w:before="0"/>
              <w:rPr>
                <w:rFonts w:eastAsia="Arial Unicode MS"/>
                <w:lang w:eastAsia="cs-CZ"/>
              </w:rPr>
            </w:pPr>
            <w:r w:rsidRPr="007C2EB2">
              <w:rPr>
                <w:rFonts w:eastAsia="Arial Unicode MS"/>
                <w:lang w:eastAsia="cs-CZ"/>
              </w:rPr>
              <w:t xml:space="preserve">Metodická podpora poskytovatelů sociálních služeb, prioritně v návaznosti </w:t>
            </w:r>
            <w:r w:rsidR="002050FD">
              <w:rPr>
                <w:rFonts w:eastAsia="Arial Unicode MS"/>
                <w:lang w:eastAsia="cs-CZ"/>
              </w:rPr>
              <w:t>na p</w:t>
            </w:r>
            <w:r w:rsidR="002050FD" w:rsidRPr="002050FD">
              <w:rPr>
                <w:rFonts w:eastAsia="Arial Unicode MS"/>
                <w:lang w:eastAsia="cs-CZ"/>
              </w:rPr>
              <w:t>růběžné zavádění nástrojů na definici požadavků pro nastavení jednotlivých druhů sociálních služeb</w:t>
            </w:r>
            <w:r w:rsidR="002050FD">
              <w:rPr>
                <w:rFonts w:eastAsia="Arial Unicode MS"/>
                <w:lang w:eastAsia="cs-CZ"/>
              </w:rPr>
              <w:t>, které v</w:t>
            </w:r>
            <w:r w:rsidRPr="007C2EB2">
              <w:rPr>
                <w:rFonts w:eastAsia="Arial Unicode MS"/>
                <w:lang w:eastAsia="cs-CZ"/>
              </w:rPr>
              <w:t xml:space="preserve">ymezují požadovaný obsah jednotlivých druhů sociálních služeb a tvoří jednotný rámec pro kontrolu a monitoring efektivity a účelnosti finančních prostředků vynaložených na poskytování sociálních služeb. Metodickým vedením ze strany kraje zvyšovat podporu, efektivitu a kvalitu sociálních služeb zařazených do sítě sociálních služeb OK, mimo jiné </w:t>
            </w:r>
            <w:r w:rsidR="002050FD">
              <w:rPr>
                <w:rFonts w:eastAsia="Arial Unicode MS"/>
                <w:lang w:eastAsia="cs-CZ"/>
              </w:rPr>
              <w:t>především</w:t>
            </w:r>
            <w:r w:rsidRPr="007C2EB2">
              <w:rPr>
                <w:rFonts w:eastAsia="Arial Unicode MS"/>
                <w:lang w:eastAsia="cs-CZ"/>
              </w:rPr>
              <w:t xml:space="preserve"> v</w:t>
            </w:r>
            <w:r w:rsidR="002050FD">
              <w:rPr>
                <w:rFonts w:eastAsia="Arial Unicode MS"/>
                <w:lang w:eastAsia="cs-CZ"/>
              </w:rPr>
              <w:t> </w:t>
            </w:r>
            <w:r w:rsidRPr="007C2EB2">
              <w:rPr>
                <w:rFonts w:eastAsia="Arial Unicode MS"/>
                <w:lang w:eastAsia="cs-CZ"/>
              </w:rPr>
              <w:t xml:space="preserve">oblasti přijímání a přehodnocování potřeb uživatelů sociálních služeb. </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Předpokládaný dopad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Definování požadavků na jednotlivé druhy sociálních služeb a jejich implementace do praxe. Fundovaní a dostatečně informovaní poskytovatelé sociálních služeb v OK, poskytující kvalitní sociální služby vycházející ze zjištěných a ověřených potřeb osob, které jsou v nepříznivé sociální situaci. Zvyšování kvality a efektivity sociálních služeb, které tvoří síť sociálních služeb a jsou financovány z veřejných rozpočtů.</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2D18F3">
            <w:pPr>
              <w:pStyle w:val="Odstavecseseznamem"/>
              <w:numPr>
                <w:ilvl w:val="0"/>
                <w:numId w:val="35"/>
              </w:numPr>
              <w:spacing w:before="0"/>
            </w:pPr>
            <w:r w:rsidRPr="00A34764">
              <w:t>Metodická setkání pro zástupce poskytovatelů sociálních služeb</w:t>
            </w:r>
            <w:r w:rsidRPr="00A34764">
              <w:rPr>
                <w:i/>
              </w:rPr>
              <w:t xml:space="preserve"> </w:t>
            </w:r>
            <w:r w:rsidRPr="00A34764">
              <w:t xml:space="preserve">v návaznosti na zpracování a </w:t>
            </w:r>
            <w:r w:rsidR="002050FD" w:rsidRPr="00A34764">
              <w:t>průběžné zavádění nástrojů na definici požadavků pro nastavení jednotlivých druhů sociálních služeb</w:t>
            </w:r>
          </w:p>
          <w:p w:rsidR="00FB1999" w:rsidRPr="00A34764" w:rsidRDefault="00FB1999" w:rsidP="002D18F3">
            <w:pPr>
              <w:pStyle w:val="Odstavecseseznamem"/>
              <w:numPr>
                <w:ilvl w:val="0"/>
                <w:numId w:val="35"/>
              </w:numPr>
              <w:spacing w:before="0"/>
              <w:rPr>
                <w:rFonts w:eastAsia="Calibri"/>
              </w:rPr>
            </w:pPr>
            <w:r w:rsidRPr="00A34764">
              <w:rPr>
                <w:rFonts w:eastAsia="Calibri"/>
              </w:rPr>
              <w:t>Realizace workshopů a konferencí zaměřených na aktuální problematiku v oblasti sociálních služeb s ohledem na mezioborový přesah a spolupráci (oblast zdravotnictví, školství, probační a mediační služba)</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Pr>
          <w:p w:rsidR="00FB1999" w:rsidRPr="00A34764" w:rsidRDefault="00FB1999" w:rsidP="002D18F3">
            <w:pPr>
              <w:pStyle w:val="Odstavecseseznamem"/>
              <w:numPr>
                <w:ilvl w:val="0"/>
                <w:numId w:val="18"/>
              </w:numPr>
              <w:spacing w:before="0"/>
            </w:pPr>
            <w:r w:rsidRPr="00A34764">
              <w:t>Nezájem poskytovatelů sociálních služeb o účast na metodických setkáních, workshopech a konferencích zaměřených na aktuální problematiku v oblasti sociálních služeb</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OK, vzdělávací instituce, poskytovatelé sociálních služeb, zaměstnanci veřejné správy, zástupci obcí</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2024</w:t>
            </w:r>
            <w:r w:rsidR="001A0E30">
              <w:rPr>
                <w:rFonts w:eastAsia="Arial Unicode MS"/>
                <w:lang w:eastAsia="cs-CZ"/>
              </w:rPr>
              <w:t>–</w:t>
            </w:r>
            <w:r w:rsidRPr="007C2EB2">
              <w:rPr>
                <w:rFonts w:eastAsia="Arial Unicode MS"/>
                <w:lang w:eastAsia="cs-CZ"/>
              </w:rPr>
              <w:t>2026</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OK, EU/ESF</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Hodnotící indikátory výstupů a výsledků</w:t>
            </w:r>
          </w:p>
        </w:tc>
        <w:tc>
          <w:tcPr>
            <w:tcW w:w="3644" w:type="pct"/>
          </w:tcPr>
          <w:p w:rsidR="00FB1999" w:rsidRPr="00A34764" w:rsidRDefault="00FB1999" w:rsidP="002D18F3">
            <w:pPr>
              <w:pStyle w:val="Odstavecseseznamem"/>
              <w:numPr>
                <w:ilvl w:val="0"/>
                <w:numId w:val="15"/>
              </w:numPr>
              <w:spacing w:before="0"/>
            </w:pPr>
            <w:r w:rsidRPr="00A34764">
              <w:t>Počet metodických setkání</w:t>
            </w:r>
          </w:p>
          <w:p w:rsidR="00FB1999" w:rsidRPr="00A34764" w:rsidRDefault="00FB1999" w:rsidP="002D18F3">
            <w:pPr>
              <w:pStyle w:val="Odstavecseseznamem"/>
              <w:numPr>
                <w:ilvl w:val="0"/>
                <w:numId w:val="15"/>
              </w:numPr>
              <w:spacing w:before="0"/>
            </w:pPr>
            <w:r w:rsidRPr="00A34764">
              <w:t>Počet realizovaných konferencí a workshopů</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keepNext/>
              <w:spacing w:before="0"/>
              <w:jc w:val="left"/>
              <w:rPr>
                <w:rFonts w:eastAsia="Arial Unicode MS"/>
                <w:b/>
                <w:lang w:eastAsia="cs-CZ"/>
              </w:rPr>
            </w:pPr>
            <w:r w:rsidRPr="002D18F3">
              <w:rPr>
                <w:rFonts w:eastAsia="Arial Unicode MS"/>
                <w:b/>
                <w:lang w:eastAsia="cs-CZ"/>
              </w:rPr>
              <w:t xml:space="preserve">Kód opatření </w:t>
            </w:r>
          </w:p>
        </w:tc>
        <w:tc>
          <w:tcPr>
            <w:tcW w:w="3644" w:type="pct"/>
            <w:shd w:val="clear" w:color="auto" w:fill="E2EFD9" w:themeFill="accent6" w:themeFillTint="33"/>
          </w:tcPr>
          <w:p w:rsidR="00FB1999" w:rsidRPr="002D18F3" w:rsidRDefault="00FB1999" w:rsidP="002D18F3">
            <w:pPr>
              <w:keepNext/>
              <w:spacing w:before="0"/>
              <w:rPr>
                <w:rFonts w:eastAsia="Arial Unicode MS"/>
                <w:b/>
                <w:lang w:eastAsia="cs-CZ"/>
              </w:rPr>
            </w:pPr>
            <w:r w:rsidRPr="002D18F3">
              <w:rPr>
                <w:rFonts w:eastAsia="Arial Unicode MS"/>
                <w:b/>
                <w:lang w:eastAsia="cs-CZ"/>
              </w:rPr>
              <w:t>P 3.3</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keepNext/>
              <w:spacing w:before="0"/>
              <w:jc w:val="left"/>
              <w:rPr>
                <w:rFonts w:eastAsia="Arial Unicode MS"/>
                <w:b/>
                <w:lang w:eastAsia="cs-CZ"/>
              </w:rPr>
            </w:pPr>
            <w:r w:rsidRPr="002D18F3">
              <w:rPr>
                <w:rFonts w:eastAsia="Arial Unicode MS"/>
                <w:b/>
                <w:lang w:eastAsia="cs-CZ"/>
              </w:rPr>
              <w:t>Název opatření</w:t>
            </w:r>
          </w:p>
        </w:tc>
        <w:tc>
          <w:tcPr>
            <w:tcW w:w="3644" w:type="pct"/>
            <w:shd w:val="clear" w:color="auto" w:fill="E2EFD9" w:themeFill="accent6" w:themeFillTint="33"/>
          </w:tcPr>
          <w:p w:rsidR="00FB1999" w:rsidRPr="002D18F3" w:rsidRDefault="00FB1999" w:rsidP="002D18F3">
            <w:pPr>
              <w:keepNext/>
              <w:spacing w:before="0"/>
              <w:rPr>
                <w:rFonts w:eastAsia="Arial Unicode MS"/>
                <w:b/>
                <w:highlight w:val="yellow"/>
                <w:lang w:eastAsia="cs-CZ"/>
              </w:rPr>
            </w:pPr>
            <w:r w:rsidRPr="002D18F3">
              <w:rPr>
                <w:rFonts w:eastAsia="Arial Unicode MS"/>
                <w:b/>
                <w:lang w:eastAsia="cs-CZ"/>
              </w:rPr>
              <w:t xml:space="preserve">Podpora procesu transformace a </w:t>
            </w:r>
            <w:proofErr w:type="spellStart"/>
            <w:r w:rsidRPr="002D18F3">
              <w:rPr>
                <w:rFonts w:eastAsia="Arial Unicode MS"/>
                <w:b/>
                <w:lang w:eastAsia="cs-CZ"/>
              </w:rPr>
              <w:t>deinstitucionalizace</w:t>
            </w:r>
            <w:proofErr w:type="spellEnd"/>
            <w:r w:rsidRPr="002D18F3">
              <w:rPr>
                <w:rFonts w:eastAsia="Arial Unicode MS"/>
                <w:b/>
                <w:lang w:eastAsia="cs-CZ"/>
              </w:rPr>
              <w:t xml:space="preserve"> u stávajících pobytových sociálních služeb včetně podpory reformy psychiatrické péče</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 xml:space="preserve">Podpora procesu </w:t>
            </w:r>
            <w:r w:rsidRPr="007C2EB2">
              <w:rPr>
                <w:rFonts w:eastAsia="Arial Unicode MS"/>
                <w:bCs/>
                <w:lang w:eastAsia="cs-CZ"/>
              </w:rPr>
              <w:t xml:space="preserve">transformace a </w:t>
            </w:r>
            <w:proofErr w:type="spellStart"/>
            <w:r w:rsidRPr="007C2EB2">
              <w:rPr>
                <w:rFonts w:eastAsia="Arial Unicode MS"/>
                <w:bCs/>
                <w:lang w:eastAsia="cs-CZ"/>
              </w:rPr>
              <w:t>deinstitucionalizace</w:t>
            </w:r>
            <w:proofErr w:type="spellEnd"/>
            <w:r w:rsidRPr="007C2EB2">
              <w:rPr>
                <w:rFonts w:eastAsia="Arial Unicode MS"/>
                <w:bCs/>
                <w:lang w:eastAsia="cs-CZ"/>
              </w:rPr>
              <w:t xml:space="preserve"> u stávajících pobytových sociálních služeb (domovy pro osoby se zdravotním postižením),</w:t>
            </w:r>
            <w:r w:rsidRPr="007C2EB2">
              <w:rPr>
                <w:rFonts w:eastAsia="Arial Unicode MS"/>
                <w:b/>
                <w:bCs/>
                <w:lang w:eastAsia="cs-CZ"/>
              </w:rPr>
              <w:t xml:space="preserve"> </w:t>
            </w:r>
            <w:r w:rsidRPr="007C2EB2">
              <w:rPr>
                <w:rFonts w:eastAsia="Arial Unicode MS"/>
                <w:lang w:eastAsia="cs-CZ"/>
              </w:rPr>
              <w:t>snižování velkokapacitních zařízení ústavního typu a rozvoje komunitních pobytových sociálních služeb, které svými podmínkami a</w:t>
            </w:r>
            <w:r>
              <w:rPr>
                <w:rFonts w:eastAsia="Arial Unicode MS"/>
                <w:lang w:eastAsia="cs-CZ"/>
              </w:rPr>
              <w:t> </w:t>
            </w:r>
            <w:r w:rsidRPr="007C2EB2">
              <w:rPr>
                <w:rFonts w:eastAsia="Arial Unicode MS"/>
                <w:lang w:eastAsia="cs-CZ"/>
              </w:rPr>
              <w:t>materiálně technickým zajištěním umožní uživatelům žít přirozeným způsobem života.</w:t>
            </w:r>
            <w:r w:rsidRPr="007C2EB2">
              <w:t xml:space="preserve"> </w:t>
            </w:r>
            <w:r w:rsidRPr="007C2EB2">
              <w:rPr>
                <w:rFonts w:eastAsia="Arial Unicode MS"/>
                <w:lang w:eastAsia="cs-CZ"/>
              </w:rPr>
              <w:t>V rámci reformy psychiatrické péče podpora procesu sociálního začleňování a naplňování individuálních potřeb osob s chronickým duševním onemocněním vedoucí k sociálnímu začleňování</w:t>
            </w:r>
            <w:r>
              <w:rPr>
                <w:rFonts w:eastAsia="Arial Unicode MS"/>
                <w:lang w:eastAsia="cs-CZ"/>
              </w:rPr>
              <w:t xml:space="preserve"> a život</w:t>
            </w:r>
            <w:r w:rsidR="003F17FB">
              <w:rPr>
                <w:rFonts w:eastAsia="Arial Unicode MS"/>
                <w:lang w:eastAsia="cs-CZ"/>
              </w:rPr>
              <w:t>u</w:t>
            </w:r>
            <w:r>
              <w:rPr>
                <w:rFonts w:eastAsia="Arial Unicode MS"/>
                <w:lang w:eastAsia="cs-CZ"/>
              </w:rPr>
              <w:t xml:space="preserve"> v </w:t>
            </w:r>
            <w:r w:rsidR="0048221B">
              <w:rPr>
                <w:rFonts w:eastAsia="Arial Unicode MS"/>
                <w:lang w:eastAsia="cs-CZ"/>
              </w:rPr>
              <w:t xml:space="preserve">běžné </w:t>
            </w:r>
            <w:r>
              <w:rPr>
                <w:rFonts w:eastAsia="Arial Unicode MS"/>
                <w:lang w:eastAsia="cs-CZ"/>
              </w:rPr>
              <w:t>komunitě.</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lastRenderedPageBreak/>
              <w:t>Předpokládaný dopad opatření</w:t>
            </w:r>
          </w:p>
        </w:tc>
        <w:tc>
          <w:tcPr>
            <w:tcW w:w="3644" w:type="pct"/>
          </w:tcPr>
          <w:p w:rsidR="00FB1999" w:rsidRPr="007C2EB2" w:rsidRDefault="00FB1999" w:rsidP="002D18F3">
            <w:pPr>
              <w:spacing w:before="0"/>
              <w:rPr>
                <w:rFonts w:eastAsia="Arial Unicode MS"/>
                <w:lang w:eastAsia="cs-CZ"/>
              </w:rPr>
            </w:pPr>
            <w:proofErr w:type="spellStart"/>
            <w:r w:rsidRPr="007C2EB2">
              <w:rPr>
                <w:rFonts w:eastAsia="Arial Unicode MS"/>
                <w:lang w:eastAsia="cs-CZ"/>
              </w:rPr>
              <w:t>Destigmatizace</w:t>
            </w:r>
            <w:proofErr w:type="spellEnd"/>
            <w:r w:rsidRPr="007C2EB2">
              <w:rPr>
                <w:rFonts w:eastAsia="Arial Unicode MS"/>
                <w:lang w:eastAsia="cs-CZ"/>
              </w:rPr>
              <w:t xml:space="preserve"> cílových skupin osob s chronickým duševním onemocnění</w:t>
            </w:r>
            <w:r w:rsidR="003F17FB">
              <w:rPr>
                <w:rFonts w:eastAsia="Arial Unicode MS"/>
                <w:lang w:eastAsia="cs-CZ"/>
              </w:rPr>
              <w:t>m</w:t>
            </w:r>
            <w:r w:rsidRPr="007C2EB2">
              <w:rPr>
                <w:rFonts w:eastAsia="Arial Unicode MS"/>
                <w:lang w:eastAsia="cs-CZ"/>
              </w:rPr>
              <w:t xml:space="preserve"> a zdravotním postižením, pozitivní přijetí procesu transformace a reformy psychiatrické péče</w:t>
            </w:r>
            <w:r w:rsidR="00491D57">
              <w:rPr>
                <w:rFonts w:eastAsia="Arial Unicode MS"/>
                <w:lang w:eastAsia="cs-CZ"/>
              </w:rPr>
              <w:t>, mimo jiné prostřednictvím</w:t>
            </w:r>
            <w:r w:rsidR="00491D57" w:rsidRPr="007C2EB2">
              <w:rPr>
                <w:rFonts w:eastAsia="Arial Unicode MS"/>
                <w:bCs/>
                <w:lang w:eastAsia="cs-CZ"/>
              </w:rPr>
              <w:t xml:space="preserve"> </w:t>
            </w:r>
            <w:r w:rsidR="00491D57">
              <w:rPr>
                <w:rFonts w:eastAsia="Arial Unicode MS"/>
                <w:bCs/>
                <w:lang w:eastAsia="cs-CZ"/>
              </w:rPr>
              <w:t>p</w:t>
            </w:r>
            <w:r w:rsidR="00491D57" w:rsidRPr="007C2EB2">
              <w:rPr>
                <w:rFonts w:eastAsia="Arial Unicode MS"/>
                <w:bCs/>
                <w:lang w:eastAsia="cs-CZ"/>
              </w:rPr>
              <w:t xml:space="preserve">ropagace tématu </w:t>
            </w:r>
            <w:r w:rsidR="00491D57">
              <w:rPr>
                <w:rFonts w:eastAsia="Arial Unicode MS"/>
                <w:bCs/>
                <w:lang w:eastAsia="cs-CZ"/>
              </w:rPr>
              <w:t>na sociálních sítích, webových strán</w:t>
            </w:r>
            <w:r w:rsidR="00491D57" w:rsidRPr="007C2EB2">
              <w:rPr>
                <w:rFonts w:eastAsia="Arial Unicode MS"/>
                <w:bCs/>
                <w:lang w:eastAsia="cs-CZ"/>
              </w:rPr>
              <w:t>k</w:t>
            </w:r>
            <w:r w:rsidR="00491D57">
              <w:rPr>
                <w:rFonts w:eastAsia="Arial Unicode MS"/>
                <w:bCs/>
                <w:lang w:eastAsia="cs-CZ"/>
              </w:rPr>
              <w:t>ách</w:t>
            </w:r>
            <w:r w:rsidR="00491D57" w:rsidRPr="007C2EB2">
              <w:rPr>
                <w:rFonts w:eastAsia="Arial Unicode MS"/>
                <w:bCs/>
                <w:lang w:eastAsia="cs-CZ"/>
              </w:rPr>
              <w:t xml:space="preserve"> OK, měst a obcí, dalších NNO a inst</w:t>
            </w:r>
            <w:r w:rsidR="00B47789">
              <w:rPr>
                <w:rFonts w:eastAsia="Arial Unicode MS"/>
                <w:bCs/>
                <w:lang w:eastAsia="cs-CZ"/>
              </w:rPr>
              <w:t>itucí podporující</w:t>
            </w:r>
            <w:r w:rsidR="001A0E30">
              <w:rPr>
                <w:rFonts w:eastAsia="Arial Unicode MS"/>
                <w:bCs/>
                <w:lang w:eastAsia="cs-CZ"/>
              </w:rPr>
              <w:t>ch</w:t>
            </w:r>
            <w:r w:rsidR="00B47789">
              <w:rPr>
                <w:rFonts w:eastAsia="Arial Unicode MS"/>
                <w:bCs/>
                <w:lang w:eastAsia="cs-CZ"/>
              </w:rPr>
              <w:t xml:space="preserve"> dané aktivity.</w:t>
            </w:r>
            <w:r w:rsidRPr="007C2EB2">
              <w:rPr>
                <w:rFonts w:eastAsia="Arial Unicode MS"/>
                <w:lang w:eastAsia="cs-CZ"/>
              </w:rPr>
              <w:t xml:space="preserve"> Posílení spolupráce zainteresovaných subjektů </w:t>
            </w:r>
            <w:r w:rsidRPr="007C2EB2">
              <w:rPr>
                <w:rFonts w:eastAsia="Arial Unicode MS"/>
                <w:bCs/>
                <w:lang w:eastAsia="cs-CZ"/>
              </w:rPr>
              <w:t xml:space="preserve">v oblasti transformace sociálních služeb a reformy psychiatrické péče. </w:t>
            </w:r>
          </w:p>
          <w:p w:rsidR="00FB1999" w:rsidRPr="007C2EB2" w:rsidRDefault="00FB1999" w:rsidP="002D18F3">
            <w:pPr>
              <w:spacing w:before="0"/>
              <w:rPr>
                <w:rFonts w:eastAsia="Arial Unicode MS"/>
                <w:lang w:eastAsia="cs-CZ"/>
              </w:rPr>
            </w:pPr>
            <w:r w:rsidRPr="007C2EB2">
              <w:rPr>
                <w:rFonts w:eastAsia="Arial Unicode MS"/>
                <w:lang w:eastAsia="cs-CZ"/>
              </w:rPr>
              <w:t xml:space="preserve">Realizace transformačních a </w:t>
            </w:r>
            <w:proofErr w:type="spellStart"/>
            <w:r w:rsidRPr="007C2EB2">
              <w:rPr>
                <w:rFonts w:eastAsia="Arial Unicode MS"/>
                <w:lang w:eastAsia="cs-CZ"/>
              </w:rPr>
              <w:t>deinstitucionalizačních</w:t>
            </w:r>
            <w:proofErr w:type="spellEnd"/>
            <w:r w:rsidRPr="007C2EB2">
              <w:rPr>
                <w:rFonts w:eastAsia="Arial Unicode MS"/>
                <w:lang w:eastAsia="cs-CZ"/>
              </w:rPr>
              <w:t xml:space="preserve"> aktivit vedoucích k sociálnímu začleňování, využívání potenciálu osoby se zdravotním postižením k udržení života v přirozené komunitě.</w:t>
            </w:r>
            <w:r w:rsidRPr="007C2EB2">
              <w:t xml:space="preserve"> </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2D18F3">
            <w:pPr>
              <w:pStyle w:val="Odstavecseseznamem"/>
              <w:numPr>
                <w:ilvl w:val="0"/>
                <w:numId w:val="21"/>
              </w:numPr>
              <w:spacing w:before="0"/>
            </w:pPr>
            <w:r w:rsidRPr="00A34764">
              <w:t>Realizace případových konferencí, workshopů směřující k zvyšování kompetencí a sdílení dobré praxe</w:t>
            </w:r>
          </w:p>
          <w:p w:rsidR="00FB1999" w:rsidRPr="00A34764" w:rsidRDefault="00FB1999" w:rsidP="002D18F3">
            <w:pPr>
              <w:pStyle w:val="Odstavecseseznamem"/>
              <w:numPr>
                <w:ilvl w:val="0"/>
                <w:numId w:val="21"/>
              </w:numPr>
              <w:spacing w:before="0"/>
            </w:pPr>
            <w:r w:rsidRPr="00A34764">
              <w:t>Propagační a informační aktivity směřující k laické i odborné veřejnosti</w:t>
            </w:r>
          </w:p>
          <w:p w:rsidR="00FB1999" w:rsidRPr="00A34764" w:rsidRDefault="00FB1999" w:rsidP="002D18F3">
            <w:pPr>
              <w:pStyle w:val="Odstavecseseznamem"/>
              <w:numPr>
                <w:ilvl w:val="0"/>
                <w:numId w:val="21"/>
              </w:numPr>
              <w:spacing w:before="0"/>
            </w:pPr>
            <w:r w:rsidRPr="00A34764">
              <w:t xml:space="preserve">Podpora projektů zaměřených na </w:t>
            </w:r>
            <w:proofErr w:type="spellStart"/>
            <w:r w:rsidRPr="00A34764">
              <w:t>deinstitucionalizaci</w:t>
            </w:r>
            <w:proofErr w:type="spellEnd"/>
            <w:r w:rsidRPr="00A34764">
              <w:t xml:space="preserve"> a transformaci pobytových sociálních zařízení (domovy pro osoby se zdravotním postižením </w:t>
            </w:r>
            <w:r w:rsidR="001A0E30" w:rsidRPr="00A34764">
              <w:t>–</w:t>
            </w:r>
            <w:r w:rsidRPr="00A34764">
              <w:t xml:space="preserve"> bez navyšování kapacit)</w:t>
            </w:r>
          </w:p>
          <w:p w:rsidR="00FB1999" w:rsidRPr="00A34764" w:rsidRDefault="00FB1999" w:rsidP="002D18F3">
            <w:pPr>
              <w:pStyle w:val="Odstavecseseznamem"/>
              <w:numPr>
                <w:ilvl w:val="0"/>
                <w:numId w:val="21"/>
              </w:numPr>
              <w:spacing w:before="0"/>
            </w:pPr>
            <w:r w:rsidRPr="00A34764">
              <w:t>Registrace sociálních služeb vzniklých v průběhu transformačního procesu a v rámci reformy psychiatrické péče, změny v registračních podmínkách stávajících sociálních služeb</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Pr>
          <w:p w:rsidR="00FB1999" w:rsidRPr="00A34764" w:rsidRDefault="00FB1999" w:rsidP="002D18F3">
            <w:pPr>
              <w:pStyle w:val="Odstavecseseznamem"/>
              <w:numPr>
                <w:ilvl w:val="0"/>
                <w:numId w:val="18"/>
              </w:numPr>
              <w:spacing w:before="0"/>
            </w:pPr>
            <w:r w:rsidRPr="00A34764">
              <w:t xml:space="preserve">Nedostatek vyhlášených výzev z EU/ESF zaměřených na transformaci a </w:t>
            </w:r>
            <w:proofErr w:type="spellStart"/>
            <w:r w:rsidRPr="00A34764">
              <w:t>deistitucionalizaci</w:t>
            </w:r>
            <w:proofErr w:type="spellEnd"/>
            <w:r w:rsidRPr="00A34764">
              <w:t xml:space="preserve"> sociálních služeb </w:t>
            </w:r>
          </w:p>
          <w:p w:rsidR="00FB1999" w:rsidRPr="00A34764" w:rsidRDefault="00FB1999" w:rsidP="002D18F3">
            <w:pPr>
              <w:pStyle w:val="Odstavecseseznamem"/>
              <w:numPr>
                <w:ilvl w:val="0"/>
                <w:numId w:val="18"/>
              </w:numPr>
              <w:spacing w:before="0"/>
            </w:pPr>
            <w:r w:rsidRPr="00A34764">
              <w:t xml:space="preserve">Nezájem poskytovatelů sociálních služeb o zapojení se do procesu transformace a </w:t>
            </w:r>
            <w:proofErr w:type="spellStart"/>
            <w:r w:rsidRPr="00A34764">
              <w:t>deinstitucionalizace</w:t>
            </w:r>
            <w:proofErr w:type="spellEnd"/>
          </w:p>
          <w:p w:rsidR="00FB1999" w:rsidRPr="00A34764" w:rsidRDefault="00FB1999" w:rsidP="002D18F3">
            <w:pPr>
              <w:pStyle w:val="Odstavecseseznamem"/>
              <w:numPr>
                <w:ilvl w:val="0"/>
                <w:numId w:val="18"/>
              </w:numPr>
              <w:spacing w:before="0"/>
            </w:pPr>
            <w:r w:rsidRPr="00A34764">
              <w:t>Nezájem poskytovatelů sociálních služeb o zapojení se do procesu reformy psychiatrické péče</w:t>
            </w:r>
          </w:p>
          <w:p w:rsidR="003F17FB" w:rsidRPr="00A34764" w:rsidRDefault="003F17FB" w:rsidP="002D18F3">
            <w:pPr>
              <w:pStyle w:val="Odstavecseseznamem"/>
              <w:numPr>
                <w:ilvl w:val="0"/>
                <w:numId w:val="18"/>
              </w:numPr>
              <w:spacing w:before="0"/>
            </w:pPr>
            <w:r w:rsidRPr="00A34764">
              <w:t xml:space="preserve">Nesouhlas </w:t>
            </w:r>
            <w:r w:rsidR="00FB1999" w:rsidRPr="00A34764">
              <w:t xml:space="preserve">obcí </w:t>
            </w:r>
            <w:r w:rsidRPr="00A34764">
              <w:t xml:space="preserve">s </w:t>
            </w:r>
            <w:r w:rsidR="00FB1999" w:rsidRPr="00A34764">
              <w:t>využití</w:t>
            </w:r>
            <w:r w:rsidRPr="00A34764">
              <w:t>m</w:t>
            </w:r>
            <w:r w:rsidR="00FB1999" w:rsidRPr="00A34764">
              <w:t xml:space="preserve"> </w:t>
            </w:r>
            <w:r w:rsidR="001A0E30" w:rsidRPr="00A34764">
              <w:t xml:space="preserve">jejich </w:t>
            </w:r>
            <w:r w:rsidR="00FB1999" w:rsidRPr="00A34764">
              <w:t xml:space="preserve">objektů k transformaci </w:t>
            </w:r>
          </w:p>
          <w:p w:rsidR="00FB1999" w:rsidRPr="00A34764" w:rsidRDefault="003F17FB" w:rsidP="002D18F3">
            <w:pPr>
              <w:pStyle w:val="Odstavecseseznamem"/>
              <w:numPr>
                <w:ilvl w:val="0"/>
                <w:numId w:val="18"/>
              </w:numPr>
              <w:spacing w:before="0"/>
            </w:pPr>
            <w:r w:rsidRPr="00A34764">
              <w:t>Nesouhlasný postoj občanů obcí, v nichž má být zřízena transformovaná služba</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OK, registrovaní poskytovatelé sociálních služeb zařazení v síti sociálních služeb OK</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2024</w:t>
            </w:r>
            <w:r w:rsidR="001A0E30">
              <w:rPr>
                <w:rFonts w:eastAsia="Arial Unicode MS"/>
                <w:lang w:eastAsia="cs-CZ"/>
              </w:rPr>
              <w:t>–</w:t>
            </w:r>
            <w:r w:rsidRPr="007C2EB2">
              <w:rPr>
                <w:rFonts w:eastAsia="Arial Unicode MS"/>
                <w:lang w:eastAsia="cs-CZ"/>
              </w:rPr>
              <w:t>2026</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EU/ESF</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Hodnotící indikátory výstupů a výsledků</w:t>
            </w:r>
          </w:p>
        </w:tc>
        <w:tc>
          <w:tcPr>
            <w:tcW w:w="3644" w:type="pct"/>
          </w:tcPr>
          <w:p w:rsidR="00FB1999" w:rsidRPr="00A34764" w:rsidRDefault="00FB1999" w:rsidP="002D18F3">
            <w:pPr>
              <w:pStyle w:val="Odstavecseseznamem"/>
              <w:numPr>
                <w:ilvl w:val="0"/>
                <w:numId w:val="15"/>
              </w:numPr>
              <w:spacing w:before="0"/>
            </w:pPr>
            <w:r w:rsidRPr="00A34764">
              <w:t>Vyjádřená podpora OK pro realizaci transformačních projektů</w:t>
            </w:r>
          </w:p>
          <w:p w:rsidR="00FB1999" w:rsidRPr="00A34764" w:rsidRDefault="00FB1999" w:rsidP="002D18F3">
            <w:pPr>
              <w:pStyle w:val="Odstavecseseznamem"/>
              <w:numPr>
                <w:ilvl w:val="0"/>
                <w:numId w:val="15"/>
              </w:numPr>
              <w:spacing w:before="0"/>
            </w:pPr>
            <w:r w:rsidRPr="00A34764">
              <w:t xml:space="preserve">Počet konferencí a workshopů </w:t>
            </w:r>
          </w:p>
          <w:p w:rsidR="00FB1999" w:rsidRPr="00A34764" w:rsidRDefault="00FB1999" w:rsidP="002D18F3">
            <w:pPr>
              <w:pStyle w:val="Odstavecseseznamem"/>
              <w:numPr>
                <w:ilvl w:val="0"/>
                <w:numId w:val="15"/>
              </w:numPr>
              <w:spacing w:before="0"/>
            </w:pPr>
            <w:r w:rsidRPr="00A34764">
              <w:t>Počet uveřejněných příspěvk</w:t>
            </w:r>
            <w:r w:rsidR="001A0E30" w:rsidRPr="00A34764">
              <w:t>ů</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Kód opatření </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P 3.4</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t>Název opatření</w:t>
            </w:r>
          </w:p>
        </w:tc>
        <w:tc>
          <w:tcPr>
            <w:tcW w:w="3644" w:type="pct"/>
            <w:shd w:val="clear" w:color="auto" w:fill="E2EFD9" w:themeFill="accent6" w:themeFillTint="33"/>
          </w:tcPr>
          <w:p w:rsidR="00FB1999" w:rsidRPr="002D18F3" w:rsidRDefault="00FB1999" w:rsidP="002D18F3">
            <w:pPr>
              <w:spacing w:before="0"/>
              <w:rPr>
                <w:rFonts w:eastAsia="Arial Unicode MS"/>
                <w:b/>
                <w:highlight w:val="yellow"/>
                <w:lang w:eastAsia="cs-CZ"/>
              </w:rPr>
            </w:pPr>
            <w:r w:rsidRPr="002D18F3">
              <w:rPr>
                <w:rFonts w:eastAsia="Arial Unicode MS"/>
                <w:b/>
                <w:lang w:eastAsia="cs-CZ"/>
              </w:rPr>
              <w:t>Podpora humanizace a zlepšení materiálně technických podmínek stávajících sociálních služeb s ohledem na individuální potřeby uživatelů</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Podpora procesů a aktivit cílených na zvyšování kvality služeb s důrazem na zajištění důstojných podmínek a humanizace služeb s ohledem na individuální potřeby uživatelů a okruh sociálních jevů, na které služby reagují. Zkvalitňování materiálně technické základny sociálních služeb tak, aby byla respektov</w:t>
            </w:r>
            <w:r w:rsidR="00A32B3E">
              <w:rPr>
                <w:rFonts w:eastAsia="Arial Unicode MS"/>
                <w:lang w:eastAsia="cs-CZ"/>
              </w:rPr>
              <w:t>á</w:t>
            </w:r>
            <w:r w:rsidRPr="007C2EB2">
              <w:rPr>
                <w:rFonts w:eastAsia="Arial Unicode MS"/>
                <w:lang w:eastAsia="cs-CZ"/>
              </w:rPr>
              <w:t>n</w:t>
            </w:r>
            <w:r w:rsidR="00A32B3E">
              <w:rPr>
                <w:rFonts w:eastAsia="Arial Unicode MS"/>
                <w:lang w:eastAsia="cs-CZ"/>
              </w:rPr>
              <w:t>a</w:t>
            </w:r>
            <w:r w:rsidRPr="007C2EB2">
              <w:rPr>
                <w:rFonts w:eastAsia="Arial Unicode MS"/>
                <w:lang w:eastAsia="cs-CZ"/>
              </w:rPr>
              <w:t xml:space="preserve"> práva a specifické potřeby uživatelů sociálních služeb v odpovídajícím prostředí s využitím nových a moderních technologických řešení.</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lastRenderedPageBreak/>
              <w:t>Předpokládaný dopad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 xml:space="preserve">Zkvalitnění uživatelského klimatu a životního prostředí klientů, především úpravou podmínek a prostředí stávajících sociálních služeb za pomoci zavádění </w:t>
            </w:r>
            <w:proofErr w:type="spellStart"/>
            <w:r w:rsidRPr="007C2EB2">
              <w:rPr>
                <w:rFonts w:eastAsia="Arial Unicode MS"/>
                <w:lang w:eastAsia="cs-CZ"/>
              </w:rPr>
              <w:t>asistivních</w:t>
            </w:r>
            <w:proofErr w:type="spellEnd"/>
            <w:r w:rsidRPr="007C2EB2">
              <w:rPr>
                <w:rFonts w:eastAsia="Arial Unicode MS"/>
                <w:lang w:eastAsia="cs-CZ"/>
              </w:rPr>
              <w:t xml:space="preserve"> technologií, modernizací vybavení, realizací technických a konstrukčních řešení při odstraňování bariér a v neposlední řadě</w:t>
            </w:r>
            <w:r w:rsidRPr="007C2EB2">
              <w:t xml:space="preserve"> úpravy materiálně technických podmínek ve stávajících objektech sociálních služeb, které neodpovídají materiálně technickému standardu – snižováním počtu lůžek ve službách</w:t>
            </w:r>
            <w:r w:rsidRPr="007C2EB2">
              <w:rPr>
                <w:rFonts w:eastAsia="Arial Unicode MS"/>
                <w:lang w:eastAsia="cs-CZ"/>
              </w:rPr>
              <w:t xml:space="preserve">. Zvyšování bezpečnosti a technické účinnosti provozu, s ohledem na specializaci služeb, vzhledem k převažujícím cílovým skupinám uživatelů a specifickým požadavkům na danou službu kladeným. Využívání informačních technologií při poskytování sociálních služeb v podmínkách mimořádných situací. </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2D18F3">
            <w:pPr>
              <w:pStyle w:val="Odstavecseseznamem"/>
              <w:numPr>
                <w:ilvl w:val="0"/>
                <w:numId w:val="58"/>
              </w:numPr>
              <w:spacing w:before="0"/>
            </w:pPr>
            <w:r w:rsidRPr="00A34764">
              <w:t xml:space="preserve">Zpracování projektových záměrů zaměřených na humanizaci stávajících zařízení sociálních služeb pro vymezené cílové skupiny osob </w:t>
            </w:r>
          </w:p>
          <w:p w:rsidR="00FB1999" w:rsidRPr="00A34764" w:rsidRDefault="00FB1999" w:rsidP="002D18F3">
            <w:pPr>
              <w:pStyle w:val="Odstavecseseznamem"/>
              <w:numPr>
                <w:ilvl w:val="0"/>
                <w:numId w:val="58"/>
              </w:numPr>
              <w:spacing w:before="0"/>
            </w:pPr>
            <w:r w:rsidRPr="00A34764">
              <w:t xml:space="preserve">Podpora projektů zaměřených na </w:t>
            </w:r>
            <w:proofErr w:type="spellStart"/>
            <w:r w:rsidRPr="00A34764">
              <w:t>deinstitucionalizaci</w:t>
            </w:r>
            <w:proofErr w:type="spellEnd"/>
            <w:r w:rsidRPr="00A34764">
              <w:t xml:space="preserve"> pobytových sociálních zařízení (bez navyšování kapacit)</w:t>
            </w:r>
          </w:p>
          <w:p w:rsidR="00FB1999" w:rsidRPr="00A34764" w:rsidRDefault="00FB1999" w:rsidP="002D18F3">
            <w:pPr>
              <w:pStyle w:val="Odstavecseseznamem"/>
              <w:numPr>
                <w:ilvl w:val="0"/>
                <w:numId w:val="58"/>
              </w:numPr>
              <w:spacing w:before="0"/>
            </w:pPr>
            <w:r w:rsidRPr="00A34764">
              <w:t>Registrace sociálních služeb vzniklých v průběhu transformačního procesu a změny v registračních podmínkách stávajících sociálních služeb</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Pr>
          <w:p w:rsidR="00FB1999" w:rsidRPr="00A34764" w:rsidRDefault="00FB1999" w:rsidP="002D18F3">
            <w:pPr>
              <w:pStyle w:val="Odstavecseseznamem"/>
              <w:numPr>
                <w:ilvl w:val="0"/>
                <w:numId w:val="18"/>
              </w:numPr>
              <w:spacing w:before="0"/>
            </w:pPr>
            <w:r w:rsidRPr="00A34764">
              <w:t xml:space="preserve">Nedostatek vyhlášených výzev z EU/ESF zaměřených na humanizaci sociálních služeb </w:t>
            </w:r>
          </w:p>
          <w:p w:rsidR="00FB1999" w:rsidRPr="00A34764" w:rsidRDefault="00FB1999" w:rsidP="002D18F3">
            <w:pPr>
              <w:pStyle w:val="Odstavecseseznamem"/>
              <w:numPr>
                <w:ilvl w:val="0"/>
                <w:numId w:val="18"/>
              </w:numPr>
              <w:spacing w:before="0"/>
            </w:pPr>
            <w:r w:rsidRPr="00A34764">
              <w:t>Nezájem poskytovatelů sociálních služeb o zapojení se do procesu humanizace</w:t>
            </w:r>
          </w:p>
          <w:p w:rsidR="00FB1999" w:rsidRPr="00A34764" w:rsidRDefault="00FB1999" w:rsidP="002D18F3">
            <w:pPr>
              <w:pStyle w:val="Odstavecseseznamem"/>
              <w:numPr>
                <w:ilvl w:val="0"/>
                <w:numId w:val="18"/>
              </w:numPr>
              <w:spacing w:before="0"/>
            </w:pPr>
            <w:r w:rsidRPr="00A34764">
              <w:t>Nezájem poskytovatelů o změny související s materiálně technickými podmínkami stávajících sociálních služeb</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OK, registrovaní poskytovatelé sociálních služeb zařazení v síti sociálních služeb OK</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2024</w:t>
            </w:r>
            <w:r w:rsidR="00A32B3E">
              <w:rPr>
                <w:rFonts w:eastAsia="Arial Unicode MS"/>
                <w:lang w:eastAsia="cs-CZ"/>
              </w:rPr>
              <w:t>–</w:t>
            </w:r>
            <w:r w:rsidRPr="007C2EB2">
              <w:rPr>
                <w:rFonts w:eastAsia="Arial Unicode MS"/>
                <w:lang w:eastAsia="cs-CZ"/>
              </w:rPr>
              <w:t>2026</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EU/ESF</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Hodnotící indikátory výstupů a výsledků</w:t>
            </w:r>
          </w:p>
        </w:tc>
        <w:tc>
          <w:tcPr>
            <w:tcW w:w="3644" w:type="pct"/>
          </w:tcPr>
          <w:p w:rsidR="00FB1999" w:rsidRPr="00A34764" w:rsidRDefault="00FB1999" w:rsidP="002D18F3">
            <w:pPr>
              <w:pStyle w:val="Odstavecseseznamem"/>
              <w:numPr>
                <w:ilvl w:val="0"/>
                <w:numId w:val="15"/>
              </w:numPr>
              <w:spacing w:before="0"/>
            </w:pPr>
            <w:r w:rsidRPr="00A34764">
              <w:t xml:space="preserve">Vyjádřená podpora OK pro realizaci investičních projektů zaměřených na humanizaci </w:t>
            </w:r>
          </w:p>
        </w:tc>
      </w:tr>
    </w:tbl>
    <w:p w:rsidR="00FB1999" w:rsidRPr="007C2EB2" w:rsidRDefault="00FB1999" w:rsidP="002D18F3">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FB1999" w:rsidRPr="007C2EB2" w:rsidTr="00FB1999">
        <w:trPr>
          <w:trHeight w:val="397"/>
          <w:jc w:val="center"/>
        </w:trPr>
        <w:tc>
          <w:tcPr>
            <w:tcW w:w="1356" w:type="pct"/>
            <w:shd w:val="clear" w:color="auto" w:fill="FABF8F"/>
          </w:tcPr>
          <w:p w:rsidR="00FB1999" w:rsidRPr="002D18F3" w:rsidRDefault="00FB1999" w:rsidP="002D18F3">
            <w:pPr>
              <w:spacing w:before="0"/>
              <w:jc w:val="left"/>
              <w:rPr>
                <w:rFonts w:eastAsia="Arial Unicode MS"/>
                <w:b/>
                <w:lang w:eastAsia="cs-CZ"/>
              </w:rPr>
            </w:pPr>
            <w:r w:rsidRPr="002D18F3">
              <w:rPr>
                <w:rFonts w:eastAsia="Arial Unicode MS"/>
                <w:b/>
                <w:lang w:eastAsia="cs-CZ"/>
              </w:rPr>
              <w:t>Cíl P 4</w:t>
            </w:r>
          </w:p>
        </w:tc>
        <w:tc>
          <w:tcPr>
            <w:tcW w:w="3644" w:type="pct"/>
            <w:shd w:val="clear" w:color="auto" w:fill="FABF8F"/>
          </w:tcPr>
          <w:p w:rsidR="00FB1999" w:rsidRPr="002D18F3" w:rsidRDefault="00FB1999" w:rsidP="002D18F3">
            <w:pPr>
              <w:spacing w:before="0"/>
              <w:rPr>
                <w:rFonts w:eastAsia="Arial Unicode MS"/>
                <w:b/>
                <w:lang w:val="x-none" w:eastAsia="cs-CZ"/>
              </w:rPr>
            </w:pPr>
            <w:r w:rsidRPr="002D18F3">
              <w:rPr>
                <w:rFonts w:eastAsia="Arial Unicode MS"/>
                <w:b/>
                <w:lang w:eastAsia="cs-CZ"/>
              </w:rPr>
              <w:t xml:space="preserve">Posilování systému služeb vedoucích ke zvýšení </w:t>
            </w:r>
            <w:r w:rsidRPr="002D18F3">
              <w:rPr>
                <w:rFonts w:eastAsia="Arial Unicode MS"/>
                <w:b/>
                <w:lang w:val="x-none" w:eastAsia="cs-CZ"/>
              </w:rPr>
              <w:t>kvality života osob</w:t>
            </w:r>
            <w:r w:rsidRPr="002D18F3">
              <w:rPr>
                <w:rFonts w:eastAsia="Arial Unicode MS"/>
                <w:b/>
                <w:lang w:eastAsia="cs-CZ"/>
              </w:rPr>
              <w:t xml:space="preserve"> v </w:t>
            </w:r>
            <w:r w:rsidRPr="002D18F3">
              <w:rPr>
                <w:rFonts w:eastAsia="Arial Unicode MS"/>
                <w:b/>
                <w:lang w:val="x-none" w:eastAsia="cs-CZ"/>
              </w:rPr>
              <w:t>nepříznivé sociální situaci</w:t>
            </w:r>
          </w:p>
        </w:tc>
      </w:tr>
      <w:tr w:rsidR="00FB1999" w:rsidRPr="007C2EB2" w:rsidTr="00FB1999">
        <w:trPr>
          <w:trHeight w:val="397"/>
          <w:jc w:val="center"/>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t>Kód opatření</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P 4.1</w:t>
            </w:r>
          </w:p>
        </w:tc>
      </w:tr>
      <w:tr w:rsidR="00FB1999" w:rsidRPr="007C2EB2" w:rsidTr="00FB1999">
        <w:trPr>
          <w:trHeight w:val="397"/>
          <w:jc w:val="center"/>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Název opatření </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 xml:space="preserve">Podpora aktivit zaměřených na neformálně pečující osoby </w:t>
            </w:r>
            <w:r w:rsidRPr="002D18F3">
              <w:rPr>
                <w:rFonts w:eastAsia="Arial Unicode MS"/>
                <w:b/>
                <w:lang w:val="x-none" w:eastAsia="cs-CZ"/>
              </w:rPr>
              <w:t>včetně podpory spolupráce mezi sociálními službami a osobami</w:t>
            </w:r>
            <w:r w:rsidRPr="002D18F3">
              <w:rPr>
                <w:rFonts w:eastAsia="Arial Unicode MS"/>
                <w:b/>
                <w:lang w:eastAsia="cs-CZ"/>
              </w:rPr>
              <w:t xml:space="preserve"> neformálně pečujícími</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6153FB" w:rsidP="002D18F3">
            <w:pPr>
              <w:spacing w:before="0"/>
              <w:rPr>
                <w:rFonts w:eastAsia="Arial Unicode MS"/>
                <w:lang w:eastAsia="cs-CZ"/>
              </w:rPr>
            </w:pPr>
            <w:r>
              <w:rPr>
                <w:rFonts w:eastAsia="Arial Unicode MS"/>
                <w:lang w:eastAsia="cs-CZ"/>
              </w:rPr>
              <w:t xml:space="preserve">Rozvoj </w:t>
            </w:r>
            <w:r w:rsidR="00FB1999" w:rsidRPr="007C2EB2">
              <w:rPr>
                <w:rFonts w:eastAsia="Arial Unicode MS"/>
                <w:lang w:eastAsia="cs-CZ"/>
              </w:rPr>
              <w:t>spolupráce mezi pracovníky z řad poskytovatelů sociálních služeb, sociálními pracovníky obecních úřadů obcí s rozšířenou působností, pracovníky školských a zdravotních služeb, neformálně pečujícími osobami a akademickou půdou. Upevnění</w:t>
            </w:r>
            <w:r w:rsidR="00874BB0">
              <w:rPr>
                <w:rFonts w:eastAsia="Arial Unicode MS"/>
                <w:lang w:eastAsia="cs-CZ"/>
              </w:rPr>
              <w:t xml:space="preserve"> </w:t>
            </w:r>
            <w:r w:rsidR="00FB1999" w:rsidRPr="007C2EB2">
              <w:rPr>
                <w:rFonts w:eastAsia="Arial Unicode MS"/>
                <w:lang w:eastAsia="cs-CZ"/>
              </w:rPr>
              <w:t xml:space="preserve">metody sdílené péče </w:t>
            </w:r>
            <w:r w:rsidR="00874BB0">
              <w:rPr>
                <w:rFonts w:eastAsia="Arial Unicode MS"/>
                <w:lang w:eastAsia="cs-CZ"/>
              </w:rPr>
              <w:t>–</w:t>
            </w:r>
            <w:r w:rsidR="00FB1999" w:rsidRPr="007C2EB2">
              <w:rPr>
                <w:rFonts w:eastAsia="Arial Unicode MS"/>
                <w:lang w:eastAsia="cs-CZ"/>
              </w:rPr>
              <w:t xml:space="preserve"> </w:t>
            </w:r>
            <w:proofErr w:type="spellStart"/>
            <w:r w:rsidR="00FB1999" w:rsidRPr="007C2EB2">
              <w:rPr>
                <w:rFonts w:eastAsia="Arial Unicode MS"/>
                <w:lang w:eastAsia="cs-CZ"/>
              </w:rPr>
              <w:t>homesharingu</w:t>
            </w:r>
            <w:proofErr w:type="spellEnd"/>
            <w:r w:rsidR="00FB1999" w:rsidRPr="007C2EB2">
              <w:rPr>
                <w:rFonts w:eastAsia="Arial Unicode MS"/>
                <w:lang w:eastAsia="cs-CZ"/>
              </w:rPr>
              <w:t xml:space="preserve"> </w:t>
            </w:r>
            <w:r w:rsidR="00874BB0">
              <w:rPr>
                <w:rFonts w:eastAsia="Arial Unicode MS"/>
                <w:lang w:eastAsia="cs-CZ"/>
              </w:rPr>
              <w:t>–</w:t>
            </w:r>
            <w:r w:rsidR="003F17FB">
              <w:rPr>
                <w:rFonts w:eastAsia="Arial Unicode MS"/>
                <w:lang w:eastAsia="cs-CZ"/>
              </w:rPr>
              <w:t xml:space="preserve"> </w:t>
            </w:r>
            <w:r w:rsidR="00FB1999" w:rsidRPr="007C2EB2">
              <w:rPr>
                <w:rFonts w:eastAsia="Arial Unicode MS"/>
                <w:lang w:eastAsia="cs-CZ"/>
              </w:rPr>
              <w:t xml:space="preserve">pro rodiny osob se zdravotním postižením s rozšířením na sdílenou péči o osoby se všemi druhy zdravotního postižení žijící na území OK. Zabezpečení </w:t>
            </w:r>
            <w:proofErr w:type="spellStart"/>
            <w:r w:rsidR="00FB1999" w:rsidRPr="007C2EB2">
              <w:rPr>
                <w:rFonts w:eastAsia="Arial Unicode MS"/>
                <w:lang w:eastAsia="cs-CZ"/>
              </w:rPr>
              <w:t>respitních</w:t>
            </w:r>
            <w:proofErr w:type="spellEnd"/>
            <w:r w:rsidR="00FB1999" w:rsidRPr="007C2EB2">
              <w:rPr>
                <w:rFonts w:eastAsia="Arial Unicode MS"/>
                <w:lang w:eastAsia="cs-CZ"/>
              </w:rPr>
              <w:t xml:space="preserve"> pobytů pro rodiny s dětmi využívajícími služeb rané péče a uživatele služeb s mentálním a kombinovaným postižením využívající služeb sociální rehabilitace, sociálně terapeutických dílen, chráněného bydlení a odlehčovacích služeb. Zajištění možnosti </w:t>
            </w:r>
            <w:r w:rsidR="00FB1999" w:rsidRPr="007C2EB2">
              <w:rPr>
                <w:rFonts w:eastAsia="Arial Unicode MS"/>
                <w:lang w:eastAsia="cs-CZ"/>
              </w:rPr>
              <w:lastRenderedPageBreak/>
              <w:t xml:space="preserve">dalšího vzdělávání v aktuálních tématech. Zajištění podpůrných skupinových aktivit pro neformálně pečující osoby a dobrovolníky vedoucích k řešení konkrétních individuálních potřeb seniorů a osob se zdravotním postižením. </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lastRenderedPageBreak/>
              <w:t>Předpokládaný dopad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bCs/>
                <w:lang w:eastAsia="cs-CZ"/>
              </w:rPr>
              <w:t>V</w:t>
            </w:r>
            <w:r w:rsidRPr="007C2EB2">
              <w:rPr>
                <w:rFonts w:eastAsia="Arial Unicode MS"/>
                <w:lang w:eastAsia="cs-CZ"/>
              </w:rPr>
              <w:t>ytvoření příležitostí pro intenzivní vzdělávání, vzájemné sdílení a výměnu zkušeností, směřované k nácviku potřebných dovedností a schopností neformálně pečujících osob. Zabezpečení prostoru pro vlastní aktivity a</w:t>
            </w:r>
            <w:r w:rsidR="002D514E">
              <w:rPr>
                <w:rFonts w:eastAsia="Arial Unicode MS"/>
                <w:lang w:eastAsia="cs-CZ"/>
              </w:rPr>
              <w:t> </w:t>
            </w:r>
            <w:r w:rsidRPr="007C2EB2">
              <w:rPr>
                <w:rFonts w:eastAsia="Arial Unicode MS"/>
                <w:lang w:eastAsia="cs-CZ"/>
              </w:rPr>
              <w:t>odpočinek pro neformálně pečující osoby osob se sníženou soběstačností pramenící z mentálního či kombinovaného postižení, hledání a vyškolení zainteresovaných osob jako dalších zdrojů podpory a</w:t>
            </w:r>
            <w:r w:rsidR="002D514E">
              <w:rPr>
                <w:rFonts w:eastAsia="Arial Unicode MS"/>
                <w:lang w:eastAsia="cs-CZ"/>
              </w:rPr>
              <w:t> </w:t>
            </w:r>
            <w:r w:rsidRPr="007C2EB2">
              <w:rPr>
                <w:rFonts w:eastAsia="Arial Unicode MS"/>
                <w:lang w:eastAsia="cs-CZ"/>
              </w:rPr>
              <w:t>pomoci těmto osobám při jejich začleňování do společnosti a nácviku sociálních dovedností.</w:t>
            </w:r>
            <w:r w:rsidRPr="007C2EB2" w:rsidDel="00DF21FB">
              <w:rPr>
                <w:rFonts w:eastAsia="Arial Unicode MS"/>
                <w:lang w:eastAsia="cs-CZ"/>
              </w:rPr>
              <w:t xml:space="preserve"> </w:t>
            </w:r>
          </w:p>
          <w:p w:rsidR="00FB1999" w:rsidRPr="007C2EB2" w:rsidRDefault="00FB1999" w:rsidP="002D18F3">
            <w:pPr>
              <w:spacing w:before="0"/>
              <w:rPr>
                <w:rFonts w:eastAsia="Arial Unicode MS"/>
                <w:lang w:eastAsia="cs-CZ"/>
              </w:rPr>
            </w:pPr>
            <w:r w:rsidRPr="007C2EB2">
              <w:rPr>
                <w:rFonts w:eastAsia="Arial Unicode MS"/>
                <w:lang w:eastAsia="cs-CZ"/>
              </w:rPr>
              <w:t>Prostřednictvím neformálně pečujících osob zabezpečujících odpovídající potřeby blízkých osob se zdravotním postiže</w:t>
            </w:r>
            <w:r w:rsidR="002D514E">
              <w:rPr>
                <w:rFonts w:eastAsia="Arial Unicode MS"/>
                <w:lang w:eastAsia="cs-CZ"/>
              </w:rPr>
              <w:t>ním</w:t>
            </w:r>
            <w:r w:rsidRPr="007C2EB2">
              <w:rPr>
                <w:rFonts w:eastAsia="Arial Unicode MS"/>
                <w:lang w:eastAsia="cs-CZ"/>
              </w:rPr>
              <w:t xml:space="preserve"> či osob v seniorském věku </w:t>
            </w:r>
            <w:r w:rsidR="003F17FB">
              <w:rPr>
                <w:rFonts w:eastAsia="Arial Unicode MS"/>
                <w:lang w:eastAsia="cs-CZ"/>
              </w:rPr>
              <w:t>s</w:t>
            </w:r>
            <w:r w:rsidRPr="007C2EB2">
              <w:rPr>
                <w:rFonts w:eastAsia="Arial Unicode MS"/>
                <w:lang w:eastAsia="cs-CZ"/>
              </w:rPr>
              <w:t> různými typy demence, docílit podpory a získání kompetencí při jejich sociálním začleňování do společnosti.</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2D18F3">
            <w:pPr>
              <w:pStyle w:val="Odstavecseseznamem"/>
              <w:numPr>
                <w:ilvl w:val="0"/>
                <w:numId w:val="26"/>
              </w:numPr>
              <w:spacing w:before="0"/>
            </w:pPr>
            <w:r w:rsidRPr="00A34764">
              <w:t>Realizace workshopů a konferencí zaměřených na aktuální problematiku neformálně pečujících osob</w:t>
            </w:r>
          </w:p>
          <w:p w:rsidR="00FB1999" w:rsidRPr="00A34764" w:rsidRDefault="00FB1999" w:rsidP="002D18F3">
            <w:pPr>
              <w:pStyle w:val="Odstavecseseznamem"/>
              <w:numPr>
                <w:ilvl w:val="0"/>
                <w:numId w:val="26"/>
              </w:numPr>
              <w:spacing w:before="0"/>
            </w:pPr>
            <w:r w:rsidRPr="00A34764">
              <w:t xml:space="preserve">Realizace třídenních pobytů pro rodiny s dětmi se zdravotním omezením ve věku do 7 let, jež využívají služeb rané péče </w:t>
            </w:r>
          </w:p>
          <w:p w:rsidR="00FB1999" w:rsidRPr="00A34764" w:rsidRDefault="00FB1999" w:rsidP="002D18F3">
            <w:pPr>
              <w:pStyle w:val="Odstavecseseznamem"/>
              <w:numPr>
                <w:ilvl w:val="0"/>
                <w:numId w:val="26"/>
              </w:numPr>
              <w:spacing w:before="0"/>
            </w:pPr>
            <w:r w:rsidRPr="00A34764">
              <w:t xml:space="preserve">Realizace pobytů pro osoby s mentálním a kombinovaným postižením využívajících služeb sociální rehabilitace nebo sociálně terapeutické dílny, chráněného bydlení a odlehčovacích služeb na území OK, jejichž doplňkovým cílem je i odlehčení pečujícím osobám </w:t>
            </w:r>
          </w:p>
          <w:p w:rsidR="00FB1999" w:rsidRPr="00A34764" w:rsidRDefault="00FB1999" w:rsidP="002D18F3">
            <w:pPr>
              <w:pStyle w:val="Odstavecseseznamem"/>
              <w:numPr>
                <w:ilvl w:val="0"/>
                <w:numId w:val="26"/>
              </w:numPr>
              <w:spacing w:before="0"/>
            </w:pPr>
            <w:r w:rsidRPr="00A34764">
              <w:t>Realizace setkávání podpůrných rodičovských skupin neformálně pečujících</w:t>
            </w:r>
          </w:p>
          <w:p w:rsidR="00FB1999" w:rsidRPr="00A34764" w:rsidRDefault="00FB1999" w:rsidP="002D18F3">
            <w:pPr>
              <w:pStyle w:val="Odstavecseseznamem"/>
              <w:numPr>
                <w:ilvl w:val="0"/>
                <w:numId w:val="26"/>
              </w:numPr>
              <w:spacing w:before="0"/>
            </w:pPr>
            <w:r w:rsidRPr="00A34764">
              <w:t xml:space="preserve">Podpora rozvoje </w:t>
            </w:r>
            <w:proofErr w:type="spellStart"/>
            <w:r w:rsidRPr="00A34764">
              <w:t>homesharingu</w:t>
            </w:r>
            <w:proofErr w:type="spellEnd"/>
            <w:r w:rsidRPr="00A34764">
              <w:t xml:space="preserve"> pro osoby se zdravotním postižením v OK se zaměřením na osoby s mentálním a kombinovaným postižením</w:t>
            </w:r>
          </w:p>
          <w:p w:rsidR="00FB1999" w:rsidRPr="00A34764" w:rsidRDefault="00FB1999" w:rsidP="002D18F3">
            <w:pPr>
              <w:pStyle w:val="Odstavecseseznamem"/>
              <w:numPr>
                <w:ilvl w:val="0"/>
                <w:numId w:val="26"/>
              </w:numPr>
              <w:spacing w:before="0"/>
            </w:pPr>
            <w:r w:rsidRPr="00A34764">
              <w:t>Soubor přednášek pro pracovníky věnující se cílové skupině seniorů a pro osoby pečující o seniory s různými typy demence – neformálně pečující osoby</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Rizika a ohrožení</w:t>
            </w:r>
          </w:p>
        </w:tc>
        <w:tc>
          <w:tcPr>
            <w:tcW w:w="3644" w:type="pct"/>
          </w:tcPr>
          <w:p w:rsidR="00FB1999" w:rsidRPr="00A34764" w:rsidRDefault="00FB1999" w:rsidP="002D18F3">
            <w:pPr>
              <w:pStyle w:val="Odstavecseseznamem"/>
              <w:numPr>
                <w:ilvl w:val="0"/>
                <w:numId w:val="25"/>
              </w:numPr>
              <w:spacing w:before="0"/>
            </w:pPr>
            <w:r w:rsidRPr="00A34764">
              <w:t xml:space="preserve">Nedostatek finančních prostředků pro realizaci plánovaných aktivit </w:t>
            </w:r>
          </w:p>
          <w:p w:rsidR="00FB1999" w:rsidRPr="00A34764" w:rsidRDefault="00FB1999" w:rsidP="002D18F3">
            <w:pPr>
              <w:pStyle w:val="Odstavecseseznamem"/>
              <w:numPr>
                <w:ilvl w:val="0"/>
                <w:numId w:val="25"/>
              </w:numPr>
              <w:spacing w:before="0"/>
            </w:pPr>
            <w:r w:rsidRPr="00A34764">
              <w:t>Nezájem o realizované aktivity</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OK, poskytovatelé sociálních služeb zařazení v síti sociálních služeb OK, vzdělávací instituce</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2024</w:t>
            </w:r>
            <w:r w:rsidR="002D514E">
              <w:rPr>
                <w:rFonts w:eastAsia="Arial Unicode MS"/>
                <w:lang w:eastAsia="cs-CZ"/>
              </w:rPr>
              <w:t>–</w:t>
            </w:r>
            <w:r w:rsidRPr="007C2EB2">
              <w:rPr>
                <w:rFonts w:eastAsia="Arial Unicode MS"/>
                <w:lang w:eastAsia="cs-CZ"/>
              </w:rPr>
              <w:t>2026</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EU/ESF</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Hodnotící indikátory výstupů a výsledků</w:t>
            </w:r>
          </w:p>
        </w:tc>
        <w:tc>
          <w:tcPr>
            <w:tcW w:w="3644" w:type="pct"/>
          </w:tcPr>
          <w:p w:rsidR="00FB1999" w:rsidRPr="00A34764" w:rsidRDefault="00FB1999" w:rsidP="002D18F3">
            <w:pPr>
              <w:pStyle w:val="Odstavecseseznamem"/>
              <w:numPr>
                <w:ilvl w:val="0"/>
                <w:numId w:val="15"/>
              </w:numPr>
              <w:spacing w:before="0"/>
            </w:pPr>
            <w:r w:rsidRPr="00A34764">
              <w:t>Počet aktivit zaměřených na sdílení informací</w:t>
            </w:r>
          </w:p>
          <w:p w:rsidR="00FB1999" w:rsidRPr="00A34764" w:rsidRDefault="00FB1999" w:rsidP="002D18F3">
            <w:pPr>
              <w:pStyle w:val="Odstavecseseznamem"/>
              <w:numPr>
                <w:ilvl w:val="0"/>
                <w:numId w:val="15"/>
              </w:numPr>
              <w:spacing w:before="0"/>
            </w:pPr>
            <w:r w:rsidRPr="00A34764">
              <w:t>Počet vzdělávacích pobytů</w:t>
            </w:r>
          </w:p>
          <w:p w:rsidR="00FB1999" w:rsidRPr="00A34764" w:rsidRDefault="00FB1999" w:rsidP="002D18F3">
            <w:pPr>
              <w:pStyle w:val="Odstavecseseznamem"/>
              <w:numPr>
                <w:ilvl w:val="0"/>
                <w:numId w:val="15"/>
              </w:numPr>
              <w:spacing w:before="0"/>
            </w:pPr>
            <w:r w:rsidRPr="00A34764">
              <w:t>Počet setkání podpůrných skupin</w:t>
            </w:r>
          </w:p>
          <w:p w:rsidR="00FB1999" w:rsidRPr="00A34764" w:rsidRDefault="00FB1999" w:rsidP="002D18F3">
            <w:pPr>
              <w:pStyle w:val="Odstavecseseznamem"/>
              <w:numPr>
                <w:ilvl w:val="0"/>
                <w:numId w:val="15"/>
              </w:numPr>
              <w:spacing w:before="0"/>
            </w:pPr>
            <w:r w:rsidRPr="00A34764">
              <w:t>Počet realizovaných přednášek pro neformálně pečující osoby o</w:t>
            </w:r>
            <w:r w:rsidR="002D514E" w:rsidRPr="00A34764">
              <w:t> </w:t>
            </w:r>
            <w:r w:rsidRPr="00A34764">
              <w:t xml:space="preserve">osoby </w:t>
            </w:r>
            <w:r w:rsidR="003F17FB" w:rsidRPr="00A34764">
              <w:t>v</w:t>
            </w:r>
            <w:r w:rsidRPr="00A34764">
              <w:t> seniorském věku s různými typy demence</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t>Kód opatření</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P 4.2</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t>Název opatření</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 xml:space="preserve">Podpora aktivit zaměřených na prevenci a řešení problémů vznikajících v souvislosti s prohlubováním zadluženosti </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 xml:space="preserve">Podpora služeb prevence prostřednictvím aktivit vedoucích ke zvyšování odborných kompetencí a rozvíjení dovedností pracovníků věnujících se </w:t>
            </w:r>
            <w:r w:rsidRPr="007C2EB2">
              <w:rPr>
                <w:rFonts w:eastAsia="Arial Unicode MS"/>
                <w:lang w:eastAsia="cs-CZ"/>
              </w:rPr>
              <w:lastRenderedPageBreak/>
              <w:t>práci s osobami sociálně vyloučenými či sociálním vyloučením ohroženými.</w:t>
            </w:r>
            <w:r w:rsidRPr="007C2EB2">
              <w:rPr>
                <w:rFonts w:eastAsia="Arial Unicode MS"/>
                <w:bCs/>
                <w:lang w:eastAsia="cs-CZ"/>
              </w:rPr>
              <w:t xml:space="preserve"> </w:t>
            </w:r>
            <w:r w:rsidRPr="007C2EB2">
              <w:rPr>
                <w:rFonts w:eastAsia="Arial Unicode MS"/>
                <w:lang w:eastAsia="cs-CZ"/>
              </w:rPr>
              <w:t>Realizace aktivit směřujících k podpoře odborně poskytovaných sociálních služeb a k rozvoji informovanosti odborné a laické veřejnosti ve výše uvedených specifických oblastech se zaměřením na vzdělávání všech zainteresovaných odborníků, zabezpečení spolupráce mezi jednotlivými subjekty.</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lastRenderedPageBreak/>
              <w:t>Předpokládaný dopad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Systematická podpora služeb věnujících se problematice zadluženosti, prostřednictvím cíleného</w:t>
            </w:r>
            <w:r w:rsidRPr="007C2EB2">
              <w:rPr>
                <w:rFonts w:eastAsia="Arial Unicode MS"/>
                <w:b/>
                <w:lang w:eastAsia="cs-CZ"/>
              </w:rPr>
              <w:t xml:space="preserve"> </w:t>
            </w:r>
            <w:r w:rsidRPr="007C2EB2">
              <w:rPr>
                <w:rFonts w:eastAsia="Arial Unicode MS"/>
                <w:lang w:eastAsia="cs-CZ"/>
              </w:rPr>
              <w:t>akreditovaného vzdělávání a platformy setkávání pro výměnu zkušeností a sdílení dobré praxe. Podpora metodického vedení (</w:t>
            </w:r>
            <w:proofErr w:type="spellStart"/>
            <w:r w:rsidRPr="007C2EB2">
              <w:rPr>
                <w:rFonts w:eastAsia="Arial Unicode MS"/>
                <w:lang w:eastAsia="cs-CZ"/>
              </w:rPr>
              <w:t>koučingu</w:t>
            </w:r>
            <w:proofErr w:type="spellEnd"/>
            <w:r w:rsidRPr="007C2EB2">
              <w:rPr>
                <w:rFonts w:eastAsia="Arial Unicode MS"/>
                <w:lang w:eastAsia="cs-CZ"/>
              </w:rPr>
              <w:t xml:space="preserve">), včetně vzdělávání pracovníků v nově vznikajících dluhových poradnách v nepokrytých regionech OK. Vzájemná kooperace dluhových poradců, nastavení provázanosti mezi poskytovateli sociálních služeb a pracovníky zajišťující sociální práci na OÚORP. Realizace workshopů, kurzů a konference, jejichž obsah bude zaměřen na aktuálně řešenou problematiku či situace související s enormním nárůstem patologických jevů prohlubujících se v souvislosti s mimořádnými událostmi (závislosti, domácí násilí, </w:t>
            </w:r>
            <w:proofErr w:type="spellStart"/>
            <w:r w:rsidRPr="007C2EB2">
              <w:rPr>
                <w:rFonts w:eastAsia="Arial Unicode MS"/>
                <w:lang w:eastAsia="cs-CZ"/>
              </w:rPr>
              <w:t>kyberšikana</w:t>
            </w:r>
            <w:proofErr w:type="spellEnd"/>
            <w:r w:rsidRPr="007C2EB2">
              <w:rPr>
                <w:rFonts w:eastAsia="Arial Unicode MS"/>
                <w:lang w:eastAsia="cs-CZ"/>
              </w:rPr>
              <w:t xml:space="preserve"> apod.). </w:t>
            </w:r>
          </w:p>
          <w:p w:rsidR="00FB1999" w:rsidRPr="007C2EB2" w:rsidRDefault="00FB1999" w:rsidP="002D18F3">
            <w:pPr>
              <w:spacing w:before="0"/>
              <w:rPr>
                <w:rFonts w:eastAsia="Arial Unicode MS"/>
                <w:lang w:eastAsia="cs-CZ"/>
              </w:rPr>
            </w:pPr>
            <w:r w:rsidRPr="007C2EB2">
              <w:rPr>
                <w:rFonts w:eastAsia="Arial Unicode MS"/>
                <w:lang w:eastAsia="cs-CZ"/>
              </w:rPr>
              <w:t>Kvalitně a odborně poskytované sociální služby odborného sociálního poradenství a služby sociální prevence zaměřené na dluhovou problematiku, podpora sociální práce na obcích v oblasti poskytování základních informací k dluhovému poradenství.</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2D18F3">
            <w:pPr>
              <w:pStyle w:val="Odstavecseseznamem"/>
              <w:numPr>
                <w:ilvl w:val="0"/>
                <w:numId w:val="23"/>
              </w:numPr>
              <w:spacing w:before="0"/>
            </w:pPr>
            <w:r w:rsidRPr="00A34764">
              <w:t>Realizace akreditovaného vzdělávání zaměřeného na základy dluhového poradenství pro sociální pracovníky působící na OÚORP a sociální pracovníky a pracovníky v sociálních službách stávajících poskytovatelů sociálních služeb zaměřených na dluhovou problematiku</w:t>
            </w:r>
          </w:p>
          <w:p w:rsidR="00FB1999" w:rsidRPr="00A34764" w:rsidRDefault="00FB1999" w:rsidP="002D18F3">
            <w:pPr>
              <w:pStyle w:val="Odstavecseseznamem"/>
              <w:numPr>
                <w:ilvl w:val="0"/>
                <w:numId w:val="23"/>
              </w:numPr>
              <w:spacing w:before="0"/>
            </w:pPr>
            <w:r w:rsidRPr="00A34764">
              <w:t xml:space="preserve">Funkční platforma setkání poskytovatelů sociálních služeb a pracovníků zajišťujících sociální práci zaměřená na předávání informací a zkušeností v oblasti prevence zadlužování </w:t>
            </w:r>
          </w:p>
          <w:p w:rsidR="00FB1999" w:rsidRPr="00A34764" w:rsidRDefault="00FB1999" w:rsidP="002D18F3">
            <w:pPr>
              <w:pStyle w:val="Odstavecseseznamem"/>
              <w:numPr>
                <w:ilvl w:val="0"/>
                <w:numId w:val="23"/>
              </w:numPr>
              <w:spacing w:before="0"/>
            </w:pPr>
            <w:r w:rsidRPr="00A34764">
              <w:t>Realizace workshopů, kurzů a konference, jejichž obsah bude zaměřen na aktuálně řešenou problematiku (sociální bydlení) či situace související s enormním nárůstem patologických jevů vyskytujících se ve společnosti, případně souvisejících s mimořádnými událostmi</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Rizika a ohrožení</w:t>
            </w:r>
          </w:p>
        </w:tc>
        <w:tc>
          <w:tcPr>
            <w:tcW w:w="3644" w:type="pct"/>
          </w:tcPr>
          <w:p w:rsidR="00FB1999" w:rsidRPr="00A34764" w:rsidRDefault="00FB1999" w:rsidP="002D18F3">
            <w:pPr>
              <w:pStyle w:val="Odstavecseseznamem"/>
              <w:numPr>
                <w:ilvl w:val="0"/>
                <w:numId w:val="25"/>
              </w:numPr>
              <w:spacing w:before="0"/>
            </w:pPr>
            <w:r w:rsidRPr="00A34764">
              <w:t xml:space="preserve">Nedostatek finančních prostředků pro realizaci plánovaných aktivit </w:t>
            </w:r>
          </w:p>
          <w:p w:rsidR="00FB1999" w:rsidRPr="00A34764" w:rsidRDefault="00FB1999" w:rsidP="002D18F3">
            <w:pPr>
              <w:pStyle w:val="Odstavecseseznamem"/>
              <w:numPr>
                <w:ilvl w:val="0"/>
                <w:numId w:val="25"/>
              </w:numPr>
              <w:spacing w:before="0"/>
            </w:pPr>
            <w:r w:rsidRPr="00A34764">
              <w:t>Nezájem cílové skupiny o realizované aktivity</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OK, poskytovatelé sociálních služeb zařazení v síti sociálních služeb OK, zaměření na okruh osob, které vedou rizikový způsob života nebo jsou tímto způsobem života ohroženy a osob ohrožených závislostí nebo závislých na návykových látkách, oběti domácího násilí, oběti trestné činnosti (služby sociálního poradens</w:t>
            </w:r>
            <w:r>
              <w:rPr>
                <w:rFonts w:eastAsia="Arial Unicode MS"/>
                <w:lang w:eastAsia="cs-CZ"/>
              </w:rPr>
              <w:t>tví a sociální prevence), OÚORP</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2024</w:t>
            </w:r>
            <w:r w:rsidR="00D05232">
              <w:rPr>
                <w:rFonts w:eastAsia="Arial Unicode MS"/>
                <w:lang w:eastAsia="cs-CZ"/>
              </w:rPr>
              <w:t>–</w:t>
            </w:r>
            <w:r w:rsidRPr="007C2EB2">
              <w:rPr>
                <w:rFonts w:eastAsia="Arial Unicode MS"/>
                <w:lang w:eastAsia="cs-CZ"/>
              </w:rPr>
              <w:t>2026</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EU/ESF</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Hodnotící indikátory výstupů a výsledků</w:t>
            </w:r>
          </w:p>
        </w:tc>
        <w:tc>
          <w:tcPr>
            <w:tcW w:w="3644" w:type="pct"/>
          </w:tcPr>
          <w:p w:rsidR="00FB1999" w:rsidRPr="00A34764" w:rsidRDefault="00FB1999" w:rsidP="002D18F3">
            <w:pPr>
              <w:pStyle w:val="Odstavecseseznamem"/>
              <w:numPr>
                <w:ilvl w:val="0"/>
                <w:numId w:val="24"/>
              </w:numPr>
              <w:spacing w:before="0"/>
            </w:pPr>
            <w:r w:rsidRPr="00A34764">
              <w:t>Počet realizovaných vzdělávacích programů zaměřených na oblast  dluhové problematiky pro sociální pracovníky působící na OÚORP a sociální pracovníky a pracovníky v sociálních službách stávajících poskytovatelů sociálních služeb</w:t>
            </w:r>
          </w:p>
          <w:p w:rsidR="00FB1999" w:rsidRPr="00A34764" w:rsidRDefault="00FB1999" w:rsidP="002D18F3">
            <w:pPr>
              <w:pStyle w:val="Odstavecseseznamem"/>
              <w:numPr>
                <w:ilvl w:val="0"/>
                <w:numId w:val="24"/>
              </w:numPr>
              <w:spacing w:before="0"/>
            </w:pPr>
            <w:r w:rsidRPr="00A34764">
              <w:lastRenderedPageBreak/>
              <w:t>Počet realizovaných pracovních setkání poskytovatelů sociálních služeb a pracovníků zajišťujících sociální práci zaměřených na oblast prevence zadlužování a zvýšení eliminace sociální exkluze</w:t>
            </w:r>
          </w:p>
          <w:p w:rsidR="00FB1999" w:rsidRPr="00A34764" w:rsidRDefault="00FB1999" w:rsidP="002D18F3">
            <w:pPr>
              <w:pStyle w:val="Odstavecseseznamem"/>
              <w:numPr>
                <w:ilvl w:val="0"/>
                <w:numId w:val="24"/>
              </w:numPr>
              <w:spacing w:before="0"/>
            </w:pPr>
            <w:r w:rsidRPr="00A34764">
              <w:t>Počet realizovaných workshopů a konferencí</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lastRenderedPageBreak/>
              <w:t>Kód opatření</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P 4.3</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t>Název opatření 1</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Podpora aktivit zaměřených na oblast paliativní péče</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 xml:space="preserve">Podpora vzdělávání, supervize a zvyšování odborných kompetencí všech zainteresovaných odborníků a spolupráce mezi jednotlivými </w:t>
            </w:r>
            <w:r w:rsidR="00B47789">
              <w:rPr>
                <w:rFonts w:eastAsia="Arial Unicode MS"/>
                <w:lang w:eastAsia="cs-CZ"/>
              </w:rPr>
              <w:t>aktéry</w:t>
            </w:r>
            <w:r w:rsidRPr="007C2EB2">
              <w:rPr>
                <w:rFonts w:eastAsia="Arial Unicode MS"/>
                <w:lang w:eastAsia="cs-CZ"/>
              </w:rPr>
              <w:t xml:space="preserve"> </w:t>
            </w:r>
            <w:r w:rsidR="00B47789">
              <w:rPr>
                <w:rFonts w:eastAsia="Arial Unicode MS"/>
                <w:lang w:eastAsia="cs-CZ"/>
              </w:rPr>
              <w:t>v</w:t>
            </w:r>
            <w:r w:rsidR="00D05232">
              <w:rPr>
                <w:rFonts w:eastAsia="Arial Unicode MS"/>
                <w:lang w:eastAsia="cs-CZ"/>
              </w:rPr>
              <w:t> </w:t>
            </w:r>
            <w:r w:rsidR="00B47789">
              <w:rPr>
                <w:rFonts w:eastAsia="Arial Unicode MS"/>
                <w:lang w:eastAsia="cs-CZ"/>
              </w:rPr>
              <w:t>oblasti paliativní péče</w:t>
            </w:r>
            <w:r w:rsidRPr="007C2EB2">
              <w:rPr>
                <w:rFonts w:eastAsia="Arial Unicode MS"/>
                <w:lang w:eastAsia="cs-CZ"/>
              </w:rPr>
              <w:t>. Primárním účelem je zlepšení kvality života osob v </w:t>
            </w:r>
            <w:proofErr w:type="spellStart"/>
            <w:r w:rsidRPr="007C2EB2">
              <w:rPr>
                <w:rFonts w:eastAsia="Arial Unicode MS"/>
                <w:lang w:eastAsia="cs-CZ"/>
              </w:rPr>
              <w:t>preterminálním</w:t>
            </w:r>
            <w:proofErr w:type="spellEnd"/>
            <w:r w:rsidRPr="007C2EB2">
              <w:rPr>
                <w:rFonts w:eastAsia="Arial Unicode MS"/>
                <w:lang w:eastAsia="cs-CZ"/>
              </w:rPr>
              <w:t xml:space="preserve"> či terminálním stádiu onemocnění a jejich rodin, kdy včasným rozpoznáním, správným zhodnocením a léčbou bolesti a</w:t>
            </w:r>
            <w:r>
              <w:rPr>
                <w:rFonts w:eastAsia="Arial Unicode MS"/>
                <w:lang w:eastAsia="cs-CZ"/>
              </w:rPr>
              <w:t> </w:t>
            </w:r>
            <w:r w:rsidRPr="007C2EB2">
              <w:rPr>
                <w:rFonts w:eastAsia="Arial Unicode MS"/>
                <w:lang w:eastAsia="cs-CZ"/>
              </w:rPr>
              <w:t>ostatních tělesných, psychosociálních a duchovních obtíží je možné utrpení předcházet nebo je alespoň účinně mírnit.</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Předpokládaný dopad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Zlepšení kvality života osob v </w:t>
            </w:r>
            <w:proofErr w:type="spellStart"/>
            <w:r w:rsidRPr="007C2EB2">
              <w:rPr>
                <w:rFonts w:eastAsia="Arial Unicode MS"/>
                <w:lang w:eastAsia="cs-CZ"/>
              </w:rPr>
              <w:t>preterminální</w:t>
            </w:r>
            <w:proofErr w:type="spellEnd"/>
            <w:r w:rsidRPr="007C2EB2">
              <w:rPr>
                <w:rFonts w:eastAsia="Arial Unicode MS"/>
                <w:lang w:eastAsia="cs-CZ"/>
              </w:rPr>
              <w:t xml:space="preserve"> či terminální fázi života a podpora směřovaná k jejich blízkým (osobám v krizi) prostřednictvím poskytovaných sociálních služeb, disponujících kvalifikovaným personálem, reagujícím na individuální potřeby člověka v terminálním stadiu života. Poskytovatelé sociálních služeb prostřednictvím paliativní péče nabízí lidem v </w:t>
            </w:r>
            <w:proofErr w:type="spellStart"/>
            <w:r w:rsidRPr="007C2EB2">
              <w:rPr>
                <w:rFonts w:eastAsia="Arial Unicode MS"/>
                <w:lang w:eastAsia="cs-CZ"/>
              </w:rPr>
              <w:t>preterminálním</w:t>
            </w:r>
            <w:proofErr w:type="spellEnd"/>
            <w:r w:rsidRPr="007C2EB2">
              <w:rPr>
                <w:rFonts w:eastAsia="Arial Unicode MS"/>
                <w:lang w:eastAsia="cs-CZ"/>
              </w:rPr>
              <w:t xml:space="preserve"> a terminálním stadiu života a jejich rodinám a blízkým účinnou pomoc tam, kde prostředky běžných léčebných postupů, ale také síly a schopnos</w:t>
            </w:r>
            <w:r>
              <w:rPr>
                <w:rFonts w:eastAsia="Arial Unicode MS"/>
                <w:lang w:eastAsia="cs-CZ"/>
              </w:rPr>
              <w:t>ti nejbližšího okolí</w:t>
            </w:r>
            <w:r w:rsidR="00D05232">
              <w:rPr>
                <w:rFonts w:eastAsia="Arial Unicode MS"/>
                <w:lang w:eastAsia="cs-CZ"/>
              </w:rPr>
              <w:t>,</w:t>
            </w:r>
            <w:r>
              <w:rPr>
                <w:rFonts w:eastAsia="Arial Unicode MS"/>
                <w:lang w:eastAsia="cs-CZ"/>
              </w:rPr>
              <w:t xml:space="preserve"> selhávají.</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2D18F3">
            <w:pPr>
              <w:pStyle w:val="Odstavecseseznamem"/>
              <w:numPr>
                <w:ilvl w:val="0"/>
                <w:numId w:val="27"/>
              </w:numPr>
              <w:spacing w:before="0"/>
            </w:pPr>
            <w:r w:rsidRPr="00A34764">
              <w:t>Realizace odborných konferencí, zaměřených na paliativní péči nejen v OK, podpora spolupráce a koordinace mezi jednotlivými subjekty poskytujícími paliativní péči v OK</w:t>
            </w:r>
          </w:p>
          <w:p w:rsidR="00FB1999" w:rsidRPr="00A34764" w:rsidRDefault="00FB1999" w:rsidP="002D18F3">
            <w:pPr>
              <w:pStyle w:val="Odstavecseseznamem"/>
              <w:numPr>
                <w:ilvl w:val="0"/>
                <w:numId w:val="27"/>
              </w:numPr>
              <w:spacing w:before="0"/>
            </w:pPr>
            <w:r w:rsidRPr="00A34764">
              <w:t>Podpora aktivit zaměřených na psychohygienu a duševní zdraví pečujících osob, realizace odborných workshopů a konference</w:t>
            </w:r>
          </w:p>
          <w:p w:rsidR="00FB1999" w:rsidRPr="00A34764" w:rsidRDefault="00FB1999" w:rsidP="002D18F3">
            <w:pPr>
              <w:pStyle w:val="Odstavecseseznamem"/>
              <w:numPr>
                <w:ilvl w:val="0"/>
                <w:numId w:val="27"/>
              </w:numPr>
              <w:spacing w:before="0"/>
            </w:pPr>
            <w:r w:rsidRPr="00A34764">
              <w:t>Podpora supervize a odborných psychoterapeutických výcviků zaměřených na zvyšování kompetencí pracovníků v pobytových, terénních i ambulantních sociálních službách na území OK věnující</w:t>
            </w:r>
            <w:r w:rsidR="00D05232" w:rsidRPr="00A34764">
              <w:t>ch</w:t>
            </w:r>
            <w:r w:rsidRPr="00A34764">
              <w:t xml:space="preserve"> se nepříznivé sociální situaci osob v </w:t>
            </w:r>
            <w:proofErr w:type="spellStart"/>
            <w:r w:rsidRPr="00A34764">
              <w:t>preterminálním</w:t>
            </w:r>
            <w:proofErr w:type="spellEnd"/>
            <w:r w:rsidRPr="00A34764">
              <w:t xml:space="preserve"> a terminálním stádiu onemocnění </w:t>
            </w:r>
          </w:p>
          <w:p w:rsidR="00FB1999" w:rsidRPr="00A34764" w:rsidRDefault="00FB1999" w:rsidP="002D18F3">
            <w:pPr>
              <w:pStyle w:val="Odstavecseseznamem"/>
              <w:numPr>
                <w:ilvl w:val="0"/>
                <w:numId w:val="27"/>
              </w:numPr>
              <w:spacing w:before="0"/>
            </w:pPr>
            <w:r w:rsidRPr="00A34764">
              <w:t>Podpora informovanosti odborné i laické veřejnosti o možnostech zajištění paliativní péče ve všech formách, prostřednictvím Elektronického katalogu poskytovatelů sociálních služeb OK, webových stránek OK</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Rizika a ohrožení</w:t>
            </w:r>
          </w:p>
        </w:tc>
        <w:tc>
          <w:tcPr>
            <w:tcW w:w="3644" w:type="pct"/>
          </w:tcPr>
          <w:p w:rsidR="00FB1999" w:rsidRPr="00A34764" w:rsidRDefault="00FB1999" w:rsidP="002D18F3">
            <w:pPr>
              <w:pStyle w:val="Odstavecseseznamem"/>
              <w:numPr>
                <w:ilvl w:val="0"/>
                <w:numId w:val="25"/>
              </w:numPr>
              <w:spacing w:before="0"/>
            </w:pPr>
            <w:r w:rsidRPr="00A34764">
              <w:t xml:space="preserve">Nedostatek finančních prostředků pro realizaci plánovaných aktivit </w:t>
            </w:r>
          </w:p>
          <w:p w:rsidR="00FB1999" w:rsidRPr="00A34764" w:rsidRDefault="00FB1999" w:rsidP="002D18F3">
            <w:pPr>
              <w:pStyle w:val="Odstavecseseznamem"/>
              <w:numPr>
                <w:ilvl w:val="0"/>
                <w:numId w:val="25"/>
              </w:numPr>
              <w:spacing w:before="0"/>
            </w:pPr>
            <w:r w:rsidRPr="00A34764">
              <w:t>Nezájem cílové skupiny o realizované aktivity</w:t>
            </w:r>
          </w:p>
          <w:p w:rsidR="0050203A" w:rsidRPr="00A34764" w:rsidRDefault="0050203A" w:rsidP="002D18F3">
            <w:pPr>
              <w:pStyle w:val="Odstavecseseznamem"/>
              <w:numPr>
                <w:ilvl w:val="0"/>
                <w:numId w:val="25"/>
              </w:numPr>
              <w:spacing w:before="0"/>
            </w:pPr>
            <w:r w:rsidRPr="00A34764">
              <w:t>Nevhodné financování odborností 913 a 926</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Předpokládaní realizátoři </w:t>
            </w:r>
            <w:r w:rsidRPr="002D18F3">
              <w:rPr>
                <w:rFonts w:eastAsia="Arial Unicode MS"/>
                <w:b/>
                <w:lang w:eastAsia="cs-CZ"/>
              </w:rPr>
              <w:br/>
              <w:t>a partneři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Poskytovatelé sociálních služeb zařazeni v síti sociálních služeb OK, kterých se dotýká problematika paliativní péče (odborné sociální poradenství, odlehčovací služby, domovy pro seniory, domovy se zvláštním režimem, pečovatelská služba, osobní asistence), OÚ ORP, OK</w:t>
            </w:r>
            <w:r w:rsidR="0050203A">
              <w:rPr>
                <w:rFonts w:eastAsia="Arial Unicode MS"/>
                <w:lang w:eastAsia="cs-CZ"/>
              </w:rPr>
              <w:t>, poskytovatelé zdravotních služeb</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2024</w:t>
            </w:r>
            <w:r w:rsidR="00D05232">
              <w:rPr>
                <w:rFonts w:eastAsia="Arial Unicode MS"/>
                <w:lang w:eastAsia="cs-CZ"/>
              </w:rPr>
              <w:t>–</w:t>
            </w:r>
            <w:r w:rsidRPr="007C2EB2">
              <w:rPr>
                <w:rFonts w:eastAsia="Arial Unicode MS"/>
                <w:lang w:eastAsia="cs-CZ"/>
              </w:rPr>
              <w:t>2026</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EU/ESF</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Hodnotící indikátory výstupů a výsledků </w:t>
            </w:r>
          </w:p>
        </w:tc>
        <w:tc>
          <w:tcPr>
            <w:tcW w:w="3644" w:type="pct"/>
          </w:tcPr>
          <w:p w:rsidR="00FB1999" w:rsidRPr="00A34764" w:rsidRDefault="00FB1999" w:rsidP="002D18F3">
            <w:pPr>
              <w:pStyle w:val="Odstavecseseznamem"/>
              <w:numPr>
                <w:ilvl w:val="0"/>
                <w:numId w:val="15"/>
              </w:numPr>
              <w:spacing w:before="0"/>
            </w:pPr>
            <w:r w:rsidRPr="00A34764">
              <w:t>Počet realizovaných konferencí a odborných seminářů zaměřených na paliativní péči v OK</w:t>
            </w:r>
          </w:p>
          <w:p w:rsidR="00FB1999" w:rsidRPr="00A34764" w:rsidRDefault="00FB1999" w:rsidP="002D18F3">
            <w:pPr>
              <w:pStyle w:val="Odstavecseseznamem"/>
              <w:numPr>
                <w:ilvl w:val="0"/>
                <w:numId w:val="15"/>
              </w:numPr>
              <w:spacing w:before="0"/>
            </w:pPr>
            <w:r w:rsidRPr="00A34764">
              <w:t>Počet realizovaných workshopů pro neformálně pečující osoby</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lastRenderedPageBreak/>
              <w:t>Kód opatření</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P 4.4</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t>Název opatření 1</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Podpora aktivit zaměřených na oblast osob s chronickým duševním onemocněním</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Podpora a rozvoj kvality služeb zaměřených na cílovou skupinu osob s chronickým duševním onemocněním s cílem podpory nezávislosti, samostatnosti a podpory žádoucích změn, k nimž došlo v důsledku léčby, v návaznosti na posílení osobních kompetencí a schopností těchto osob. Rozvoj informovanosti odborné a laické veřejnosti v oblasti péče o osoby s chronickým duševním onemocněním. Sdílení informací mezi všemi zainteresovanými subjekty prostřednictvím pozice koordinátora.</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Předpokládaný dopad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Odborně poskytované sociální služby a zvyšování odborných kompetencí a dovedností pracovníků věnujících se práci s osobami s chronickým duševním onemocněním a podpora činnosti organizací zainteresovaných v rámci reformy psychiatrické péče.</w:t>
            </w:r>
            <w:r w:rsidRPr="007C2EB2">
              <w:rPr>
                <w:rFonts w:eastAsia="Arial Unicode MS"/>
                <w:bCs/>
                <w:lang w:eastAsia="cs-CZ"/>
              </w:rPr>
              <w:t xml:space="preserve"> </w:t>
            </w:r>
            <w:r w:rsidRPr="007C2EB2">
              <w:rPr>
                <w:rFonts w:eastAsia="Arial Unicode MS"/>
                <w:lang w:eastAsia="cs-CZ"/>
              </w:rPr>
              <w:t>Realizace aktivit vedoucích k nastavení efektivní spolupráce mezi jednotlivými zainteresovanými subjekty, sdílení příkladů dobré praxe a výměna zkušeností. Rozvoj informovanosti odborné a laické veřejnosti ve výše uvedené specifické oblasti s využitím dostupných informačních kanálů vedoucí ke změně názorů a postojů k osobám s chronickým duševním onemocněním.</w:t>
            </w:r>
          </w:p>
          <w:p w:rsidR="00FB1999" w:rsidRPr="007C2EB2" w:rsidRDefault="00FB1999" w:rsidP="002D18F3">
            <w:pPr>
              <w:spacing w:before="0"/>
              <w:rPr>
                <w:rFonts w:eastAsia="Arial Unicode MS"/>
                <w:lang w:eastAsia="cs-CZ"/>
              </w:rPr>
            </w:pPr>
            <w:r w:rsidRPr="007C2EB2">
              <w:rPr>
                <w:rFonts w:eastAsia="Arial Unicode MS"/>
                <w:lang w:eastAsia="cs-CZ"/>
              </w:rPr>
              <w:t xml:space="preserve">Prostřednictvím poskytované kvalitní mezioborové spolupráce v rámci zabezpečení služeb, dostatečně informované veřejnosti, mohou osoby s chronickým duševním onemocněním vést plnohodnotný život v rámci svého přirozeného sociálního prostředí, bez hrozby sociálního vyloučení a dopadů nepříznivé sociální situace. </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2D18F3">
            <w:pPr>
              <w:pStyle w:val="Odstavecseseznamem"/>
              <w:numPr>
                <w:ilvl w:val="0"/>
                <w:numId w:val="59"/>
              </w:numPr>
              <w:spacing w:before="0"/>
            </w:pPr>
            <w:r w:rsidRPr="00A34764">
              <w:t xml:space="preserve">Realizace případových konferencí či workshopů směřujících k zvyšování kompetencí, sdílení dobré praxe či podpoře spolupráce zainteresovaných subjektů v OK v rámci reformy psychiatrické péče. </w:t>
            </w:r>
          </w:p>
          <w:p w:rsidR="00FB1999" w:rsidRPr="00A34764" w:rsidRDefault="00FB1999" w:rsidP="002D18F3">
            <w:pPr>
              <w:pStyle w:val="Odstavecseseznamem"/>
              <w:numPr>
                <w:ilvl w:val="0"/>
                <w:numId w:val="59"/>
              </w:numPr>
              <w:spacing w:before="0"/>
            </w:pPr>
            <w:r w:rsidRPr="00A34764">
              <w:t>Podpora informovanosti odborné i laické veřejnosti vedoucí k podpoře osob s chronickým duševním onemocněním a s ní související reformy psychiatrické péče</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Rizika a ohrožení</w:t>
            </w:r>
          </w:p>
        </w:tc>
        <w:tc>
          <w:tcPr>
            <w:tcW w:w="3644" w:type="pct"/>
          </w:tcPr>
          <w:p w:rsidR="00FB1999" w:rsidRPr="00A34764" w:rsidRDefault="00FB1999" w:rsidP="002D18F3">
            <w:pPr>
              <w:pStyle w:val="Odstavecseseznamem"/>
              <w:numPr>
                <w:ilvl w:val="0"/>
                <w:numId w:val="25"/>
              </w:numPr>
              <w:spacing w:before="0"/>
            </w:pPr>
            <w:r w:rsidRPr="00A34764">
              <w:t xml:space="preserve">Nedostatek finančních prostředků pro realizaci plánovaných aktivit </w:t>
            </w:r>
          </w:p>
          <w:p w:rsidR="00FB1999" w:rsidRPr="00A34764" w:rsidRDefault="00FB1999" w:rsidP="002D18F3">
            <w:pPr>
              <w:pStyle w:val="Odstavecseseznamem"/>
              <w:numPr>
                <w:ilvl w:val="0"/>
                <w:numId w:val="25"/>
              </w:numPr>
              <w:spacing w:before="0"/>
            </w:pPr>
            <w:r w:rsidRPr="00A34764">
              <w:t>Nezájem cílové skupiny o realizované aktivity</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Předpokládaní realizátoři </w:t>
            </w:r>
            <w:r w:rsidRPr="002D18F3">
              <w:rPr>
                <w:rFonts w:eastAsia="Arial Unicode MS"/>
                <w:b/>
                <w:lang w:eastAsia="cs-CZ"/>
              </w:rPr>
              <w:br/>
              <w:t>a partneři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Poskytovatelé sociálních služeb zařazeni v síti sociálních služeb OK, kterých se dotýká problematika cílové skupiny osob s chronickým duševním onemocněním, OÚORP, OK</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2024</w:t>
            </w:r>
            <w:r w:rsidR="0072099E">
              <w:rPr>
                <w:rFonts w:eastAsia="Arial Unicode MS"/>
                <w:lang w:eastAsia="cs-CZ"/>
              </w:rPr>
              <w:t>–</w:t>
            </w:r>
            <w:r w:rsidRPr="007C2EB2">
              <w:rPr>
                <w:rFonts w:eastAsia="Arial Unicode MS"/>
                <w:lang w:eastAsia="cs-CZ"/>
              </w:rPr>
              <w:t>2026</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EU/ESF</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Hodnotící indikátory výstupů a výsledků </w:t>
            </w:r>
          </w:p>
        </w:tc>
        <w:tc>
          <w:tcPr>
            <w:tcW w:w="3644" w:type="pct"/>
          </w:tcPr>
          <w:p w:rsidR="00FB1999" w:rsidRPr="00A34764" w:rsidRDefault="00FB1999" w:rsidP="002D18F3">
            <w:pPr>
              <w:pStyle w:val="Odstavecseseznamem"/>
              <w:numPr>
                <w:ilvl w:val="0"/>
                <w:numId w:val="15"/>
              </w:numPr>
              <w:spacing w:before="0"/>
            </w:pPr>
            <w:r w:rsidRPr="00A34764">
              <w:t xml:space="preserve">Počet realizovaných konferencí a odborných workshopů zaměřených na reformu psychiatrické péče a osoby s chronickým duševním onemocněním </w:t>
            </w:r>
          </w:p>
        </w:tc>
      </w:tr>
    </w:tbl>
    <w:p w:rsidR="00FB1999" w:rsidRPr="007C2EB2" w:rsidRDefault="00FB1999" w:rsidP="002D18F3">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FB1999" w:rsidRPr="007C2EB2" w:rsidTr="00FB1999">
        <w:trPr>
          <w:trHeight w:val="397"/>
          <w:jc w:val="center"/>
        </w:trPr>
        <w:tc>
          <w:tcPr>
            <w:tcW w:w="1356" w:type="pct"/>
            <w:shd w:val="clear" w:color="auto" w:fill="FABF8F"/>
          </w:tcPr>
          <w:p w:rsidR="00FB1999" w:rsidRPr="002D18F3" w:rsidRDefault="00FB1999" w:rsidP="0085360A">
            <w:pPr>
              <w:keepNext/>
              <w:spacing w:before="0"/>
              <w:jc w:val="left"/>
              <w:rPr>
                <w:rFonts w:eastAsia="Arial Unicode MS"/>
                <w:b/>
                <w:lang w:eastAsia="cs-CZ"/>
              </w:rPr>
            </w:pPr>
            <w:r w:rsidRPr="002D18F3">
              <w:rPr>
                <w:rFonts w:eastAsia="Arial Unicode MS"/>
                <w:b/>
                <w:lang w:eastAsia="cs-CZ"/>
              </w:rPr>
              <w:t>Cíl P 5</w:t>
            </w:r>
          </w:p>
        </w:tc>
        <w:tc>
          <w:tcPr>
            <w:tcW w:w="3644" w:type="pct"/>
            <w:shd w:val="clear" w:color="auto" w:fill="FABF8F"/>
          </w:tcPr>
          <w:p w:rsidR="00FB1999" w:rsidRPr="002D18F3" w:rsidRDefault="00FB1999" w:rsidP="0085360A">
            <w:pPr>
              <w:keepNext/>
              <w:spacing w:before="0"/>
              <w:rPr>
                <w:rFonts w:eastAsia="Arial Unicode MS"/>
                <w:b/>
                <w:lang w:eastAsia="cs-CZ"/>
              </w:rPr>
            </w:pPr>
            <w:r w:rsidRPr="002D18F3">
              <w:rPr>
                <w:rFonts w:eastAsia="Arial Unicode MS"/>
                <w:b/>
                <w:lang w:eastAsia="cs-CZ"/>
              </w:rPr>
              <w:t>Zajištění, podpora a rozvoj dostatečné informovanosti občanů OK v oblasti sociálních služeb</w:t>
            </w:r>
          </w:p>
        </w:tc>
      </w:tr>
      <w:tr w:rsidR="00FB1999" w:rsidRPr="007C2EB2" w:rsidTr="00FB1999">
        <w:trPr>
          <w:trHeight w:val="397"/>
          <w:jc w:val="center"/>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t>Kód opatření</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P 5.1</w:t>
            </w:r>
          </w:p>
        </w:tc>
      </w:tr>
      <w:tr w:rsidR="00FB1999" w:rsidRPr="007C2EB2" w:rsidTr="00FB1999">
        <w:trPr>
          <w:trHeight w:val="397"/>
          <w:jc w:val="center"/>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Název opatření </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Zajištění kvalitní a dostatečné informovanosti občanů OK o sociálních službách v OK</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OK reaguje na nutnost neustálé a komplexní podpory vedoucí ke zvýšení informovanosti laické i odborné veřejnosti o sociálních službách. Prostřednictvím on-line prostoru, např. web</w:t>
            </w:r>
            <w:r w:rsidR="007A5B33">
              <w:rPr>
                <w:rFonts w:eastAsia="Arial Unicode MS"/>
                <w:lang w:eastAsia="cs-CZ"/>
              </w:rPr>
              <w:t>ových</w:t>
            </w:r>
            <w:r w:rsidRPr="007C2EB2">
              <w:rPr>
                <w:rFonts w:eastAsia="Arial Unicode MS"/>
                <w:lang w:eastAsia="cs-CZ"/>
              </w:rPr>
              <w:t xml:space="preserve"> stránek OK, </w:t>
            </w:r>
            <w:r w:rsidRPr="007C2EB2">
              <w:rPr>
                <w:rFonts w:eastAsia="Arial Unicode MS"/>
                <w:lang w:eastAsia="cs-CZ"/>
              </w:rPr>
              <w:lastRenderedPageBreak/>
              <w:t>Elektronického katalogu poskytovatelů sociálních služeb OK, sociálních sítí, ale také tištěných materiálů, bude mít každý občan OK dostatečné množství informací o místní a časové dostupnosti, kapacitě, financování sociálních služeb působících na území OK a případných změnách týkajících se oblasti sociálních služeb v návaznosti na připravované legislativní změny. Prostřednictvím setkání se zástupci poskytovatelů sociálních služeb a sociálními pracovníky obcí, OK přenáší aktuální informace z oblasti sociálních služeb všem zainteresovaným subjektům.</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lastRenderedPageBreak/>
              <w:t>Předpokládaný dopad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Občané OK mají k předcházení vzniku nepříznivé sociální situace, či k</w:t>
            </w:r>
            <w:r>
              <w:rPr>
                <w:rFonts w:eastAsia="Arial Unicode MS"/>
                <w:lang w:eastAsia="cs-CZ"/>
              </w:rPr>
              <w:t> </w:t>
            </w:r>
            <w:r w:rsidRPr="007C2EB2">
              <w:rPr>
                <w:rFonts w:eastAsia="Arial Unicode MS"/>
                <w:lang w:eastAsia="cs-CZ"/>
              </w:rPr>
              <w:t>jejímu řešení, a to i v nenadálých mimořádných situacích, dostatečné množství kvalitních informací umožňujících jim řešit jejich situaci. Zpřístupnění aktuálních informací o poskytovaných sociálních službách široké veřejnosti prostřednictvím Elektronického katalogu poskytovatelů služeb OK.</w:t>
            </w:r>
          </w:p>
          <w:p w:rsidR="00FB1999" w:rsidRPr="007C2EB2" w:rsidRDefault="00FB1999" w:rsidP="002D18F3">
            <w:pPr>
              <w:spacing w:before="0"/>
              <w:rPr>
                <w:rFonts w:eastAsia="Arial Unicode MS"/>
                <w:lang w:eastAsia="cs-CZ"/>
              </w:rPr>
            </w:pPr>
            <w:r w:rsidRPr="007C2EB2">
              <w:rPr>
                <w:rFonts w:eastAsia="Arial Unicode MS"/>
                <w:lang w:eastAsia="cs-CZ"/>
              </w:rPr>
              <w:t>Poskytovatelé sociálních služeb v OK mají prostřednictvím pravidelných setkání a zveřejněných Akčních plánů aktuální informace o stavu sítě sociálních služeb OK a naplňování cílů a opatření Střednědobého plánu 2024</w:t>
            </w:r>
            <w:r w:rsidR="007A5B33">
              <w:rPr>
                <w:rFonts w:eastAsia="Arial Unicode MS"/>
                <w:lang w:eastAsia="cs-CZ"/>
              </w:rPr>
              <w:t>–</w:t>
            </w:r>
            <w:r w:rsidRPr="007C2EB2">
              <w:rPr>
                <w:rFonts w:eastAsia="Arial Unicode MS"/>
                <w:lang w:eastAsia="cs-CZ"/>
              </w:rPr>
              <w:t>2026 a mohou tak reagovat na zjištěné potřeby osob nastavením poskytované sociální služby.</w:t>
            </w:r>
          </w:p>
          <w:p w:rsidR="00FB1999" w:rsidRPr="007C2EB2" w:rsidRDefault="00FB1999" w:rsidP="002D18F3">
            <w:pPr>
              <w:spacing w:before="0"/>
              <w:rPr>
                <w:rFonts w:eastAsia="Arial Unicode MS"/>
                <w:lang w:eastAsia="cs-CZ"/>
              </w:rPr>
            </w:pPr>
            <w:r w:rsidRPr="007C2EB2">
              <w:rPr>
                <w:rFonts w:eastAsia="Arial Unicode MS"/>
                <w:lang w:eastAsia="cs-CZ"/>
              </w:rPr>
              <w:t>Pracovníci obcí a OÚORP mají k dispozici aktuální informace vedoucích k poskytování kvalitního základního sociálního poradenství v rámci výkonu sociální práce na obcích.</w:t>
            </w:r>
          </w:p>
        </w:tc>
      </w:tr>
      <w:tr w:rsidR="00FB1999" w:rsidRPr="007C2EB2" w:rsidTr="00FB1999">
        <w:trPr>
          <w:trHeight w:val="53"/>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2D18F3">
            <w:pPr>
              <w:pStyle w:val="Odstavecseseznamem"/>
              <w:numPr>
                <w:ilvl w:val="0"/>
                <w:numId w:val="36"/>
              </w:numPr>
              <w:spacing w:before="0"/>
            </w:pPr>
            <w:r w:rsidRPr="00A34764">
              <w:t>Pravidelně aktualizované webové stránky OK zaměřené na sociální oblast</w:t>
            </w:r>
          </w:p>
          <w:p w:rsidR="00FB1999" w:rsidRPr="00A34764" w:rsidRDefault="00FB1999" w:rsidP="002D18F3">
            <w:pPr>
              <w:pStyle w:val="Odstavecseseznamem"/>
              <w:numPr>
                <w:ilvl w:val="0"/>
                <w:numId w:val="36"/>
              </w:numPr>
              <w:spacing w:before="0"/>
            </w:pPr>
            <w:r w:rsidRPr="00A34764">
              <w:t>Zveřejněné Akční plány na příslušný rok včetně sítě sociálních služeb v OK a Evaluační zprávy o naplňování opatření Střednědobého plánu rozvoje sociálních služeb na příslušný rok</w:t>
            </w:r>
          </w:p>
          <w:p w:rsidR="00FB1999" w:rsidRPr="00A34764" w:rsidRDefault="00FB1999" w:rsidP="002D18F3">
            <w:pPr>
              <w:pStyle w:val="Odstavecseseznamem"/>
              <w:numPr>
                <w:ilvl w:val="0"/>
                <w:numId w:val="36"/>
              </w:numPr>
              <w:spacing w:before="0"/>
            </w:pPr>
            <w:r w:rsidRPr="00A34764">
              <w:t xml:space="preserve">Realizace pravidelných setkávání poskytovatelů sociálních služeb OK </w:t>
            </w:r>
            <w:r w:rsidR="007A5B33" w:rsidRPr="00A34764">
              <w:t>–</w:t>
            </w:r>
            <w:r w:rsidRPr="007C2EB2">
              <w:t xml:space="preserve"> </w:t>
            </w:r>
            <w:r w:rsidRPr="00A34764">
              <w:t xml:space="preserve">předávání aktuálních informací o změnách v sociální oblasti </w:t>
            </w:r>
          </w:p>
          <w:p w:rsidR="00FB1999" w:rsidRPr="00A34764" w:rsidRDefault="00FB1999" w:rsidP="002D18F3">
            <w:pPr>
              <w:pStyle w:val="Odstavecseseznamem"/>
              <w:numPr>
                <w:ilvl w:val="0"/>
                <w:numId w:val="36"/>
              </w:numPr>
              <w:spacing w:before="0"/>
            </w:pPr>
            <w:r w:rsidRPr="00A34764">
              <w:t xml:space="preserve">Realizace pravidelných setkávání sociálních pracovníků ORP </w:t>
            </w:r>
            <w:r w:rsidR="007A5B33" w:rsidRPr="00A34764">
              <w:t>–</w:t>
            </w:r>
            <w:r w:rsidRPr="007C2EB2">
              <w:t xml:space="preserve"> </w:t>
            </w:r>
            <w:r w:rsidRPr="00A34764">
              <w:t xml:space="preserve">předávání aktuálních informací o změnách v sociální oblasti </w:t>
            </w:r>
          </w:p>
          <w:p w:rsidR="00FB1999" w:rsidRPr="00A34764" w:rsidRDefault="00FB1999" w:rsidP="002D18F3">
            <w:pPr>
              <w:pStyle w:val="Odstavecseseznamem"/>
              <w:numPr>
                <w:ilvl w:val="0"/>
                <w:numId w:val="36"/>
              </w:numPr>
              <w:spacing w:before="0"/>
            </w:pPr>
            <w:r w:rsidRPr="00A34764">
              <w:t xml:space="preserve">Přístup ke kontaktnímu formuláři pro osoby v nepříznivé sociální situaci, kde je možno sdělit své potřeby a zabezpečení přístupu do Modulu obce pro obce II. a III. typu a zástupce kraje přes aplikaci </w:t>
            </w:r>
            <w:proofErr w:type="spellStart"/>
            <w:r w:rsidRPr="00A34764">
              <w:t>K</w:t>
            </w:r>
            <w:r w:rsidR="0050203A" w:rsidRPr="00A34764">
              <w:t>I</w:t>
            </w:r>
            <w:r w:rsidRPr="00A34764">
              <w:t>SSoS</w:t>
            </w:r>
            <w:proofErr w:type="spellEnd"/>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Pr>
          <w:p w:rsidR="00FB1999" w:rsidRPr="00A34764" w:rsidRDefault="00FB1999" w:rsidP="0085360A">
            <w:pPr>
              <w:pStyle w:val="Odstavecseseznamem"/>
              <w:numPr>
                <w:ilvl w:val="0"/>
                <w:numId w:val="22"/>
              </w:numPr>
              <w:spacing w:before="0" w:line="240" w:lineRule="auto"/>
              <w:ind w:left="357" w:hanging="357"/>
            </w:pPr>
            <w:r w:rsidRPr="00A34764">
              <w:t>Neznalost veřejnosti o možnostech vyhledávání a získávání dostupných informací o sociálních službách</w:t>
            </w:r>
          </w:p>
          <w:p w:rsidR="00FB1999" w:rsidRPr="00A34764" w:rsidRDefault="00FB1999" w:rsidP="0085360A">
            <w:pPr>
              <w:pStyle w:val="Odstavecseseznamem"/>
              <w:numPr>
                <w:ilvl w:val="0"/>
                <w:numId w:val="22"/>
              </w:numPr>
              <w:spacing w:before="0" w:line="240" w:lineRule="auto"/>
              <w:ind w:left="357" w:hanging="357"/>
            </w:pPr>
            <w:r w:rsidRPr="00A34764">
              <w:t>Nezájem veřejnosti o informace uveřejňované prostřednictvím webových stránek OK</w:t>
            </w:r>
          </w:p>
          <w:p w:rsidR="00FB1999" w:rsidRPr="00A34764" w:rsidRDefault="00FB1999" w:rsidP="0085360A">
            <w:pPr>
              <w:pStyle w:val="Odstavecseseznamem"/>
              <w:numPr>
                <w:ilvl w:val="0"/>
                <w:numId w:val="22"/>
              </w:numPr>
              <w:spacing w:before="0" w:line="240" w:lineRule="auto"/>
              <w:ind w:left="357" w:hanging="357"/>
            </w:pPr>
            <w:r w:rsidRPr="00A34764">
              <w:t>Nezájem poskytovatelů sociálních služeb a sociálních pracovníků z obcí o účast na informačních setkáních</w:t>
            </w:r>
          </w:p>
          <w:p w:rsidR="00FB1999" w:rsidRPr="00A34764" w:rsidRDefault="00FB1999" w:rsidP="0085360A">
            <w:pPr>
              <w:pStyle w:val="Odstavecseseznamem"/>
              <w:numPr>
                <w:ilvl w:val="0"/>
                <w:numId w:val="22"/>
              </w:numPr>
              <w:spacing w:before="0" w:line="240" w:lineRule="auto"/>
              <w:ind w:left="357" w:hanging="357"/>
            </w:pPr>
            <w:r w:rsidRPr="00A34764">
              <w:t xml:space="preserve">Nevyužívání možností aplikace </w:t>
            </w:r>
            <w:proofErr w:type="spellStart"/>
            <w:r w:rsidRPr="00A34764">
              <w:t>K</w:t>
            </w:r>
            <w:r w:rsidR="0050203A" w:rsidRPr="00A34764">
              <w:t>I</w:t>
            </w:r>
            <w:r w:rsidRPr="00A34764">
              <w:t>SSoS</w:t>
            </w:r>
            <w:proofErr w:type="spellEnd"/>
            <w:r w:rsidRPr="00A34764">
              <w:t xml:space="preserve"> pro sdílení potřeb osob v nepříznivé sociální situaci</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OK, poskytovatelé sociálních služeb zařazeni v síti sociálních služeb OK, sociální pracovníci na obcích</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2024</w:t>
            </w:r>
            <w:r w:rsidR="007A5B33">
              <w:rPr>
                <w:rFonts w:eastAsia="Arial Unicode MS"/>
                <w:lang w:eastAsia="cs-CZ"/>
              </w:rPr>
              <w:t>–</w:t>
            </w:r>
            <w:r w:rsidRPr="007C2EB2">
              <w:rPr>
                <w:rFonts w:eastAsia="Arial Unicode MS"/>
                <w:lang w:eastAsia="cs-CZ"/>
              </w:rPr>
              <w:t>2026</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Finanční zdroje</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OK, EU/ESF</w:t>
            </w:r>
          </w:p>
        </w:tc>
      </w:tr>
      <w:tr w:rsidR="00FB1999" w:rsidRPr="007C2EB2" w:rsidTr="00FB1999">
        <w:trPr>
          <w:trHeight w:val="397"/>
          <w:jc w:val="center"/>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Hodnotící indikátory výstupů a výsledků</w:t>
            </w:r>
          </w:p>
        </w:tc>
        <w:tc>
          <w:tcPr>
            <w:tcW w:w="3644" w:type="pct"/>
          </w:tcPr>
          <w:p w:rsidR="00FB1999" w:rsidRPr="00A34764" w:rsidRDefault="00FB1999" w:rsidP="002D18F3">
            <w:pPr>
              <w:pStyle w:val="Odstavecseseznamem"/>
              <w:numPr>
                <w:ilvl w:val="0"/>
                <w:numId w:val="15"/>
              </w:numPr>
              <w:spacing w:before="0"/>
            </w:pPr>
            <w:r w:rsidRPr="00A34764">
              <w:t>Zveřejněný Akční plán včetně aktuální sítě sociálních služeb na příslušný rok na webových stránkách OK</w:t>
            </w:r>
          </w:p>
          <w:p w:rsidR="00FB1999" w:rsidRPr="00A34764" w:rsidRDefault="00FB1999" w:rsidP="002D18F3">
            <w:pPr>
              <w:pStyle w:val="Odstavecseseznamem"/>
              <w:numPr>
                <w:ilvl w:val="0"/>
                <w:numId w:val="15"/>
              </w:numPr>
              <w:spacing w:before="0"/>
            </w:pPr>
            <w:r w:rsidRPr="00A34764">
              <w:lastRenderedPageBreak/>
              <w:t>Zveřejněné příspěvky v tiskovinách a na webových stránkách OK</w:t>
            </w:r>
          </w:p>
          <w:p w:rsidR="00FB1999" w:rsidRPr="00A34764" w:rsidRDefault="00FB1999" w:rsidP="002D18F3">
            <w:pPr>
              <w:pStyle w:val="Odstavecseseznamem"/>
              <w:numPr>
                <w:ilvl w:val="0"/>
                <w:numId w:val="15"/>
              </w:numPr>
              <w:spacing w:before="0"/>
            </w:pPr>
            <w:r w:rsidRPr="00A34764">
              <w:t>Aktualizované webové stránky OK pro sociální oblast</w:t>
            </w:r>
          </w:p>
          <w:p w:rsidR="00FB1999" w:rsidRPr="00A34764" w:rsidRDefault="00FB1999" w:rsidP="002D18F3">
            <w:pPr>
              <w:pStyle w:val="Odstavecseseznamem"/>
              <w:numPr>
                <w:ilvl w:val="0"/>
                <w:numId w:val="22"/>
              </w:numPr>
              <w:spacing w:before="0"/>
            </w:pPr>
            <w:r w:rsidRPr="00A34764">
              <w:t>Setkání poskytovatelů sociálních služeb OK</w:t>
            </w:r>
          </w:p>
          <w:p w:rsidR="00FB1999" w:rsidRPr="00A34764" w:rsidRDefault="00FB1999" w:rsidP="002D18F3">
            <w:pPr>
              <w:pStyle w:val="Odstavecseseznamem"/>
              <w:numPr>
                <w:ilvl w:val="0"/>
                <w:numId w:val="22"/>
              </w:numPr>
              <w:spacing w:before="0"/>
            </w:pPr>
            <w:r w:rsidRPr="00A34764">
              <w:t>Setkání sociálních pracovníků ORP</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lastRenderedPageBreak/>
              <w:t xml:space="preserve">Kód opatření </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P 5.2</w:t>
            </w:r>
          </w:p>
        </w:tc>
      </w:tr>
      <w:tr w:rsidR="00FB1999" w:rsidRPr="007C2EB2" w:rsidTr="00FB1999">
        <w:tblPrEx>
          <w:jc w:val="left"/>
        </w:tblPrEx>
        <w:trPr>
          <w:trHeight w:val="397"/>
        </w:trPr>
        <w:tc>
          <w:tcPr>
            <w:tcW w:w="1356" w:type="pct"/>
            <w:shd w:val="clear" w:color="auto" w:fill="E2EFD9" w:themeFill="accent6" w:themeFillTint="33"/>
          </w:tcPr>
          <w:p w:rsidR="00FB1999" w:rsidRPr="002D18F3" w:rsidRDefault="00FB1999" w:rsidP="002D18F3">
            <w:pPr>
              <w:spacing w:before="0"/>
              <w:jc w:val="left"/>
              <w:rPr>
                <w:rFonts w:eastAsia="Arial Unicode MS"/>
                <w:b/>
                <w:lang w:eastAsia="cs-CZ"/>
              </w:rPr>
            </w:pPr>
            <w:r w:rsidRPr="002D18F3">
              <w:rPr>
                <w:rFonts w:eastAsia="Arial Unicode MS"/>
                <w:b/>
                <w:lang w:eastAsia="cs-CZ"/>
              </w:rPr>
              <w:t>Název opatření</w:t>
            </w:r>
          </w:p>
        </w:tc>
        <w:tc>
          <w:tcPr>
            <w:tcW w:w="3644" w:type="pct"/>
            <w:shd w:val="clear" w:color="auto" w:fill="E2EFD9" w:themeFill="accent6" w:themeFillTint="33"/>
          </w:tcPr>
          <w:p w:rsidR="00FB1999" w:rsidRPr="002D18F3" w:rsidRDefault="00FB1999" w:rsidP="002D18F3">
            <w:pPr>
              <w:spacing w:before="0"/>
              <w:rPr>
                <w:rFonts w:eastAsia="Arial Unicode MS"/>
                <w:b/>
                <w:lang w:eastAsia="cs-CZ"/>
              </w:rPr>
            </w:pPr>
            <w:r w:rsidRPr="002D18F3">
              <w:rPr>
                <w:rFonts w:eastAsia="Arial Unicode MS"/>
                <w:b/>
                <w:lang w:eastAsia="cs-CZ"/>
              </w:rPr>
              <w:t>Podpora a aktualizace Elektronického katalogu poskytovatelů sociálních služeb OK</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Elektronický katalog poskytovatelů sociálních služeb OK jako moderní on-line nástroj poskytující komplexní informace o nabídce sociálních služeb poskytovaných na území OK, včetně map územní působnosti jednotlivých poskytovatelů sociálních služeb, s možností vyhledání vhodné sociální služby pro občany, kteří se dostanou do nepříznivé sociální situace a potřebují pomoc od profesionálních poskytovatelů sociálních služeb. Uživatelsky příznivé rozhraní s vyhledáváním dle „vzniklých životních situací“ podávající souhrnné informace ze strany poskytovatelů sociálních služeb směrem k široké veřejnosti prostřednictvím pravidelné aktualizace prezentovaných údajů.</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Předpokládaný dopad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 xml:space="preserve">Uživatelé a žadatelé o sociální služby, jejich rodinní příslušníci a blízké osoby mají neomezený přístup k širokému portfoliu informací vedoucích k předcházení vzniku nepříznivé sociální situace a možnostem řešení již vzniklých nepříznivých sociálních situací v návaznosti na územní působnost jednotlivých poskytovatelů sociálních služeb. </w:t>
            </w:r>
          </w:p>
          <w:p w:rsidR="00FB1999" w:rsidRPr="007C2EB2" w:rsidRDefault="00FB1999" w:rsidP="002D18F3">
            <w:pPr>
              <w:spacing w:before="0"/>
              <w:rPr>
                <w:rFonts w:eastAsia="Arial Unicode MS"/>
                <w:lang w:eastAsia="cs-CZ"/>
              </w:rPr>
            </w:pPr>
            <w:r w:rsidRPr="007C2EB2">
              <w:rPr>
                <w:rFonts w:eastAsia="Arial Unicode MS"/>
                <w:lang w:eastAsia="cs-CZ"/>
              </w:rPr>
              <w:t>Odborní pracovníci na obcích, kraji či poskytovatelé sociálních služeb mají k dispozici on-line nástroj, jehož obsahem je odpovídající množství kvalitních a dostupných informací o sociálních službách zařazených do sítě sociálních služeb OK, využitelných pro poskytnutí základního sociálního poradenství potencionálním uživatelům služeb.</w:t>
            </w:r>
          </w:p>
          <w:p w:rsidR="00FB1999" w:rsidRPr="007C2EB2" w:rsidRDefault="00FB1999" w:rsidP="002D18F3">
            <w:pPr>
              <w:spacing w:before="0"/>
              <w:rPr>
                <w:rFonts w:eastAsia="Arial Unicode MS"/>
                <w:lang w:eastAsia="cs-CZ"/>
              </w:rPr>
            </w:pPr>
            <w:r w:rsidRPr="007C2EB2">
              <w:rPr>
                <w:rFonts w:eastAsia="Arial Unicode MS"/>
                <w:lang w:eastAsia="cs-CZ"/>
              </w:rPr>
              <w:t xml:space="preserve">Prezentace poskytovatelů sociálních služeb o jimi poskytovaných službách doplněných příklady dobré praxe s možností vhledu do aktuálního nastavení sociální služby. </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2D18F3">
            <w:pPr>
              <w:pStyle w:val="Odstavecseseznamem"/>
              <w:numPr>
                <w:ilvl w:val="0"/>
                <w:numId w:val="28"/>
              </w:numPr>
              <w:spacing w:before="0"/>
            </w:pPr>
            <w:r w:rsidRPr="00A34764">
              <w:t>Podpora a pravidelná aktualizace Elektronického katalogu poskytovatelů sociálních služeb OK, včetně map územní působnosti jednotlivých poskytovatelů sociálních služeb</w:t>
            </w:r>
          </w:p>
          <w:p w:rsidR="00FB1999" w:rsidRPr="00A34764" w:rsidRDefault="00FB1999" w:rsidP="002D18F3">
            <w:pPr>
              <w:pStyle w:val="Odstavecseseznamem"/>
              <w:numPr>
                <w:ilvl w:val="0"/>
                <w:numId w:val="28"/>
              </w:numPr>
              <w:spacing w:before="0"/>
            </w:pPr>
            <w:r w:rsidRPr="00A34764">
              <w:t>Udržení spolupráce s poskytovateli sociálních služeb vedoucí k poskytování aktuálních údajů o poskytovaných sociálních službách prostřednictvím Elektronického katalogu poskytovatelů sociálních služeb OK</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Pr>
          <w:p w:rsidR="00FB1999" w:rsidRPr="00A34764" w:rsidRDefault="00FB1999" w:rsidP="002D18F3">
            <w:pPr>
              <w:pStyle w:val="Odstavecseseznamem"/>
              <w:numPr>
                <w:ilvl w:val="0"/>
                <w:numId w:val="22"/>
              </w:numPr>
              <w:spacing w:before="0"/>
            </w:pPr>
            <w:r w:rsidRPr="00A34764">
              <w:t>Nedostatečná informovanost veřejnosti o existenci a možnostech, které Elektronický katalog poskytovatelů sociálních služeb OK nabízí</w:t>
            </w:r>
          </w:p>
          <w:p w:rsidR="00FB1999" w:rsidRPr="00A34764" w:rsidRDefault="00FB1999" w:rsidP="002D18F3">
            <w:pPr>
              <w:pStyle w:val="Odstavecseseznamem"/>
              <w:numPr>
                <w:ilvl w:val="0"/>
                <w:numId w:val="22"/>
              </w:numPr>
              <w:spacing w:before="0"/>
            </w:pPr>
            <w:r w:rsidRPr="00A34764">
              <w:t>Nezájem odborné i široké veřejnosti o informace uveřejňované prostřednictvím Elektronického katalogu poskytovatelů sociálních služeb OK</w:t>
            </w:r>
          </w:p>
          <w:p w:rsidR="00FB1999" w:rsidRPr="00A34764" w:rsidRDefault="00FB1999" w:rsidP="002D18F3">
            <w:pPr>
              <w:pStyle w:val="Odstavecseseznamem"/>
              <w:numPr>
                <w:ilvl w:val="0"/>
                <w:numId w:val="22"/>
              </w:numPr>
              <w:spacing w:before="0"/>
            </w:pPr>
            <w:r w:rsidRPr="00A34764">
              <w:t>Nezájem poskytovatelů sociálních služeb aktualizovat vkládané informace vztažené k poskytovaným sociálním službám</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OK, poskytovatelé sociálních služeb zařazeni v síti sociálních služeb OK, obce</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2024</w:t>
            </w:r>
            <w:r w:rsidR="00742AAA">
              <w:rPr>
                <w:rFonts w:eastAsia="Arial Unicode MS"/>
                <w:lang w:eastAsia="cs-CZ"/>
              </w:rPr>
              <w:t>–</w:t>
            </w:r>
            <w:r w:rsidRPr="007C2EB2">
              <w:rPr>
                <w:rFonts w:eastAsia="Arial Unicode MS"/>
                <w:lang w:eastAsia="cs-CZ"/>
              </w:rPr>
              <w:t>2026</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2D18F3">
            <w:pPr>
              <w:spacing w:before="0"/>
              <w:rPr>
                <w:rFonts w:eastAsia="Arial Unicode MS"/>
                <w:lang w:eastAsia="cs-CZ"/>
              </w:rPr>
            </w:pPr>
            <w:r w:rsidRPr="007C2EB2">
              <w:rPr>
                <w:rFonts w:eastAsia="Arial Unicode MS"/>
                <w:lang w:eastAsia="cs-CZ"/>
              </w:rPr>
              <w:t>OK, EU/ESF</w:t>
            </w:r>
          </w:p>
        </w:tc>
      </w:tr>
      <w:tr w:rsidR="00FB1999" w:rsidRPr="007C2EB2" w:rsidTr="00FB1999">
        <w:tblPrEx>
          <w:jc w:val="left"/>
        </w:tblPrEx>
        <w:trPr>
          <w:trHeight w:val="397"/>
        </w:trPr>
        <w:tc>
          <w:tcPr>
            <w:tcW w:w="1356" w:type="pct"/>
            <w:shd w:val="clear" w:color="auto" w:fill="CCECFF"/>
          </w:tcPr>
          <w:p w:rsidR="00FB1999" w:rsidRPr="002D18F3" w:rsidRDefault="00FB1999" w:rsidP="002D18F3">
            <w:pPr>
              <w:spacing w:before="0"/>
              <w:jc w:val="left"/>
              <w:rPr>
                <w:rFonts w:eastAsia="Arial Unicode MS"/>
                <w:b/>
                <w:lang w:eastAsia="cs-CZ"/>
              </w:rPr>
            </w:pPr>
            <w:r w:rsidRPr="002D18F3">
              <w:rPr>
                <w:rFonts w:eastAsia="Arial Unicode MS"/>
                <w:b/>
                <w:lang w:eastAsia="cs-CZ"/>
              </w:rPr>
              <w:lastRenderedPageBreak/>
              <w:t>Hodnotící indikátory výstupů a výsledků</w:t>
            </w:r>
          </w:p>
        </w:tc>
        <w:tc>
          <w:tcPr>
            <w:tcW w:w="3644" w:type="pct"/>
          </w:tcPr>
          <w:p w:rsidR="00FB1999" w:rsidRPr="00A34764" w:rsidRDefault="00FB1999" w:rsidP="002D18F3">
            <w:pPr>
              <w:pStyle w:val="Odstavecseseznamem"/>
              <w:numPr>
                <w:ilvl w:val="0"/>
                <w:numId w:val="15"/>
              </w:numPr>
              <w:spacing w:before="0"/>
            </w:pPr>
            <w:r w:rsidRPr="00A34764">
              <w:t>Online fungující aktualizovaný Elektronický katalog poskytovatelů sociálních služeb OK</w:t>
            </w:r>
          </w:p>
        </w:tc>
      </w:tr>
    </w:tbl>
    <w:p w:rsidR="00FB1999" w:rsidRPr="007C2EB2" w:rsidRDefault="00FB1999" w:rsidP="002D18F3">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6604"/>
      </w:tblGrid>
      <w:tr w:rsidR="00FB1999" w:rsidRPr="007C2EB2" w:rsidTr="00FB1999">
        <w:trPr>
          <w:trHeight w:val="397"/>
          <w:jc w:val="center"/>
        </w:trPr>
        <w:tc>
          <w:tcPr>
            <w:tcW w:w="1356" w:type="pct"/>
            <w:shd w:val="clear" w:color="auto" w:fill="FABF8F"/>
          </w:tcPr>
          <w:p w:rsidR="00FB1999" w:rsidRPr="002D18F3" w:rsidRDefault="00FB1999" w:rsidP="00A3733B">
            <w:pPr>
              <w:spacing w:before="0"/>
              <w:jc w:val="left"/>
              <w:rPr>
                <w:rFonts w:eastAsia="Arial Unicode MS"/>
                <w:b/>
                <w:lang w:eastAsia="cs-CZ"/>
              </w:rPr>
            </w:pPr>
            <w:r w:rsidRPr="002D18F3">
              <w:rPr>
                <w:rFonts w:eastAsia="Arial Unicode MS"/>
                <w:b/>
                <w:lang w:eastAsia="cs-CZ"/>
              </w:rPr>
              <w:t>Cíl P 6</w:t>
            </w:r>
          </w:p>
        </w:tc>
        <w:tc>
          <w:tcPr>
            <w:tcW w:w="3644" w:type="pct"/>
            <w:shd w:val="clear" w:color="auto" w:fill="FABF8F"/>
          </w:tcPr>
          <w:p w:rsidR="00FB1999" w:rsidRPr="002D18F3" w:rsidRDefault="00FB1999" w:rsidP="00A3733B">
            <w:pPr>
              <w:spacing w:before="0"/>
              <w:rPr>
                <w:rFonts w:eastAsia="Arial Unicode MS"/>
                <w:b/>
                <w:lang w:eastAsia="cs-CZ"/>
              </w:rPr>
            </w:pPr>
            <w:r w:rsidRPr="002D18F3">
              <w:rPr>
                <w:rFonts w:eastAsia="Arial Unicode MS"/>
                <w:b/>
                <w:lang w:eastAsia="cs-CZ"/>
              </w:rPr>
              <w:t>Podpora a koordinace dobrovolnických aktivit na území OK</w:t>
            </w:r>
          </w:p>
        </w:tc>
      </w:tr>
      <w:tr w:rsidR="00FB1999" w:rsidRPr="007C2EB2" w:rsidTr="00FB1999">
        <w:trPr>
          <w:trHeight w:val="397"/>
          <w:jc w:val="center"/>
        </w:trPr>
        <w:tc>
          <w:tcPr>
            <w:tcW w:w="1356" w:type="pct"/>
            <w:shd w:val="clear" w:color="auto" w:fill="E2EFD9" w:themeFill="accent6" w:themeFillTint="33"/>
          </w:tcPr>
          <w:p w:rsidR="00FB1999" w:rsidRPr="002D18F3" w:rsidRDefault="00FB1999" w:rsidP="00A3733B">
            <w:pPr>
              <w:spacing w:before="0"/>
              <w:jc w:val="left"/>
              <w:rPr>
                <w:rFonts w:eastAsia="Arial Unicode MS"/>
                <w:b/>
                <w:lang w:eastAsia="cs-CZ"/>
              </w:rPr>
            </w:pPr>
            <w:r w:rsidRPr="002D18F3">
              <w:rPr>
                <w:rFonts w:eastAsia="Arial Unicode MS"/>
                <w:b/>
                <w:lang w:eastAsia="cs-CZ"/>
              </w:rPr>
              <w:t xml:space="preserve">Kód opatření </w:t>
            </w:r>
          </w:p>
        </w:tc>
        <w:tc>
          <w:tcPr>
            <w:tcW w:w="3644" w:type="pct"/>
            <w:shd w:val="clear" w:color="auto" w:fill="E2EFD9" w:themeFill="accent6" w:themeFillTint="33"/>
          </w:tcPr>
          <w:p w:rsidR="00FB1999" w:rsidRPr="002D18F3" w:rsidRDefault="00FB1999" w:rsidP="00A3733B">
            <w:pPr>
              <w:spacing w:before="0"/>
              <w:rPr>
                <w:rFonts w:eastAsia="Arial Unicode MS"/>
                <w:b/>
                <w:lang w:eastAsia="cs-CZ"/>
              </w:rPr>
            </w:pPr>
            <w:r w:rsidRPr="002D18F3">
              <w:rPr>
                <w:rFonts w:eastAsia="Arial Unicode MS"/>
                <w:b/>
                <w:lang w:eastAsia="cs-CZ"/>
              </w:rPr>
              <w:t>P 6.1</w:t>
            </w:r>
          </w:p>
        </w:tc>
      </w:tr>
      <w:tr w:rsidR="00FB1999" w:rsidRPr="007C2EB2" w:rsidTr="00FB1999">
        <w:trPr>
          <w:trHeight w:val="397"/>
          <w:jc w:val="center"/>
        </w:trPr>
        <w:tc>
          <w:tcPr>
            <w:tcW w:w="1356" w:type="pct"/>
            <w:shd w:val="clear" w:color="auto" w:fill="E2EFD9" w:themeFill="accent6" w:themeFillTint="33"/>
          </w:tcPr>
          <w:p w:rsidR="00FB1999" w:rsidRPr="002D18F3" w:rsidRDefault="00FB1999" w:rsidP="00A3733B">
            <w:pPr>
              <w:spacing w:before="0"/>
              <w:jc w:val="left"/>
              <w:rPr>
                <w:rFonts w:eastAsia="Arial Unicode MS"/>
                <w:b/>
                <w:lang w:eastAsia="cs-CZ"/>
              </w:rPr>
            </w:pPr>
            <w:r w:rsidRPr="002D18F3">
              <w:rPr>
                <w:rFonts w:eastAsia="Arial Unicode MS"/>
                <w:b/>
                <w:lang w:eastAsia="cs-CZ"/>
              </w:rPr>
              <w:t>Název opatření</w:t>
            </w:r>
          </w:p>
        </w:tc>
        <w:tc>
          <w:tcPr>
            <w:tcW w:w="3644" w:type="pct"/>
            <w:shd w:val="clear" w:color="auto" w:fill="E2EFD9" w:themeFill="accent6" w:themeFillTint="33"/>
          </w:tcPr>
          <w:p w:rsidR="00FB1999" w:rsidRPr="002D18F3" w:rsidRDefault="00FB1999" w:rsidP="00A3733B">
            <w:pPr>
              <w:spacing w:before="0"/>
              <w:rPr>
                <w:rFonts w:eastAsia="Arial Unicode MS"/>
                <w:b/>
                <w:lang w:eastAsia="cs-CZ"/>
              </w:rPr>
            </w:pPr>
            <w:r w:rsidRPr="002D18F3">
              <w:rPr>
                <w:rFonts w:eastAsia="Arial Unicode MS"/>
                <w:b/>
                <w:lang w:eastAsia="cs-CZ"/>
              </w:rPr>
              <w:t>Podpora koordinace využití dobrovolníků v oblasti sociální integrace</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A3733B">
            <w:pPr>
              <w:spacing w:before="0"/>
              <w:rPr>
                <w:rFonts w:eastAsia="Arial Unicode MS"/>
                <w:lang w:eastAsia="cs-CZ"/>
              </w:rPr>
            </w:pPr>
            <w:r w:rsidRPr="007C2EB2">
              <w:rPr>
                <w:rFonts w:eastAsia="Arial Unicode MS"/>
                <w:lang w:eastAsia="cs-CZ"/>
              </w:rPr>
              <w:t>Rozšíření podpory a koordinace využívání dobrovolníků v oblasti sociální integrace na území OK. Zvýšení dostupnosti dobrovolnictví, širší zapojení dobrovolníků do dobrovolnických aktivit, podpora kvality a profesionalizace poskytování dobrovolnických aktivit ve prospěch klientů a poskytovatelů sociálních služeb. Zkvalitnění práce s dobrovolníky a s pracovníky dobrovolnických organizací. Nastavení příznivého prostředí pro výkon a rozvoj dobrovolnických aktivit, vytvoření podmínek pro co nejširší zapojení dobrovolníků. Podpora vzájemné spolupráce subjektů zapojených do dobrovolnické činnosti na území OK.</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Předpokládaný dopad opatření</w:t>
            </w:r>
          </w:p>
        </w:tc>
        <w:tc>
          <w:tcPr>
            <w:tcW w:w="3644" w:type="pct"/>
          </w:tcPr>
          <w:p w:rsidR="00FB1999" w:rsidRPr="007C2EB2" w:rsidRDefault="00FB1999" w:rsidP="00A3733B">
            <w:pPr>
              <w:spacing w:before="0"/>
              <w:rPr>
                <w:rFonts w:eastAsia="Arial Unicode MS"/>
                <w:lang w:eastAsia="cs-CZ"/>
              </w:rPr>
            </w:pPr>
            <w:r w:rsidRPr="007C2EB2">
              <w:rPr>
                <w:rFonts w:eastAsia="Arial Unicode MS"/>
                <w:lang w:eastAsia="cs-CZ"/>
              </w:rPr>
              <w:t>Kvalitně fungující dobrovolnická centra, prostřednictvím kterých bude docházet k zapojování organizací, které prozatím nevyužívají dobrovolníky. Prověření a výběr vhodných dobrovolníků pro dané cílové skupiny přijímajících organizací</w:t>
            </w:r>
            <w:r w:rsidRPr="007C2EB2">
              <w:rPr>
                <w:rFonts w:eastAsia="Arial Unicode MS"/>
                <w:bCs/>
                <w:iCs/>
                <w:lang w:eastAsia="cs-CZ"/>
              </w:rPr>
              <w:t>, v</w:t>
            </w:r>
            <w:r w:rsidRPr="007C2EB2">
              <w:rPr>
                <w:rFonts w:eastAsia="Arial Unicode MS"/>
                <w:lang w:eastAsia="cs-CZ"/>
              </w:rPr>
              <w:t>ýcvik a vzdělávání dobrovolníků</w:t>
            </w:r>
            <w:r w:rsidRPr="007C2EB2">
              <w:rPr>
                <w:rFonts w:eastAsia="Arial Unicode MS"/>
                <w:bCs/>
                <w:iCs/>
                <w:lang w:eastAsia="cs-CZ"/>
              </w:rPr>
              <w:t>, z</w:t>
            </w:r>
            <w:r w:rsidRPr="007C2EB2">
              <w:rPr>
                <w:rFonts w:eastAsia="Arial Unicode MS"/>
                <w:lang w:eastAsia="cs-CZ"/>
              </w:rPr>
              <w:t>pracování metodických materiálů, vyhledávání činností pro dobrovolníky a navazování spolupráce s přijímajícími organizacemi. Nastavená kvalitní komunikace s dobrovolníky, klienty a pověřenými pracovníky přijímajících organizací se zabezpečenou supervizí dobrovolníků a administrativou spojenou s dobrovolnickou službou (smlouvy, pojištění atd.). V neposlední řadě podpora a motivace dobrovolníků a jejich veřejné oceňování, dále pak prohloubení spolupráce mezi jednotlivými dobrovolnickými centry na území OK. Fungování a aktivní přítomnost dobrovolnického centra v lokalitě každého z bývalých okresů OK, tj. Olomouc, Prostějov, Přerov, Jeseník, Šumperk. V každém území bude vždy alespoň jeden aktivní koordinátor dobrovolníků a zázemí vysílající organizace.</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A3733B">
            <w:pPr>
              <w:pStyle w:val="Odstavecseseznamem"/>
              <w:numPr>
                <w:ilvl w:val="0"/>
                <w:numId w:val="30"/>
              </w:numPr>
              <w:spacing w:before="0" w:line="240" w:lineRule="auto"/>
            </w:pPr>
            <w:r w:rsidRPr="00A34764">
              <w:t>Podpora dobrovolnických center v OK</w:t>
            </w:r>
          </w:p>
          <w:p w:rsidR="00FB1999" w:rsidRPr="00A34764" w:rsidRDefault="00FB1999" w:rsidP="00A3733B">
            <w:pPr>
              <w:pStyle w:val="Odstavecseseznamem"/>
              <w:numPr>
                <w:ilvl w:val="0"/>
                <w:numId w:val="30"/>
              </w:numPr>
              <w:spacing w:before="0" w:line="240" w:lineRule="auto"/>
            </w:pPr>
            <w:r w:rsidRPr="00A34764">
              <w:t>Podpora účelných projektů podávaných v rámci vyhlášených výzev EU, zaměřených na oblast dobrovolnictví</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Pr>
          <w:p w:rsidR="00FB1999" w:rsidRPr="00A34764" w:rsidRDefault="00FB1999" w:rsidP="00A3733B">
            <w:pPr>
              <w:pStyle w:val="Odstavecseseznamem"/>
              <w:numPr>
                <w:ilvl w:val="0"/>
                <w:numId w:val="29"/>
              </w:numPr>
              <w:spacing w:before="0" w:line="240" w:lineRule="auto"/>
            </w:pPr>
            <w:r w:rsidRPr="00A34764">
              <w:t>Nezájem veřejnosti o dobrovolnickou činnost</w:t>
            </w:r>
          </w:p>
          <w:p w:rsidR="00FB1999" w:rsidRPr="00A34764" w:rsidRDefault="00FB1999" w:rsidP="00A3733B">
            <w:pPr>
              <w:pStyle w:val="Odstavecseseznamem"/>
              <w:numPr>
                <w:ilvl w:val="0"/>
                <w:numId w:val="29"/>
              </w:numPr>
              <w:spacing w:before="0" w:line="240" w:lineRule="auto"/>
            </w:pPr>
            <w:r w:rsidRPr="00A34764">
              <w:t xml:space="preserve">Nedostatek finančních prostředků pro realizaci plánovaných aktivit </w:t>
            </w:r>
          </w:p>
          <w:p w:rsidR="00FB1999" w:rsidRPr="00A34764" w:rsidRDefault="00FB1999" w:rsidP="00A3733B">
            <w:pPr>
              <w:pStyle w:val="Odstavecseseznamem"/>
              <w:numPr>
                <w:ilvl w:val="0"/>
                <w:numId w:val="29"/>
              </w:numPr>
              <w:spacing w:before="0" w:line="240" w:lineRule="auto"/>
            </w:pPr>
            <w:r w:rsidRPr="00A34764">
              <w:t>Nedostatek pracovníků pro výkon pozice koordinátora dobrovolníků</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A3733B">
            <w:pPr>
              <w:spacing w:before="0"/>
              <w:rPr>
                <w:rFonts w:eastAsia="Arial Unicode MS"/>
                <w:lang w:eastAsia="cs-CZ"/>
              </w:rPr>
            </w:pPr>
            <w:r w:rsidRPr="007C2EB2">
              <w:rPr>
                <w:rFonts w:eastAsia="Arial Unicode MS"/>
                <w:lang w:eastAsia="cs-CZ"/>
              </w:rPr>
              <w:t>OK, poskytovatelé sociálních služeb zařazeni v síti sociálních služeb OK, dobrovolnické organizace</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A3733B">
            <w:pPr>
              <w:spacing w:before="0"/>
              <w:rPr>
                <w:rFonts w:eastAsia="Arial Unicode MS"/>
                <w:lang w:eastAsia="cs-CZ"/>
              </w:rPr>
            </w:pPr>
            <w:r w:rsidRPr="007C2EB2">
              <w:rPr>
                <w:rFonts w:eastAsia="Arial Unicode MS"/>
                <w:lang w:eastAsia="cs-CZ"/>
              </w:rPr>
              <w:t>2024</w:t>
            </w:r>
            <w:r w:rsidR="0060150B">
              <w:rPr>
                <w:rFonts w:eastAsia="Arial Unicode MS"/>
                <w:lang w:eastAsia="cs-CZ"/>
              </w:rPr>
              <w:t>–</w:t>
            </w:r>
            <w:r w:rsidRPr="007C2EB2">
              <w:rPr>
                <w:rFonts w:eastAsia="Arial Unicode MS"/>
                <w:lang w:eastAsia="cs-CZ"/>
              </w:rPr>
              <w:t>2026</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Přepokládané finanční zdroje</w:t>
            </w:r>
          </w:p>
        </w:tc>
        <w:tc>
          <w:tcPr>
            <w:tcW w:w="3644" w:type="pct"/>
          </w:tcPr>
          <w:p w:rsidR="00FB1999" w:rsidRPr="007C2EB2" w:rsidRDefault="00FB1999" w:rsidP="00A3733B">
            <w:pPr>
              <w:spacing w:before="0"/>
              <w:rPr>
                <w:rFonts w:eastAsia="Arial Unicode MS"/>
                <w:lang w:eastAsia="cs-CZ"/>
              </w:rPr>
            </w:pPr>
            <w:r w:rsidRPr="007C2EB2">
              <w:rPr>
                <w:rFonts w:eastAsia="Arial Unicode MS"/>
                <w:lang w:eastAsia="cs-CZ"/>
              </w:rPr>
              <w:t>OK, EU/ESF</w:t>
            </w:r>
          </w:p>
          <w:p w:rsidR="00FB1999" w:rsidRPr="007C2EB2" w:rsidRDefault="00FB1999" w:rsidP="00A3733B">
            <w:pPr>
              <w:spacing w:before="0"/>
              <w:rPr>
                <w:rFonts w:eastAsia="Arial Unicode MS"/>
                <w:lang w:eastAsia="cs-CZ"/>
              </w:rPr>
            </w:pP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Hodnotící indikátory výstupů a výsledků</w:t>
            </w:r>
          </w:p>
        </w:tc>
        <w:tc>
          <w:tcPr>
            <w:tcW w:w="3644" w:type="pct"/>
          </w:tcPr>
          <w:p w:rsidR="00FB1999" w:rsidRPr="00A34764" w:rsidRDefault="00FB1999" w:rsidP="00A3733B">
            <w:pPr>
              <w:pStyle w:val="Odstavecseseznamem"/>
              <w:numPr>
                <w:ilvl w:val="0"/>
                <w:numId w:val="15"/>
              </w:numPr>
              <w:spacing w:before="0" w:line="240" w:lineRule="auto"/>
            </w:pPr>
            <w:r w:rsidRPr="00A34764">
              <w:t>Počet podpořených projektů v rámci výzev ESF</w:t>
            </w:r>
          </w:p>
          <w:p w:rsidR="00FB1999" w:rsidRDefault="00FB1999" w:rsidP="00A3733B">
            <w:pPr>
              <w:pStyle w:val="Odstavecseseznamem"/>
              <w:numPr>
                <w:ilvl w:val="0"/>
                <w:numId w:val="15"/>
              </w:numPr>
              <w:spacing w:before="0" w:line="240" w:lineRule="auto"/>
            </w:pPr>
            <w:r w:rsidRPr="00A34764">
              <w:t>Přítomnost funkčního dobrovolnického centra v lokalitě každého z bývalých okresů Olomouckého kraje, tj. Olomouc, Prostějov, Přerov, Jeseník, Šumperk</w:t>
            </w:r>
          </w:p>
          <w:p w:rsidR="00F95646" w:rsidRDefault="00F95646" w:rsidP="00F95646">
            <w:pPr>
              <w:pStyle w:val="Odstavecseseznamem"/>
              <w:spacing w:before="0" w:line="240" w:lineRule="auto"/>
              <w:ind w:left="360"/>
            </w:pPr>
          </w:p>
          <w:p w:rsidR="00F95646" w:rsidRPr="00A34764" w:rsidRDefault="00F95646" w:rsidP="00F95646">
            <w:pPr>
              <w:pStyle w:val="Odstavecseseznamem"/>
              <w:spacing w:before="0" w:line="240" w:lineRule="auto"/>
              <w:ind w:left="360"/>
            </w:pPr>
          </w:p>
        </w:tc>
      </w:tr>
      <w:tr w:rsidR="00FB1999" w:rsidRPr="007C2EB2" w:rsidTr="00FB1999">
        <w:trPr>
          <w:trHeight w:val="397"/>
          <w:jc w:val="center"/>
        </w:trPr>
        <w:tc>
          <w:tcPr>
            <w:tcW w:w="1356" w:type="pct"/>
            <w:shd w:val="clear" w:color="auto" w:fill="E2EFD9" w:themeFill="accent6" w:themeFillTint="33"/>
          </w:tcPr>
          <w:p w:rsidR="00FB1999" w:rsidRPr="002D18F3" w:rsidRDefault="00FB1999" w:rsidP="00A3733B">
            <w:pPr>
              <w:spacing w:before="0"/>
              <w:jc w:val="left"/>
              <w:rPr>
                <w:rFonts w:eastAsia="Arial Unicode MS"/>
                <w:b/>
                <w:lang w:eastAsia="cs-CZ"/>
              </w:rPr>
            </w:pPr>
            <w:r w:rsidRPr="002D18F3">
              <w:rPr>
                <w:rFonts w:eastAsia="Arial Unicode MS"/>
                <w:b/>
                <w:lang w:eastAsia="cs-CZ"/>
              </w:rPr>
              <w:lastRenderedPageBreak/>
              <w:t>Kód opatření</w:t>
            </w:r>
          </w:p>
        </w:tc>
        <w:tc>
          <w:tcPr>
            <w:tcW w:w="3644" w:type="pct"/>
            <w:shd w:val="clear" w:color="auto" w:fill="E2EFD9" w:themeFill="accent6" w:themeFillTint="33"/>
          </w:tcPr>
          <w:p w:rsidR="00FB1999" w:rsidRPr="002D18F3" w:rsidRDefault="00FB1999" w:rsidP="00A3733B">
            <w:pPr>
              <w:spacing w:before="0"/>
              <w:rPr>
                <w:rFonts w:eastAsia="Arial Unicode MS"/>
                <w:b/>
                <w:lang w:eastAsia="cs-CZ"/>
              </w:rPr>
            </w:pPr>
            <w:r w:rsidRPr="002D18F3">
              <w:rPr>
                <w:rFonts w:eastAsia="Arial Unicode MS"/>
                <w:b/>
                <w:lang w:eastAsia="cs-CZ"/>
              </w:rPr>
              <w:t>P 6.2</w:t>
            </w:r>
          </w:p>
        </w:tc>
      </w:tr>
      <w:tr w:rsidR="00FB1999" w:rsidRPr="007C2EB2" w:rsidTr="00FB1999">
        <w:trPr>
          <w:trHeight w:val="397"/>
          <w:jc w:val="center"/>
        </w:trPr>
        <w:tc>
          <w:tcPr>
            <w:tcW w:w="1356" w:type="pct"/>
            <w:shd w:val="clear" w:color="auto" w:fill="E2EFD9" w:themeFill="accent6" w:themeFillTint="33"/>
          </w:tcPr>
          <w:p w:rsidR="00FB1999" w:rsidRPr="002D18F3" w:rsidRDefault="00FB1999" w:rsidP="00A3733B">
            <w:pPr>
              <w:spacing w:before="0"/>
              <w:jc w:val="left"/>
              <w:rPr>
                <w:rFonts w:eastAsia="Arial Unicode MS"/>
                <w:b/>
                <w:lang w:eastAsia="cs-CZ"/>
              </w:rPr>
            </w:pPr>
            <w:r w:rsidRPr="002D18F3">
              <w:rPr>
                <w:rFonts w:eastAsia="Arial Unicode MS"/>
                <w:b/>
                <w:lang w:eastAsia="cs-CZ"/>
              </w:rPr>
              <w:t xml:space="preserve">Název opatření </w:t>
            </w:r>
          </w:p>
        </w:tc>
        <w:tc>
          <w:tcPr>
            <w:tcW w:w="3644" w:type="pct"/>
            <w:shd w:val="clear" w:color="auto" w:fill="E2EFD9" w:themeFill="accent6" w:themeFillTint="33"/>
          </w:tcPr>
          <w:p w:rsidR="00FB1999" w:rsidRPr="002D18F3" w:rsidRDefault="00FB1999" w:rsidP="00A3733B">
            <w:pPr>
              <w:spacing w:before="0"/>
              <w:rPr>
                <w:rFonts w:eastAsia="Arial Unicode MS"/>
                <w:b/>
                <w:lang w:eastAsia="cs-CZ"/>
              </w:rPr>
            </w:pPr>
            <w:r w:rsidRPr="002D18F3">
              <w:rPr>
                <w:rFonts w:eastAsia="Arial Unicode MS"/>
                <w:b/>
                <w:lang w:eastAsia="cs-CZ"/>
              </w:rPr>
              <w:t>Podpora vzdělávacích aktivit s přímou vazbou na dobrovolnickou činnost</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Charakteristika opatření</w:t>
            </w:r>
          </w:p>
        </w:tc>
        <w:tc>
          <w:tcPr>
            <w:tcW w:w="3644" w:type="pct"/>
          </w:tcPr>
          <w:p w:rsidR="00FB1999" w:rsidRPr="007C2EB2" w:rsidRDefault="00FB1999" w:rsidP="00A3733B">
            <w:pPr>
              <w:spacing w:before="0"/>
              <w:rPr>
                <w:rFonts w:eastAsia="Arial Unicode MS"/>
                <w:lang w:eastAsia="cs-CZ"/>
              </w:rPr>
            </w:pPr>
            <w:r w:rsidRPr="007C2EB2">
              <w:rPr>
                <w:rFonts w:eastAsia="Arial Unicode MS"/>
                <w:lang w:eastAsia="cs-CZ"/>
              </w:rPr>
              <w:t xml:space="preserve">Zajištění vzdělávání, metodické pomoci a profesionální podpory osobám, majícím zájem o vstup do dobrovolnické činnosti s přímou </w:t>
            </w:r>
            <w:proofErr w:type="spellStart"/>
            <w:r w:rsidRPr="007C2EB2">
              <w:rPr>
                <w:rFonts w:eastAsia="Arial Unicode MS"/>
                <w:lang w:eastAsia="cs-CZ"/>
              </w:rPr>
              <w:t>provazbou</w:t>
            </w:r>
            <w:proofErr w:type="spellEnd"/>
            <w:r w:rsidRPr="007C2EB2">
              <w:rPr>
                <w:rFonts w:eastAsia="Arial Unicode MS"/>
                <w:lang w:eastAsia="cs-CZ"/>
              </w:rPr>
              <w:t xml:space="preserve"> na nastavení příznivého prostředí pro výkon a další rozvoj dobrovolnických aktivit. Znalostní rozvoj v oblasti práv a povinností dobrovolníků, koncepce rozvoje dobrovolnictví, propagační aktivity, práce s webem a sociálními sítěmi, supervize, komunikace, aktivizace a motivace, předcházení syndromu vyhoření.</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Předpokládaný dopad opatření</w:t>
            </w:r>
          </w:p>
        </w:tc>
        <w:tc>
          <w:tcPr>
            <w:tcW w:w="3644" w:type="pct"/>
          </w:tcPr>
          <w:p w:rsidR="00FB1999" w:rsidRPr="007C2EB2" w:rsidRDefault="00FB1999" w:rsidP="00A3733B">
            <w:pPr>
              <w:spacing w:before="0"/>
              <w:rPr>
                <w:rFonts w:eastAsia="Arial Unicode MS"/>
                <w:lang w:eastAsia="cs-CZ"/>
              </w:rPr>
            </w:pPr>
            <w:r w:rsidRPr="007C2EB2">
              <w:rPr>
                <w:rFonts w:eastAsia="Arial Unicode MS"/>
                <w:lang w:eastAsia="cs-CZ"/>
              </w:rPr>
              <w:t>Podpora rozvoje kompetencí dobrovolníků v sociálních službách s</w:t>
            </w:r>
            <w:r w:rsidR="0060150B">
              <w:rPr>
                <w:rFonts w:eastAsia="Arial Unicode MS"/>
                <w:lang w:eastAsia="cs-CZ"/>
              </w:rPr>
              <w:t> </w:t>
            </w:r>
            <w:r w:rsidRPr="007C2EB2">
              <w:rPr>
                <w:rFonts w:eastAsia="Arial Unicode MS"/>
                <w:lang w:eastAsia="cs-CZ"/>
              </w:rPr>
              <w:t>přímým dopadem na kvalitu života uživatelů sociálních služeb, prostřednictvím posilování vazeb a kontaktů s běžným sociálním prostředím, včetně udržení komunikačních a sociálních dovedností.</w:t>
            </w:r>
            <w:r w:rsidRPr="007C2EB2">
              <w:rPr>
                <w:rFonts w:ascii="Helvetica" w:hAnsi="Helvetica" w:cs="Helvetica"/>
                <w:color w:val="333333"/>
                <w:sz w:val="17"/>
                <w:szCs w:val="17"/>
              </w:rPr>
              <w:t xml:space="preserve"> </w:t>
            </w:r>
            <w:r w:rsidRPr="007C2EB2">
              <w:rPr>
                <w:rFonts w:eastAsia="Arial Unicode MS"/>
                <w:lang w:eastAsia="cs-CZ"/>
              </w:rPr>
              <w:t>Využití možnosti a příležitosti dobrovolnictví jako prostředku ke zkvalitnění poskytovaných sociálních služeb a prostředku pro mezigenerační solidaritu a osobnostní rozvoj dobrovolníků.</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 xml:space="preserve">Aktivity vedoucí k naplnění opatření </w:t>
            </w:r>
          </w:p>
        </w:tc>
        <w:tc>
          <w:tcPr>
            <w:tcW w:w="3644" w:type="pct"/>
          </w:tcPr>
          <w:p w:rsidR="00FB1999" w:rsidRPr="00A34764" w:rsidRDefault="00FB1999" w:rsidP="00A3733B">
            <w:pPr>
              <w:pStyle w:val="Odstavecseseznamem"/>
              <w:numPr>
                <w:ilvl w:val="0"/>
                <w:numId w:val="31"/>
              </w:numPr>
              <w:spacing w:before="0" w:line="240" w:lineRule="auto"/>
            </w:pPr>
            <w:r w:rsidRPr="00A34764">
              <w:t>Cílené profesní vzdělávání koordinátorů dobrovolnických center a osob majících zájem o dobrovolnickou činnost</w:t>
            </w:r>
          </w:p>
          <w:p w:rsidR="00FB1999" w:rsidRPr="00A34764" w:rsidRDefault="00FB1999" w:rsidP="00A3733B">
            <w:pPr>
              <w:pStyle w:val="Odstavecseseznamem"/>
              <w:numPr>
                <w:ilvl w:val="0"/>
                <w:numId w:val="31"/>
              </w:numPr>
              <w:spacing w:before="0" w:line="240" w:lineRule="auto"/>
            </w:pPr>
            <w:r w:rsidRPr="00A34764">
              <w:t xml:space="preserve">Realizace workshopů zaměřených na základy náplně práce a řízení dobrovolnických programů, otázky managementu dobrovolnictví a přípravy organizace na vstup a zapojení dobrovolníků do svých služeb a aktivit </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Pr>
          <w:p w:rsidR="00FB1999" w:rsidRPr="00A34764" w:rsidRDefault="00FB1999" w:rsidP="00A3733B">
            <w:pPr>
              <w:pStyle w:val="Odstavecseseznamem"/>
              <w:numPr>
                <w:ilvl w:val="0"/>
                <w:numId w:val="29"/>
              </w:numPr>
              <w:spacing w:before="0" w:line="240" w:lineRule="auto"/>
            </w:pPr>
            <w:r w:rsidRPr="00A34764">
              <w:t xml:space="preserve">Nedostatek finančních prostředků pro realizaci plánovaných aktivit </w:t>
            </w:r>
          </w:p>
          <w:p w:rsidR="00FB1999" w:rsidRPr="00A34764" w:rsidRDefault="00FB1999" w:rsidP="00A3733B">
            <w:pPr>
              <w:pStyle w:val="Odstavecseseznamem"/>
              <w:numPr>
                <w:ilvl w:val="0"/>
                <w:numId w:val="29"/>
              </w:numPr>
              <w:spacing w:before="0" w:line="240" w:lineRule="auto"/>
            </w:pPr>
            <w:r w:rsidRPr="00A34764">
              <w:t>Nezájem veřejnosti o vzdělávání v oblasti dobrovolnické činnosti a o dobrovolnickou činnost</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Pr>
          <w:p w:rsidR="00FB1999" w:rsidRPr="007C2EB2" w:rsidRDefault="00FB1999" w:rsidP="00A3733B">
            <w:pPr>
              <w:spacing w:before="0"/>
              <w:rPr>
                <w:rFonts w:eastAsia="Arial Unicode MS"/>
                <w:lang w:eastAsia="cs-CZ"/>
              </w:rPr>
            </w:pPr>
            <w:r w:rsidRPr="007C2EB2">
              <w:rPr>
                <w:rFonts w:eastAsia="Arial Unicode MS"/>
                <w:lang w:eastAsia="cs-CZ"/>
              </w:rPr>
              <w:t>OK, poskytovatelé sociálních služeb zařazeni v síti sociálních služeb OK, dobrovolnické organizace</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Časový harmonogram</w:t>
            </w:r>
          </w:p>
        </w:tc>
        <w:tc>
          <w:tcPr>
            <w:tcW w:w="3644" w:type="pct"/>
          </w:tcPr>
          <w:p w:rsidR="00FB1999" w:rsidRPr="007C2EB2" w:rsidRDefault="00FB1999" w:rsidP="00A3733B">
            <w:pPr>
              <w:spacing w:before="0"/>
              <w:rPr>
                <w:rFonts w:eastAsia="Arial Unicode MS"/>
                <w:lang w:eastAsia="cs-CZ"/>
              </w:rPr>
            </w:pPr>
            <w:r w:rsidRPr="007C2EB2">
              <w:rPr>
                <w:rFonts w:eastAsia="Arial Unicode MS"/>
                <w:lang w:eastAsia="cs-CZ"/>
              </w:rPr>
              <w:t>2024</w:t>
            </w:r>
            <w:r w:rsidR="0060150B">
              <w:rPr>
                <w:rFonts w:eastAsia="Arial Unicode MS"/>
                <w:lang w:eastAsia="cs-CZ"/>
              </w:rPr>
              <w:t>–</w:t>
            </w:r>
            <w:r w:rsidRPr="007C2EB2">
              <w:rPr>
                <w:rFonts w:eastAsia="Arial Unicode MS"/>
                <w:lang w:eastAsia="cs-CZ"/>
              </w:rPr>
              <w:t>2026</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Předpokládané finanční zdroje</w:t>
            </w:r>
          </w:p>
        </w:tc>
        <w:tc>
          <w:tcPr>
            <w:tcW w:w="3644" w:type="pct"/>
          </w:tcPr>
          <w:p w:rsidR="00FB1999" w:rsidRPr="007C2EB2" w:rsidRDefault="00FB1999" w:rsidP="00A3733B">
            <w:pPr>
              <w:spacing w:before="0"/>
              <w:rPr>
                <w:rFonts w:eastAsia="Arial Unicode MS"/>
                <w:lang w:eastAsia="cs-CZ"/>
              </w:rPr>
            </w:pPr>
            <w:r w:rsidRPr="007C2EB2">
              <w:rPr>
                <w:rFonts w:eastAsia="Arial Unicode MS"/>
                <w:lang w:eastAsia="cs-CZ"/>
              </w:rPr>
              <w:t>EU/ESF</w:t>
            </w:r>
          </w:p>
        </w:tc>
      </w:tr>
      <w:tr w:rsidR="00FB1999" w:rsidRPr="007C2EB2" w:rsidTr="00FB1999">
        <w:trPr>
          <w:trHeight w:val="397"/>
          <w:jc w:val="center"/>
        </w:trPr>
        <w:tc>
          <w:tcPr>
            <w:tcW w:w="1356" w:type="pct"/>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Hodnotící indikátory výstupů a výsledků</w:t>
            </w:r>
          </w:p>
        </w:tc>
        <w:tc>
          <w:tcPr>
            <w:tcW w:w="3644" w:type="pct"/>
          </w:tcPr>
          <w:p w:rsidR="00FB1999" w:rsidRPr="00A34764" w:rsidRDefault="00FB1999" w:rsidP="00A3733B">
            <w:pPr>
              <w:pStyle w:val="Odstavecseseznamem"/>
              <w:numPr>
                <w:ilvl w:val="0"/>
                <w:numId w:val="15"/>
              </w:numPr>
              <w:spacing w:before="0" w:line="240" w:lineRule="auto"/>
            </w:pPr>
            <w:r w:rsidRPr="00A34764">
              <w:t>Realizované vzdělávání</w:t>
            </w:r>
          </w:p>
          <w:p w:rsidR="00FB1999" w:rsidRPr="00A34764" w:rsidRDefault="00FB1999" w:rsidP="00A3733B">
            <w:pPr>
              <w:pStyle w:val="Odstavecseseznamem"/>
              <w:numPr>
                <w:ilvl w:val="0"/>
                <w:numId w:val="15"/>
              </w:numPr>
              <w:spacing w:before="0" w:line="240" w:lineRule="auto"/>
            </w:pPr>
            <w:r w:rsidRPr="00A34764">
              <w:t xml:space="preserve">Uspořádané workshopy </w:t>
            </w:r>
          </w:p>
        </w:tc>
      </w:tr>
      <w:tr w:rsidR="00FB1999" w:rsidRPr="007C2EB2" w:rsidTr="00B30496">
        <w:trPr>
          <w:trHeight w:val="397"/>
          <w:jc w:val="center"/>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2D18F3" w:rsidRDefault="00FB1999" w:rsidP="00A3733B">
            <w:pPr>
              <w:spacing w:before="0"/>
              <w:jc w:val="left"/>
              <w:rPr>
                <w:rFonts w:eastAsia="Arial Unicode MS"/>
                <w:b/>
                <w:lang w:eastAsia="cs-CZ"/>
              </w:rPr>
            </w:pPr>
            <w:r w:rsidRPr="002D18F3">
              <w:rPr>
                <w:rFonts w:eastAsia="Arial Unicode MS"/>
                <w:b/>
                <w:lang w:eastAsia="cs-CZ"/>
              </w:rPr>
              <w:t>Kód opatření</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2D18F3" w:rsidRDefault="00FB1999" w:rsidP="00A3733B">
            <w:pPr>
              <w:spacing w:before="0"/>
              <w:rPr>
                <w:rFonts w:eastAsia="Arial Unicode MS"/>
                <w:b/>
                <w:lang w:eastAsia="cs-CZ"/>
              </w:rPr>
            </w:pPr>
            <w:r w:rsidRPr="002D18F3">
              <w:rPr>
                <w:rFonts w:eastAsia="Arial Unicode MS"/>
                <w:b/>
                <w:lang w:eastAsia="cs-CZ"/>
              </w:rPr>
              <w:t>P 6.3</w:t>
            </w:r>
          </w:p>
        </w:tc>
      </w:tr>
      <w:tr w:rsidR="00FB1999" w:rsidRPr="007C2EB2" w:rsidTr="00B30496">
        <w:trPr>
          <w:trHeight w:val="397"/>
          <w:jc w:val="center"/>
        </w:trPr>
        <w:tc>
          <w:tcPr>
            <w:tcW w:w="135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2D18F3" w:rsidRDefault="00FB1999" w:rsidP="00A3733B">
            <w:pPr>
              <w:spacing w:before="0"/>
              <w:jc w:val="left"/>
              <w:rPr>
                <w:rFonts w:eastAsia="Arial Unicode MS"/>
                <w:b/>
                <w:lang w:eastAsia="cs-CZ"/>
              </w:rPr>
            </w:pPr>
            <w:r w:rsidRPr="002D18F3">
              <w:rPr>
                <w:rFonts w:eastAsia="Arial Unicode MS"/>
                <w:b/>
                <w:lang w:eastAsia="cs-CZ"/>
              </w:rPr>
              <w:t xml:space="preserve">Název opatření </w:t>
            </w:r>
          </w:p>
        </w:tc>
        <w:tc>
          <w:tcPr>
            <w:tcW w:w="364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2D18F3" w:rsidRDefault="00FB1999" w:rsidP="00A3733B">
            <w:pPr>
              <w:spacing w:before="0"/>
              <w:rPr>
                <w:rFonts w:eastAsia="Arial Unicode MS"/>
                <w:b/>
                <w:lang w:eastAsia="cs-CZ"/>
              </w:rPr>
            </w:pPr>
            <w:r w:rsidRPr="002D18F3">
              <w:rPr>
                <w:rFonts w:eastAsia="Arial Unicode MS"/>
                <w:b/>
                <w:lang w:eastAsia="cs-CZ"/>
              </w:rPr>
              <w:t>Podpora propagace dobrovolnických aktivit</w:t>
            </w:r>
          </w:p>
        </w:tc>
      </w:tr>
      <w:tr w:rsidR="00FB1999" w:rsidRPr="007C2EB2" w:rsidTr="00FB1999">
        <w:trPr>
          <w:trHeight w:val="397"/>
          <w:jc w:val="center"/>
        </w:trPr>
        <w:tc>
          <w:tcPr>
            <w:tcW w:w="1356" w:type="pct"/>
            <w:tcBorders>
              <w:top w:val="single" w:sz="4" w:space="0" w:color="auto"/>
              <w:left w:val="single" w:sz="4" w:space="0" w:color="auto"/>
              <w:bottom w:val="single" w:sz="4" w:space="0" w:color="auto"/>
              <w:right w:val="single" w:sz="4" w:space="0" w:color="auto"/>
            </w:tcBorders>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Charakteristika opatření</w:t>
            </w:r>
          </w:p>
        </w:tc>
        <w:tc>
          <w:tcPr>
            <w:tcW w:w="3644" w:type="pct"/>
            <w:tcBorders>
              <w:top w:val="single" w:sz="4" w:space="0" w:color="auto"/>
              <w:left w:val="single" w:sz="4" w:space="0" w:color="auto"/>
              <w:bottom w:val="single" w:sz="4" w:space="0" w:color="auto"/>
              <w:right w:val="single" w:sz="4" w:space="0" w:color="auto"/>
            </w:tcBorders>
          </w:tcPr>
          <w:p w:rsidR="00FB1999" w:rsidRPr="007C2EB2" w:rsidRDefault="00FB1999" w:rsidP="00A3733B">
            <w:pPr>
              <w:spacing w:before="0"/>
              <w:rPr>
                <w:rFonts w:eastAsia="Arial Unicode MS"/>
                <w:lang w:eastAsia="cs-CZ"/>
              </w:rPr>
            </w:pPr>
            <w:r w:rsidRPr="007C2EB2">
              <w:rPr>
                <w:rFonts w:eastAsia="Arial Unicode MS"/>
                <w:lang w:eastAsia="cs-CZ"/>
              </w:rPr>
              <w:t>Podpora a propagace dobrovolnictví, se zaměřením na dostupné informace o možnostech, které dobrovolnická činnost nabízí. Předávání příkladů dobré praxe a informovanost o pozitivním dopadu dobrovolnictví na řešení nepříznivých sociálních situací a zvýšení kvality poskytovaných sociálních služeb využívajících dobrovolníky k aktivizaci uživatelů sociálních služeb. Podpora dobrovolnické činnosti prostřednictvím veřejného oceňování dobrovolníků působících na území OK.</w:t>
            </w:r>
          </w:p>
        </w:tc>
      </w:tr>
      <w:tr w:rsidR="00FB1999" w:rsidRPr="007C2EB2" w:rsidTr="00FB1999">
        <w:trPr>
          <w:trHeight w:val="397"/>
          <w:jc w:val="center"/>
        </w:trPr>
        <w:tc>
          <w:tcPr>
            <w:tcW w:w="1356" w:type="pct"/>
            <w:tcBorders>
              <w:top w:val="single" w:sz="4" w:space="0" w:color="auto"/>
              <w:left w:val="single" w:sz="4" w:space="0" w:color="auto"/>
              <w:bottom w:val="single" w:sz="4" w:space="0" w:color="auto"/>
              <w:right w:val="single" w:sz="4" w:space="0" w:color="auto"/>
            </w:tcBorders>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Předpokládaný dopad opatření</w:t>
            </w:r>
          </w:p>
        </w:tc>
        <w:tc>
          <w:tcPr>
            <w:tcW w:w="3644" w:type="pct"/>
            <w:tcBorders>
              <w:top w:val="single" w:sz="4" w:space="0" w:color="auto"/>
              <w:left w:val="single" w:sz="4" w:space="0" w:color="auto"/>
              <w:bottom w:val="single" w:sz="4" w:space="0" w:color="auto"/>
              <w:right w:val="single" w:sz="4" w:space="0" w:color="auto"/>
            </w:tcBorders>
          </w:tcPr>
          <w:p w:rsidR="00FB1999" w:rsidRPr="007C2EB2" w:rsidRDefault="00FB1999" w:rsidP="00A3733B">
            <w:pPr>
              <w:spacing w:before="0"/>
              <w:rPr>
                <w:rFonts w:eastAsia="Arial Unicode MS"/>
                <w:lang w:eastAsia="cs-CZ"/>
              </w:rPr>
            </w:pPr>
            <w:r w:rsidRPr="007C2EB2">
              <w:rPr>
                <w:rFonts w:eastAsia="Arial Unicode MS"/>
                <w:lang w:eastAsia="cs-CZ"/>
              </w:rPr>
              <w:t>Vyšší míra zapojení občanů OK v oblasti dobrovolnických aktivit s dopadem na sdílení zkušeností a dobré praxe, zefektivnění poskytování dobrovolnické služby na celém území OK, cílená osvěta veřejnosti v oblasti dobrovolnictví. Zapojení cílových skupin potenciálních vhodných dobrovolníků, mj. studentů, aktivních seniorů, osob v produktivním věku hledající</w:t>
            </w:r>
            <w:r w:rsidR="0060150B">
              <w:rPr>
                <w:rFonts w:eastAsia="Arial Unicode MS"/>
                <w:lang w:eastAsia="cs-CZ"/>
              </w:rPr>
              <w:t>ch</w:t>
            </w:r>
            <w:r w:rsidRPr="007C2EB2">
              <w:rPr>
                <w:rFonts w:eastAsia="Arial Unicode MS"/>
                <w:lang w:eastAsia="cs-CZ"/>
              </w:rPr>
              <w:t xml:space="preserve"> smysluplné využití volného času.</w:t>
            </w:r>
          </w:p>
          <w:p w:rsidR="00FB1999" w:rsidRPr="007C2EB2" w:rsidRDefault="00FB1999" w:rsidP="00A3733B">
            <w:pPr>
              <w:spacing w:before="0"/>
              <w:rPr>
                <w:rFonts w:eastAsia="Arial Unicode MS"/>
                <w:lang w:eastAsia="cs-CZ"/>
              </w:rPr>
            </w:pPr>
            <w:r w:rsidRPr="007C2EB2">
              <w:rPr>
                <w:rFonts w:eastAsia="Arial Unicode MS"/>
                <w:lang w:eastAsia="cs-CZ"/>
              </w:rPr>
              <w:lastRenderedPageBreak/>
              <w:t>Propagace dobrovolnictví zaměřeného pro sociální oblast prostřednictvím veřejného oceňování dobrovolníků, tištěných materiálů (plakáty, letáky), skrze sociální média, webové stránky OK, měst a obcí, dalších NNO a institucí podporující</w:t>
            </w:r>
            <w:r w:rsidR="0060150B">
              <w:rPr>
                <w:rFonts w:eastAsia="Arial Unicode MS"/>
                <w:lang w:eastAsia="cs-CZ"/>
              </w:rPr>
              <w:t>ch</w:t>
            </w:r>
            <w:r w:rsidRPr="007C2EB2">
              <w:rPr>
                <w:rFonts w:eastAsia="Arial Unicode MS"/>
                <w:lang w:eastAsia="cs-CZ"/>
              </w:rPr>
              <w:t xml:space="preserve"> dané aktivity. Šíření informací o existující legislativě a návazných aktivitách využitelných v oblasti dobrovolnictví. </w:t>
            </w:r>
          </w:p>
        </w:tc>
      </w:tr>
      <w:tr w:rsidR="00FB1999" w:rsidRPr="007C2EB2" w:rsidTr="00FB1999">
        <w:trPr>
          <w:trHeight w:val="397"/>
          <w:jc w:val="center"/>
        </w:trPr>
        <w:tc>
          <w:tcPr>
            <w:tcW w:w="1356" w:type="pct"/>
            <w:tcBorders>
              <w:top w:val="single" w:sz="4" w:space="0" w:color="auto"/>
              <w:left w:val="single" w:sz="4" w:space="0" w:color="auto"/>
              <w:bottom w:val="single" w:sz="4" w:space="0" w:color="auto"/>
              <w:right w:val="single" w:sz="4" w:space="0" w:color="auto"/>
            </w:tcBorders>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lastRenderedPageBreak/>
              <w:t xml:space="preserve">Aktivity vedoucí k naplnění opatření </w:t>
            </w:r>
          </w:p>
        </w:tc>
        <w:tc>
          <w:tcPr>
            <w:tcW w:w="3644" w:type="pct"/>
            <w:tcBorders>
              <w:top w:val="single" w:sz="4" w:space="0" w:color="auto"/>
              <w:left w:val="single" w:sz="4" w:space="0" w:color="auto"/>
              <w:bottom w:val="single" w:sz="4" w:space="0" w:color="auto"/>
              <w:right w:val="single" w:sz="4" w:space="0" w:color="auto"/>
            </w:tcBorders>
          </w:tcPr>
          <w:p w:rsidR="00FB1999" w:rsidRPr="00A34764" w:rsidRDefault="00FB1999" w:rsidP="00A3733B">
            <w:pPr>
              <w:pStyle w:val="Odstavecseseznamem"/>
              <w:numPr>
                <w:ilvl w:val="0"/>
                <w:numId w:val="60"/>
              </w:numPr>
              <w:spacing w:before="0" w:line="240" w:lineRule="auto"/>
            </w:pPr>
            <w:r w:rsidRPr="00A34764">
              <w:t xml:space="preserve">Podpora dobrovolnické činnosti prostřednictvím veřejného oceňování dobrovolníků působících na území OK – cena Křesadlo, cena </w:t>
            </w:r>
            <w:proofErr w:type="spellStart"/>
            <w:r w:rsidRPr="00A34764">
              <w:t>Goal</w:t>
            </w:r>
            <w:proofErr w:type="spellEnd"/>
            <w:r w:rsidRPr="00A34764">
              <w:t xml:space="preserve"> (projekt partnerství mezi OK a Územní rozvojovou oblastí Green River zaměřený na podporu dobrovolnictví)</w:t>
            </w:r>
          </w:p>
          <w:p w:rsidR="00FB1999" w:rsidRPr="00A34764" w:rsidRDefault="00FB1999" w:rsidP="00A3733B">
            <w:pPr>
              <w:pStyle w:val="Odstavecseseznamem"/>
              <w:numPr>
                <w:ilvl w:val="0"/>
                <w:numId w:val="60"/>
              </w:numPr>
              <w:spacing w:before="0" w:line="240" w:lineRule="auto"/>
            </w:pPr>
            <w:r w:rsidRPr="00A34764">
              <w:t>Uspořádání konferencí věnující</w:t>
            </w:r>
            <w:r w:rsidR="0060150B" w:rsidRPr="00A34764">
              <w:t>ch</w:t>
            </w:r>
            <w:r w:rsidRPr="00A34764">
              <w:t xml:space="preserve"> se aktuálním otázkám dobrovolnictví v OK (a to i s přesahem na celostátní rovinu </w:t>
            </w:r>
            <w:r w:rsidR="0060150B" w:rsidRPr="00A34764">
              <w:t>–</w:t>
            </w:r>
            <w:r w:rsidRPr="00A34764">
              <w:t xml:space="preserve"> legislativu, financování), umožnit zástupcům vysílajících organizací a</w:t>
            </w:r>
            <w:r w:rsidR="0060150B" w:rsidRPr="00A34764">
              <w:t> </w:t>
            </w:r>
            <w:r w:rsidRPr="00A34764">
              <w:t>přijímajících organizací sdílet své zkušenosti o možném rozvoji dobrovolnictví v sociální oblasti</w:t>
            </w:r>
          </w:p>
          <w:p w:rsidR="00FB1999" w:rsidRPr="00A34764" w:rsidRDefault="00FB1999" w:rsidP="00A3733B">
            <w:pPr>
              <w:pStyle w:val="Odstavecseseznamem"/>
              <w:numPr>
                <w:ilvl w:val="0"/>
                <w:numId w:val="60"/>
              </w:numPr>
              <w:spacing w:before="0" w:line="240" w:lineRule="auto"/>
            </w:pPr>
            <w:r w:rsidRPr="00A34764">
              <w:t xml:space="preserve">Realizace „Dnů dobrovolnictví v Olomouckém kraji“ </w:t>
            </w:r>
            <w:r w:rsidR="0060150B" w:rsidRPr="00A34764">
              <w:t>–</w:t>
            </w:r>
            <w:r w:rsidRPr="00A34764">
              <w:t xml:space="preserve"> oslovení veřejnosti, prezentace vysílajících a přijímajících dobrovolnických organizací</w:t>
            </w:r>
          </w:p>
        </w:tc>
      </w:tr>
      <w:tr w:rsidR="00FB1999" w:rsidRPr="007C2EB2" w:rsidTr="00FB1999">
        <w:trPr>
          <w:trHeight w:val="397"/>
          <w:jc w:val="center"/>
        </w:trPr>
        <w:tc>
          <w:tcPr>
            <w:tcW w:w="1356" w:type="pct"/>
            <w:tcBorders>
              <w:top w:val="single" w:sz="4" w:space="0" w:color="auto"/>
              <w:left w:val="single" w:sz="4" w:space="0" w:color="auto"/>
              <w:bottom w:val="single" w:sz="4" w:space="0" w:color="auto"/>
              <w:right w:val="single" w:sz="4" w:space="0" w:color="auto"/>
            </w:tcBorders>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Rizika a ohrožení naplnění opatření</w:t>
            </w:r>
          </w:p>
        </w:tc>
        <w:tc>
          <w:tcPr>
            <w:tcW w:w="3644" w:type="pct"/>
            <w:tcBorders>
              <w:top w:val="single" w:sz="4" w:space="0" w:color="auto"/>
              <w:left w:val="single" w:sz="4" w:space="0" w:color="auto"/>
              <w:bottom w:val="single" w:sz="4" w:space="0" w:color="auto"/>
              <w:right w:val="single" w:sz="4" w:space="0" w:color="auto"/>
            </w:tcBorders>
          </w:tcPr>
          <w:p w:rsidR="00FB1999" w:rsidRPr="00A34764" w:rsidRDefault="00FB1999" w:rsidP="00A3733B">
            <w:pPr>
              <w:pStyle w:val="Odstavecseseznamem"/>
              <w:numPr>
                <w:ilvl w:val="0"/>
                <w:numId w:val="29"/>
              </w:numPr>
              <w:spacing w:before="0" w:line="240" w:lineRule="auto"/>
            </w:pPr>
            <w:r w:rsidRPr="00A34764">
              <w:t xml:space="preserve">Nedostatek finančních prostředků pro realizaci plánovaných aktivit </w:t>
            </w:r>
          </w:p>
          <w:p w:rsidR="00FB1999" w:rsidRPr="00A34764" w:rsidRDefault="00FB1999" w:rsidP="00A3733B">
            <w:pPr>
              <w:pStyle w:val="Odstavecseseznamem"/>
              <w:numPr>
                <w:ilvl w:val="0"/>
                <w:numId w:val="29"/>
              </w:numPr>
              <w:spacing w:before="0" w:line="240" w:lineRule="auto"/>
            </w:pPr>
            <w:r w:rsidRPr="00A34764">
              <w:t>Nedostatečný zájem o nominaci dobrovolníků na cenu Křesadlo a </w:t>
            </w:r>
            <w:proofErr w:type="spellStart"/>
            <w:r w:rsidRPr="00A34764">
              <w:t>Goal</w:t>
            </w:r>
            <w:proofErr w:type="spellEnd"/>
            <w:r w:rsidRPr="00A34764">
              <w:t xml:space="preserve"> </w:t>
            </w:r>
          </w:p>
        </w:tc>
      </w:tr>
      <w:tr w:rsidR="00FB1999" w:rsidRPr="007C2EB2" w:rsidTr="00FB1999">
        <w:trPr>
          <w:trHeight w:val="397"/>
          <w:jc w:val="center"/>
        </w:trPr>
        <w:tc>
          <w:tcPr>
            <w:tcW w:w="1356" w:type="pct"/>
            <w:tcBorders>
              <w:top w:val="single" w:sz="4" w:space="0" w:color="auto"/>
              <w:left w:val="single" w:sz="4" w:space="0" w:color="auto"/>
              <w:bottom w:val="single" w:sz="4" w:space="0" w:color="auto"/>
              <w:right w:val="single" w:sz="4" w:space="0" w:color="auto"/>
            </w:tcBorders>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Předpokládaní realizátoři a partneři opatření</w:t>
            </w:r>
          </w:p>
        </w:tc>
        <w:tc>
          <w:tcPr>
            <w:tcW w:w="3644" w:type="pct"/>
            <w:tcBorders>
              <w:top w:val="single" w:sz="4" w:space="0" w:color="auto"/>
              <w:left w:val="single" w:sz="4" w:space="0" w:color="auto"/>
              <w:bottom w:val="single" w:sz="4" w:space="0" w:color="auto"/>
              <w:right w:val="single" w:sz="4" w:space="0" w:color="auto"/>
            </w:tcBorders>
          </w:tcPr>
          <w:p w:rsidR="00FB1999" w:rsidRPr="00E874E6" w:rsidRDefault="00FB1999" w:rsidP="00A3733B">
            <w:pPr>
              <w:spacing w:before="0"/>
            </w:pPr>
            <w:r w:rsidRPr="00E874E6">
              <w:t>OK, poskytovatelé sociálních služeb zařazeni v síti sociálních služeb OK, dobrovolnické organizace</w:t>
            </w:r>
          </w:p>
        </w:tc>
      </w:tr>
      <w:tr w:rsidR="00FB1999" w:rsidRPr="007C2EB2" w:rsidTr="00FB1999">
        <w:trPr>
          <w:trHeight w:val="397"/>
          <w:jc w:val="center"/>
        </w:trPr>
        <w:tc>
          <w:tcPr>
            <w:tcW w:w="1356" w:type="pct"/>
            <w:tcBorders>
              <w:top w:val="single" w:sz="4" w:space="0" w:color="auto"/>
              <w:left w:val="single" w:sz="4" w:space="0" w:color="auto"/>
              <w:bottom w:val="single" w:sz="4" w:space="0" w:color="auto"/>
              <w:right w:val="single" w:sz="4" w:space="0" w:color="auto"/>
            </w:tcBorders>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Časový harmonogram</w:t>
            </w:r>
          </w:p>
        </w:tc>
        <w:tc>
          <w:tcPr>
            <w:tcW w:w="3644" w:type="pct"/>
            <w:tcBorders>
              <w:top w:val="single" w:sz="4" w:space="0" w:color="auto"/>
              <w:left w:val="single" w:sz="4" w:space="0" w:color="auto"/>
              <w:bottom w:val="single" w:sz="4" w:space="0" w:color="auto"/>
              <w:right w:val="single" w:sz="4" w:space="0" w:color="auto"/>
            </w:tcBorders>
          </w:tcPr>
          <w:p w:rsidR="00FB1999" w:rsidRPr="00E874E6" w:rsidRDefault="00FB1999" w:rsidP="00A3733B">
            <w:pPr>
              <w:spacing w:before="0"/>
              <w:rPr>
                <w:rFonts w:eastAsia="Arial Unicode MS"/>
                <w:lang w:eastAsia="cs-CZ"/>
              </w:rPr>
            </w:pPr>
            <w:r w:rsidRPr="00E874E6">
              <w:rPr>
                <w:rFonts w:eastAsia="Arial Unicode MS"/>
                <w:lang w:eastAsia="cs-CZ"/>
              </w:rPr>
              <w:t>2024</w:t>
            </w:r>
            <w:r w:rsidR="0060150B">
              <w:rPr>
                <w:rFonts w:eastAsia="Arial Unicode MS"/>
                <w:lang w:eastAsia="cs-CZ"/>
              </w:rPr>
              <w:t>–</w:t>
            </w:r>
            <w:r w:rsidRPr="00E874E6">
              <w:rPr>
                <w:rFonts w:eastAsia="Arial Unicode MS"/>
                <w:lang w:eastAsia="cs-CZ"/>
              </w:rPr>
              <w:t>2026</w:t>
            </w:r>
          </w:p>
          <w:p w:rsidR="00FB1999" w:rsidRPr="00E874E6" w:rsidRDefault="00FB1999" w:rsidP="00A3733B">
            <w:pPr>
              <w:spacing w:before="0"/>
              <w:rPr>
                <w:rFonts w:eastAsia="Arial Unicode MS"/>
                <w:lang w:eastAsia="cs-CZ"/>
              </w:rPr>
            </w:pPr>
          </w:p>
        </w:tc>
      </w:tr>
      <w:tr w:rsidR="00FB1999" w:rsidRPr="007C2EB2" w:rsidTr="00FB1999">
        <w:trPr>
          <w:trHeight w:val="397"/>
          <w:jc w:val="center"/>
        </w:trPr>
        <w:tc>
          <w:tcPr>
            <w:tcW w:w="1356" w:type="pct"/>
            <w:tcBorders>
              <w:top w:val="single" w:sz="4" w:space="0" w:color="auto"/>
              <w:left w:val="single" w:sz="4" w:space="0" w:color="auto"/>
              <w:bottom w:val="single" w:sz="4" w:space="0" w:color="auto"/>
              <w:right w:val="single" w:sz="4" w:space="0" w:color="auto"/>
            </w:tcBorders>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Předpokládané finanční zdroje</w:t>
            </w:r>
          </w:p>
        </w:tc>
        <w:tc>
          <w:tcPr>
            <w:tcW w:w="3644" w:type="pct"/>
            <w:tcBorders>
              <w:top w:val="single" w:sz="4" w:space="0" w:color="auto"/>
              <w:left w:val="single" w:sz="4" w:space="0" w:color="auto"/>
              <w:bottom w:val="single" w:sz="4" w:space="0" w:color="auto"/>
              <w:right w:val="single" w:sz="4" w:space="0" w:color="auto"/>
            </w:tcBorders>
          </w:tcPr>
          <w:p w:rsidR="00FB1999" w:rsidRPr="007C2EB2" w:rsidRDefault="00FB1999" w:rsidP="00A3733B">
            <w:pPr>
              <w:spacing w:before="0"/>
              <w:rPr>
                <w:rFonts w:eastAsia="Arial Unicode MS"/>
                <w:lang w:eastAsia="cs-CZ"/>
              </w:rPr>
            </w:pPr>
            <w:r w:rsidRPr="007C2EB2">
              <w:rPr>
                <w:rFonts w:eastAsia="Arial Unicode MS"/>
                <w:lang w:eastAsia="cs-CZ"/>
              </w:rPr>
              <w:t>EU/ESF</w:t>
            </w:r>
          </w:p>
        </w:tc>
      </w:tr>
      <w:tr w:rsidR="00FB1999" w:rsidRPr="007C2EB2" w:rsidTr="00FB1999">
        <w:trPr>
          <w:trHeight w:val="397"/>
          <w:jc w:val="center"/>
        </w:trPr>
        <w:tc>
          <w:tcPr>
            <w:tcW w:w="1356" w:type="pct"/>
            <w:tcBorders>
              <w:top w:val="single" w:sz="4" w:space="0" w:color="auto"/>
              <w:left w:val="single" w:sz="4" w:space="0" w:color="auto"/>
              <w:bottom w:val="single" w:sz="4" w:space="0" w:color="auto"/>
              <w:right w:val="single" w:sz="4" w:space="0" w:color="auto"/>
            </w:tcBorders>
            <w:shd w:val="clear" w:color="auto" w:fill="CCECFF"/>
          </w:tcPr>
          <w:p w:rsidR="00FB1999" w:rsidRPr="002D18F3" w:rsidRDefault="00FB1999" w:rsidP="00A3733B">
            <w:pPr>
              <w:spacing w:before="0"/>
              <w:jc w:val="left"/>
              <w:rPr>
                <w:rFonts w:eastAsia="Arial Unicode MS"/>
                <w:b/>
                <w:lang w:eastAsia="cs-CZ"/>
              </w:rPr>
            </w:pPr>
            <w:r w:rsidRPr="002D18F3">
              <w:rPr>
                <w:rFonts w:eastAsia="Arial Unicode MS"/>
                <w:b/>
                <w:lang w:eastAsia="cs-CZ"/>
              </w:rPr>
              <w:t>Hodnotící indikátory výstupů a výsledků</w:t>
            </w:r>
          </w:p>
        </w:tc>
        <w:tc>
          <w:tcPr>
            <w:tcW w:w="3644" w:type="pct"/>
            <w:tcBorders>
              <w:top w:val="single" w:sz="4" w:space="0" w:color="auto"/>
              <w:left w:val="single" w:sz="4" w:space="0" w:color="auto"/>
              <w:bottom w:val="single" w:sz="4" w:space="0" w:color="auto"/>
              <w:right w:val="single" w:sz="4" w:space="0" w:color="auto"/>
            </w:tcBorders>
          </w:tcPr>
          <w:p w:rsidR="00FB1999" w:rsidRPr="00A34764" w:rsidRDefault="00FB1999" w:rsidP="00A3733B">
            <w:pPr>
              <w:pStyle w:val="Odstavecseseznamem"/>
              <w:numPr>
                <w:ilvl w:val="0"/>
                <w:numId w:val="15"/>
              </w:numPr>
              <w:spacing w:before="0" w:line="240" w:lineRule="auto"/>
            </w:pPr>
            <w:r w:rsidRPr="00A34764">
              <w:t>Veřejné ocenění dobrovolníků – cena „Křesadlo“</w:t>
            </w:r>
          </w:p>
          <w:p w:rsidR="00FB1999" w:rsidRPr="00A34764" w:rsidRDefault="00FB1999" w:rsidP="00A3733B">
            <w:pPr>
              <w:pStyle w:val="Odstavecseseznamem"/>
              <w:numPr>
                <w:ilvl w:val="0"/>
                <w:numId w:val="15"/>
              </w:numPr>
              <w:spacing w:before="0" w:line="240" w:lineRule="auto"/>
            </w:pPr>
            <w:r w:rsidRPr="00A34764">
              <w:t>Veřejné ocenění dobrovolníků – cena „</w:t>
            </w:r>
            <w:proofErr w:type="spellStart"/>
            <w:r w:rsidRPr="00A34764">
              <w:t>Goal</w:t>
            </w:r>
            <w:proofErr w:type="spellEnd"/>
            <w:r w:rsidRPr="00A34764">
              <w:t>“</w:t>
            </w:r>
          </w:p>
          <w:p w:rsidR="00FB1999" w:rsidRPr="00A34764" w:rsidRDefault="00FB1999" w:rsidP="00A3733B">
            <w:pPr>
              <w:pStyle w:val="Odstavecseseznamem"/>
              <w:numPr>
                <w:ilvl w:val="0"/>
                <w:numId w:val="15"/>
              </w:numPr>
              <w:spacing w:before="0" w:line="240" w:lineRule="auto"/>
            </w:pPr>
            <w:r w:rsidRPr="00A34764">
              <w:t>Uspořádané konference na téma dobrovolnické práce</w:t>
            </w:r>
          </w:p>
          <w:p w:rsidR="00FB1999" w:rsidRPr="00A34764" w:rsidRDefault="00FB1999" w:rsidP="00A3733B">
            <w:pPr>
              <w:pStyle w:val="Odstavecseseznamem"/>
              <w:numPr>
                <w:ilvl w:val="0"/>
                <w:numId w:val="15"/>
              </w:numPr>
              <w:spacing w:before="0" w:line="240" w:lineRule="auto"/>
            </w:pPr>
            <w:r w:rsidRPr="00A34764">
              <w:t>Realizace „Dnů dobrovolnictví v Olomouckém kraji“</w:t>
            </w:r>
          </w:p>
          <w:p w:rsidR="00FB1999" w:rsidRPr="00A34764" w:rsidRDefault="00FB1999" w:rsidP="00A3733B">
            <w:pPr>
              <w:pStyle w:val="Odstavecseseznamem"/>
              <w:numPr>
                <w:ilvl w:val="0"/>
                <w:numId w:val="15"/>
              </w:numPr>
              <w:spacing w:before="0" w:line="240" w:lineRule="auto"/>
            </w:pPr>
            <w:r w:rsidRPr="00A34764">
              <w:t>Zveřejněné informace z oblasti dobrovolnictví na webových stránkách OK</w:t>
            </w:r>
          </w:p>
        </w:tc>
      </w:tr>
    </w:tbl>
    <w:p w:rsidR="00FB1999" w:rsidRPr="007C2EB2" w:rsidRDefault="00FB1999" w:rsidP="00A34764"/>
    <w:p w:rsidR="00FB1999" w:rsidRPr="007C2EB2" w:rsidRDefault="00FB1999" w:rsidP="00A34764">
      <w:r w:rsidRPr="007C2EB2">
        <w:br w:type="page"/>
      </w:r>
    </w:p>
    <w:p w:rsidR="00FB1999" w:rsidRPr="00B47789" w:rsidRDefault="00FB1999" w:rsidP="00A34764">
      <w:pPr>
        <w:pStyle w:val="Nadpis1"/>
      </w:pPr>
      <w:bookmarkStart w:id="186" w:name="_Toc399140763"/>
      <w:bookmarkStart w:id="187" w:name="_Toc22896382"/>
      <w:bookmarkStart w:id="188" w:name="_Toc111537471"/>
      <w:bookmarkStart w:id="189" w:name="_Toc113622082"/>
      <w:bookmarkStart w:id="190" w:name="_Toc117606992"/>
      <w:r w:rsidRPr="00B47789">
        <w:lastRenderedPageBreak/>
        <w:t>Specifické cíle a opatření pro jednotlivé pracovní skupiny</w:t>
      </w:r>
      <w:bookmarkEnd w:id="186"/>
      <w:bookmarkEnd w:id="187"/>
      <w:bookmarkEnd w:id="188"/>
      <w:bookmarkEnd w:id="189"/>
      <w:bookmarkEnd w:id="190"/>
    </w:p>
    <w:p w:rsidR="00FB1999" w:rsidRPr="00B47789" w:rsidRDefault="00FB1999" w:rsidP="00A34764">
      <w:pPr>
        <w:rPr>
          <w:rFonts w:eastAsia="Calibri"/>
        </w:rPr>
      </w:pPr>
      <w:r w:rsidRPr="00B47789">
        <w:rPr>
          <w:rFonts w:eastAsia="Calibri"/>
        </w:rPr>
        <w:t xml:space="preserve">Část „Specifické cíle a opatření pro jednotlivé pracovní skupiny“ zachovává nastavenou strukturu cílů a opatření, tak jako byla nastavena v předchozím plánovacím období. </w:t>
      </w:r>
    </w:p>
    <w:p w:rsidR="00FB1999" w:rsidRPr="00B47789" w:rsidRDefault="00FB1999" w:rsidP="00A34764">
      <w:pPr>
        <w:rPr>
          <w:rFonts w:eastAsia="Calibri"/>
        </w:rPr>
      </w:pPr>
      <w:r w:rsidRPr="00B47789">
        <w:rPr>
          <w:rFonts w:eastAsia="Calibri"/>
        </w:rPr>
        <w:t>Změnou pro následující plánovací období, vztahující se na dobu platnosti Střednědobého plánu 2024</w:t>
      </w:r>
      <w:r w:rsidR="00EF224E">
        <w:rPr>
          <w:rFonts w:eastAsia="Calibri"/>
        </w:rPr>
        <w:t>–</w:t>
      </w:r>
      <w:r w:rsidRPr="00B47789">
        <w:rPr>
          <w:rFonts w:eastAsia="Calibri"/>
        </w:rPr>
        <w:t>2026</w:t>
      </w:r>
      <w:r w:rsidR="00AD4B67" w:rsidRPr="00B47789">
        <w:rPr>
          <w:rFonts w:eastAsia="Calibri"/>
        </w:rPr>
        <w:t>,</w:t>
      </w:r>
      <w:r w:rsidRPr="00B47789">
        <w:rPr>
          <w:rFonts w:eastAsia="Calibri"/>
        </w:rPr>
        <w:t xml:space="preserve"> je </w:t>
      </w:r>
      <w:r w:rsidR="00AD4B67" w:rsidRPr="00B47789">
        <w:rPr>
          <w:rFonts w:eastAsia="Calibri"/>
        </w:rPr>
        <w:t xml:space="preserve">nahlížení na </w:t>
      </w:r>
      <w:r w:rsidRPr="00B47789">
        <w:rPr>
          <w:rFonts w:eastAsia="Calibri"/>
        </w:rPr>
        <w:t xml:space="preserve">specifické cíle jako na popis budoucího žádoucího stavu rozvoje sociálních služeb na území kraje. Případný uvedený rozvoj sociálních služeb na území OK, dle specifických cílů PS, je </w:t>
      </w:r>
      <w:r w:rsidR="00AD4B67" w:rsidRPr="00B47789">
        <w:rPr>
          <w:rFonts w:eastAsia="Calibri"/>
        </w:rPr>
        <w:t>pro</w:t>
      </w:r>
      <w:r w:rsidRPr="00B47789">
        <w:rPr>
          <w:rFonts w:eastAsia="Calibri"/>
        </w:rPr>
        <w:t xml:space="preserve"> období platnosti Střednědobého plánu 2024</w:t>
      </w:r>
      <w:r w:rsidR="00EF224E">
        <w:rPr>
          <w:rFonts w:eastAsia="Calibri"/>
        </w:rPr>
        <w:t>–</w:t>
      </w:r>
      <w:r w:rsidRPr="00B47789">
        <w:rPr>
          <w:rFonts w:eastAsia="Calibri"/>
        </w:rPr>
        <w:t>2026 maximální.</w:t>
      </w:r>
      <w:r w:rsidRPr="00B47789">
        <w:rPr>
          <w:rFonts w:ascii="Calibri" w:eastAsia="Calibri" w:hAnsi="Calibri" w:cs="Calibri"/>
        </w:rPr>
        <w:t xml:space="preserve"> </w:t>
      </w:r>
    </w:p>
    <w:p w:rsidR="00FB1999" w:rsidRPr="00B47789" w:rsidRDefault="00FB1999" w:rsidP="00A34764">
      <w:pPr>
        <w:rPr>
          <w:rFonts w:eastAsia="Calibri"/>
        </w:rPr>
      </w:pPr>
      <w:r w:rsidRPr="00B47789">
        <w:rPr>
          <w:rFonts w:eastAsia="Calibri"/>
        </w:rPr>
        <w:t>Případné požadavky na rozšíření sítě sociálních služeb OK nad rámec specifických cílů budou posuzovány v souladu s hlavními cíli této strategie a současně budou podrobně analyzovány z</w:t>
      </w:r>
      <w:r w:rsidR="00E874E6">
        <w:rPr>
          <w:rFonts w:eastAsia="Calibri"/>
        </w:rPr>
        <w:t> </w:t>
      </w:r>
      <w:r w:rsidRPr="00B47789">
        <w:rPr>
          <w:rFonts w:eastAsia="Calibri"/>
        </w:rPr>
        <w:t xml:space="preserve">pohledu aktuálně zjištěné potřebnosti. </w:t>
      </w:r>
    </w:p>
    <w:p w:rsidR="00FB1999" w:rsidRPr="008B01B5" w:rsidRDefault="00FB1999" w:rsidP="00A34764">
      <w:pPr>
        <w:rPr>
          <w:rFonts w:eastAsia="Calibri"/>
        </w:rPr>
      </w:pPr>
      <w:r w:rsidRPr="008B01B5">
        <w:rPr>
          <w:rFonts w:eastAsia="Calibri"/>
        </w:rPr>
        <w:t>Realizace specifických cílů a opatření PS je podmíněna:</w:t>
      </w:r>
    </w:p>
    <w:p w:rsidR="00FB1999" w:rsidRPr="00A34764" w:rsidRDefault="00FB1999" w:rsidP="00A34764">
      <w:pPr>
        <w:pStyle w:val="Odstavecseseznamem"/>
        <w:numPr>
          <w:ilvl w:val="0"/>
          <w:numId w:val="64"/>
        </w:numPr>
        <w:rPr>
          <w:rFonts w:eastAsia="Calibri"/>
        </w:rPr>
      </w:pPr>
      <w:r w:rsidRPr="00A34764">
        <w:rPr>
          <w:rFonts w:eastAsia="Calibri"/>
        </w:rPr>
        <w:t>dostupností disponibilních veřejných finančních zdrojů</w:t>
      </w:r>
      <w:r w:rsidR="00D46CB0" w:rsidRPr="00A34764">
        <w:rPr>
          <w:rFonts w:eastAsia="Calibri"/>
        </w:rPr>
        <w:t>;</w:t>
      </w:r>
    </w:p>
    <w:p w:rsidR="00FB1999" w:rsidRPr="00A34764" w:rsidRDefault="00FB1999" w:rsidP="00A34764">
      <w:pPr>
        <w:pStyle w:val="Odstavecseseznamem"/>
        <w:numPr>
          <w:ilvl w:val="0"/>
          <w:numId w:val="64"/>
        </w:numPr>
        <w:rPr>
          <w:rFonts w:eastAsia="Calibri"/>
        </w:rPr>
      </w:pPr>
      <w:r w:rsidRPr="00A34764">
        <w:rPr>
          <w:rFonts w:eastAsia="Calibri"/>
        </w:rPr>
        <w:t>validně prokázanou potřebností pro rozvoj stávající služby či případné zařazení nové sociální služby do sítě sociálních služeb OK</w:t>
      </w:r>
      <w:r w:rsidR="00D46CB0" w:rsidRPr="00A34764">
        <w:rPr>
          <w:rFonts w:eastAsia="Calibri"/>
        </w:rPr>
        <w:t>;</w:t>
      </w:r>
    </w:p>
    <w:p w:rsidR="00FB1999" w:rsidRPr="00A34764" w:rsidRDefault="00FB1999" w:rsidP="00A34764">
      <w:pPr>
        <w:pStyle w:val="Odstavecseseznamem"/>
        <w:numPr>
          <w:ilvl w:val="0"/>
          <w:numId w:val="64"/>
        </w:numPr>
        <w:rPr>
          <w:rFonts w:eastAsia="Calibri"/>
        </w:rPr>
      </w:pPr>
      <w:r w:rsidRPr="00A34764">
        <w:rPr>
          <w:rFonts w:eastAsia="Calibri"/>
        </w:rPr>
        <w:t xml:space="preserve">vyjádřením příslušných obcí </w:t>
      </w:r>
      <w:r w:rsidR="00B1490C" w:rsidRPr="00A34764">
        <w:rPr>
          <w:rFonts w:eastAsia="Calibri"/>
        </w:rPr>
        <w:t>k potřebnosti rozvoje služby a k</w:t>
      </w:r>
      <w:r w:rsidR="00586244" w:rsidRPr="00A34764">
        <w:rPr>
          <w:rFonts w:eastAsia="Calibri"/>
        </w:rPr>
        <w:t> </w:t>
      </w:r>
      <w:r w:rsidR="00B1490C" w:rsidRPr="00A34764">
        <w:rPr>
          <w:rFonts w:eastAsia="Calibri"/>
        </w:rPr>
        <w:t>participac</w:t>
      </w:r>
      <w:r w:rsidR="00586244" w:rsidRPr="00A34764">
        <w:rPr>
          <w:rFonts w:eastAsia="Calibri"/>
        </w:rPr>
        <w:t>i</w:t>
      </w:r>
      <w:r w:rsidR="00B1490C" w:rsidRPr="00A34764">
        <w:rPr>
          <w:rFonts w:eastAsia="Calibri"/>
        </w:rPr>
        <w:t xml:space="preserve"> na </w:t>
      </w:r>
      <w:r w:rsidRPr="00A34764">
        <w:rPr>
          <w:rFonts w:eastAsia="Calibri"/>
        </w:rPr>
        <w:t>jejich</w:t>
      </w:r>
      <w:r w:rsidR="008B01B5" w:rsidRPr="00A34764">
        <w:rPr>
          <w:rFonts w:eastAsia="Calibri"/>
        </w:rPr>
        <w:t xml:space="preserve"> </w:t>
      </w:r>
      <w:r w:rsidR="00B63F6E" w:rsidRPr="00A34764">
        <w:rPr>
          <w:rFonts w:eastAsia="Calibri"/>
        </w:rPr>
        <w:t xml:space="preserve">budoucím </w:t>
      </w:r>
      <w:r w:rsidR="008B01B5" w:rsidRPr="00A34764">
        <w:rPr>
          <w:rFonts w:eastAsia="Calibri"/>
        </w:rPr>
        <w:t>systémovém</w:t>
      </w:r>
      <w:r w:rsidRPr="00A34764">
        <w:rPr>
          <w:rFonts w:eastAsia="Calibri"/>
        </w:rPr>
        <w:t xml:space="preserve"> financování</w:t>
      </w:r>
      <w:r w:rsidR="008B01B5" w:rsidRPr="00A34764">
        <w:rPr>
          <w:rFonts w:eastAsia="Calibri"/>
        </w:rPr>
        <w:t>;</w:t>
      </w:r>
      <w:r w:rsidRPr="00A34764">
        <w:rPr>
          <w:rFonts w:eastAsia="Calibri"/>
        </w:rPr>
        <w:t xml:space="preserve"> </w:t>
      </w:r>
    </w:p>
    <w:p w:rsidR="00586244" w:rsidRPr="00A34764" w:rsidRDefault="00A41369" w:rsidP="00A34764">
      <w:pPr>
        <w:pStyle w:val="Odstavecseseznamem"/>
        <w:numPr>
          <w:ilvl w:val="0"/>
          <w:numId w:val="64"/>
        </w:numPr>
        <w:rPr>
          <w:rFonts w:eastAsia="Calibri"/>
        </w:rPr>
      </w:pPr>
      <w:r w:rsidRPr="00A34764">
        <w:t xml:space="preserve">doložením </w:t>
      </w:r>
      <w:r w:rsidR="00586244" w:rsidRPr="00A34764">
        <w:t xml:space="preserve">rozpočtu služby dokládající </w:t>
      </w:r>
      <w:r w:rsidRPr="00A34764">
        <w:t>využití všech dostupných finančních zdrojů na zajištění provozu sociální služby</w:t>
      </w:r>
      <w:r w:rsidR="008B01B5" w:rsidRPr="00A34764">
        <w:t>;</w:t>
      </w:r>
      <w:r w:rsidRPr="00A34764">
        <w:t xml:space="preserve"> </w:t>
      </w:r>
    </w:p>
    <w:p w:rsidR="00FB1999" w:rsidRPr="00A34764" w:rsidRDefault="00FB1999" w:rsidP="00A34764">
      <w:pPr>
        <w:pStyle w:val="Odstavecseseznamem"/>
        <w:numPr>
          <w:ilvl w:val="0"/>
          <w:numId w:val="64"/>
        </w:numPr>
        <w:rPr>
          <w:rFonts w:eastAsia="Calibri"/>
        </w:rPr>
      </w:pPr>
      <w:r w:rsidRPr="00A34764">
        <w:rPr>
          <w:rFonts w:eastAsia="Calibri"/>
        </w:rPr>
        <w:t xml:space="preserve">splněním všech podmínek pro aktualizaci sítě stanovených </w:t>
      </w:r>
      <w:proofErr w:type="spellStart"/>
      <w:r w:rsidRPr="00A34764">
        <w:rPr>
          <w:rFonts w:eastAsia="Calibri"/>
        </w:rPr>
        <w:t>POSTUPem</w:t>
      </w:r>
      <w:proofErr w:type="spellEnd"/>
      <w:r w:rsidRPr="00A34764">
        <w:rPr>
          <w:rFonts w:eastAsia="Calibri"/>
        </w:rPr>
        <w:t>.</w:t>
      </w:r>
    </w:p>
    <w:p w:rsidR="00FB1999" w:rsidRPr="00B47789" w:rsidRDefault="00FB1999" w:rsidP="00A34764">
      <w:pPr>
        <w:rPr>
          <w:rFonts w:eastAsia="Calibri"/>
        </w:rPr>
      </w:pPr>
    </w:p>
    <w:p w:rsidR="00FB1999" w:rsidRPr="00B47789" w:rsidRDefault="00FB1999" w:rsidP="00A34764">
      <w:pPr>
        <w:rPr>
          <w:rFonts w:eastAsia="Calibri"/>
        </w:rPr>
      </w:pPr>
      <w:r w:rsidRPr="00B47789">
        <w:rPr>
          <w:rFonts w:eastAsia="Calibri"/>
        </w:rPr>
        <w:t xml:space="preserve">Povinností OK jako správce sítě při plánování rozvoje sociálních služeb na svém území je nejen zajišťování nových kapacit služeb, ale i zajištění jejich financování z dostupných veřejných finančních zdrojů. Při významném výpadku peněžních prostředků je ohrožen provoz sociální služby a potažmo její uživatelé. Je nezbytné, aby </w:t>
      </w:r>
      <w:r w:rsidR="008B01B5">
        <w:rPr>
          <w:rFonts w:eastAsia="Calibri"/>
        </w:rPr>
        <w:t>OK</w:t>
      </w:r>
      <w:r w:rsidRPr="00B47789">
        <w:rPr>
          <w:rFonts w:eastAsia="Calibri"/>
        </w:rPr>
        <w:t xml:space="preserve"> toto riziko eliminoval. Při rozhodování o rozvoji služeb budou prioritně řešeny takové nepříznivé situace, které ohrožují nejvíce zranitelné skupiny osob.</w:t>
      </w:r>
    </w:p>
    <w:p w:rsidR="00FB1999" w:rsidRPr="00B47789" w:rsidRDefault="00FB1999" w:rsidP="00A34764">
      <w:pPr>
        <w:rPr>
          <w:rFonts w:eastAsia="Calibri"/>
        </w:rPr>
      </w:pPr>
      <w:r w:rsidRPr="00B47789">
        <w:rPr>
          <w:rFonts w:eastAsia="Calibri"/>
        </w:rPr>
        <w:t>Ve stávajícím a do budoucna velmi těžce předvída</w:t>
      </w:r>
      <w:r w:rsidR="007B3682" w:rsidRPr="00B47789">
        <w:rPr>
          <w:rFonts w:eastAsia="Calibri"/>
        </w:rPr>
        <w:t>te</w:t>
      </w:r>
      <w:r w:rsidRPr="00B47789">
        <w:rPr>
          <w:rFonts w:eastAsia="Calibri"/>
        </w:rPr>
        <w:t>lném období, kdy vlivem neočekávaných skutečností, jako byla situace ve spojitosti s pandemií Covid-19, válečným konfliktem, rostoucí inflací, rostoucími cenami energií, nedostatkem pracovní síly, a s tím spojený</w:t>
      </w:r>
      <w:r w:rsidR="00D67142">
        <w:rPr>
          <w:rFonts w:eastAsia="Calibri"/>
        </w:rPr>
        <w:t>m</w:t>
      </w:r>
      <w:r w:rsidRPr="00B47789">
        <w:rPr>
          <w:rFonts w:eastAsia="Calibri"/>
        </w:rPr>
        <w:t xml:space="preserve"> nedostatk</w:t>
      </w:r>
      <w:r w:rsidR="00D67142">
        <w:rPr>
          <w:rFonts w:eastAsia="Calibri"/>
        </w:rPr>
        <w:t>em</w:t>
      </w:r>
      <w:r w:rsidRPr="00B47789">
        <w:rPr>
          <w:rFonts w:eastAsia="Calibri"/>
        </w:rPr>
        <w:t xml:space="preserve"> finančních prostředků, jsou možnosti pro rozvoj sociálních služeb velmi omezené. </w:t>
      </w:r>
    </w:p>
    <w:p w:rsidR="00FB1999" w:rsidRPr="00B47789" w:rsidRDefault="00FB1999" w:rsidP="00A34764">
      <w:pPr>
        <w:rPr>
          <w:rFonts w:eastAsia="Calibri"/>
        </w:rPr>
      </w:pPr>
      <w:r w:rsidRPr="00B47789">
        <w:rPr>
          <w:rFonts w:eastAsia="Calibri"/>
        </w:rPr>
        <w:t>Každý zodpovědný zadavatel může zadávat/objednávat sociální službu jen v rozsahu svých vyčleněných disponibilních prostředků, z toho důvodu si OK jako správce sítě vyhrazuje:</w:t>
      </w:r>
      <w:r w:rsidR="0062065D">
        <w:rPr>
          <w:rFonts w:eastAsia="Calibri"/>
        </w:rPr>
        <w:t xml:space="preserve"> </w:t>
      </w:r>
    </w:p>
    <w:p w:rsidR="00FB1999" w:rsidRPr="00A34764" w:rsidRDefault="004E7E3A" w:rsidP="00A34764">
      <w:pPr>
        <w:pStyle w:val="Odstavecseseznamem"/>
        <w:numPr>
          <w:ilvl w:val="0"/>
          <w:numId w:val="64"/>
        </w:numPr>
        <w:rPr>
          <w:rFonts w:eastAsia="Calibri"/>
        </w:rPr>
      </w:pPr>
      <w:r w:rsidRPr="00A34764">
        <w:rPr>
          <w:rFonts w:eastAsia="Calibri"/>
        </w:rPr>
        <w:t>zastavit</w:t>
      </w:r>
      <w:r w:rsidR="00FB1999" w:rsidRPr="00A34764">
        <w:rPr>
          <w:rFonts w:eastAsia="Calibri"/>
        </w:rPr>
        <w:t xml:space="preserve"> proces zařazení nových s</w:t>
      </w:r>
      <w:r w:rsidRPr="00A34764">
        <w:rPr>
          <w:rFonts w:eastAsia="Calibri"/>
        </w:rPr>
        <w:t>ociálních služeb do sítě</w:t>
      </w:r>
      <w:r w:rsidR="00FB1999" w:rsidRPr="00A34764">
        <w:rPr>
          <w:rFonts w:eastAsia="Calibri"/>
        </w:rPr>
        <w:t>;</w:t>
      </w:r>
    </w:p>
    <w:p w:rsidR="00FB1999" w:rsidRPr="00A34764" w:rsidRDefault="00FB1999" w:rsidP="00A34764">
      <w:pPr>
        <w:pStyle w:val="Odstavecseseznamem"/>
        <w:numPr>
          <w:ilvl w:val="0"/>
          <w:numId w:val="64"/>
        </w:numPr>
        <w:rPr>
          <w:rFonts w:eastAsia="Calibri"/>
        </w:rPr>
      </w:pPr>
      <w:r w:rsidRPr="00A34764">
        <w:rPr>
          <w:rFonts w:eastAsia="Calibri"/>
        </w:rPr>
        <w:t xml:space="preserve">zastavit proces </w:t>
      </w:r>
      <w:r w:rsidR="004E7E3A" w:rsidRPr="00A34764">
        <w:rPr>
          <w:rFonts w:eastAsia="Calibri"/>
        </w:rPr>
        <w:t>aktualizace</w:t>
      </w:r>
      <w:r w:rsidRPr="00A34764">
        <w:rPr>
          <w:rFonts w:eastAsia="Calibri"/>
        </w:rPr>
        <w:t xml:space="preserve"> jednotek zařazených</w:t>
      </w:r>
      <w:r w:rsidR="004E7E3A" w:rsidRPr="00A34764">
        <w:rPr>
          <w:rFonts w:eastAsia="Calibri"/>
        </w:rPr>
        <w:t xml:space="preserve"> v síti</w:t>
      </w:r>
      <w:r w:rsidRPr="00A34764">
        <w:rPr>
          <w:rFonts w:eastAsia="Calibri"/>
        </w:rPr>
        <w:t>.</w:t>
      </w:r>
    </w:p>
    <w:p w:rsidR="004E7E3A" w:rsidRPr="00B47789" w:rsidRDefault="004E7E3A" w:rsidP="00A34764">
      <w:pPr>
        <w:rPr>
          <w:rFonts w:eastAsia="Calibri"/>
        </w:rPr>
      </w:pPr>
    </w:p>
    <w:p w:rsidR="00FB1999" w:rsidRPr="00BC3835" w:rsidRDefault="00FB1999" w:rsidP="00A34764">
      <w:pPr>
        <w:rPr>
          <w:rFonts w:eastAsia="Calibri"/>
        </w:rPr>
      </w:pPr>
      <w:r w:rsidRPr="00BC3835">
        <w:rPr>
          <w:rFonts w:eastAsia="Calibri"/>
        </w:rPr>
        <w:t>Specifické cíle a opatření pro jednotlivé PS obsahují popis cílové skupiny, vymezení okruhu osob, SWOT analýzu, seznam cílů a opatření a popis cílů a opatření. Jsou dále rozpracovány do dílčích úseků: charakteristika opatření; cílová skupina; druh služby; forma služby; vymezení územního dopadu opatření; předpokládaný dopad opatření; aktivity vedoucí k naplnění opatření; rizika a ohrožení naplnění opatření; předpokládaní realizátoři a partneři opatření; časový harmonogram; hodnotící indikátory výstupů a výsledků. S ohledem na trvající celospolečenské změny je velmi obtížné stanovit předpokládané finanční dopady jednotlivých rozvojových opatření. Náklady na jejich zajištění budou vyčísleny v Akčním plánu na daný rok.</w:t>
      </w:r>
    </w:p>
    <w:p w:rsidR="00FB1999" w:rsidRPr="00BC3835" w:rsidRDefault="00FB1999" w:rsidP="00A34764">
      <w:pPr>
        <w:rPr>
          <w:rFonts w:eastAsia="Calibri"/>
        </w:rPr>
      </w:pPr>
      <w:r w:rsidRPr="00BC3835">
        <w:rPr>
          <w:rFonts w:eastAsia="Calibri"/>
        </w:rPr>
        <w:t xml:space="preserve">Činnost PS se řídila Metodikou přípravy veřejných strategií, prováděcí vyhláškou č. 387/2017 Sb., Kritérii a Aktualizovanými metodickými doporučeními pro oblast plánování sociálních služeb, respektován byl </w:t>
      </w:r>
      <w:r w:rsidRPr="00BC3835">
        <w:rPr>
          <w:rFonts w:eastAsia="Calibri"/>
        </w:rPr>
        <w:lastRenderedPageBreak/>
        <w:t>časový harmonogram Projednání a schválení zpracování Střednědobého plánu rozvoje sociálních služeb v Olomouckém kraji pro roky 2024</w:t>
      </w:r>
      <w:r w:rsidR="00D67142">
        <w:rPr>
          <w:rFonts w:eastAsia="Calibri"/>
        </w:rPr>
        <w:t>–</w:t>
      </w:r>
      <w:r w:rsidRPr="00BC3835">
        <w:rPr>
          <w:rFonts w:eastAsia="Calibri"/>
        </w:rPr>
        <w:t>2026 schváleném v ZOK.</w:t>
      </w:r>
    </w:p>
    <w:p w:rsidR="00FB1999" w:rsidRPr="00BC3835" w:rsidRDefault="00FB1999" w:rsidP="00A3733B">
      <w:pPr>
        <w:pStyle w:val="Tun"/>
      </w:pPr>
      <w:r w:rsidRPr="00BC3835">
        <w:t>Rozdělení pracovních skupin:</w:t>
      </w:r>
    </w:p>
    <w:p w:rsidR="00FB1999" w:rsidRPr="00BC3835" w:rsidRDefault="00FB1999" w:rsidP="00A34764">
      <w:pPr>
        <w:rPr>
          <w:rFonts w:eastAsia="Calibri"/>
        </w:rPr>
      </w:pPr>
      <w:r w:rsidRPr="00BC3835">
        <w:rPr>
          <w:rFonts w:eastAsia="Calibri"/>
        </w:rPr>
        <w:t>PS č. 1: Děti, mládež a rodina</w:t>
      </w:r>
    </w:p>
    <w:p w:rsidR="00FB1999" w:rsidRPr="00BC3835" w:rsidRDefault="00FB1999" w:rsidP="00A34764">
      <w:pPr>
        <w:rPr>
          <w:rFonts w:eastAsia="Calibri"/>
        </w:rPr>
      </w:pPr>
      <w:r w:rsidRPr="00BC3835">
        <w:rPr>
          <w:rFonts w:eastAsia="Calibri"/>
        </w:rPr>
        <w:t>PS č. 2: Osoby se zdravotním postižením</w:t>
      </w:r>
    </w:p>
    <w:p w:rsidR="00FB1999" w:rsidRPr="00BC3835" w:rsidRDefault="00FB1999" w:rsidP="00A34764">
      <w:pPr>
        <w:rPr>
          <w:rFonts w:eastAsia="Calibri"/>
        </w:rPr>
      </w:pPr>
      <w:r w:rsidRPr="00BC3835">
        <w:rPr>
          <w:rFonts w:eastAsia="Calibri"/>
        </w:rPr>
        <w:t>PS č. 3: Senioři</w:t>
      </w:r>
    </w:p>
    <w:p w:rsidR="00FB1999" w:rsidRPr="00BC3835" w:rsidRDefault="00FB1999" w:rsidP="00A34764">
      <w:pPr>
        <w:rPr>
          <w:rFonts w:eastAsia="Calibri"/>
        </w:rPr>
      </w:pPr>
      <w:r w:rsidRPr="00BC3835">
        <w:rPr>
          <w:rFonts w:eastAsia="Calibri"/>
        </w:rPr>
        <w:t>PS č. 4: Etnické menšiny a cizinci</w:t>
      </w:r>
    </w:p>
    <w:p w:rsidR="00FB1999" w:rsidRPr="00BC3835" w:rsidRDefault="00FB1999" w:rsidP="00A34764">
      <w:pPr>
        <w:rPr>
          <w:rFonts w:eastAsia="Calibri"/>
        </w:rPr>
      </w:pPr>
      <w:r w:rsidRPr="00BC3835">
        <w:rPr>
          <w:rFonts w:eastAsia="Calibri"/>
        </w:rPr>
        <w:t>PS č. 5: Osoby v krizi a osoby sociálně vyloučené</w:t>
      </w:r>
    </w:p>
    <w:p w:rsidR="00FB1999" w:rsidRPr="00BC3835" w:rsidRDefault="00FB1999" w:rsidP="00A34764">
      <w:pPr>
        <w:rPr>
          <w:rFonts w:eastAsia="Calibri"/>
        </w:rPr>
      </w:pPr>
      <w:r w:rsidRPr="00BC3835">
        <w:rPr>
          <w:rFonts w:eastAsia="Calibri"/>
        </w:rPr>
        <w:t>PS č. 6: Osoby ohrožené návykovým jednáním</w:t>
      </w:r>
    </w:p>
    <w:p w:rsidR="00FB1999" w:rsidRPr="007C2EB2" w:rsidRDefault="00FB1999" w:rsidP="00A34764">
      <w:pPr>
        <w:rPr>
          <w:rFonts w:eastAsia="Arial Unicode MS"/>
        </w:rPr>
      </w:pPr>
    </w:p>
    <w:p w:rsidR="00FB1999" w:rsidRPr="007C2EB2" w:rsidRDefault="00FB1999" w:rsidP="00A34764">
      <w:r w:rsidRPr="007C2EB2">
        <w:br w:type="page"/>
      </w:r>
    </w:p>
    <w:p w:rsidR="00FB1999" w:rsidRPr="007C2EB2" w:rsidRDefault="00FB1999" w:rsidP="00A34764">
      <w:pPr>
        <w:pStyle w:val="Nadpis2"/>
      </w:pPr>
      <w:bookmarkStart w:id="191" w:name="_Toc22896383"/>
      <w:bookmarkStart w:id="192" w:name="_Toc111537472"/>
      <w:bookmarkStart w:id="193" w:name="_Toc113622083"/>
      <w:bookmarkStart w:id="194" w:name="_Toc117606993"/>
      <w:r w:rsidRPr="007C2EB2">
        <w:lastRenderedPageBreak/>
        <w:t>Pracovní skupina č. 1: DĚTI, MLÁDEŽ A RODINA</w:t>
      </w:r>
      <w:bookmarkEnd w:id="191"/>
      <w:bookmarkEnd w:id="192"/>
      <w:bookmarkEnd w:id="193"/>
      <w:bookmarkEnd w:id="194"/>
    </w:p>
    <w:p w:rsidR="00FB1999" w:rsidRDefault="00FB1999" w:rsidP="00E136EF">
      <w:pPr>
        <w:pStyle w:val="Tun"/>
      </w:pPr>
      <w:r w:rsidRPr="007C2EB2">
        <w:t>Popis cílové skupiny, vymezení okruhu osob</w:t>
      </w:r>
    </w:p>
    <w:p w:rsidR="00D3354B" w:rsidRDefault="00D3354B" w:rsidP="00A34764">
      <w:r>
        <w:t>Cílová skupina Děti, mládež a rodina je definována rodinou (jejímž členem není zdravotně handicapovaná osoba) a dětmi, mládeží a mladými dospělými ve věku do 26 let, kteří vyžadují výraznou podporu a pomoc, a to zejména z důvodů nepříznivých sociálních a výchovných předpokladů. Ve zvýšené míře se jedná zejména o rodiny, které mají snížené sociální kompetence a nízký stupeň vzdělání, kde děti často nepoznaly obvyklý pracovní rytmus rodiny, a to s ohledem na dlouhodobou nezaměstnanost rodičů. Zároveň se jedná o děti a mládež, kte</w:t>
      </w:r>
      <w:r w:rsidR="00940183">
        <w:t>ří</w:t>
      </w:r>
      <w:r>
        <w:t xml:space="preserve"> jsou zatížen</w:t>
      </w:r>
      <w:r w:rsidR="00940183">
        <w:t>i</w:t>
      </w:r>
      <w:r>
        <w:t xml:space="preserve"> výchovnými či jinými problémy. Cílová skupina je ve zvýšené míře vyznačována nepřítomností fungujícího rodinného systému, proto je primárně důležité zaměřit pozornost na předcházení sociálně patologickým jevům a podporovat rodiny v zachování svých základních funkcí.</w:t>
      </w:r>
    </w:p>
    <w:p w:rsidR="00D3354B" w:rsidRDefault="00D3354B" w:rsidP="00A34764">
      <w:r>
        <w:t xml:space="preserve">Pracovní skupina se primárně zaměřovala dle zákona o sociálních službách na tyto sociální služby: </w:t>
      </w:r>
    </w:p>
    <w:p w:rsidR="00D3354B" w:rsidRDefault="00D3354B" w:rsidP="00A34764">
      <w:pPr>
        <w:pStyle w:val="Odstavecseseznamem"/>
        <w:numPr>
          <w:ilvl w:val="0"/>
          <w:numId w:val="253"/>
        </w:numPr>
      </w:pPr>
      <w:r>
        <w:t>sociálně aktivizační služby pro rodiny s</w:t>
      </w:r>
      <w:r w:rsidR="00401552">
        <w:t> </w:t>
      </w:r>
      <w:r>
        <w:t>dětmi</w:t>
      </w:r>
      <w:r w:rsidR="00401552">
        <w:t>,</w:t>
      </w:r>
    </w:p>
    <w:p w:rsidR="00D3354B" w:rsidRDefault="00D3354B" w:rsidP="00A34764">
      <w:pPr>
        <w:pStyle w:val="Odstavecseseznamem"/>
        <w:numPr>
          <w:ilvl w:val="0"/>
          <w:numId w:val="253"/>
        </w:numPr>
      </w:pPr>
      <w:r>
        <w:t>nízkoprahová zařízení pro děti a mládež</w:t>
      </w:r>
      <w:r w:rsidR="00401552">
        <w:t>,</w:t>
      </w:r>
    </w:p>
    <w:p w:rsidR="00D3354B" w:rsidRDefault="00D3354B" w:rsidP="00A34764">
      <w:pPr>
        <w:pStyle w:val="Odstavecseseznamem"/>
        <w:numPr>
          <w:ilvl w:val="0"/>
          <w:numId w:val="253"/>
        </w:numPr>
      </w:pPr>
      <w:r>
        <w:t>sociální poradenství.</w:t>
      </w:r>
    </w:p>
    <w:p w:rsidR="00D3354B" w:rsidRDefault="00D3354B" w:rsidP="00A34764">
      <w:r>
        <w:t xml:space="preserve">Současně je potřeba poznamenat, že cílová skupina děti, mládež a rodina je podporována i dalšími sociálními službami, které byly primárně projednávány v rámci dalších pracovních skupin. Jednalo se o: </w:t>
      </w:r>
    </w:p>
    <w:p w:rsidR="00D3354B" w:rsidRDefault="00D3354B" w:rsidP="00A34764">
      <w:pPr>
        <w:pStyle w:val="Odstavecseseznamem"/>
        <w:numPr>
          <w:ilvl w:val="0"/>
          <w:numId w:val="253"/>
        </w:numPr>
      </w:pPr>
      <w:r>
        <w:t>azylové domy pro rodiče s dětmi, domy na půli cesty, krizová pomoc (v rámci PS 5 Osoby v krizi a osoby sociálně vyloučené)</w:t>
      </w:r>
      <w:r w:rsidR="00401552">
        <w:t>,</w:t>
      </w:r>
    </w:p>
    <w:p w:rsidR="00D3354B" w:rsidRDefault="00D3354B" w:rsidP="00A34764">
      <w:pPr>
        <w:pStyle w:val="Odstavecseseznamem"/>
        <w:numPr>
          <w:ilvl w:val="0"/>
          <w:numId w:val="253"/>
        </w:numPr>
      </w:pPr>
      <w:r>
        <w:t>terénní programy (v rámci PS 4 Etnické menšiny a cizinci)</w:t>
      </w:r>
      <w:r w:rsidR="00401552">
        <w:t>,</w:t>
      </w:r>
    </w:p>
    <w:p w:rsidR="00D3354B" w:rsidRDefault="00D3354B" w:rsidP="00A34764">
      <w:pPr>
        <w:pStyle w:val="Odstavecseseznamem"/>
        <w:numPr>
          <w:ilvl w:val="0"/>
          <w:numId w:val="253"/>
        </w:numPr>
      </w:pPr>
      <w:r>
        <w:t>raná péče, sociální rehabilitace, domovy pro osoby se zdravotním postižením, odlehčovací služba (v rámci PS 2 Osoby se zdravotním postižením).</w:t>
      </w:r>
    </w:p>
    <w:p w:rsidR="00D3354B" w:rsidRDefault="00D3354B" w:rsidP="00A34764"/>
    <w:p w:rsidR="00D3354B" w:rsidRDefault="00D3354B" w:rsidP="00A34764">
      <w:r>
        <w:t>V rámci podpory ohrožených rodin s dětmi je výrazným subjektem podílejícím se na práci s uvedenou cílovou skupinou orgán sociálně-právní ochrany dětí na obcích s rozšířenou působností. Jeho role nabývá v posledních letech na čím dál větším významu, a to i s ohledem na přijaté novely souvisejících právních předpisů, jako je např. zákon č. 359/1999 Sb., o sociá</w:t>
      </w:r>
      <w:r w:rsidR="00D46F1F">
        <w:t>lně-právní ochraně dětí, zákon o sociálních službách, zákon</w:t>
      </w:r>
      <w:r>
        <w:t xml:space="preserve"> č. 378/2011</w:t>
      </w:r>
      <w:r w:rsidR="00401552">
        <w:t>,</w:t>
      </w:r>
      <w:r>
        <w:t xml:space="preserve"> o </w:t>
      </w:r>
      <w:r w:rsidR="00D46F1F">
        <w:t>zdravotních službách</w:t>
      </w:r>
      <w:r w:rsidR="00401552">
        <w:t>,</w:t>
      </w:r>
      <w:r w:rsidR="00D46F1F">
        <w:t xml:space="preserve"> nebo zákon</w:t>
      </w:r>
      <w:r>
        <w:t xml:space="preserve"> č. 109/2000 Sb., o ústavní výchově. Všechny tyto právní předpisy v roce 2021 doznaly výrazné změny, jejichž hlavním záměrem je eliminace umisťování dětí do 3 let věku do pobytových zařízení. Tyto změny jsou účinné v různém časovém období. Omezení umísťování nejmladších dětí do ústavní výchovy nebo ZDVOP, včetně předběžných opatření, je aktuálně následující:</w:t>
      </w:r>
    </w:p>
    <w:p w:rsidR="00D3354B" w:rsidRDefault="00D3354B" w:rsidP="00A34764">
      <w:pPr>
        <w:pStyle w:val="Odstavecseseznamem"/>
        <w:numPr>
          <w:ilvl w:val="0"/>
          <w:numId w:val="253"/>
        </w:numPr>
      </w:pPr>
      <w:r>
        <w:t>zakotvení hranice 3 let věku dítěte pro poskytování pobytových služeb ZDVOP s účinností od 1. 1. 2024,</w:t>
      </w:r>
    </w:p>
    <w:p w:rsidR="00D3354B" w:rsidRDefault="00D3354B" w:rsidP="00A34764">
      <w:pPr>
        <w:pStyle w:val="Odstavecseseznamem"/>
        <w:numPr>
          <w:ilvl w:val="0"/>
          <w:numId w:val="253"/>
        </w:numPr>
      </w:pPr>
      <w:r>
        <w:t>zakotvení hranice 3 let věku dítěte pro nařízení dočasného pobytu dítěte ve středisku výchovné péče, ZDVOP, zdravotnickém zařízení či DOZP na základě výchovného opatření soudu (od 1.</w:t>
      </w:r>
      <w:r w:rsidR="00401552">
        <w:t> </w:t>
      </w:r>
      <w:r>
        <w:t>1.</w:t>
      </w:r>
      <w:r w:rsidR="00401552">
        <w:t> </w:t>
      </w:r>
      <w:r>
        <w:t>2025),</w:t>
      </w:r>
    </w:p>
    <w:p w:rsidR="00D3354B" w:rsidRDefault="00D3354B" w:rsidP="00A34764">
      <w:pPr>
        <w:pStyle w:val="Odstavecseseznamem"/>
        <w:numPr>
          <w:ilvl w:val="0"/>
          <w:numId w:val="253"/>
        </w:numPr>
      </w:pPr>
      <w:r>
        <w:t>zakotvení hranice 3 let věku pro možnost soudu nařídit předběžným opatřením na návrh OSPOD dočasné umístění dítěte v jiném vhodném výchovném prostředí, než je péče fyzické osoby (od 1. 1. 2025),</w:t>
      </w:r>
    </w:p>
    <w:p w:rsidR="00D3354B" w:rsidRDefault="00D3354B" w:rsidP="00A34764">
      <w:pPr>
        <w:pStyle w:val="Odstavecseseznamem"/>
        <w:numPr>
          <w:ilvl w:val="0"/>
          <w:numId w:val="253"/>
        </w:numPr>
      </w:pPr>
      <w:r>
        <w:t>zakotvení hranice 4 let věku dítěte pro umístění dítěte do školského zařízení pro výkon ústavní výchovy (dětský domov, dětský domov se školou, diagnostický ústav), s výjimkou společného umístění sourozenců (od 1. 1. 2025),</w:t>
      </w:r>
    </w:p>
    <w:p w:rsidR="00D3354B" w:rsidRDefault="00D3354B" w:rsidP="00A34764">
      <w:pPr>
        <w:pStyle w:val="Odstavecseseznamem"/>
        <w:numPr>
          <w:ilvl w:val="0"/>
          <w:numId w:val="253"/>
        </w:numPr>
      </w:pPr>
      <w:r>
        <w:t>zakotvení hranice 4 let věku dítěte pro poskytování pobytových služeb v domovech pro osoby se zdravotním postižením, s výjimkou dětí se stupněm závislosti na pomoci jiné fyzické osoby III a IV (od 1. 1. 2025).</w:t>
      </w:r>
    </w:p>
    <w:p w:rsidR="00D3354B" w:rsidRDefault="00D3354B" w:rsidP="00A34764"/>
    <w:p w:rsidR="00D3354B" w:rsidRDefault="00D3354B" w:rsidP="00A34764">
      <w:r>
        <w:t>OK na uvedené změny reagoval při přípravě nového Střednědobého plánu 2024</w:t>
      </w:r>
      <w:r w:rsidR="00401552">
        <w:t>–</w:t>
      </w:r>
      <w:r>
        <w:t>2026, zejména pak při vzájemných setkání</w:t>
      </w:r>
      <w:r w:rsidR="00401552">
        <w:t>ch</w:t>
      </w:r>
      <w:r>
        <w:t xml:space="preserve"> nejen pracovní slupiny Děti, mládež a rodina, ale také v rámci pracovních setkání se zástupci měst a poskytovatelů sociálních služeb, kteří pracují s touto cílovou skupinou. </w:t>
      </w:r>
    </w:p>
    <w:p w:rsidR="00D3354B" w:rsidRDefault="00D3354B" w:rsidP="00A34764">
      <w:r>
        <w:t xml:space="preserve">Novela sice přináší věkový limit pro umisťování nejmenších dětí do ústavní péče, nicméně </w:t>
      </w:r>
      <w:r>
        <w:rPr>
          <w:b/>
          <w:bCs/>
        </w:rPr>
        <w:t>toto omezení neznamená automaticky zánik těchto zařízení</w:t>
      </w:r>
      <w:r>
        <w:t xml:space="preserve">. </w:t>
      </w:r>
    </w:p>
    <w:p w:rsidR="00D3354B" w:rsidRDefault="00D3354B" w:rsidP="00A34764">
      <w:r>
        <w:t xml:space="preserve">Vzhledem k již probíhajícímu poklesu počtu umístěných dětí tato zařízení zpravidla nabízejí i jiné zdravotní nebo sociální služby, např. podpora matek s dětmi, </w:t>
      </w:r>
      <w:proofErr w:type="spellStart"/>
      <w:r>
        <w:t>respitní</w:t>
      </w:r>
      <w:proofErr w:type="spellEnd"/>
      <w:r>
        <w:t xml:space="preserve"> služby, sociální rehabilitace, sociální terénní služby, krizové bydlení = tedy služby, které omezovány nejsou a které jsou v praxi opravdu potřeba.</w:t>
      </w:r>
    </w:p>
    <w:p w:rsidR="00D3354B" w:rsidRDefault="00D3354B" w:rsidP="00A34764">
      <w:r>
        <w:t xml:space="preserve">I po 1. 1. 2022 zůstává zachována možnost umísťovat do dětských domovů pro děti do 3 let věku, jejichž zdravotní stav vyžaduje poskytování zdravotní péče ve formě lůžkové péče. Tato zařízení nejsou určena pro děti ohrožené ve vývoji nevhodným sociálním prostředím. V této souvislosti je třeba zmínit, že péče </w:t>
      </w:r>
      <w:r w:rsidR="00401552">
        <w:t>v </w:t>
      </w:r>
      <w:r>
        <w:t xml:space="preserve">dětských domovech pro děti do 3 let věku je zdaleka nejdražší péče = průměrně ČR vynakládá přes 70 tis. Kč/dítě v takovém zařízení měsíčně. Práce v terénu je mnohonásobně levnější. Peníze je třeba investovat smysluplněji a transformovat tato zařízení, aby dokázala reagovat na aktuální trend, ale i potřeby umisťování malých dětí se zdravotním postižením např. v rámci komunitního domova pro osoby se zdravotním postižením. </w:t>
      </w:r>
    </w:p>
    <w:p w:rsidR="00D3354B" w:rsidRDefault="00D3354B" w:rsidP="00A34764">
      <w:r>
        <w:t xml:space="preserve">OK zahájil aktivity, které směřují k systémovým změnám v oblasti služeb pro ohrožené děti v pobytových zařízeních. V oblasti školských zařízení, a to dětských domovů zřizovaných </w:t>
      </w:r>
      <w:r w:rsidR="004E7E3A">
        <w:t>OK</w:t>
      </w:r>
      <w:r w:rsidR="00401552">
        <w:t>,</w:t>
      </w:r>
      <w:r>
        <w:t xml:space="preserve"> byly zahájeny první kroky k přípravě transformace těchto zařízení na dětské domovy komunitního typu, které se nacházejí v běžné zástavbě</w:t>
      </w:r>
      <w:r w:rsidR="00BA3253">
        <w:t>,</w:t>
      </w:r>
      <w:r>
        <w:t xml:space="preserve"> a jejich chod čím dál více připomíná fungování běžné domácnosti.</w:t>
      </w:r>
    </w:p>
    <w:p w:rsidR="00D3354B" w:rsidRDefault="00D3354B" w:rsidP="00A34764">
      <w:r>
        <w:t>V letech 2020</w:t>
      </w:r>
      <w:r w:rsidR="005949E3">
        <w:t>–</w:t>
      </w:r>
      <w:r>
        <w:t>2022 byl OK zapojen do systémového projektu</w:t>
      </w:r>
      <w:r w:rsidR="00D46F1F">
        <w:t xml:space="preserve"> MPSV, který byl zaměřen</w:t>
      </w:r>
      <w:r>
        <w:t xml:space="preserve"> na oblast ohrožených dětí s názvem </w:t>
      </w:r>
      <w:r w:rsidR="005949E3">
        <w:t>„</w:t>
      </w:r>
      <w:r>
        <w:t>Podpora systémových změn v oblasti služeb péče o ohrožené děti, mladé lidi a rodiny v</w:t>
      </w:r>
      <w:r w:rsidR="005949E3">
        <w:t> </w:t>
      </w:r>
      <w:r>
        <w:t>ČR</w:t>
      </w:r>
      <w:r w:rsidR="00BA3253">
        <w:t>“</w:t>
      </w:r>
      <w:r>
        <w:t>.</w:t>
      </w:r>
      <w:r w:rsidR="00BA3253">
        <w:t xml:space="preserve"> V rámci tohoto projektu proběhla</w:t>
      </w:r>
      <w:r>
        <w:t xml:space="preserve"> klíčová aktivita Přehodnocení situace dětí v ústavní péči v rámci všech krajů ČR</w:t>
      </w:r>
      <w:r w:rsidR="00BA3253">
        <w:t>. J</w:t>
      </w:r>
      <w:r>
        <w:t xml:space="preserve">eho výstupy po ukončení projektu bude možné reflektovat při práci s ohroženými dětmi a rodinami právě v období od ukončení projektu v takovém rozsahu, abychom se dokázali připravit na dopady legislativních změn souvisejících s již zmiňovaným zákazem umisťování dětí do 3 let věku do pobytových zařízení. V rámci připravovaného nového IP Olomouckého kraje bude možné realizovat pracovní setkání za účelem využívání přímých metodických konzultací, účastnit se praktických workshopů na různá témata SPOD. </w:t>
      </w:r>
    </w:p>
    <w:p w:rsidR="00D3354B" w:rsidRDefault="00D3354B" w:rsidP="00A34764">
      <w:r>
        <w:t>V rámci uvedeného systémového projektu se OK zaměřuje na děti žijící mimo vlastní rodinu. OK se dlouhodobě věnuje otázce změny přístupu v práci s cílovou skupinou dětí a rodin, na které se vztahuje sociálně-právní ochrana. V oblasti nejen sociálních služeb pro ohrožené rodiny a děti je důraz kladen na odborné, specializované služby poskytované osobám v obtížné životní situaci (a to i ve vztahu k náhradní výchovné péči, sociálně-právní ochraně dětí). Sociální služby, které jsou primárně zaměřeny na práci s ohroženými rodinami a dětmi</w:t>
      </w:r>
      <w:r w:rsidR="005949E3">
        <w:t>,</w:t>
      </w:r>
      <w:r>
        <w:t xml:space="preserve"> musí mít nastavena jasná pravidla spolupráce se všemi subjekty působícími v této oblasti (orgány sociálně-právní ochrany, Policie ČR, ostatní poskytovatelé sociálních služeb, úřady práce, obce s rozšířenou působností a další).</w:t>
      </w:r>
    </w:p>
    <w:p w:rsidR="00D3354B" w:rsidRDefault="00D3354B" w:rsidP="00A34764">
      <w:r>
        <w:t>Tato spolupráce je vnímána jako klíčový předpoklad pro kvalitní práci s ohroženými dětmi a rodinami a nevyplývá pouze z teoretických poznatků, ale také dovedností, plánování a participace navazujících aktivit v této oblasti. Hlavním cílem setkávání oborových platforem je udržitelnost a rozvoj funkčního systému zajišťování ochrany práv dětí a naplňování jejich potřeb, podpora rozvoje služeb v oblasti OSPOD, rozvoj náhradní rodinné péče, monitorování systému ochrany práv dětí, vzdělávání pracovníků. Důraz je kladen na odborné, specializované služby, spolupráci pracovníků OSPOD a poskytovatelů sociálních služeb formou setkávání, porad, workshopů či vzdělávání. Touto formou je možné získávat poznatky z konkrétní lokality a formulovat doporučení pro další rozvoj služeb, a to na základě srovnání reálného stavu s optimálním modelem.</w:t>
      </w:r>
    </w:p>
    <w:p w:rsidR="00D3354B" w:rsidRDefault="00D3354B" w:rsidP="00A34764">
      <w:r>
        <w:lastRenderedPageBreak/>
        <w:t xml:space="preserve">Oblast sociálně-právní ochrany dětí je velmi široká a neustále se dynamicky proměňuje a reaguje tím na aktuální trendy ve společnosti formou transformace systému péče o ohrožené děti a rodiny. Jako klíčové se jeví aktivity OK v oblasti práva na rodinnou péči, participace dětí, a tím eliminace diskriminace a nerovného přístupu vůči dětem, zajištění primárních potřeb pro děti a rodiny. Řešeny jsou i oblasti preventivní a poradenské činnosti, výchovných opatření, opatření na ochranu dětí a péči o děti vyžadující zvýšenou pozornost. </w:t>
      </w:r>
    </w:p>
    <w:p w:rsidR="00D3354B" w:rsidRDefault="00D3354B" w:rsidP="00A34764">
      <w:r>
        <w:rPr>
          <w:b/>
          <w:bCs/>
        </w:rPr>
        <w:t>Zásadní se v této souvislosti jeví především sociální práce realizovaná v přirozeném prostředí dětí a rodin</w:t>
      </w:r>
      <w:r>
        <w:t>, podpora kvality života dětí a rodiny a rozvoj služeb a činností potřebných ke zvyšování kompetencí rodičů, služeb a činnost</w:t>
      </w:r>
      <w:r w:rsidR="005949E3">
        <w:t>í</w:t>
      </w:r>
      <w:r>
        <w:t xml:space="preserve"> související</w:t>
      </w:r>
      <w:r w:rsidR="005949E3">
        <w:t>ch</w:t>
      </w:r>
      <w:r>
        <w:t xml:space="preserve"> s cílem zajištění takového života dětí, kter</w:t>
      </w:r>
      <w:r w:rsidR="005949E3">
        <w:t>ý</w:t>
      </w:r>
      <w:r>
        <w:t xml:space="preserve"> bude naplňovat jejich blaho a práva. Činnosti všech subjektů v oblasti ohrožených dětí však nemohou svým rozsahem nahrazovat roli rodičů, proto je nezbytné, aby všechny činnosti byly směřovány ke zvyšování rodičovských kompetencí rodičů pro řešení nejrůznějších životních situací.</w:t>
      </w:r>
    </w:p>
    <w:p w:rsidR="00FB1999" w:rsidRPr="00E136EF" w:rsidRDefault="00FB1999" w:rsidP="00A34764">
      <w:pPr>
        <w:rPr>
          <w:rFonts w:eastAsia="Arial Unicode MS"/>
          <w:b/>
          <w:lang w:eastAsia="cs-CZ"/>
        </w:rPr>
      </w:pPr>
      <w:r w:rsidRPr="00E136EF">
        <w:rPr>
          <w:rFonts w:eastAsia="Arial Unicode MS"/>
          <w:b/>
          <w:lang w:eastAsia="cs-CZ"/>
        </w:rPr>
        <w:t>SWOT analýza PS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599"/>
      </w:tblGrid>
      <w:tr w:rsidR="00E136EF" w:rsidRPr="00E136EF" w:rsidTr="00F95646">
        <w:trPr>
          <w:trHeight w:val="283"/>
        </w:trPr>
        <w:tc>
          <w:tcPr>
            <w:tcW w:w="4463" w:type="dxa"/>
            <w:shd w:val="clear" w:color="auto" w:fill="auto"/>
          </w:tcPr>
          <w:p w:rsidR="00E136EF" w:rsidRPr="00E136EF" w:rsidRDefault="00E136EF" w:rsidP="00E136EF">
            <w:pPr>
              <w:spacing w:before="0"/>
              <w:jc w:val="center"/>
              <w:rPr>
                <w:rFonts w:eastAsia="Arial Unicode MS" w:cs="Segoe UI"/>
                <w:sz w:val="18"/>
                <w:szCs w:val="18"/>
                <w:lang w:eastAsia="cs-CZ"/>
              </w:rPr>
            </w:pPr>
            <w:r w:rsidRPr="00E136EF">
              <w:rPr>
                <w:rFonts w:eastAsia="Arial Unicode MS" w:cs="Segoe UI"/>
                <w:b/>
                <w:sz w:val="18"/>
                <w:szCs w:val="18"/>
                <w:lang w:eastAsia="cs-CZ"/>
              </w:rPr>
              <w:t>Silné stránky</w:t>
            </w:r>
          </w:p>
        </w:tc>
        <w:tc>
          <w:tcPr>
            <w:tcW w:w="4599" w:type="dxa"/>
            <w:shd w:val="clear" w:color="auto" w:fill="auto"/>
          </w:tcPr>
          <w:p w:rsidR="00E136EF" w:rsidRPr="00E136EF" w:rsidRDefault="00E136EF" w:rsidP="00E136EF">
            <w:pPr>
              <w:spacing w:before="0"/>
              <w:jc w:val="center"/>
              <w:rPr>
                <w:rFonts w:eastAsia="Arial Unicode MS" w:cs="Segoe UI"/>
                <w:sz w:val="18"/>
                <w:szCs w:val="18"/>
                <w:lang w:eastAsia="cs-CZ"/>
              </w:rPr>
            </w:pPr>
            <w:r w:rsidRPr="00E136EF">
              <w:rPr>
                <w:rFonts w:eastAsia="Arial Unicode MS" w:cs="Segoe UI"/>
                <w:b/>
                <w:sz w:val="18"/>
                <w:szCs w:val="18"/>
                <w:lang w:eastAsia="cs-CZ"/>
              </w:rPr>
              <w:t>Slabé stránky</w:t>
            </w:r>
          </w:p>
        </w:tc>
      </w:tr>
      <w:tr w:rsidR="00E136EF" w:rsidRPr="00E136EF" w:rsidTr="00F95646">
        <w:trPr>
          <w:trHeight w:val="283"/>
        </w:trPr>
        <w:tc>
          <w:tcPr>
            <w:tcW w:w="4463" w:type="dxa"/>
            <w:shd w:val="clear" w:color="auto" w:fill="auto"/>
          </w:tcPr>
          <w:p w:rsidR="00E136EF" w:rsidRPr="00E136EF" w:rsidRDefault="00E136EF" w:rsidP="00F95646">
            <w:pPr>
              <w:pStyle w:val="odrkaSWOT"/>
              <w:jc w:val="both"/>
              <w:rPr>
                <w:rFonts w:eastAsia="Arial Unicode MS"/>
              </w:rPr>
            </w:pPr>
            <w:r w:rsidRPr="00E136EF">
              <w:rPr>
                <w:rFonts w:eastAsia="Arial Unicode MS"/>
              </w:rPr>
              <w:t>Provázanost poskytovatelů sociálních služeb a zástupců kraje a obcí s rozšířenou působností</w:t>
            </w:r>
          </w:p>
          <w:p w:rsidR="00E136EF" w:rsidRPr="00E136EF" w:rsidRDefault="00E136EF" w:rsidP="00F95646">
            <w:pPr>
              <w:pStyle w:val="odrkaSWOT"/>
              <w:jc w:val="both"/>
              <w:rPr>
                <w:rFonts w:eastAsia="Arial Unicode MS"/>
              </w:rPr>
            </w:pPr>
            <w:r w:rsidRPr="00E136EF">
              <w:rPr>
                <w:rFonts w:eastAsia="Arial Unicode MS"/>
              </w:rPr>
              <w:t>Stabilní zájem poskytovatelů sociálních služeb o proces plánování sociálních služeb</w:t>
            </w:r>
          </w:p>
          <w:p w:rsidR="00E136EF" w:rsidRPr="00E136EF" w:rsidRDefault="00E136EF" w:rsidP="00F95646">
            <w:pPr>
              <w:pStyle w:val="odrkaSWOT"/>
              <w:jc w:val="both"/>
              <w:rPr>
                <w:rFonts w:eastAsia="Arial Unicode MS"/>
              </w:rPr>
            </w:pPr>
            <w:r w:rsidRPr="00E136EF">
              <w:rPr>
                <w:rFonts w:eastAsia="Arial Unicode MS"/>
              </w:rPr>
              <w:t xml:space="preserve">Realizace zásadních cílů a opatření z předchozích střednědobých plánů </w:t>
            </w:r>
          </w:p>
          <w:p w:rsidR="00E136EF" w:rsidRPr="00E136EF" w:rsidRDefault="00E136EF" w:rsidP="00F95646">
            <w:pPr>
              <w:pStyle w:val="odrkaSWOT"/>
              <w:jc w:val="both"/>
              <w:rPr>
                <w:rFonts w:eastAsia="Arial Unicode MS"/>
              </w:rPr>
            </w:pPr>
            <w:r w:rsidRPr="00E136EF">
              <w:rPr>
                <w:rFonts w:eastAsia="Arial Unicode MS"/>
              </w:rPr>
              <w:t>Dobrá vzájemná informovanost zadavatelů a poskytovatelů sociálních služeb</w:t>
            </w:r>
          </w:p>
          <w:p w:rsidR="00E136EF" w:rsidRPr="00E136EF" w:rsidRDefault="00E136EF" w:rsidP="00F95646">
            <w:pPr>
              <w:pStyle w:val="odrkaSWOT"/>
              <w:jc w:val="both"/>
              <w:rPr>
                <w:rFonts w:eastAsia="Arial Unicode MS"/>
              </w:rPr>
            </w:pPr>
            <w:r w:rsidRPr="00E136EF">
              <w:rPr>
                <w:rFonts w:eastAsia="Arial Unicode MS"/>
              </w:rPr>
              <w:t>Kontinuální proces zvyšování profesionální a odborné úrovně poskytovaných sociálních služeb pro cílovou skupinu ohrožených rodin s dětmi</w:t>
            </w:r>
          </w:p>
          <w:p w:rsidR="00E136EF" w:rsidRPr="00E136EF" w:rsidRDefault="00E136EF" w:rsidP="00F95646">
            <w:pPr>
              <w:pStyle w:val="odrkaSWOT"/>
              <w:jc w:val="both"/>
              <w:rPr>
                <w:rFonts w:eastAsia="Arial Unicode MS"/>
              </w:rPr>
            </w:pPr>
            <w:r w:rsidRPr="00E136EF">
              <w:rPr>
                <w:rFonts w:eastAsia="Arial Unicode MS"/>
              </w:rPr>
              <w:t>Stabilní síť poskytovatelů sociálních služeb pro cílovou skupinu ohrožených rodin s dětmi</w:t>
            </w:r>
          </w:p>
          <w:p w:rsidR="00E136EF" w:rsidRPr="00E136EF" w:rsidRDefault="00E136EF" w:rsidP="00F95646">
            <w:pPr>
              <w:pStyle w:val="odrkaSWOT"/>
              <w:jc w:val="both"/>
              <w:rPr>
                <w:rFonts w:eastAsia="Arial Unicode MS"/>
              </w:rPr>
            </w:pPr>
            <w:r w:rsidRPr="00E136EF">
              <w:rPr>
                <w:rFonts w:eastAsia="Arial Unicode MS"/>
              </w:rPr>
              <w:t xml:space="preserve">Přehledně vymezené vykazování dat v rámci </w:t>
            </w:r>
            <w:proofErr w:type="spellStart"/>
            <w:r w:rsidRPr="00E136EF">
              <w:rPr>
                <w:rFonts w:eastAsia="Arial Unicode MS"/>
              </w:rPr>
              <w:t>KISSoS</w:t>
            </w:r>
            <w:proofErr w:type="spellEnd"/>
          </w:p>
        </w:tc>
        <w:tc>
          <w:tcPr>
            <w:tcW w:w="4599" w:type="dxa"/>
            <w:shd w:val="clear" w:color="auto" w:fill="auto"/>
          </w:tcPr>
          <w:p w:rsidR="00E136EF" w:rsidRPr="00E136EF" w:rsidRDefault="00E136EF" w:rsidP="00F95646">
            <w:pPr>
              <w:pStyle w:val="odrkaSWOT"/>
              <w:jc w:val="both"/>
              <w:rPr>
                <w:rFonts w:eastAsia="Arial Unicode MS"/>
              </w:rPr>
            </w:pPr>
            <w:r w:rsidRPr="00E136EF">
              <w:rPr>
                <w:rFonts w:eastAsia="Arial Unicode MS"/>
              </w:rPr>
              <w:t>Nižší mzdové ohodnocení pracovníků OSPOD způsobuje nedostatek pracovníků na obcích</w:t>
            </w:r>
          </w:p>
          <w:p w:rsidR="00E136EF" w:rsidRPr="00E136EF" w:rsidRDefault="00E136EF" w:rsidP="00F95646">
            <w:pPr>
              <w:pStyle w:val="odrkaSWOT"/>
              <w:jc w:val="both"/>
              <w:rPr>
                <w:rFonts w:eastAsia="Arial Unicode MS"/>
              </w:rPr>
            </w:pPr>
            <w:r w:rsidRPr="00E136EF">
              <w:rPr>
                <w:rFonts w:eastAsia="Arial Unicode MS"/>
              </w:rPr>
              <w:t>Chybějící pravidelná kontrola poskytovatelů ze strany OK a metodická podpora kvality sociálních služeb</w:t>
            </w:r>
          </w:p>
          <w:p w:rsidR="00E136EF" w:rsidRPr="00E136EF" w:rsidRDefault="00E136EF" w:rsidP="00F95646">
            <w:pPr>
              <w:pStyle w:val="odrkaSWOT"/>
              <w:jc w:val="both"/>
              <w:rPr>
                <w:rFonts w:eastAsia="Arial Unicode MS"/>
              </w:rPr>
            </w:pPr>
            <w:r w:rsidRPr="00E136EF">
              <w:rPr>
                <w:rFonts w:eastAsia="Arial Unicode MS"/>
              </w:rPr>
              <w:t>Lokality s chybějícími službami pro cílovou skupinu ohrožených rodin s dětmi</w:t>
            </w:r>
          </w:p>
          <w:p w:rsidR="00E136EF" w:rsidRPr="00E136EF" w:rsidRDefault="00E136EF" w:rsidP="00F95646">
            <w:pPr>
              <w:pStyle w:val="odrkaSWOT"/>
              <w:jc w:val="both"/>
              <w:rPr>
                <w:rFonts w:eastAsia="Arial Unicode MS"/>
              </w:rPr>
            </w:pPr>
            <w:r w:rsidRPr="00E136EF">
              <w:rPr>
                <w:rFonts w:eastAsia="Arial Unicode MS"/>
              </w:rPr>
              <w:t>Při krizových a nenadálých situacích chybí nástroj na pružnou reakci v oblasti poskytování sociálních služeb</w:t>
            </w:r>
          </w:p>
          <w:p w:rsidR="00E136EF" w:rsidRPr="00E136EF" w:rsidRDefault="00E136EF" w:rsidP="00F95646">
            <w:pPr>
              <w:pStyle w:val="odrkaSWOT"/>
              <w:jc w:val="both"/>
              <w:rPr>
                <w:rFonts w:eastAsia="Arial Unicode MS"/>
              </w:rPr>
            </w:pPr>
            <w:r w:rsidRPr="00E136EF">
              <w:rPr>
                <w:rFonts w:eastAsia="Arial Unicode MS"/>
              </w:rPr>
              <w:t>Nedostatečná spolupráce obcí v oblasti financování v rámci některých správních obvodů ORP pro zajištění služeb</w:t>
            </w:r>
          </w:p>
          <w:p w:rsidR="00E136EF" w:rsidRPr="00E136EF" w:rsidRDefault="00E136EF" w:rsidP="00F95646">
            <w:pPr>
              <w:pStyle w:val="odrkaSWOT"/>
              <w:jc w:val="both"/>
              <w:rPr>
                <w:rFonts w:eastAsia="Arial Unicode MS"/>
              </w:rPr>
            </w:pPr>
            <w:r w:rsidRPr="00E136EF">
              <w:rPr>
                <w:rFonts w:eastAsia="Arial Unicode MS"/>
              </w:rPr>
              <w:t xml:space="preserve">Nejednotné národní systémy a metodiky pro vykazování využití kapacity sociálních služeb (úkonů), poskytování sociálních služeb apod. (data </w:t>
            </w:r>
            <w:proofErr w:type="spellStart"/>
            <w:r w:rsidRPr="00E136EF">
              <w:rPr>
                <w:rFonts w:eastAsia="Arial Unicode MS"/>
              </w:rPr>
              <w:t>benchmarkingu</w:t>
            </w:r>
            <w:proofErr w:type="spellEnd"/>
            <w:r w:rsidRPr="00E136EF">
              <w:rPr>
                <w:rFonts w:eastAsia="Arial Unicode MS"/>
              </w:rPr>
              <w:t>, registru, IP) a z toho plynoucí zvýšená administrativa s dopadem na přímou práci s uživatelem sociálních služeb</w:t>
            </w:r>
          </w:p>
          <w:p w:rsidR="00E136EF" w:rsidRPr="00E136EF" w:rsidRDefault="00E136EF" w:rsidP="00F95646">
            <w:pPr>
              <w:pStyle w:val="odrkaSWOT"/>
              <w:jc w:val="both"/>
              <w:rPr>
                <w:rFonts w:eastAsia="Arial Unicode MS"/>
              </w:rPr>
            </w:pPr>
            <w:r w:rsidRPr="00E136EF">
              <w:rPr>
                <w:rFonts w:eastAsia="Arial Unicode MS"/>
              </w:rPr>
              <w:t>Kolísavé a nepředvídatelné financování sociálních služeb</w:t>
            </w:r>
          </w:p>
          <w:p w:rsidR="00E136EF" w:rsidRPr="00E136EF" w:rsidRDefault="00E136EF" w:rsidP="00F95646">
            <w:pPr>
              <w:pStyle w:val="odrkaSWOT"/>
              <w:jc w:val="both"/>
              <w:rPr>
                <w:rFonts w:eastAsia="Arial Unicode MS"/>
              </w:rPr>
            </w:pPr>
            <w:r w:rsidRPr="00E136EF">
              <w:rPr>
                <w:rFonts w:eastAsia="Arial Unicode MS"/>
              </w:rPr>
              <w:t>Zhoršení dostupnosti psychologických a terapeutických služeb v systému sociálních služeb</w:t>
            </w:r>
          </w:p>
          <w:p w:rsidR="00E136EF" w:rsidRPr="00E136EF" w:rsidRDefault="00E136EF" w:rsidP="00F95646">
            <w:pPr>
              <w:pStyle w:val="odrkaSWOT"/>
              <w:jc w:val="both"/>
              <w:rPr>
                <w:rFonts w:eastAsia="Arial Unicode MS"/>
              </w:rPr>
            </w:pPr>
            <w:r w:rsidRPr="00E136EF">
              <w:rPr>
                <w:rFonts w:eastAsia="Arial Unicode MS"/>
              </w:rPr>
              <w:t xml:space="preserve">Nedostatek dobrovolníků </w:t>
            </w:r>
          </w:p>
        </w:tc>
      </w:tr>
      <w:tr w:rsidR="00E136EF" w:rsidRPr="00E136EF" w:rsidTr="00F95646">
        <w:trPr>
          <w:trHeight w:val="283"/>
        </w:trPr>
        <w:tc>
          <w:tcPr>
            <w:tcW w:w="4463" w:type="dxa"/>
            <w:shd w:val="clear" w:color="auto" w:fill="auto"/>
            <w:vAlign w:val="center"/>
          </w:tcPr>
          <w:p w:rsidR="00E136EF" w:rsidRPr="00E136EF" w:rsidRDefault="00E136EF" w:rsidP="00E136EF">
            <w:pPr>
              <w:spacing w:before="0"/>
              <w:jc w:val="center"/>
              <w:rPr>
                <w:rFonts w:eastAsia="Arial Unicode MS" w:cs="Segoe UI"/>
                <w:b/>
                <w:sz w:val="18"/>
                <w:szCs w:val="18"/>
                <w:lang w:eastAsia="cs-CZ"/>
              </w:rPr>
            </w:pPr>
            <w:r w:rsidRPr="00E136EF">
              <w:rPr>
                <w:rFonts w:eastAsia="Arial Unicode MS" w:cs="Segoe UI"/>
                <w:sz w:val="18"/>
                <w:szCs w:val="18"/>
                <w:lang w:eastAsia="cs-CZ"/>
              </w:rPr>
              <w:br w:type="page"/>
            </w:r>
            <w:r w:rsidRPr="00E136EF">
              <w:rPr>
                <w:rFonts w:eastAsia="Arial Unicode MS" w:cs="Segoe UI"/>
                <w:b/>
                <w:sz w:val="18"/>
                <w:szCs w:val="18"/>
                <w:lang w:eastAsia="cs-CZ"/>
              </w:rPr>
              <w:t>Příležitosti</w:t>
            </w:r>
          </w:p>
        </w:tc>
        <w:tc>
          <w:tcPr>
            <w:tcW w:w="4599" w:type="dxa"/>
            <w:shd w:val="clear" w:color="auto" w:fill="auto"/>
            <w:vAlign w:val="center"/>
          </w:tcPr>
          <w:p w:rsidR="00E136EF" w:rsidRPr="00E136EF" w:rsidRDefault="00E136EF" w:rsidP="00E136EF">
            <w:pPr>
              <w:spacing w:before="0"/>
              <w:rPr>
                <w:rFonts w:eastAsiaTheme="minorHAnsi" w:cs="Segoe UI"/>
                <w:b/>
                <w:sz w:val="18"/>
                <w:szCs w:val="18"/>
              </w:rPr>
            </w:pPr>
            <w:r w:rsidRPr="00E136EF">
              <w:rPr>
                <w:rFonts w:eastAsiaTheme="minorHAnsi" w:cs="Segoe UI"/>
                <w:b/>
                <w:sz w:val="18"/>
                <w:szCs w:val="18"/>
              </w:rPr>
              <w:t>Ohrožení</w:t>
            </w:r>
          </w:p>
        </w:tc>
      </w:tr>
      <w:tr w:rsidR="00E136EF" w:rsidRPr="00E136EF" w:rsidTr="00F95646">
        <w:trPr>
          <w:trHeight w:val="283"/>
        </w:trPr>
        <w:tc>
          <w:tcPr>
            <w:tcW w:w="4463" w:type="dxa"/>
            <w:shd w:val="clear" w:color="auto" w:fill="auto"/>
          </w:tcPr>
          <w:p w:rsidR="00E136EF" w:rsidRPr="00E136EF" w:rsidRDefault="00E136EF" w:rsidP="00F95646">
            <w:pPr>
              <w:pStyle w:val="odrkaSWOT"/>
              <w:jc w:val="both"/>
              <w:rPr>
                <w:rFonts w:eastAsia="Arial Unicode MS"/>
              </w:rPr>
            </w:pPr>
            <w:r w:rsidRPr="00E136EF">
              <w:rPr>
                <w:rFonts w:eastAsia="Arial Unicode MS"/>
              </w:rPr>
              <w:t>Rozvoj meziresortního síťování služeb pro cílovou skupinu ohrožených rodin s dětmi</w:t>
            </w:r>
          </w:p>
          <w:p w:rsidR="00E136EF" w:rsidRPr="00E136EF" w:rsidRDefault="00E136EF" w:rsidP="00F95646">
            <w:pPr>
              <w:pStyle w:val="odrkaSWOT"/>
              <w:jc w:val="both"/>
              <w:rPr>
                <w:rFonts w:eastAsia="Arial Unicode MS"/>
              </w:rPr>
            </w:pPr>
            <w:r w:rsidRPr="00E136EF">
              <w:rPr>
                <w:rFonts w:eastAsia="Arial Unicode MS"/>
              </w:rPr>
              <w:t>Změna v systému financování soc. služeb směřující ke stabilnímu financování</w:t>
            </w:r>
          </w:p>
          <w:p w:rsidR="00E136EF" w:rsidRPr="00E136EF" w:rsidRDefault="00E136EF" w:rsidP="00F95646">
            <w:pPr>
              <w:pStyle w:val="odrkaSWOT"/>
              <w:jc w:val="both"/>
              <w:rPr>
                <w:rFonts w:eastAsia="Arial Unicode MS"/>
              </w:rPr>
            </w:pPr>
            <w:r w:rsidRPr="00E136EF">
              <w:rPr>
                <w:rFonts w:eastAsia="Arial Unicode MS"/>
              </w:rPr>
              <w:t>Zajištění dostupnosti služeb pro ohrožené rodiny s dětmi ve všech regionech Olomouckého kraje</w:t>
            </w:r>
          </w:p>
          <w:p w:rsidR="00E136EF" w:rsidRPr="00E136EF" w:rsidRDefault="00E136EF" w:rsidP="00F95646">
            <w:pPr>
              <w:pStyle w:val="odrkaSWOT"/>
              <w:jc w:val="both"/>
              <w:rPr>
                <w:rFonts w:eastAsia="Arial Unicode MS"/>
              </w:rPr>
            </w:pPr>
            <w:r w:rsidRPr="00E136EF">
              <w:rPr>
                <w:rFonts w:eastAsia="Arial Unicode MS"/>
              </w:rPr>
              <w:t>Udržení zájmu a kvalitní zapojení obcí v rámci ORP do procesu komunitního plánování</w:t>
            </w:r>
          </w:p>
          <w:p w:rsidR="00E136EF" w:rsidRPr="00E136EF" w:rsidRDefault="00E136EF" w:rsidP="00F95646">
            <w:pPr>
              <w:pStyle w:val="odrkaSWOT"/>
              <w:jc w:val="both"/>
              <w:rPr>
                <w:rFonts w:eastAsia="Arial Unicode MS"/>
              </w:rPr>
            </w:pPr>
            <w:r w:rsidRPr="00E136EF">
              <w:rPr>
                <w:rFonts w:eastAsia="Arial Unicode MS"/>
              </w:rPr>
              <w:t>Zvýšení pružnosti úpravy sítě sociálních služeb při řešení krizových situací</w:t>
            </w:r>
          </w:p>
          <w:p w:rsidR="00E136EF" w:rsidRPr="00E136EF" w:rsidRDefault="00E136EF" w:rsidP="00F95646">
            <w:pPr>
              <w:pStyle w:val="odrkaSWOT"/>
              <w:jc w:val="both"/>
              <w:rPr>
                <w:rFonts w:eastAsia="Arial Unicode MS"/>
              </w:rPr>
            </w:pPr>
            <w:r w:rsidRPr="00E136EF">
              <w:rPr>
                <w:rFonts w:eastAsia="Arial Unicode MS"/>
              </w:rPr>
              <w:t>Navýšení spolufinancování sociálních služeb obcemi</w:t>
            </w:r>
          </w:p>
          <w:p w:rsidR="00E136EF" w:rsidRPr="00E136EF" w:rsidRDefault="00E136EF" w:rsidP="00F95646">
            <w:pPr>
              <w:pStyle w:val="odrkaSWOT"/>
              <w:jc w:val="both"/>
              <w:rPr>
                <w:rFonts w:eastAsia="Arial Unicode MS"/>
              </w:rPr>
            </w:pPr>
            <w:r w:rsidRPr="00E136EF">
              <w:rPr>
                <w:rFonts w:eastAsia="Arial Unicode MS"/>
              </w:rPr>
              <w:t>Podpora vzájemné informovanosti mezi poskytovateli sociálních služeb na území celého kraje</w:t>
            </w:r>
          </w:p>
          <w:p w:rsidR="00E136EF" w:rsidRPr="00E136EF" w:rsidRDefault="00E136EF" w:rsidP="00F95646">
            <w:pPr>
              <w:pStyle w:val="odrkaSWOT"/>
              <w:jc w:val="both"/>
              <w:rPr>
                <w:rFonts w:eastAsia="Arial Unicode MS"/>
              </w:rPr>
            </w:pPr>
            <w:r w:rsidRPr="00E136EF">
              <w:rPr>
                <w:rFonts w:eastAsia="Arial Unicode MS"/>
              </w:rPr>
              <w:lastRenderedPageBreak/>
              <w:t>Nastavení systému kontroly a podpory kvality poskytovatelů sociálních služeb v kraji</w:t>
            </w:r>
          </w:p>
          <w:p w:rsidR="00F95646" w:rsidRPr="00E136EF" w:rsidRDefault="00F95646" w:rsidP="00F95646">
            <w:pPr>
              <w:pStyle w:val="odrkaSWOT"/>
              <w:jc w:val="both"/>
              <w:rPr>
                <w:rFonts w:eastAsia="Arial Unicode MS"/>
              </w:rPr>
            </w:pPr>
            <w:r w:rsidRPr="00F95646">
              <w:rPr>
                <w:rFonts w:eastAsia="Arial Unicode MS"/>
              </w:rPr>
              <w:t>Podpora přípravy aktivit sociálních služeb na rizika plynoucí ze zneužívání kyberprostoru</w:t>
            </w:r>
          </w:p>
          <w:p w:rsidR="00E136EF" w:rsidRPr="00E136EF" w:rsidRDefault="00E136EF" w:rsidP="00F95646">
            <w:pPr>
              <w:pStyle w:val="odrkaSWOT"/>
              <w:jc w:val="both"/>
              <w:rPr>
                <w:rFonts w:eastAsia="Arial Unicode MS"/>
              </w:rPr>
            </w:pPr>
            <w:r w:rsidRPr="00E136EF">
              <w:rPr>
                <w:rFonts w:eastAsia="Arial Unicode MS"/>
              </w:rPr>
              <w:t>Podpora pobytových služeb pro děti nad 15 let</w:t>
            </w:r>
          </w:p>
          <w:p w:rsidR="00E136EF" w:rsidRPr="00E136EF" w:rsidRDefault="00E136EF" w:rsidP="00F95646">
            <w:pPr>
              <w:pStyle w:val="odrkaSWOT"/>
              <w:jc w:val="both"/>
              <w:rPr>
                <w:rFonts w:eastAsia="Arial Unicode MS"/>
              </w:rPr>
            </w:pPr>
            <w:r w:rsidRPr="00E136EF">
              <w:rPr>
                <w:rFonts w:eastAsia="Arial Unicode MS"/>
              </w:rPr>
              <w:t>Vyšší zapojení dobrovolníků do sociálních služeb pro rodiny s dětmi a podpora dobrovolnictví v OK</w:t>
            </w:r>
          </w:p>
        </w:tc>
        <w:tc>
          <w:tcPr>
            <w:tcW w:w="4599" w:type="dxa"/>
            <w:shd w:val="clear" w:color="auto" w:fill="auto"/>
          </w:tcPr>
          <w:p w:rsidR="00E136EF" w:rsidRPr="00E136EF" w:rsidRDefault="00E136EF" w:rsidP="00F95646">
            <w:pPr>
              <w:pStyle w:val="odrkaSWOT"/>
              <w:jc w:val="both"/>
              <w:rPr>
                <w:rFonts w:eastAsia="Arial Unicode MS"/>
              </w:rPr>
            </w:pPr>
            <w:r w:rsidRPr="00E136EF">
              <w:rPr>
                <w:rFonts w:eastAsia="Arial Unicode MS"/>
              </w:rPr>
              <w:lastRenderedPageBreak/>
              <w:t xml:space="preserve">Významná nerovnost odměňování pracovníků zajišťujících agendu sociálně-právní ochrany dětí na OÚORP a sociálních pracovníků v sociálních službách </w:t>
            </w:r>
          </w:p>
          <w:p w:rsidR="00E136EF" w:rsidRPr="00E136EF" w:rsidRDefault="00E136EF" w:rsidP="00F95646">
            <w:pPr>
              <w:pStyle w:val="odrkaSWOT"/>
              <w:jc w:val="both"/>
              <w:rPr>
                <w:rFonts w:eastAsia="Arial Unicode MS"/>
              </w:rPr>
            </w:pPr>
            <w:r w:rsidRPr="00E136EF">
              <w:rPr>
                <w:rFonts w:eastAsia="Arial Unicode MS"/>
              </w:rPr>
              <w:t>Nedostatečný počet náhradních pečovatelů (pěstounů, pěstounů na přechodnou dobu) v návaznosti na zákaz umisťování dětí do 3 let věku do pobytových zařízení od 1. 1. 2024 související s novelou zákona č. 359/1999 Sb., o sociálně-právní ochraně dětí</w:t>
            </w:r>
          </w:p>
          <w:p w:rsidR="00E136EF" w:rsidRPr="00E136EF" w:rsidRDefault="00E136EF" w:rsidP="00F95646">
            <w:pPr>
              <w:pStyle w:val="odrkaSWOT"/>
              <w:jc w:val="both"/>
              <w:rPr>
                <w:rFonts w:eastAsia="Arial Unicode MS"/>
              </w:rPr>
            </w:pPr>
            <w:r w:rsidRPr="00E136EF">
              <w:rPr>
                <w:rFonts w:eastAsia="Arial Unicode MS"/>
              </w:rPr>
              <w:t>Nárůst ohrožení života a vývoje dětí do 3 let s ohledem na nedostatek náhradních pečovatelů a služeb pracujících s ohroženými rodinami</w:t>
            </w:r>
          </w:p>
          <w:p w:rsidR="00E136EF" w:rsidRPr="00E136EF" w:rsidRDefault="00E136EF" w:rsidP="00F95646">
            <w:pPr>
              <w:pStyle w:val="odrkaSWOT"/>
              <w:jc w:val="both"/>
              <w:rPr>
                <w:rFonts w:eastAsia="Arial Unicode MS"/>
              </w:rPr>
            </w:pPr>
            <w:r w:rsidRPr="00E136EF">
              <w:rPr>
                <w:rFonts w:eastAsia="Arial Unicode MS"/>
              </w:rPr>
              <w:t xml:space="preserve">Nekoncepční legislativní změny v oblasti sociálních služeb </w:t>
            </w:r>
          </w:p>
          <w:p w:rsidR="00E136EF" w:rsidRPr="00E136EF" w:rsidRDefault="00E136EF" w:rsidP="00F95646">
            <w:pPr>
              <w:pStyle w:val="odrkaSWOT"/>
              <w:jc w:val="both"/>
              <w:rPr>
                <w:rFonts w:eastAsia="Arial Unicode MS"/>
              </w:rPr>
            </w:pPr>
            <w:r w:rsidRPr="00E136EF">
              <w:rPr>
                <w:rFonts w:eastAsia="Arial Unicode MS"/>
              </w:rPr>
              <w:lastRenderedPageBreak/>
              <w:t>Snížení a nestabilita finančních prostředků na sociální služby ze státního rozpočtu</w:t>
            </w:r>
          </w:p>
          <w:p w:rsidR="00E136EF" w:rsidRPr="00E136EF" w:rsidRDefault="00E136EF" w:rsidP="00F95646">
            <w:pPr>
              <w:pStyle w:val="odrkaSWOT"/>
              <w:jc w:val="both"/>
              <w:rPr>
                <w:rFonts w:eastAsia="Arial Unicode MS"/>
              </w:rPr>
            </w:pPr>
            <w:r w:rsidRPr="00E136EF">
              <w:rPr>
                <w:rFonts w:eastAsia="Arial Unicode MS"/>
              </w:rPr>
              <w:t xml:space="preserve">Nedostatek odborných pracovníků v sociálních službách </w:t>
            </w:r>
          </w:p>
          <w:p w:rsidR="00E136EF" w:rsidRPr="00E136EF" w:rsidRDefault="00E136EF" w:rsidP="00F95646">
            <w:pPr>
              <w:pStyle w:val="odrkaSWOT"/>
              <w:jc w:val="both"/>
              <w:rPr>
                <w:rFonts w:eastAsia="Arial Unicode MS"/>
              </w:rPr>
            </w:pPr>
            <w:r w:rsidRPr="00E136EF">
              <w:rPr>
                <w:rFonts w:eastAsia="Arial Unicode MS"/>
              </w:rPr>
              <w:t>Zvýšení počtu ohrožených rodin s dětmi z důvodů zadluženosti, ztráty bydlení, změny ekonomické situace</w:t>
            </w:r>
          </w:p>
          <w:p w:rsidR="00E136EF" w:rsidRPr="00E136EF" w:rsidRDefault="00E136EF" w:rsidP="00F95646">
            <w:pPr>
              <w:pStyle w:val="odrkaSWOT"/>
              <w:jc w:val="both"/>
              <w:rPr>
                <w:rFonts w:eastAsia="Arial Unicode MS"/>
              </w:rPr>
            </w:pPr>
            <w:r w:rsidRPr="00E136EF">
              <w:rPr>
                <w:rFonts w:eastAsia="Arial Unicode MS"/>
              </w:rPr>
              <w:t>Mezirezortní nepropojenost a roztříštěnost systému péče o ohrožené rodiny s dětmi</w:t>
            </w:r>
          </w:p>
          <w:p w:rsidR="00E136EF" w:rsidRPr="00E136EF" w:rsidRDefault="00E136EF" w:rsidP="00F95646">
            <w:pPr>
              <w:pStyle w:val="odrkaSWOT"/>
              <w:jc w:val="both"/>
              <w:rPr>
                <w:rFonts w:eastAsia="Arial Unicode MS"/>
              </w:rPr>
            </w:pPr>
            <w:r w:rsidRPr="00E136EF">
              <w:rPr>
                <w:rFonts w:eastAsia="Arial Unicode MS"/>
              </w:rPr>
              <w:t>Nepřipravenost sociálních služeb na ohrožení cílové skupiny rodin s dětmi plynoucí ze zneužívání kyberprostoru</w:t>
            </w:r>
          </w:p>
          <w:p w:rsidR="00E136EF" w:rsidRPr="00E136EF" w:rsidRDefault="00E136EF" w:rsidP="00F95646">
            <w:pPr>
              <w:pStyle w:val="odrkaSWOT"/>
              <w:jc w:val="both"/>
              <w:rPr>
                <w:rFonts w:eastAsia="Arial Unicode MS"/>
              </w:rPr>
            </w:pPr>
            <w:r w:rsidRPr="00E136EF">
              <w:rPr>
                <w:rFonts w:eastAsia="Arial Unicode MS"/>
              </w:rPr>
              <w:t>Nedostatečná kapacita sociálních služeb související s nárůstem počtu uživatelů v důsledku migrační vlny</w:t>
            </w:r>
          </w:p>
          <w:p w:rsidR="00E136EF" w:rsidRPr="00E136EF" w:rsidRDefault="00E136EF" w:rsidP="00F95646">
            <w:pPr>
              <w:pStyle w:val="odrkaSWOT"/>
              <w:jc w:val="both"/>
              <w:rPr>
                <w:rFonts w:eastAsia="Arial Unicode MS"/>
              </w:rPr>
            </w:pPr>
            <w:r w:rsidRPr="00E136EF">
              <w:rPr>
                <w:rFonts w:eastAsia="Arial Unicode MS"/>
              </w:rPr>
              <w:t>Absence pobytových služeb pro děti ve věku od 15 let bez doprovodu zákonného zástupce</w:t>
            </w:r>
          </w:p>
        </w:tc>
      </w:tr>
    </w:tbl>
    <w:p w:rsidR="00FB1999" w:rsidRPr="007C2EB2" w:rsidRDefault="00FB1999" w:rsidP="00A34764">
      <w:pPr>
        <w:rPr>
          <w:lang w:eastAsia="cs-CZ"/>
        </w:rPr>
      </w:pPr>
    </w:p>
    <w:p w:rsidR="00FB1999" w:rsidRDefault="00FB1999" w:rsidP="00A34764">
      <w:pPr>
        <w:pStyle w:val="Nadpis3"/>
      </w:pPr>
      <w:bookmarkStart w:id="195" w:name="_Toc113622084"/>
      <w:bookmarkStart w:id="196" w:name="_Toc117606994"/>
      <w:r w:rsidRPr="007C2EB2">
        <w:t>Seznam cílů a opatření</w:t>
      </w:r>
      <w:bookmarkEnd w:id="195"/>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366"/>
      </w:tblGrid>
      <w:tr w:rsidR="00FB1999" w:rsidRPr="00C5244E" w:rsidTr="00E136EF">
        <w:trPr>
          <w:trHeight w:val="397"/>
        </w:trPr>
        <w:tc>
          <w:tcPr>
            <w:tcW w:w="936" w:type="pct"/>
            <w:shd w:val="clear" w:color="auto" w:fill="FABF8F"/>
            <w:vAlign w:val="center"/>
          </w:tcPr>
          <w:p w:rsidR="00FB1999" w:rsidRPr="00E136EF" w:rsidRDefault="00FB1999" w:rsidP="00E136EF">
            <w:pPr>
              <w:spacing w:before="0"/>
              <w:rPr>
                <w:rFonts w:eastAsia="Arial Unicode MS"/>
                <w:b/>
                <w:lang w:eastAsia="cs-CZ"/>
              </w:rPr>
            </w:pPr>
            <w:r w:rsidRPr="00E136EF">
              <w:rPr>
                <w:rFonts w:eastAsia="Arial Unicode MS"/>
                <w:b/>
                <w:lang w:eastAsia="cs-CZ"/>
              </w:rPr>
              <w:t>Cíl 1.1</w:t>
            </w:r>
          </w:p>
        </w:tc>
        <w:tc>
          <w:tcPr>
            <w:tcW w:w="4064" w:type="pct"/>
            <w:shd w:val="clear" w:color="auto" w:fill="FABF8F"/>
          </w:tcPr>
          <w:p w:rsidR="00FB1999" w:rsidRPr="00E136EF" w:rsidRDefault="00FB1999" w:rsidP="00E136EF">
            <w:pPr>
              <w:spacing w:before="0"/>
              <w:rPr>
                <w:rFonts w:eastAsia="Arial Unicode MS"/>
                <w:b/>
                <w:lang w:eastAsia="cs-CZ"/>
              </w:rPr>
            </w:pPr>
            <w:r w:rsidRPr="00E136EF">
              <w:rPr>
                <w:rFonts w:eastAsia="Arial Unicode MS"/>
                <w:b/>
                <w:lang w:eastAsia="cs-CZ"/>
              </w:rPr>
              <w:t xml:space="preserve">Zajištění potřebného rozsahu </w:t>
            </w:r>
            <w:r w:rsidRPr="00E136EF">
              <w:rPr>
                <w:rFonts w:eastAsia="Calibri"/>
                <w:b/>
              </w:rPr>
              <w:t>sociálně aktivizační služby pro rodiny s dětmi</w:t>
            </w:r>
            <w:r w:rsidRPr="00E136EF">
              <w:rPr>
                <w:rFonts w:eastAsia="Arial Unicode MS"/>
                <w:b/>
                <w:lang w:eastAsia="cs-CZ"/>
              </w:rPr>
              <w:t xml:space="preserve"> v OK</w:t>
            </w:r>
          </w:p>
        </w:tc>
      </w:tr>
      <w:tr w:rsidR="00FB1999" w:rsidRPr="00C5244E" w:rsidTr="00E136EF">
        <w:trPr>
          <w:trHeight w:val="397"/>
        </w:trPr>
        <w:tc>
          <w:tcPr>
            <w:tcW w:w="936" w:type="pct"/>
            <w:shd w:val="clear" w:color="auto" w:fill="E2EFD9"/>
            <w:vAlign w:val="center"/>
          </w:tcPr>
          <w:p w:rsidR="00FB1999" w:rsidRPr="00E136EF" w:rsidRDefault="00FB1999" w:rsidP="00E136EF">
            <w:pPr>
              <w:spacing w:before="0"/>
              <w:rPr>
                <w:rFonts w:eastAsia="Arial Unicode MS"/>
                <w:b/>
                <w:lang w:eastAsia="cs-CZ"/>
              </w:rPr>
            </w:pPr>
            <w:r w:rsidRPr="00E136EF">
              <w:rPr>
                <w:rFonts w:eastAsia="Arial Unicode MS"/>
                <w:b/>
                <w:lang w:eastAsia="cs-CZ"/>
              </w:rPr>
              <w:t>Opatření 1.1.1</w:t>
            </w:r>
          </w:p>
        </w:tc>
        <w:tc>
          <w:tcPr>
            <w:tcW w:w="4064" w:type="pct"/>
            <w:shd w:val="clear" w:color="auto" w:fill="E2EFD9"/>
          </w:tcPr>
          <w:p w:rsidR="00FB1999" w:rsidRPr="00C5244E" w:rsidRDefault="00FB1999" w:rsidP="00E136EF">
            <w:pPr>
              <w:spacing w:before="0"/>
              <w:rPr>
                <w:rFonts w:eastAsia="Calibri"/>
              </w:rPr>
            </w:pPr>
            <w:r w:rsidRPr="00C5244E">
              <w:rPr>
                <w:rFonts w:eastAsia="Arial Unicode MS"/>
                <w:lang w:eastAsia="cs-CZ"/>
              </w:rPr>
              <w:t xml:space="preserve">Zajištění terénní </w:t>
            </w:r>
            <w:r>
              <w:rPr>
                <w:rFonts w:eastAsia="Arial Unicode MS"/>
                <w:lang w:eastAsia="cs-CZ"/>
              </w:rPr>
              <w:t>nebo</w:t>
            </w:r>
            <w:r w:rsidRPr="00C5244E">
              <w:rPr>
                <w:rFonts w:eastAsia="Arial Unicode MS"/>
                <w:lang w:eastAsia="cs-CZ"/>
              </w:rPr>
              <w:t xml:space="preserve"> ambulantní formy služby sociálně aktivizační služby pro rodiny s dětmi s ohroženým příznivým vývojem v</w:t>
            </w:r>
            <w:r>
              <w:rPr>
                <w:rFonts w:eastAsia="Arial Unicode MS"/>
                <w:lang w:eastAsia="cs-CZ"/>
              </w:rPr>
              <w:t> </w:t>
            </w:r>
            <w:r w:rsidRPr="00C5244E">
              <w:rPr>
                <w:rFonts w:eastAsia="Arial Unicode MS"/>
                <w:lang w:eastAsia="cs-CZ"/>
              </w:rPr>
              <w:t>důsledku nepříznivé sociální situace rod</w:t>
            </w:r>
            <w:r w:rsidR="00B30496">
              <w:rPr>
                <w:rFonts w:eastAsia="Arial Unicode MS"/>
                <w:lang w:eastAsia="cs-CZ"/>
              </w:rPr>
              <w:t>iny dle zjištěné potřebnosti 5</w:t>
            </w:r>
            <w:r w:rsidRPr="00C5244E">
              <w:rPr>
                <w:rFonts w:eastAsia="Arial Unicode MS"/>
                <w:lang w:eastAsia="cs-CZ"/>
              </w:rPr>
              <w:t xml:space="preserve"> pracovními úvazky pracovníků v přímé péči </w:t>
            </w:r>
            <w:r w:rsidR="00F12A7A">
              <w:rPr>
                <w:rFonts w:eastAsia="Arial Unicode MS"/>
                <w:lang w:eastAsia="cs-CZ"/>
              </w:rPr>
              <w:t>v</w:t>
            </w:r>
            <w:r w:rsidRPr="00C5244E">
              <w:rPr>
                <w:rFonts w:eastAsia="Arial Unicode MS"/>
                <w:lang w:eastAsia="cs-CZ"/>
              </w:rPr>
              <w:t xml:space="preserve"> OK</w:t>
            </w:r>
          </w:p>
        </w:tc>
      </w:tr>
      <w:tr w:rsidR="00FB1999" w:rsidRPr="00C5244E" w:rsidTr="00E136EF">
        <w:trPr>
          <w:trHeight w:val="397"/>
        </w:trPr>
        <w:tc>
          <w:tcPr>
            <w:tcW w:w="936" w:type="pct"/>
            <w:shd w:val="clear" w:color="auto" w:fill="FABF8F"/>
            <w:vAlign w:val="center"/>
          </w:tcPr>
          <w:p w:rsidR="00FB1999" w:rsidRPr="00E136EF" w:rsidRDefault="00FB1999" w:rsidP="00E136EF">
            <w:pPr>
              <w:spacing w:before="0"/>
              <w:rPr>
                <w:rFonts w:eastAsia="Arial Unicode MS"/>
                <w:b/>
                <w:lang w:eastAsia="cs-CZ"/>
              </w:rPr>
            </w:pPr>
            <w:r w:rsidRPr="00E136EF">
              <w:rPr>
                <w:rFonts w:eastAsia="Arial Unicode MS"/>
                <w:b/>
                <w:lang w:eastAsia="cs-CZ"/>
              </w:rPr>
              <w:t>Cíl 1.2</w:t>
            </w:r>
          </w:p>
        </w:tc>
        <w:tc>
          <w:tcPr>
            <w:tcW w:w="4064" w:type="pct"/>
            <w:shd w:val="clear" w:color="auto" w:fill="FABF8F"/>
          </w:tcPr>
          <w:p w:rsidR="00FB1999" w:rsidRPr="00E136EF" w:rsidRDefault="00FB1999" w:rsidP="00E136EF">
            <w:pPr>
              <w:spacing w:before="0"/>
              <w:rPr>
                <w:rFonts w:eastAsia="Arial Unicode MS"/>
                <w:b/>
                <w:lang w:eastAsia="cs-CZ"/>
              </w:rPr>
            </w:pPr>
            <w:r w:rsidRPr="00E136EF">
              <w:rPr>
                <w:rFonts w:eastAsia="Arial Unicode MS"/>
                <w:b/>
                <w:lang w:eastAsia="cs-CZ"/>
              </w:rPr>
              <w:t>Zajištění potřebného rozsahu služby nízkoprahového zařízení pro děti a</w:t>
            </w:r>
            <w:r w:rsidR="00B30496">
              <w:rPr>
                <w:rFonts w:eastAsia="Arial Unicode MS"/>
                <w:b/>
                <w:lang w:eastAsia="cs-CZ"/>
              </w:rPr>
              <w:t> </w:t>
            </w:r>
            <w:r w:rsidRPr="00E136EF">
              <w:rPr>
                <w:rFonts w:eastAsia="Arial Unicode MS"/>
                <w:b/>
                <w:lang w:eastAsia="cs-CZ"/>
              </w:rPr>
              <w:t>mládež v OK</w:t>
            </w:r>
          </w:p>
        </w:tc>
      </w:tr>
      <w:tr w:rsidR="00FB1999" w:rsidRPr="00C5244E" w:rsidTr="00E136EF">
        <w:trPr>
          <w:trHeight w:val="397"/>
        </w:trPr>
        <w:tc>
          <w:tcPr>
            <w:tcW w:w="936" w:type="pct"/>
            <w:shd w:val="clear" w:color="auto" w:fill="E2EFD9"/>
            <w:vAlign w:val="center"/>
          </w:tcPr>
          <w:p w:rsidR="00FB1999" w:rsidRPr="00E136EF" w:rsidRDefault="00FB1999" w:rsidP="00E136EF">
            <w:pPr>
              <w:spacing w:before="0"/>
              <w:rPr>
                <w:rFonts w:eastAsia="Arial Unicode MS"/>
                <w:b/>
                <w:lang w:eastAsia="cs-CZ"/>
              </w:rPr>
            </w:pPr>
            <w:r w:rsidRPr="00E136EF">
              <w:rPr>
                <w:rFonts w:eastAsia="Arial Unicode MS"/>
                <w:b/>
                <w:lang w:eastAsia="cs-CZ"/>
              </w:rPr>
              <w:t>Opatření 1.2.1</w:t>
            </w:r>
          </w:p>
        </w:tc>
        <w:tc>
          <w:tcPr>
            <w:tcW w:w="4064" w:type="pct"/>
            <w:shd w:val="clear" w:color="auto" w:fill="E2EFD9"/>
          </w:tcPr>
          <w:p w:rsidR="00FB1999" w:rsidRPr="00C5244E" w:rsidRDefault="00FB1999" w:rsidP="00E136EF">
            <w:pPr>
              <w:spacing w:before="0"/>
              <w:rPr>
                <w:rFonts w:eastAsia="Arial Unicode MS"/>
                <w:lang w:eastAsia="cs-CZ"/>
              </w:rPr>
            </w:pPr>
            <w:r w:rsidRPr="00C5244E">
              <w:rPr>
                <w:rFonts w:eastAsia="Arial Unicode MS"/>
                <w:lang w:eastAsia="cs-CZ"/>
              </w:rPr>
              <w:t>Zajištění ambulantní</w:t>
            </w:r>
            <w:r>
              <w:rPr>
                <w:rFonts w:eastAsia="Arial Unicode MS"/>
                <w:lang w:eastAsia="cs-CZ"/>
              </w:rPr>
              <w:t xml:space="preserve"> nebo</w:t>
            </w:r>
            <w:r w:rsidRPr="00C5244E">
              <w:rPr>
                <w:rFonts w:eastAsia="Arial Unicode MS"/>
                <w:lang w:eastAsia="cs-CZ"/>
              </w:rPr>
              <w:t xml:space="preserve"> terénní formy služby nízkoprahová zařízení pro děti a</w:t>
            </w:r>
            <w:r w:rsidR="00B30496">
              <w:rPr>
                <w:rFonts w:eastAsia="Arial Unicode MS"/>
                <w:lang w:eastAsia="cs-CZ"/>
              </w:rPr>
              <w:t> </w:t>
            </w:r>
            <w:r w:rsidRPr="00C5244E">
              <w:rPr>
                <w:rFonts w:eastAsia="Arial Unicode MS"/>
                <w:lang w:eastAsia="cs-CZ"/>
              </w:rPr>
              <w:t xml:space="preserve">mládež dle zjištěné potřebnosti 2 pracovními úvazky pracovníků v přímé péči </w:t>
            </w:r>
            <w:r w:rsidR="00F12A7A">
              <w:rPr>
                <w:rFonts w:eastAsia="Arial Unicode MS"/>
                <w:lang w:eastAsia="cs-CZ"/>
              </w:rPr>
              <w:t>v</w:t>
            </w:r>
            <w:r w:rsidR="00B30496">
              <w:rPr>
                <w:rFonts w:eastAsia="Arial Unicode MS"/>
                <w:lang w:eastAsia="cs-CZ"/>
              </w:rPr>
              <w:t> </w:t>
            </w:r>
            <w:r w:rsidRPr="00C5244E">
              <w:rPr>
                <w:rFonts w:eastAsia="Arial Unicode MS"/>
                <w:lang w:eastAsia="cs-CZ"/>
              </w:rPr>
              <w:t>OK</w:t>
            </w:r>
          </w:p>
        </w:tc>
      </w:tr>
      <w:tr w:rsidR="00FB1999" w:rsidRPr="00C5244E" w:rsidTr="00E136EF">
        <w:trPr>
          <w:trHeight w:val="397"/>
        </w:trPr>
        <w:tc>
          <w:tcPr>
            <w:tcW w:w="936" w:type="pct"/>
            <w:shd w:val="clear" w:color="auto" w:fill="FABF8F"/>
            <w:vAlign w:val="center"/>
          </w:tcPr>
          <w:p w:rsidR="00FB1999" w:rsidRPr="00E136EF" w:rsidRDefault="00FB1999" w:rsidP="00E136EF">
            <w:pPr>
              <w:spacing w:before="0"/>
              <w:rPr>
                <w:rFonts w:eastAsia="Arial Unicode MS"/>
                <w:b/>
                <w:lang w:eastAsia="cs-CZ"/>
              </w:rPr>
            </w:pPr>
            <w:r w:rsidRPr="00E136EF">
              <w:rPr>
                <w:rFonts w:eastAsia="Arial Unicode MS"/>
                <w:b/>
                <w:lang w:eastAsia="cs-CZ"/>
              </w:rPr>
              <w:t>Cíl 1.3</w:t>
            </w:r>
          </w:p>
        </w:tc>
        <w:tc>
          <w:tcPr>
            <w:tcW w:w="4064" w:type="pct"/>
            <w:shd w:val="clear" w:color="auto" w:fill="FABF8F"/>
          </w:tcPr>
          <w:p w:rsidR="00FB1999" w:rsidRPr="00E136EF" w:rsidRDefault="00FB1999" w:rsidP="00E136EF">
            <w:pPr>
              <w:spacing w:before="0"/>
              <w:rPr>
                <w:rFonts w:eastAsia="Arial Unicode MS"/>
                <w:b/>
                <w:lang w:eastAsia="cs-CZ"/>
              </w:rPr>
            </w:pPr>
            <w:r w:rsidRPr="00E136EF">
              <w:rPr>
                <w:rFonts w:eastAsia="Arial Unicode MS"/>
                <w:b/>
                <w:lang w:eastAsia="cs-CZ"/>
              </w:rPr>
              <w:t>Zajištění potřebného rozsahu služby odborné sociální poradenství v OK</w:t>
            </w:r>
          </w:p>
        </w:tc>
      </w:tr>
      <w:tr w:rsidR="00FB1999" w:rsidRPr="00C5244E" w:rsidTr="00E136EF">
        <w:trPr>
          <w:trHeight w:val="397"/>
        </w:trPr>
        <w:tc>
          <w:tcPr>
            <w:tcW w:w="936" w:type="pct"/>
            <w:shd w:val="clear" w:color="auto" w:fill="E2EFD9"/>
            <w:vAlign w:val="center"/>
          </w:tcPr>
          <w:p w:rsidR="00FB1999" w:rsidRPr="00E136EF" w:rsidRDefault="00FB1999" w:rsidP="00E136EF">
            <w:pPr>
              <w:spacing w:before="0"/>
              <w:rPr>
                <w:rFonts w:eastAsia="Arial Unicode MS"/>
                <w:b/>
                <w:lang w:eastAsia="cs-CZ"/>
              </w:rPr>
            </w:pPr>
            <w:r w:rsidRPr="00E136EF">
              <w:rPr>
                <w:rFonts w:eastAsia="Arial Unicode MS"/>
                <w:b/>
                <w:lang w:eastAsia="cs-CZ"/>
              </w:rPr>
              <w:t>Opatření 1.3.1</w:t>
            </w:r>
          </w:p>
        </w:tc>
        <w:tc>
          <w:tcPr>
            <w:tcW w:w="4064" w:type="pct"/>
            <w:shd w:val="clear" w:color="auto" w:fill="E2EFD9"/>
          </w:tcPr>
          <w:p w:rsidR="00FB1999" w:rsidRPr="00C5244E" w:rsidRDefault="008C17C3" w:rsidP="00E136EF">
            <w:pPr>
              <w:spacing w:before="0"/>
              <w:rPr>
                <w:rFonts w:eastAsia="Arial Unicode MS"/>
                <w:lang w:eastAsia="cs-CZ"/>
              </w:rPr>
            </w:pPr>
            <w:r w:rsidRPr="008C17C3">
              <w:rPr>
                <w:rFonts w:eastAsia="Arial Unicode MS"/>
                <w:lang w:eastAsia="cs-CZ"/>
              </w:rPr>
              <w:t>Zajištění ambulantní formy služby odborné sociální poradenství pro rodiny s dětmi s ohroženým příznivým vývojem v důsledku nepř</w:t>
            </w:r>
            <w:r w:rsidR="00B30496">
              <w:rPr>
                <w:rFonts w:eastAsia="Arial Unicode MS"/>
                <w:lang w:eastAsia="cs-CZ"/>
              </w:rPr>
              <w:t>íznivé sociální situace rodiny dle zjištěné potřebnosti 5</w:t>
            </w:r>
            <w:r w:rsidRPr="008C17C3">
              <w:rPr>
                <w:rFonts w:eastAsia="Arial Unicode MS"/>
                <w:lang w:eastAsia="cs-CZ"/>
              </w:rPr>
              <w:t xml:space="preserve"> pracovními úvazky pracovníků v přímé péči v OK</w:t>
            </w:r>
          </w:p>
        </w:tc>
      </w:tr>
      <w:tr w:rsidR="00FB1999" w:rsidRPr="00C5244E" w:rsidTr="00E136EF">
        <w:trPr>
          <w:trHeight w:val="397"/>
        </w:trPr>
        <w:tc>
          <w:tcPr>
            <w:tcW w:w="936" w:type="pct"/>
            <w:shd w:val="clear" w:color="auto" w:fill="F4B083"/>
            <w:vAlign w:val="center"/>
          </w:tcPr>
          <w:p w:rsidR="00FB1999" w:rsidRPr="00E136EF" w:rsidRDefault="00FB1999" w:rsidP="00E136EF">
            <w:pPr>
              <w:keepNext/>
              <w:spacing w:before="0"/>
              <w:rPr>
                <w:rFonts w:eastAsia="Arial Unicode MS"/>
                <w:b/>
                <w:lang w:eastAsia="cs-CZ"/>
              </w:rPr>
            </w:pPr>
            <w:r w:rsidRPr="00E136EF">
              <w:rPr>
                <w:rFonts w:eastAsia="Arial Unicode MS"/>
                <w:b/>
                <w:lang w:eastAsia="cs-CZ"/>
              </w:rPr>
              <w:t>Cíl 1.4</w:t>
            </w:r>
          </w:p>
        </w:tc>
        <w:tc>
          <w:tcPr>
            <w:tcW w:w="4064" w:type="pct"/>
            <w:shd w:val="clear" w:color="auto" w:fill="F4B083"/>
          </w:tcPr>
          <w:p w:rsidR="00FB1999" w:rsidRPr="00E136EF" w:rsidRDefault="00FB1999" w:rsidP="00E136EF">
            <w:pPr>
              <w:spacing w:before="0"/>
              <w:rPr>
                <w:rFonts w:eastAsia="Arial Unicode MS"/>
                <w:b/>
                <w:lang w:eastAsia="cs-CZ"/>
              </w:rPr>
            </w:pPr>
            <w:r w:rsidRPr="00E136EF">
              <w:rPr>
                <w:rFonts w:eastAsia="Arial Unicode MS"/>
                <w:b/>
                <w:lang w:eastAsia="cs-CZ"/>
              </w:rPr>
              <w:t xml:space="preserve">Podpora pobytové služby pro děti nad 15 let bez doprovodu blízké osoby </w:t>
            </w:r>
          </w:p>
        </w:tc>
      </w:tr>
      <w:tr w:rsidR="00FB1999" w:rsidRPr="00C5244E" w:rsidTr="00E136EF">
        <w:trPr>
          <w:trHeight w:val="397"/>
        </w:trPr>
        <w:tc>
          <w:tcPr>
            <w:tcW w:w="936" w:type="pct"/>
            <w:shd w:val="clear" w:color="auto" w:fill="E2EFD9"/>
            <w:vAlign w:val="center"/>
          </w:tcPr>
          <w:p w:rsidR="00FB1999" w:rsidRPr="00E136EF" w:rsidRDefault="00FB1999" w:rsidP="00E136EF">
            <w:pPr>
              <w:spacing w:before="0"/>
              <w:rPr>
                <w:rFonts w:eastAsia="Calibri"/>
                <w:b/>
              </w:rPr>
            </w:pPr>
            <w:r w:rsidRPr="00E136EF">
              <w:rPr>
                <w:rFonts w:eastAsia="Calibri"/>
                <w:b/>
              </w:rPr>
              <w:t>Opatření 1.4.1</w:t>
            </w:r>
          </w:p>
        </w:tc>
        <w:tc>
          <w:tcPr>
            <w:tcW w:w="4064" w:type="pct"/>
            <w:shd w:val="clear" w:color="auto" w:fill="E2EFD9"/>
          </w:tcPr>
          <w:p w:rsidR="00FB1999" w:rsidRPr="00C5244E" w:rsidRDefault="00FB1999" w:rsidP="00E136EF">
            <w:pPr>
              <w:spacing w:before="0"/>
              <w:rPr>
                <w:rFonts w:eastAsia="Calibri"/>
              </w:rPr>
            </w:pPr>
            <w:r w:rsidRPr="00C5244E">
              <w:rPr>
                <w:rFonts w:eastAsia="Calibri"/>
              </w:rPr>
              <w:t>Zjištění potřebnosti služe</w:t>
            </w:r>
            <w:r>
              <w:rPr>
                <w:rFonts w:eastAsia="Calibri"/>
              </w:rPr>
              <w:t>b v OK</w:t>
            </w:r>
            <w:r w:rsidRPr="00C5244E">
              <w:rPr>
                <w:rFonts w:eastAsia="Calibri"/>
              </w:rPr>
              <w:t xml:space="preserve"> pro děti nad 15 let bez doprovodu osoby blízké, mladé dospělé do 26 let</w:t>
            </w:r>
          </w:p>
        </w:tc>
      </w:tr>
      <w:tr w:rsidR="00FB1999" w:rsidRPr="00C5244E" w:rsidTr="00E136EF">
        <w:trPr>
          <w:trHeight w:val="397"/>
        </w:trPr>
        <w:tc>
          <w:tcPr>
            <w:tcW w:w="936" w:type="pct"/>
            <w:shd w:val="clear" w:color="auto" w:fill="E2EFD9"/>
            <w:vAlign w:val="center"/>
          </w:tcPr>
          <w:p w:rsidR="00FB1999" w:rsidRPr="00E136EF" w:rsidRDefault="00FB1999" w:rsidP="00E136EF">
            <w:pPr>
              <w:spacing w:before="0"/>
              <w:rPr>
                <w:rFonts w:eastAsia="Calibri"/>
                <w:b/>
              </w:rPr>
            </w:pPr>
            <w:r w:rsidRPr="00E136EF">
              <w:rPr>
                <w:rFonts w:eastAsia="Calibri"/>
                <w:b/>
              </w:rPr>
              <w:t>Opatření 1.4.2</w:t>
            </w:r>
          </w:p>
        </w:tc>
        <w:tc>
          <w:tcPr>
            <w:tcW w:w="4064" w:type="pct"/>
            <w:shd w:val="clear" w:color="auto" w:fill="E2EFD9"/>
          </w:tcPr>
          <w:p w:rsidR="00FB1999" w:rsidRPr="00C5244E" w:rsidRDefault="00FB1999" w:rsidP="00E136EF">
            <w:pPr>
              <w:spacing w:before="0"/>
              <w:rPr>
                <w:rFonts w:eastAsia="Calibri"/>
              </w:rPr>
            </w:pPr>
            <w:r w:rsidRPr="00C5244E">
              <w:rPr>
                <w:rFonts w:eastAsia="Calibri"/>
              </w:rPr>
              <w:t>Návrh dalšího postupu dle výstupů na základě realizace opatření 1.4.1</w:t>
            </w:r>
          </w:p>
        </w:tc>
      </w:tr>
      <w:tr w:rsidR="00FB1999" w:rsidRPr="00C5244E" w:rsidTr="00E136EF">
        <w:trPr>
          <w:trHeight w:val="397"/>
        </w:trPr>
        <w:tc>
          <w:tcPr>
            <w:tcW w:w="936" w:type="pct"/>
            <w:shd w:val="clear" w:color="auto" w:fill="F4B083"/>
            <w:vAlign w:val="center"/>
          </w:tcPr>
          <w:p w:rsidR="00FB1999" w:rsidRPr="00E136EF" w:rsidRDefault="00FB1999" w:rsidP="00E136EF">
            <w:pPr>
              <w:spacing w:before="0"/>
              <w:rPr>
                <w:rFonts w:eastAsia="Arial Unicode MS"/>
                <w:b/>
                <w:lang w:eastAsia="cs-CZ"/>
              </w:rPr>
            </w:pPr>
            <w:r w:rsidRPr="00E136EF">
              <w:rPr>
                <w:rFonts w:eastAsia="Arial Unicode MS"/>
                <w:b/>
                <w:lang w:eastAsia="cs-CZ"/>
              </w:rPr>
              <w:t>Cíl 1.5</w:t>
            </w:r>
          </w:p>
        </w:tc>
        <w:tc>
          <w:tcPr>
            <w:tcW w:w="4064" w:type="pct"/>
            <w:shd w:val="clear" w:color="auto" w:fill="F4B083"/>
          </w:tcPr>
          <w:p w:rsidR="00FB1999" w:rsidRPr="00E136EF" w:rsidRDefault="00FB1999" w:rsidP="00E136EF">
            <w:pPr>
              <w:spacing w:before="0"/>
              <w:rPr>
                <w:rFonts w:eastAsia="Arial Unicode MS"/>
                <w:b/>
                <w:lang w:eastAsia="cs-CZ"/>
              </w:rPr>
            </w:pPr>
            <w:r w:rsidRPr="00E136EF">
              <w:rPr>
                <w:rFonts w:eastAsia="Arial Unicode MS"/>
                <w:b/>
                <w:lang w:eastAsia="cs-CZ"/>
              </w:rPr>
              <w:t>Zajištění péče zejména pro děti do 3 let v návaznosti na legislativní změny v oblasti práce s ohroženými dětmi</w:t>
            </w:r>
          </w:p>
        </w:tc>
      </w:tr>
      <w:tr w:rsidR="00FB1999" w:rsidRPr="00C5244E" w:rsidTr="00E136EF">
        <w:trPr>
          <w:trHeight w:val="397"/>
        </w:trPr>
        <w:tc>
          <w:tcPr>
            <w:tcW w:w="936" w:type="pct"/>
            <w:shd w:val="clear" w:color="auto" w:fill="E2EFD9"/>
            <w:vAlign w:val="center"/>
          </w:tcPr>
          <w:p w:rsidR="00FB1999" w:rsidRPr="00E136EF" w:rsidRDefault="004854CB" w:rsidP="00E136EF">
            <w:pPr>
              <w:spacing w:before="0"/>
              <w:rPr>
                <w:rFonts w:eastAsia="Calibri"/>
                <w:b/>
              </w:rPr>
            </w:pPr>
            <w:r w:rsidRPr="00E136EF">
              <w:rPr>
                <w:rFonts w:eastAsia="Calibri"/>
                <w:b/>
              </w:rPr>
              <w:t>Opatření 1.5.1</w:t>
            </w:r>
          </w:p>
        </w:tc>
        <w:tc>
          <w:tcPr>
            <w:tcW w:w="4064" w:type="pct"/>
            <w:shd w:val="clear" w:color="auto" w:fill="E2EFD9"/>
          </w:tcPr>
          <w:p w:rsidR="00FB1999" w:rsidRPr="00C5244E" w:rsidRDefault="00FB1999" w:rsidP="00E136EF">
            <w:pPr>
              <w:spacing w:before="0"/>
              <w:rPr>
                <w:rFonts w:eastAsia="Calibri"/>
              </w:rPr>
            </w:pPr>
            <w:r w:rsidRPr="00C5244E">
              <w:rPr>
                <w:rFonts w:eastAsia="Calibri"/>
              </w:rPr>
              <w:t>Podpora inovativních terénních služeb pro ohrožené děti a rodiny</w:t>
            </w:r>
          </w:p>
        </w:tc>
      </w:tr>
      <w:tr w:rsidR="00FB1999" w:rsidRPr="00C5244E" w:rsidTr="00E136EF">
        <w:trPr>
          <w:trHeight w:val="397"/>
        </w:trPr>
        <w:tc>
          <w:tcPr>
            <w:tcW w:w="936" w:type="pct"/>
            <w:shd w:val="clear" w:color="auto" w:fill="E2EFD9"/>
            <w:vAlign w:val="center"/>
          </w:tcPr>
          <w:p w:rsidR="00FB1999" w:rsidRPr="00E136EF" w:rsidRDefault="004854CB" w:rsidP="00E136EF">
            <w:pPr>
              <w:spacing w:before="0"/>
              <w:rPr>
                <w:rFonts w:eastAsia="Calibri"/>
                <w:b/>
              </w:rPr>
            </w:pPr>
            <w:r w:rsidRPr="00E136EF">
              <w:rPr>
                <w:rFonts w:eastAsia="Calibri"/>
                <w:b/>
              </w:rPr>
              <w:t>Opatření 1.5.2</w:t>
            </w:r>
          </w:p>
        </w:tc>
        <w:tc>
          <w:tcPr>
            <w:tcW w:w="4064" w:type="pct"/>
            <w:shd w:val="clear" w:color="auto" w:fill="E2EFD9"/>
          </w:tcPr>
          <w:p w:rsidR="00FB1999" w:rsidRPr="00C5244E" w:rsidRDefault="00FB1999" w:rsidP="00E136EF">
            <w:pPr>
              <w:spacing w:before="0"/>
              <w:rPr>
                <w:rFonts w:eastAsia="Calibri"/>
              </w:rPr>
            </w:pPr>
            <w:r w:rsidRPr="00C5244E">
              <w:rPr>
                <w:rFonts w:eastAsia="Arial Unicode MS"/>
                <w:lang w:eastAsia="cs-CZ"/>
              </w:rPr>
              <w:t>Zajištění potřebného rozsahu ambulantní a terénní formy služby sociální rehabilitace pro rodiny s dětmi s ohroženým příznivým vývojem v důsledku nepříznivé sociální situace rodiny a</w:t>
            </w:r>
            <w:r w:rsidR="003D7455">
              <w:rPr>
                <w:rFonts w:eastAsia="Arial Unicode MS"/>
                <w:lang w:eastAsia="cs-CZ"/>
              </w:rPr>
              <w:t> </w:t>
            </w:r>
            <w:r w:rsidRPr="00C5244E">
              <w:rPr>
                <w:rFonts w:eastAsia="Arial Unicode MS"/>
                <w:lang w:eastAsia="cs-CZ"/>
              </w:rPr>
              <w:t>osoby s mentálním a kombinovaným postižením, osoby s tělesným postižením, osoby se z</w:t>
            </w:r>
            <w:r w:rsidR="00B30496">
              <w:rPr>
                <w:rFonts w:eastAsia="Arial Unicode MS"/>
                <w:lang w:eastAsia="cs-CZ"/>
              </w:rPr>
              <w:t>rakovým postižením 5</w:t>
            </w:r>
            <w:r w:rsidRPr="00C5244E">
              <w:rPr>
                <w:rFonts w:eastAsia="Arial Unicode MS"/>
                <w:lang w:eastAsia="cs-CZ"/>
              </w:rPr>
              <w:t xml:space="preserve"> pracovními úvazky pracovníků v přímé péči </w:t>
            </w:r>
            <w:r w:rsidR="00E874E6">
              <w:rPr>
                <w:rFonts w:eastAsia="Arial Unicode MS"/>
                <w:lang w:eastAsia="cs-CZ"/>
              </w:rPr>
              <w:t>v</w:t>
            </w:r>
            <w:r w:rsidRPr="00C5244E">
              <w:rPr>
                <w:rFonts w:eastAsia="Arial Unicode MS"/>
                <w:lang w:eastAsia="cs-CZ"/>
              </w:rPr>
              <w:t xml:space="preserve"> OK</w:t>
            </w:r>
          </w:p>
        </w:tc>
      </w:tr>
    </w:tbl>
    <w:p w:rsidR="00FB1999" w:rsidRDefault="00FB1999" w:rsidP="00A34764">
      <w:pPr>
        <w:pStyle w:val="Nadpis3"/>
      </w:pPr>
      <w:bookmarkStart w:id="197" w:name="_Toc117606995"/>
      <w:r>
        <w:lastRenderedPageBreak/>
        <w:t>Popis cílů a opatření</w:t>
      </w:r>
      <w:bookmarkEnd w:id="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57"/>
      </w:tblGrid>
      <w:tr w:rsidR="00FB1999" w:rsidRPr="00C400DE" w:rsidTr="00506AF9">
        <w:trPr>
          <w:jc w:val="center"/>
        </w:trPr>
        <w:tc>
          <w:tcPr>
            <w:tcW w:w="1327" w:type="pct"/>
            <w:shd w:val="clear" w:color="auto" w:fill="FABF8F"/>
          </w:tcPr>
          <w:p w:rsidR="00FB1999" w:rsidRPr="00E136EF" w:rsidRDefault="00FB1999" w:rsidP="00E136EF">
            <w:pPr>
              <w:spacing w:before="0"/>
              <w:jc w:val="left"/>
              <w:rPr>
                <w:rFonts w:eastAsia="Arial Unicode MS"/>
                <w:b/>
                <w:lang w:eastAsia="cs-CZ"/>
              </w:rPr>
            </w:pPr>
            <w:r w:rsidRPr="00E136EF">
              <w:rPr>
                <w:rFonts w:eastAsia="Arial Unicode MS"/>
                <w:b/>
                <w:lang w:eastAsia="cs-CZ"/>
              </w:rPr>
              <w:t>Cíl 1.1</w:t>
            </w:r>
          </w:p>
        </w:tc>
        <w:tc>
          <w:tcPr>
            <w:tcW w:w="3673" w:type="pct"/>
            <w:shd w:val="clear" w:color="auto" w:fill="FABF8F"/>
          </w:tcPr>
          <w:p w:rsidR="00FB1999" w:rsidRPr="00E136EF" w:rsidRDefault="00FB1999" w:rsidP="00E136EF">
            <w:pPr>
              <w:spacing w:before="0"/>
              <w:rPr>
                <w:rFonts w:eastAsia="Arial Unicode MS"/>
                <w:b/>
                <w:lang w:eastAsia="cs-CZ"/>
              </w:rPr>
            </w:pPr>
            <w:r w:rsidRPr="00E136EF">
              <w:rPr>
                <w:rFonts w:eastAsia="Arial Unicode MS"/>
                <w:b/>
                <w:lang w:eastAsia="cs-CZ"/>
              </w:rPr>
              <w:t xml:space="preserve">Zajištění potřebného rozsahu </w:t>
            </w:r>
            <w:r w:rsidRPr="00E136EF">
              <w:rPr>
                <w:rFonts w:eastAsia="Calibri"/>
                <w:b/>
              </w:rPr>
              <w:t>sociálně aktivizační služby pro rodiny s</w:t>
            </w:r>
            <w:r w:rsidR="00BA3253">
              <w:rPr>
                <w:rFonts w:eastAsia="Calibri"/>
                <w:b/>
              </w:rPr>
              <w:t> </w:t>
            </w:r>
            <w:r w:rsidRPr="00E136EF">
              <w:rPr>
                <w:rFonts w:eastAsia="Calibri"/>
                <w:b/>
              </w:rPr>
              <w:t>dětmi</w:t>
            </w:r>
            <w:r w:rsidRPr="00E136EF">
              <w:rPr>
                <w:rFonts w:eastAsia="Arial Unicode MS"/>
                <w:b/>
                <w:lang w:eastAsia="cs-CZ"/>
              </w:rPr>
              <w:t xml:space="preserve"> v OK</w:t>
            </w:r>
          </w:p>
        </w:tc>
      </w:tr>
      <w:tr w:rsidR="00FB1999" w:rsidRPr="00C400DE" w:rsidTr="00506AF9">
        <w:trPr>
          <w:trHeight w:val="400"/>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Kód opatření </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Arial Unicode MS"/>
                <w:b/>
                <w:lang w:eastAsia="cs-CZ"/>
              </w:rPr>
              <w:t>1.1.1</w:t>
            </w:r>
          </w:p>
        </w:tc>
      </w:tr>
      <w:tr w:rsidR="00FB1999" w:rsidRPr="00C400DE" w:rsidTr="00506AF9">
        <w:trPr>
          <w:trHeight w:val="400"/>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Název opatření</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Arial Unicode MS"/>
                <w:b/>
                <w:lang w:eastAsia="cs-CZ"/>
              </w:rPr>
              <w:t>Zajištění terénní nebo ambulantní formy služby sociálně aktivizační služby pro rodiny s dětmi s ohroženým příznivým vývojem v důsledku nepříznivé sociální situace rod</w:t>
            </w:r>
            <w:r w:rsidR="00B30496">
              <w:rPr>
                <w:rFonts w:eastAsia="Arial Unicode MS"/>
                <w:b/>
                <w:lang w:eastAsia="cs-CZ"/>
              </w:rPr>
              <w:t>iny dle zjištěné potřebnosti 5</w:t>
            </w:r>
            <w:r w:rsidRPr="00E136EF">
              <w:rPr>
                <w:rFonts w:eastAsia="Arial Unicode MS"/>
                <w:b/>
                <w:lang w:eastAsia="cs-CZ"/>
              </w:rPr>
              <w:t xml:space="preserve"> pracovními úvazky pracovníků v přímé péči </w:t>
            </w:r>
            <w:r w:rsidR="00E74ED9" w:rsidRPr="00E136EF">
              <w:rPr>
                <w:rFonts w:eastAsia="Arial Unicode MS"/>
                <w:b/>
                <w:lang w:eastAsia="cs-CZ"/>
              </w:rPr>
              <w:t>v</w:t>
            </w:r>
            <w:r w:rsidRPr="00E136EF">
              <w:rPr>
                <w:rFonts w:eastAsia="Arial Unicode MS"/>
                <w:b/>
                <w:lang w:eastAsia="cs-CZ"/>
              </w:rPr>
              <w:t xml:space="preserve"> OK</w:t>
            </w:r>
          </w:p>
        </w:tc>
      </w:tr>
      <w:tr w:rsidR="00FB1999" w:rsidRPr="00C400DE" w:rsidTr="00506AF9">
        <w:trPr>
          <w:trHeight w:val="850"/>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Charakteristika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Opatření směřuje k optimalizaci (pozn. k přesunu nevyužitých kapacit stávající služby do území, kde se vyskytla poptávka po službě) a k případnému rozvoji kapacit služby sociálně aktivizační služby pro rodiny s dětmi</w:t>
            </w:r>
            <w:r w:rsidRPr="00C400DE">
              <w:rPr>
                <w:rFonts w:ascii="Arial" w:eastAsia="Calibri" w:hAnsi="Arial" w:cs="Arial"/>
                <w:sz w:val="24"/>
                <w:szCs w:val="24"/>
                <w:lang w:eastAsia="cs-CZ"/>
              </w:rPr>
              <w:t xml:space="preserve"> </w:t>
            </w:r>
            <w:r w:rsidRPr="00C400DE">
              <w:rPr>
                <w:rFonts w:eastAsia="Arial Unicode MS"/>
                <w:lang w:eastAsia="cs-CZ"/>
              </w:rPr>
              <w:t xml:space="preserve">s ohroženým příznivým vývojem v důsledku nepříznivé sociální situace rodiny (se zaměřením na </w:t>
            </w:r>
            <w:r w:rsidRPr="00C400DE">
              <w:rPr>
                <w:rFonts w:eastAsia="AvenirLTCE-Light"/>
              </w:rPr>
              <w:t>sanaci rodiny a minimalizaci rizik plynoucí</w:t>
            </w:r>
            <w:r w:rsidR="003D7455">
              <w:rPr>
                <w:rFonts w:eastAsia="AvenirLTCE-Light"/>
              </w:rPr>
              <w:t>ch</w:t>
            </w:r>
            <w:r w:rsidRPr="00C400DE">
              <w:rPr>
                <w:rFonts w:eastAsia="AvenirLTCE-Light"/>
              </w:rPr>
              <w:t xml:space="preserve"> z nestabilní situace rodiny, která mohou vést k umístění dítěte mimo rodinné prostředí, kdy bude podpořeno normální fungování rodiny a stabilizace situace ohroženého dítěte jako prevence sociálního vyloučení</w:t>
            </w:r>
            <w:r w:rsidRPr="00C400DE">
              <w:rPr>
                <w:rFonts w:eastAsia="Arial Unicode MS"/>
                <w:lang w:eastAsia="cs-CZ"/>
              </w:rPr>
              <w:t xml:space="preserve">) na základě zjištěné potřebnosti na území OK. </w:t>
            </w:r>
          </w:p>
        </w:tc>
      </w:tr>
      <w:tr w:rsidR="00FB1999" w:rsidRPr="00C400DE" w:rsidTr="00506AF9">
        <w:trPr>
          <w:trHeight w:val="394"/>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Cílová skupina</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Rodiny s dítětem/dětmi – s ohroženým příznivým vývojem v důsledku nepříznivé sociální situace rodiny; vedoucí rizikový způsob života nebo jsou tímto způsobem života ohroženy</w:t>
            </w:r>
          </w:p>
          <w:p w:rsidR="00FB1999" w:rsidRPr="00C400DE" w:rsidRDefault="00FB1999" w:rsidP="00E136EF">
            <w:pPr>
              <w:spacing w:before="0"/>
              <w:rPr>
                <w:rFonts w:eastAsia="Arial Unicode MS"/>
                <w:lang w:eastAsia="cs-CZ"/>
              </w:rPr>
            </w:pPr>
            <w:r w:rsidRPr="00C400DE">
              <w:rPr>
                <w:rFonts w:eastAsia="Arial Unicode MS"/>
                <w:lang w:eastAsia="cs-CZ"/>
              </w:rPr>
              <w:t>Děti od 0 do 18 let</w:t>
            </w:r>
          </w:p>
          <w:p w:rsidR="00FB1999" w:rsidRPr="00C400DE" w:rsidRDefault="00FB1999" w:rsidP="00E136EF">
            <w:pPr>
              <w:spacing w:before="0"/>
              <w:rPr>
                <w:rFonts w:eastAsia="Arial Unicode MS"/>
                <w:lang w:eastAsia="cs-CZ"/>
              </w:rPr>
            </w:pPr>
            <w:r w:rsidRPr="00C400DE">
              <w:rPr>
                <w:rFonts w:eastAsia="Arial Unicode MS"/>
                <w:lang w:eastAsia="cs-CZ"/>
              </w:rPr>
              <w:t>Dospělí 18</w:t>
            </w:r>
            <w:r w:rsidR="003D7455">
              <w:rPr>
                <w:rFonts w:eastAsia="Arial Unicode MS"/>
                <w:lang w:eastAsia="cs-CZ"/>
              </w:rPr>
              <w:t>–</w:t>
            </w:r>
            <w:r w:rsidRPr="00C400DE">
              <w:rPr>
                <w:rFonts w:eastAsia="Arial Unicode MS"/>
                <w:lang w:eastAsia="cs-CZ"/>
              </w:rPr>
              <w:t>64 let</w:t>
            </w:r>
          </w:p>
        </w:tc>
      </w:tr>
      <w:tr w:rsidR="00FB1999" w:rsidRPr="00C400DE" w:rsidTr="00506AF9">
        <w:trPr>
          <w:trHeight w:val="414"/>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Druh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Sociálně aktivizační služby pro rodiny s dětmi (§ 65)</w:t>
            </w:r>
          </w:p>
        </w:tc>
      </w:tr>
      <w:tr w:rsidR="00FB1999" w:rsidRPr="00C400DE" w:rsidTr="00506AF9">
        <w:trPr>
          <w:trHeight w:val="420"/>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Forma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Ambulantní, terénní</w:t>
            </w:r>
          </w:p>
        </w:tc>
      </w:tr>
      <w:tr w:rsidR="00FB1999" w:rsidRPr="00C400DE" w:rsidTr="00506AF9">
        <w:trPr>
          <w:trHeight w:val="554"/>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Vymezení územního dopadu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OK</w:t>
            </w:r>
          </w:p>
        </w:tc>
      </w:tr>
      <w:tr w:rsidR="00FB1999" w:rsidRPr="00C400DE" w:rsidTr="00506AF9">
        <w:trPr>
          <w:trHeight w:val="196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Předpokládaný dopad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Opatření má dopad na zajištění poptávky po činnostech služby sociálně aktivizační služby pro rodiny s dětmi s ohroženým příznivým vývojem v</w:t>
            </w:r>
            <w:r w:rsidR="00BA3253">
              <w:rPr>
                <w:rFonts w:eastAsia="Arial Unicode MS"/>
                <w:lang w:eastAsia="cs-CZ"/>
              </w:rPr>
              <w:t> </w:t>
            </w:r>
            <w:r w:rsidRPr="00C400DE">
              <w:rPr>
                <w:rFonts w:eastAsia="Arial Unicode MS"/>
                <w:lang w:eastAsia="cs-CZ"/>
              </w:rPr>
              <w:t xml:space="preserve">důsledku nepříznivé sociální situace rodiny. Rodiny s dětmi mají zajištěnu odpovídající podporu při řešení nepříznivých sociálních situací souvisejících s nestabilní situací rodiny, která by mohla vést k umístění dítěte mimo rodinné prostředí. Opatření bude zajištěno v rozsahu základních činností daných registrací služby na území OK. </w:t>
            </w:r>
          </w:p>
        </w:tc>
      </w:tr>
      <w:tr w:rsidR="00FB1999" w:rsidRPr="00C400DE" w:rsidTr="00506AF9">
        <w:trPr>
          <w:trHeight w:val="699"/>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Aktivity vedoucí k naplnění opatření </w:t>
            </w:r>
          </w:p>
        </w:tc>
        <w:tc>
          <w:tcPr>
            <w:tcW w:w="3673" w:type="pct"/>
          </w:tcPr>
          <w:p w:rsidR="00FB1999" w:rsidRPr="00A34764" w:rsidRDefault="00FB1999" w:rsidP="00E136EF">
            <w:pPr>
              <w:pStyle w:val="Odstavecseseznamem"/>
              <w:numPr>
                <w:ilvl w:val="0"/>
                <w:numId w:val="105"/>
              </w:numPr>
              <w:spacing w:before="0" w:line="240" w:lineRule="auto"/>
              <w:rPr>
                <w:rFonts w:eastAsia="Calibri"/>
              </w:rPr>
            </w:pPr>
            <w:r w:rsidRPr="00A34764">
              <w:rPr>
                <w:rFonts w:eastAsia="Calibri"/>
              </w:rPr>
              <w:t>Monitoring jednotek zařazených v síti sociálních služeb</w:t>
            </w:r>
          </w:p>
          <w:p w:rsidR="00FB1999" w:rsidRPr="00A34764" w:rsidRDefault="00FB1999" w:rsidP="00E136EF">
            <w:pPr>
              <w:pStyle w:val="Odstavecseseznamem"/>
              <w:numPr>
                <w:ilvl w:val="0"/>
                <w:numId w:val="105"/>
              </w:numPr>
              <w:spacing w:before="0" w:line="240" w:lineRule="auto"/>
              <w:rPr>
                <w:rFonts w:eastAsia="Calibri"/>
              </w:rPr>
            </w:pPr>
            <w:r w:rsidRPr="00A34764">
              <w:rPr>
                <w:rFonts w:eastAsia="Calibri"/>
              </w:rPr>
              <w:t>Projednání předloženého záměru poskytovatele sociálních služeb v souladu se schválenými postupy pro aktualizaci sítě sociálních služeb OK</w:t>
            </w:r>
          </w:p>
          <w:p w:rsidR="00FB1999" w:rsidRPr="00A34764" w:rsidRDefault="00FB1999" w:rsidP="00E136EF">
            <w:pPr>
              <w:pStyle w:val="Odstavecseseznamem"/>
              <w:numPr>
                <w:ilvl w:val="0"/>
                <w:numId w:val="105"/>
              </w:numPr>
              <w:spacing w:before="0" w:line="240" w:lineRule="auto"/>
              <w:rPr>
                <w:rFonts w:eastAsia="Calibri"/>
              </w:rPr>
            </w:pPr>
            <w:r w:rsidRPr="00A34764">
              <w:rPr>
                <w:rFonts w:eastAsia="Calibri"/>
              </w:rPr>
              <w:t>Při vyjádření pozitivního stanoviska OK aktualizace sítě sociálních služeb dle schválených změn</w:t>
            </w:r>
          </w:p>
        </w:tc>
      </w:tr>
      <w:tr w:rsidR="00FB1999" w:rsidRPr="00C400DE" w:rsidTr="00506AF9">
        <w:trPr>
          <w:trHeight w:val="2500"/>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Calibri"/>
                <w:b/>
              </w:rPr>
              <w:t>Rizika a ohrožení naplnění opatření</w:t>
            </w:r>
          </w:p>
        </w:tc>
        <w:tc>
          <w:tcPr>
            <w:tcW w:w="3673" w:type="pct"/>
          </w:tcPr>
          <w:p w:rsidR="00FB1999" w:rsidRPr="00A34764" w:rsidRDefault="00FB1999" w:rsidP="00E136EF">
            <w:pPr>
              <w:pStyle w:val="Odstavecseseznamem"/>
              <w:numPr>
                <w:ilvl w:val="0"/>
                <w:numId w:val="100"/>
              </w:numPr>
              <w:spacing w:before="0" w:line="240" w:lineRule="auto"/>
            </w:pPr>
            <w:r w:rsidRPr="00A34764">
              <w:t>Neprojevení zájmu poskytovatelů stávajících služeb o plnění cíle a</w:t>
            </w:r>
            <w:r w:rsidR="00BA3253">
              <w:t> </w:t>
            </w:r>
            <w:r w:rsidRPr="00A34764">
              <w:t>opatření</w:t>
            </w:r>
          </w:p>
          <w:p w:rsidR="00FB1999" w:rsidRPr="00A34764" w:rsidRDefault="00FB1999" w:rsidP="00E136EF">
            <w:pPr>
              <w:pStyle w:val="Odstavecseseznamem"/>
              <w:numPr>
                <w:ilvl w:val="0"/>
                <w:numId w:val="100"/>
              </w:numPr>
              <w:spacing w:before="0" w:line="240" w:lineRule="auto"/>
            </w:pPr>
            <w:r w:rsidRPr="00A34764">
              <w:t>Nesplnění kritérií dle Postupu pro aktualizaci sítě sociálních služeb OK vedoucí k neschválení žádosti poskytovatele</w:t>
            </w:r>
          </w:p>
          <w:p w:rsidR="00FB1999" w:rsidRPr="00A34764" w:rsidRDefault="00FB1999" w:rsidP="00E136EF">
            <w:pPr>
              <w:pStyle w:val="Odstavecseseznamem"/>
              <w:numPr>
                <w:ilvl w:val="0"/>
                <w:numId w:val="100"/>
              </w:numPr>
              <w:spacing w:before="0" w:line="240" w:lineRule="auto"/>
            </w:pPr>
            <w:r w:rsidRPr="00A34764">
              <w:t>Nesplnění podmínek registrace poskytovaných sociálních služeb</w:t>
            </w:r>
          </w:p>
          <w:p w:rsidR="00FB1999" w:rsidRPr="00A34764" w:rsidRDefault="00FB1999" w:rsidP="00E136EF">
            <w:pPr>
              <w:pStyle w:val="Odstavecseseznamem"/>
              <w:numPr>
                <w:ilvl w:val="0"/>
                <w:numId w:val="100"/>
              </w:numPr>
              <w:spacing w:before="0" w:line="240" w:lineRule="auto"/>
            </w:pPr>
            <w:r w:rsidRPr="00A34764">
              <w:t>Nedostatek lidských zdrojů</w:t>
            </w:r>
          </w:p>
          <w:p w:rsidR="00FB1999" w:rsidRPr="00A34764" w:rsidRDefault="00FB1999" w:rsidP="00E136EF">
            <w:pPr>
              <w:pStyle w:val="Odstavecseseznamem"/>
              <w:numPr>
                <w:ilvl w:val="0"/>
                <w:numId w:val="100"/>
              </w:numPr>
              <w:spacing w:before="0" w:line="240" w:lineRule="auto"/>
            </w:pPr>
            <w:r w:rsidRPr="00A34764">
              <w:t>Nedostatek finančních prostředků z veřejných zdrojů</w:t>
            </w:r>
          </w:p>
          <w:p w:rsidR="00FB1999" w:rsidRPr="00A34764" w:rsidRDefault="00FB1999" w:rsidP="00E136EF">
            <w:pPr>
              <w:pStyle w:val="Odstavecseseznamem"/>
              <w:numPr>
                <w:ilvl w:val="0"/>
                <w:numId w:val="100"/>
              </w:numPr>
              <w:spacing w:before="0" w:line="240" w:lineRule="auto"/>
            </w:pPr>
            <w:r w:rsidRPr="00A34764">
              <w:t>Legislativní změny</w:t>
            </w:r>
          </w:p>
        </w:tc>
      </w:tr>
      <w:tr w:rsidR="00FB1999" w:rsidRPr="00C400DE" w:rsidTr="00506AF9">
        <w:trPr>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lastRenderedPageBreak/>
              <w:t xml:space="preserve">Předpokládaní realizátoři </w:t>
            </w:r>
            <w:r w:rsidRPr="00E136EF">
              <w:rPr>
                <w:rFonts w:eastAsia="Arial Unicode MS"/>
                <w:b/>
                <w:lang w:eastAsia="cs-CZ"/>
              </w:rPr>
              <w:br/>
              <w:t>a partneři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Poskytovatelé sociálních služeb pro dané cílové skupiny osob, kraj, obce</w:t>
            </w:r>
          </w:p>
        </w:tc>
      </w:tr>
      <w:tr w:rsidR="00FB1999" w:rsidRPr="00C400DE" w:rsidTr="00506AF9">
        <w:trPr>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Časový harmonogram</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2024</w:t>
            </w:r>
            <w:r w:rsidR="00E213F4">
              <w:rPr>
                <w:rFonts w:eastAsia="Arial Unicode MS"/>
                <w:lang w:eastAsia="cs-CZ"/>
              </w:rPr>
              <w:t>–</w:t>
            </w:r>
            <w:r w:rsidRPr="00C400DE">
              <w:rPr>
                <w:rFonts w:eastAsia="Arial Unicode MS"/>
                <w:lang w:eastAsia="cs-CZ"/>
              </w:rPr>
              <w:t>2026</w:t>
            </w:r>
          </w:p>
        </w:tc>
      </w:tr>
      <w:tr w:rsidR="00FB1999" w:rsidRPr="00C400DE" w:rsidTr="00506AF9">
        <w:trPr>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Předpokládané finanční zdroje</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Veřejné zdroje, evropské zdroje a ostatní zdroje financování</w:t>
            </w:r>
          </w:p>
        </w:tc>
      </w:tr>
      <w:tr w:rsidR="00FB1999" w:rsidRPr="00C400DE" w:rsidTr="00506AF9">
        <w:trPr>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Hodnotící indikátory výstupů a výsledků</w:t>
            </w:r>
          </w:p>
        </w:tc>
        <w:tc>
          <w:tcPr>
            <w:tcW w:w="3673" w:type="pct"/>
          </w:tcPr>
          <w:p w:rsidR="00FB1999" w:rsidRPr="00A34764" w:rsidRDefault="00FB1999" w:rsidP="00E136EF">
            <w:pPr>
              <w:pStyle w:val="Odstavecseseznamem"/>
              <w:numPr>
                <w:ilvl w:val="0"/>
                <w:numId w:val="15"/>
              </w:numPr>
              <w:spacing w:before="0" w:line="240" w:lineRule="auto"/>
            </w:pPr>
            <w:r w:rsidRPr="00A34764">
              <w:t>Zajištění rozvoje sociální služby v daném regionu</w:t>
            </w:r>
          </w:p>
          <w:p w:rsidR="00FB1999" w:rsidRPr="00A34764" w:rsidRDefault="00FB1999" w:rsidP="00E136EF">
            <w:pPr>
              <w:pStyle w:val="Odstavecseseznamem"/>
              <w:numPr>
                <w:ilvl w:val="0"/>
                <w:numId w:val="15"/>
              </w:numPr>
              <w:spacing w:before="0" w:line="240" w:lineRule="auto"/>
            </w:pPr>
            <w:r w:rsidRPr="00A34764">
              <w:t>Aktualizace sítě sociálních služeb dle schválených změn</w:t>
            </w:r>
          </w:p>
        </w:tc>
      </w:tr>
    </w:tbl>
    <w:p w:rsidR="00FB1999" w:rsidRPr="00C400DE" w:rsidRDefault="00FB1999" w:rsidP="00E136EF">
      <w:pPr>
        <w:spacing w:before="0"/>
        <w:rPr>
          <w:rFonts w:eastAsia="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57"/>
      </w:tblGrid>
      <w:tr w:rsidR="00FB1999" w:rsidRPr="00C400DE" w:rsidTr="00506AF9">
        <w:trPr>
          <w:trHeight w:val="397"/>
          <w:jc w:val="center"/>
        </w:trPr>
        <w:tc>
          <w:tcPr>
            <w:tcW w:w="1327" w:type="pct"/>
            <w:shd w:val="clear" w:color="auto" w:fill="FABF8F"/>
          </w:tcPr>
          <w:p w:rsidR="00FB1999" w:rsidRPr="00E136EF" w:rsidRDefault="00FB1999" w:rsidP="00E136EF">
            <w:pPr>
              <w:spacing w:before="0"/>
              <w:jc w:val="left"/>
              <w:rPr>
                <w:rFonts w:eastAsia="Arial Unicode MS"/>
                <w:b/>
                <w:lang w:eastAsia="cs-CZ"/>
              </w:rPr>
            </w:pPr>
            <w:r w:rsidRPr="00E136EF">
              <w:rPr>
                <w:rFonts w:eastAsia="Arial Unicode MS"/>
                <w:b/>
                <w:lang w:eastAsia="cs-CZ"/>
              </w:rPr>
              <w:t>Cíl 1. 2</w:t>
            </w:r>
          </w:p>
        </w:tc>
        <w:tc>
          <w:tcPr>
            <w:tcW w:w="3673" w:type="pct"/>
            <w:shd w:val="clear" w:color="auto" w:fill="FABF8F"/>
          </w:tcPr>
          <w:p w:rsidR="00FB1999" w:rsidRPr="00E136EF" w:rsidRDefault="00FB1999" w:rsidP="00E136EF">
            <w:pPr>
              <w:spacing w:before="0"/>
              <w:rPr>
                <w:rFonts w:eastAsia="Arial Unicode MS"/>
                <w:b/>
                <w:lang w:eastAsia="cs-CZ"/>
              </w:rPr>
            </w:pPr>
            <w:r w:rsidRPr="00E136EF">
              <w:rPr>
                <w:rFonts w:eastAsia="Arial Unicode MS"/>
                <w:b/>
                <w:lang w:eastAsia="cs-CZ"/>
              </w:rPr>
              <w:t>Zajištění potřebného rozsahu služby nízkoprahového zařízení pro děti a mládež v OK</w:t>
            </w:r>
          </w:p>
        </w:tc>
      </w:tr>
      <w:tr w:rsidR="00FB1999" w:rsidRPr="00C400DE" w:rsidTr="00506AF9">
        <w:trPr>
          <w:trHeight w:val="397"/>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Kód opatření </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Arial Unicode MS"/>
                <w:b/>
                <w:lang w:eastAsia="cs-CZ"/>
              </w:rPr>
              <w:t>1.2.1</w:t>
            </w:r>
          </w:p>
        </w:tc>
      </w:tr>
      <w:tr w:rsidR="00FB1999" w:rsidRPr="00C400DE" w:rsidTr="00506AF9">
        <w:trPr>
          <w:trHeight w:val="397"/>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Název opatření</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Arial Unicode MS"/>
                <w:b/>
                <w:lang w:eastAsia="cs-CZ"/>
              </w:rPr>
              <w:t xml:space="preserve">Zajištění ambulantní nebo terénní formy služby nízkoprahová zařízení pro děti a mládež dle zjištěné potřebnosti 2 pracovními úvazky pracovníků v přímé péči </w:t>
            </w:r>
            <w:r w:rsidR="00E74ED9" w:rsidRPr="00E136EF">
              <w:rPr>
                <w:rFonts w:eastAsia="Arial Unicode MS"/>
                <w:b/>
                <w:lang w:eastAsia="cs-CZ"/>
              </w:rPr>
              <w:t>v</w:t>
            </w:r>
            <w:r w:rsidRPr="00E136EF">
              <w:rPr>
                <w:rFonts w:eastAsia="Arial Unicode MS"/>
                <w:b/>
                <w:lang w:eastAsia="cs-CZ"/>
              </w:rPr>
              <w:t xml:space="preserve"> OK</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Charakteristika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Opatření směřuje k optimalizaci (pozn. k přesunu nevyužitých kapacit stávající služby do území, kde se vyskytla poptávka po službě) a k případnému rozvoji kapacit služby nízkoprahového zařízení pro děti a</w:t>
            </w:r>
            <w:r w:rsidR="00BA3253">
              <w:rPr>
                <w:rFonts w:eastAsia="Arial Unicode MS"/>
                <w:lang w:eastAsia="cs-CZ"/>
              </w:rPr>
              <w:t> </w:t>
            </w:r>
            <w:r w:rsidRPr="00C400DE">
              <w:rPr>
                <w:rFonts w:eastAsia="Arial Unicode MS"/>
                <w:lang w:eastAsia="cs-CZ"/>
              </w:rPr>
              <w:t>mládež pro osoby do 26 let věku v jejich přirozeném prostředí (služba bude zaměřena zejména na naplnění potřeb uživatelů sociálních služeb, na zajištění potřeb uživatelů sociální služby související s individuální prací a poradenstvím, b</w:t>
            </w:r>
            <w:r w:rsidRPr="00C400DE">
              <w:rPr>
                <w:rFonts w:eastAsia="AvenirLTCE-Light"/>
              </w:rPr>
              <w:t>ude podpořeno normální fungování uživatele sociální služby a stabilizace situace tohoto ohroženého dítěte jako prevence sociálního vyloučení)</w:t>
            </w:r>
            <w:r w:rsidRPr="00C400DE">
              <w:rPr>
                <w:rFonts w:eastAsia="Arial Unicode MS"/>
                <w:lang w:eastAsia="cs-CZ"/>
              </w:rPr>
              <w:t xml:space="preserve"> na základě zjištěné potřebnosti na území</w:t>
            </w:r>
            <w:r w:rsidR="00B92B71">
              <w:rPr>
                <w:rFonts w:eastAsia="Arial Unicode MS"/>
                <w:lang w:eastAsia="cs-CZ"/>
              </w:rPr>
              <w:t xml:space="preserve"> OK</w:t>
            </w:r>
            <w:r w:rsidRPr="00C400DE">
              <w:rPr>
                <w:rFonts w:eastAsia="Arial Unicode MS"/>
                <w:lang w:eastAsia="cs-CZ"/>
              </w:rPr>
              <w:t>.</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Cílová skupina</w:t>
            </w:r>
          </w:p>
        </w:tc>
        <w:tc>
          <w:tcPr>
            <w:tcW w:w="3673" w:type="pct"/>
          </w:tcPr>
          <w:p w:rsidR="00FB1999" w:rsidRPr="00C400DE" w:rsidRDefault="00FB1999" w:rsidP="00E136EF">
            <w:pPr>
              <w:spacing w:before="0"/>
              <w:rPr>
                <w:rFonts w:eastAsia="Arial Unicode MS"/>
                <w:lang w:eastAsia="cs-CZ"/>
              </w:rPr>
            </w:pPr>
            <w:r w:rsidRPr="00C400DE">
              <w:rPr>
                <w:rFonts w:eastAsia="AvenirLTCE-Light"/>
              </w:rPr>
              <w:t>Děti a mládež ve věku od 6 do 26 let ohrožené společensky nežádoucími jevy</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Druh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 xml:space="preserve">Nízkoprahová zařízení pro děti a mládež (§ 62) </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Forma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 xml:space="preserve">Ambulantní, </w:t>
            </w:r>
            <w:r w:rsidRPr="008D2CD2">
              <w:rPr>
                <w:rFonts w:eastAsia="Arial Unicode MS"/>
                <w:shd w:val="clear" w:color="auto" w:fill="FFFFFF" w:themeFill="background1"/>
                <w:lang w:eastAsia="cs-CZ"/>
              </w:rPr>
              <w:t>terénní</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Vymezení územního dopadu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OK</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Předpokládaný dopad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 xml:space="preserve">Opatření má dopad na zajištění poptávky po službě nízkoprahové zařízení pro děti a mládež </w:t>
            </w:r>
            <w:r w:rsidR="00E213F4">
              <w:rPr>
                <w:rFonts w:eastAsia="Arial Unicode MS"/>
                <w:lang w:eastAsia="cs-CZ"/>
              </w:rPr>
              <w:t>v</w:t>
            </w:r>
            <w:r w:rsidRPr="00C400DE">
              <w:rPr>
                <w:rFonts w:eastAsia="Arial Unicode MS"/>
                <w:lang w:eastAsia="cs-CZ"/>
              </w:rPr>
              <w:t xml:space="preserve"> rozsahu základních činností daných registrací služby na území OK. </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Aktivity vedoucí k naplnění opatření </w:t>
            </w:r>
          </w:p>
        </w:tc>
        <w:tc>
          <w:tcPr>
            <w:tcW w:w="3673" w:type="pct"/>
          </w:tcPr>
          <w:p w:rsidR="00FB1999" w:rsidRPr="00A34764" w:rsidRDefault="00FB1999" w:rsidP="00E136EF">
            <w:pPr>
              <w:pStyle w:val="Odstavecseseznamem"/>
              <w:numPr>
                <w:ilvl w:val="0"/>
                <w:numId w:val="101"/>
              </w:numPr>
              <w:spacing w:before="0" w:line="240" w:lineRule="auto"/>
              <w:rPr>
                <w:rFonts w:eastAsia="Calibri"/>
              </w:rPr>
            </w:pPr>
            <w:r w:rsidRPr="00A34764">
              <w:rPr>
                <w:rFonts w:eastAsia="Calibri"/>
              </w:rPr>
              <w:t>Monitoring jednotek zařazených v síti sociálních služeb</w:t>
            </w:r>
          </w:p>
          <w:p w:rsidR="00FB1999" w:rsidRPr="00A34764" w:rsidRDefault="00FB1999" w:rsidP="00E136EF">
            <w:pPr>
              <w:pStyle w:val="Odstavecseseznamem"/>
              <w:numPr>
                <w:ilvl w:val="0"/>
                <w:numId w:val="101"/>
              </w:numPr>
              <w:spacing w:before="0" w:line="240" w:lineRule="auto"/>
              <w:rPr>
                <w:rFonts w:eastAsia="Calibri"/>
              </w:rPr>
            </w:pPr>
            <w:r w:rsidRPr="00A34764">
              <w:rPr>
                <w:rFonts w:eastAsia="Calibri"/>
              </w:rPr>
              <w:t>Projednání předloženého záměru poskytovatele sociálních služeb v souladu se schválenými postupy pro aktualizaci sítě sociálních služeb OK</w:t>
            </w:r>
          </w:p>
          <w:p w:rsidR="00FB1999" w:rsidRPr="00A34764" w:rsidRDefault="00FB1999" w:rsidP="00E136EF">
            <w:pPr>
              <w:pStyle w:val="Odstavecseseznamem"/>
              <w:numPr>
                <w:ilvl w:val="0"/>
                <w:numId w:val="101"/>
              </w:numPr>
              <w:spacing w:before="0" w:line="240" w:lineRule="auto"/>
              <w:rPr>
                <w:rFonts w:eastAsia="Calibri"/>
              </w:rPr>
            </w:pPr>
            <w:r w:rsidRPr="00A34764">
              <w:rPr>
                <w:rFonts w:eastAsia="Calibri"/>
              </w:rPr>
              <w:t>Při vyjádření pozitivního stanoviska OK aktualizace sítě sociálních služeb dle schválených změn</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Calibri"/>
                <w:b/>
              </w:rPr>
              <w:t>Rizika a ohrožení naplnění opatření</w:t>
            </w:r>
          </w:p>
        </w:tc>
        <w:tc>
          <w:tcPr>
            <w:tcW w:w="3673" w:type="pct"/>
          </w:tcPr>
          <w:p w:rsidR="00FB1999" w:rsidRPr="00A34764" w:rsidRDefault="00FB1999" w:rsidP="00E136EF">
            <w:pPr>
              <w:pStyle w:val="Odstavecseseznamem"/>
              <w:numPr>
                <w:ilvl w:val="0"/>
                <w:numId w:val="102"/>
              </w:numPr>
              <w:spacing w:before="0" w:line="240" w:lineRule="auto"/>
            </w:pPr>
            <w:r w:rsidRPr="00A34764">
              <w:t>Neprojevení zájmu poskytovatelů stávajících služeb o plnění cíle a</w:t>
            </w:r>
            <w:r w:rsidR="00BA3253">
              <w:t> </w:t>
            </w:r>
            <w:r w:rsidRPr="00A34764">
              <w:t>opatření</w:t>
            </w:r>
          </w:p>
          <w:p w:rsidR="00FB1999" w:rsidRPr="00A34764" w:rsidRDefault="00FB1999" w:rsidP="00E136EF">
            <w:pPr>
              <w:pStyle w:val="Odstavecseseznamem"/>
              <w:numPr>
                <w:ilvl w:val="0"/>
                <w:numId w:val="102"/>
              </w:numPr>
              <w:spacing w:before="0" w:line="240" w:lineRule="auto"/>
            </w:pPr>
            <w:r w:rsidRPr="00A34764">
              <w:t>Nesplnění kritérií dle Postupu pro aktualizaci sítě sociálních služeb OK vedoucí k neschválení žádosti poskytovatele</w:t>
            </w:r>
          </w:p>
          <w:p w:rsidR="00FB1999" w:rsidRPr="00A34764" w:rsidRDefault="00FB1999" w:rsidP="00E136EF">
            <w:pPr>
              <w:pStyle w:val="Odstavecseseznamem"/>
              <w:numPr>
                <w:ilvl w:val="0"/>
                <w:numId w:val="102"/>
              </w:numPr>
              <w:spacing w:before="0" w:line="240" w:lineRule="auto"/>
            </w:pPr>
            <w:r w:rsidRPr="00A34764">
              <w:t>Nesplnění podmínek registrace poskytovaných sociálních služeb</w:t>
            </w:r>
          </w:p>
          <w:p w:rsidR="00FB1999" w:rsidRPr="00A34764" w:rsidRDefault="00FB1999" w:rsidP="00E136EF">
            <w:pPr>
              <w:pStyle w:val="Odstavecseseznamem"/>
              <w:numPr>
                <w:ilvl w:val="0"/>
                <w:numId w:val="102"/>
              </w:numPr>
              <w:spacing w:before="0" w:line="240" w:lineRule="auto"/>
            </w:pPr>
            <w:r w:rsidRPr="00A34764">
              <w:t>Nedostatek lidských zdrojů</w:t>
            </w:r>
          </w:p>
          <w:p w:rsidR="00FB1999" w:rsidRPr="00A34764" w:rsidRDefault="00FB1999" w:rsidP="00E136EF">
            <w:pPr>
              <w:pStyle w:val="Odstavecseseznamem"/>
              <w:numPr>
                <w:ilvl w:val="0"/>
                <w:numId w:val="102"/>
              </w:numPr>
              <w:spacing w:before="0" w:line="240" w:lineRule="auto"/>
            </w:pPr>
            <w:r w:rsidRPr="00A34764">
              <w:t>Nedostatek finančních prostředků z veřejných zdrojů</w:t>
            </w:r>
          </w:p>
          <w:p w:rsidR="00FB1999" w:rsidRPr="00A34764" w:rsidRDefault="00FB1999" w:rsidP="00E136EF">
            <w:pPr>
              <w:pStyle w:val="Odstavecseseznamem"/>
              <w:numPr>
                <w:ilvl w:val="0"/>
                <w:numId w:val="102"/>
              </w:numPr>
              <w:spacing w:before="0" w:line="240" w:lineRule="auto"/>
            </w:pPr>
            <w:r w:rsidRPr="00A34764">
              <w:t>Legislativní změny</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Předpokládaní realizátoři </w:t>
            </w:r>
            <w:r w:rsidRPr="00E136EF">
              <w:rPr>
                <w:rFonts w:eastAsia="Arial Unicode MS"/>
                <w:b/>
                <w:lang w:eastAsia="cs-CZ"/>
              </w:rPr>
              <w:br/>
              <w:t>a partneři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Poskytovatelé sociálních služeb pro dané cílové skupiny osob, kraj, obce</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lastRenderedPageBreak/>
              <w:t>Časový harmonogram</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2024</w:t>
            </w:r>
            <w:r w:rsidR="00E213F4">
              <w:rPr>
                <w:rFonts w:eastAsia="Arial Unicode MS"/>
                <w:lang w:eastAsia="cs-CZ"/>
              </w:rPr>
              <w:t>–</w:t>
            </w:r>
            <w:r w:rsidRPr="00C400DE">
              <w:rPr>
                <w:rFonts w:eastAsia="Arial Unicode MS"/>
                <w:lang w:eastAsia="cs-CZ"/>
              </w:rPr>
              <w:t>2026</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Předpokládané finanční zdroje</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Veřejné zdroje, evropské zdroje a ostatní zdroje financování</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Hodnotící indikátory výstupů a výsledků</w:t>
            </w:r>
          </w:p>
        </w:tc>
        <w:tc>
          <w:tcPr>
            <w:tcW w:w="3673" w:type="pct"/>
          </w:tcPr>
          <w:p w:rsidR="00FB1999" w:rsidRPr="00A34764" w:rsidRDefault="00FB1999" w:rsidP="00E136EF">
            <w:pPr>
              <w:pStyle w:val="Odstavecseseznamem"/>
              <w:numPr>
                <w:ilvl w:val="0"/>
                <w:numId w:val="15"/>
              </w:numPr>
              <w:spacing w:before="0" w:line="240" w:lineRule="auto"/>
            </w:pPr>
            <w:r w:rsidRPr="00A34764">
              <w:t>Zajištění rozvoje sociální služby v daném regionu</w:t>
            </w:r>
          </w:p>
          <w:p w:rsidR="00FB1999" w:rsidRPr="00A34764" w:rsidRDefault="00FB1999" w:rsidP="00E136EF">
            <w:pPr>
              <w:pStyle w:val="Odstavecseseznamem"/>
              <w:numPr>
                <w:ilvl w:val="0"/>
                <w:numId w:val="15"/>
              </w:numPr>
              <w:spacing w:before="0" w:line="240" w:lineRule="auto"/>
            </w:pPr>
            <w:r w:rsidRPr="00A34764">
              <w:t>Aktualizace sítě sociálních služeb dle schválených změn</w:t>
            </w:r>
          </w:p>
        </w:tc>
      </w:tr>
    </w:tbl>
    <w:p w:rsidR="005500C4" w:rsidRDefault="005500C4" w:rsidP="00E136EF">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57"/>
      </w:tblGrid>
      <w:tr w:rsidR="00FB1999" w:rsidRPr="00C400DE" w:rsidTr="00506AF9">
        <w:trPr>
          <w:trHeight w:val="397"/>
          <w:jc w:val="center"/>
        </w:trPr>
        <w:tc>
          <w:tcPr>
            <w:tcW w:w="1327" w:type="pct"/>
            <w:shd w:val="clear" w:color="auto" w:fill="FABF8F"/>
          </w:tcPr>
          <w:p w:rsidR="00FB1999" w:rsidRPr="00E136EF" w:rsidRDefault="00FB1999" w:rsidP="00E136EF">
            <w:pPr>
              <w:spacing w:before="0"/>
              <w:jc w:val="left"/>
              <w:rPr>
                <w:rFonts w:eastAsia="Arial Unicode MS"/>
                <w:b/>
                <w:lang w:eastAsia="cs-CZ"/>
              </w:rPr>
            </w:pPr>
            <w:r w:rsidRPr="00E136EF">
              <w:rPr>
                <w:rFonts w:eastAsia="Arial Unicode MS"/>
                <w:b/>
                <w:lang w:eastAsia="cs-CZ"/>
              </w:rPr>
              <w:t>Cíl 1.3</w:t>
            </w:r>
          </w:p>
        </w:tc>
        <w:tc>
          <w:tcPr>
            <w:tcW w:w="3673" w:type="pct"/>
            <w:shd w:val="clear" w:color="auto" w:fill="FABF8F"/>
          </w:tcPr>
          <w:p w:rsidR="00FB1999" w:rsidRPr="00E136EF" w:rsidRDefault="00FB1999" w:rsidP="00E136EF">
            <w:pPr>
              <w:spacing w:before="0"/>
              <w:rPr>
                <w:rFonts w:eastAsia="Arial Unicode MS"/>
                <w:b/>
                <w:lang w:eastAsia="cs-CZ"/>
              </w:rPr>
            </w:pPr>
            <w:r w:rsidRPr="00E136EF">
              <w:rPr>
                <w:rFonts w:eastAsia="Arial Unicode MS"/>
                <w:b/>
                <w:lang w:eastAsia="cs-CZ"/>
              </w:rPr>
              <w:t>Zajištění potřebného rozsahu služby odborné sociální poradenství v</w:t>
            </w:r>
            <w:r w:rsidR="00BA3253">
              <w:rPr>
                <w:rFonts w:eastAsia="Arial Unicode MS"/>
                <w:b/>
                <w:lang w:eastAsia="cs-CZ"/>
              </w:rPr>
              <w:t> </w:t>
            </w:r>
            <w:r w:rsidRPr="00E136EF">
              <w:rPr>
                <w:rFonts w:eastAsia="Arial Unicode MS"/>
                <w:b/>
                <w:lang w:eastAsia="cs-CZ"/>
              </w:rPr>
              <w:t>OK</w:t>
            </w:r>
          </w:p>
        </w:tc>
      </w:tr>
      <w:tr w:rsidR="00FB1999" w:rsidRPr="00C400DE" w:rsidTr="00506AF9">
        <w:trPr>
          <w:trHeight w:val="397"/>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Kód opatření </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Arial Unicode MS"/>
                <w:b/>
                <w:lang w:eastAsia="cs-CZ"/>
              </w:rPr>
              <w:t>1.3.1</w:t>
            </w:r>
          </w:p>
        </w:tc>
      </w:tr>
      <w:tr w:rsidR="00FB1999" w:rsidRPr="00C400DE" w:rsidTr="00506AF9">
        <w:trPr>
          <w:trHeight w:val="397"/>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Název opatření</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Arial Unicode MS"/>
                <w:b/>
                <w:lang w:eastAsia="cs-CZ"/>
              </w:rPr>
              <w:t>Zajištění ambulantní formy služby odborné sociální poradenství pro rodiny s dětmi s ohroženým příznivým vývojem v důsledku nepříznivé sociální situace rod</w:t>
            </w:r>
            <w:r w:rsidR="00B30496">
              <w:rPr>
                <w:rFonts w:eastAsia="Arial Unicode MS"/>
                <w:b/>
                <w:lang w:eastAsia="cs-CZ"/>
              </w:rPr>
              <w:t>iny dle zjištěné potřebnosti 5</w:t>
            </w:r>
            <w:r w:rsidRPr="00E136EF">
              <w:rPr>
                <w:rFonts w:eastAsia="Arial Unicode MS"/>
                <w:b/>
                <w:lang w:eastAsia="cs-CZ"/>
              </w:rPr>
              <w:t xml:space="preserve"> pracovními úvazky pracovníků v přímé péči </w:t>
            </w:r>
            <w:r w:rsidR="00E74ED9" w:rsidRPr="00E136EF">
              <w:rPr>
                <w:rFonts w:eastAsia="Arial Unicode MS"/>
                <w:b/>
                <w:lang w:eastAsia="cs-CZ"/>
              </w:rPr>
              <w:t>v</w:t>
            </w:r>
            <w:r w:rsidRPr="00E136EF">
              <w:rPr>
                <w:rFonts w:eastAsia="Arial Unicode MS"/>
                <w:b/>
                <w:lang w:eastAsia="cs-CZ"/>
              </w:rPr>
              <w:t xml:space="preserve"> OK</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Charakteristika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Opatření směřuje k zajištění služby odborného sociální</w:t>
            </w:r>
            <w:r w:rsidR="00E213F4">
              <w:rPr>
                <w:rFonts w:eastAsia="Arial Unicode MS"/>
                <w:lang w:eastAsia="cs-CZ"/>
              </w:rPr>
              <w:t>ho</w:t>
            </w:r>
            <w:r w:rsidRPr="00C400DE">
              <w:rPr>
                <w:rFonts w:eastAsia="Arial Unicode MS"/>
                <w:lang w:eastAsia="cs-CZ"/>
              </w:rPr>
              <w:t xml:space="preserve"> poradenství pro rodiny s dětmi s ohroženým příznivým vývojem v důsledku nepříznivé sociální situace rodiny (zejména v oblasti rodinného a párového poradentství) na základě zjištěné potřebnosti na území OK.</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Cílová skupina</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Rodiny s dítětem/dětmi – s ohroženým příznivým vývojem v důsledku nepříznivé sociální situace rodiny; vedoucí rizikový způsob života nebo jsou tímto způsobem života ohroženy</w:t>
            </w:r>
          </w:p>
          <w:p w:rsidR="00FB1999" w:rsidRPr="00C400DE" w:rsidRDefault="00FB1999" w:rsidP="00E136EF">
            <w:pPr>
              <w:spacing w:before="0"/>
              <w:rPr>
                <w:rFonts w:eastAsia="Arial Unicode MS"/>
                <w:lang w:eastAsia="cs-CZ"/>
              </w:rPr>
            </w:pPr>
            <w:r w:rsidRPr="00C400DE">
              <w:rPr>
                <w:rFonts w:eastAsia="Arial Unicode MS"/>
                <w:lang w:eastAsia="cs-CZ"/>
              </w:rPr>
              <w:t>Děti od 0 do 18 let</w:t>
            </w:r>
          </w:p>
          <w:p w:rsidR="00FB1999" w:rsidRPr="00C400DE" w:rsidRDefault="00FB1999" w:rsidP="00E136EF">
            <w:pPr>
              <w:spacing w:before="0"/>
              <w:rPr>
                <w:rFonts w:eastAsia="Arial Unicode MS"/>
                <w:lang w:eastAsia="cs-CZ"/>
              </w:rPr>
            </w:pPr>
            <w:r w:rsidRPr="00C400DE">
              <w:rPr>
                <w:rFonts w:eastAsia="Arial Unicode MS"/>
                <w:lang w:eastAsia="cs-CZ"/>
              </w:rPr>
              <w:t>Dospělí 18–64 let</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Druh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Sociální poradenství (§ 37)</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Forma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Ambulantní</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Vymezení územního dopadu opatření</w:t>
            </w:r>
          </w:p>
        </w:tc>
        <w:tc>
          <w:tcPr>
            <w:tcW w:w="3673" w:type="pct"/>
          </w:tcPr>
          <w:p w:rsidR="00FB1999" w:rsidRPr="00C400DE" w:rsidRDefault="00FB1999" w:rsidP="00E136EF">
            <w:pPr>
              <w:spacing w:before="0"/>
              <w:rPr>
                <w:rFonts w:eastAsia="Arial Unicode MS" w:cs="Segoe UI"/>
                <w:szCs w:val="20"/>
                <w:lang w:eastAsia="cs-CZ"/>
              </w:rPr>
            </w:pPr>
            <w:r w:rsidRPr="00C400DE">
              <w:rPr>
                <w:rFonts w:eastAsia="Calibri"/>
              </w:rPr>
              <w:t>OK</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Předpokládaný dopad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Opatření má dopad na zajištění poptávky po službě odborné sociální poradenství pro rodiny s dětmi s ohroženým příznivým vývojem v</w:t>
            </w:r>
            <w:r w:rsidR="00BA3253">
              <w:rPr>
                <w:rFonts w:eastAsia="Arial Unicode MS"/>
                <w:lang w:eastAsia="cs-CZ"/>
              </w:rPr>
              <w:t> </w:t>
            </w:r>
            <w:r w:rsidRPr="00C400DE">
              <w:rPr>
                <w:rFonts w:eastAsia="Arial Unicode MS"/>
                <w:lang w:eastAsia="cs-CZ"/>
              </w:rPr>
              <w:t xml:space="preserve">důsledku nepříznivé sociální situace rodiny v rozsahu základních činností daných registrací služby na území OK (řešení nepříznivých sociálních situací souvisejících s nestabilní situací rodiny, zejména v období rozchodu rodičů). </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Aktivity vedoucí k naplnění opatření </w:t>
            </w:r>
          </w:p>
        </w:tc>
        <w:tc>
          <w:tcPr>
            <w:tcW w:w="3673" w:type="pct"/>
          </w:tcPr>
          <w:p w:rsidR="00FB1999" w:rsidRPr="00A34764" w:rsidRDefault="00FB1999" w:rsidP="00E136EF">
            <w:pPr>
              <w:pStyle w:val="Odstavecseseznamem"/>
              <w:numPr>
                <w:ilvl w:val="0"/>
                <w:numId w:val="103"/>
              </w:numPr>
              <w:spacing w:before="0" w:line="240" w:lineRule="auto"/>
              <w:rPr>
                <w:rFonts w:eastAsia="Calibri"/>
              </w:rPr>
            </w:pPr>
            <w:r w:rsidRPr="00A34764">
              <w:rPr>
                <w:rFonts w:eastAsia="Calibri"/>
              </w:rPr>
              <w:t>Projednání předloženého záměru poskytovatele sociálních služeb v souladu se schválenými postupy pro aktualizaci sítě sociálních služeb OK</w:t>
            </w:r>
          </w:p>
          <w:p w:rsidR="00FB1999" w:rsidRPr="00A34764" w:rsidRDefault="00FB1999" w:rsidP="00E136EF">
            <w:pPr>
              <w:pStyle w:val="Odstavecseseznamem"/>
              <w:numPr>
                <w:ilvl w:val="0"/>
                <w:numId w:val="103"/>
              </w:numPr>
              <w:spacing w:before="0" w:line="240" w:lineRule="auto"/>
              <w:rPr>
                <w:rFonts w:eastAsia="Calibri"/>
              </w:rPr>
            </w:pPr>
            <w:r w:rsidRPr="00A34764">
              <w:rPr>
                <w:rFonts w:eastAsia="Calibri"/>
              </w:rPr>
              <w:t>Při vyjádření pozitivního stanoviska OK aktualizace sítě sociálních služeb dle schválených změn</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Calibri"/>
                <w:b/>
              </w:rPr>
              <w:t>Rizika a ohrožení naplnění opatření</w:t>
            </w:r>
          </w:p>
        </w:tc>
        <w:tc>
          <w:tcPr>
            <w:tcW w:w="3673" w:type="pct"/>
          </w:tcPr>
          <w:p w:rsidR="00FB1999" w:rsidRPr="00A34764" w:rsidRDefault="00FB1999" w:rsidP="00E136EF">
            <w:pPr>
              <w:pStyle w:val="Odstavecseseznamem"/>
              <w:numPr>
                <w:ilvl w:val="0"/>
                <w:numId w:val="104"/>
              </w:numPr>
              <w:spacing w:before="0" w:line="240" w:lineRule="auto"/>
            </w:pPr>
            <w:r w:rsidRPr="00A34764">
              <w:t>Neprojevení zájmu poskytovatelů stávajících služeb o plnění cíle a</w:t>
            </w:r>
            <w:r w:rsidR="00BA3253">
              <w:t> </w:t>
            </w:r>
            <w:r w:rsidRPr="00A34764">
              <w:t>opatření</w:t>
            </w:r>
          </w:p>
          <w:p w:rsidR="00FB1999" w:rsidRPr="00A34764" w:rsidRDefault="00FB1999" w:rsidP="00E136EF">
            <w:pPr>
              <w:pStyle w:val="Odstavecseseznamem"/>
              <w:numPr>
                <w:ilvl w:val="0"/>
                <w:numId w:val="104"/>
              </w:numPr>
              <w:spacing w:before="0" w:line="240" w:lineRule="auto"/>
            </w:pPr>
            <w:r w:rsidRPr="00A34764">
              <w:t>Nesplnění kritérií dle Postupu pro aktualizaci sítě sociálních služeb OK vedoucí k neschválení žádosti poskytovatele</w:t>
            </w:r>
          </w:p>
          <w:p w:rsidR="00FB1999" w:rsidRPr="00A34764" w:rsidRDefault="00FB1999" w:rsidP="00E136EF">
            <w:pPr>
              <w:pStyle w:val="Odstavecseseznamem"/>
              <w:numPr>
                <w:ilvl w:val="0"/>
                <w:numId w:val="104"/>
              </w:numPr>
              <w:spacing w:before="0" w:line="240" w:lineRule="auto"/>
            </w:pPr>
            <w:r w:rsidRPr="00A34764">
              <w:t>Nesplnění podmínek registrace poskytovaných sociálních služeb</w:t>
            </w:r>
          </w:p>
          <w:p w:rsidR="00FB1999" w:rsidRPr="00A34764" w:rsidRDefault="00FB1999" w:rsidP="00E136EF">
            <w:pPr>
              <w:pStyle w:val="Odstavecseseznamem"/>
              <w:numPr>
                <w:ilvl w:val="0"/>
                <w:numId w:val="104"/>
              </w:numPr>
              <w:spacing w:before="0" w:line="240" w:lineRule="auto"/>
            </w:pPr>
            <w:r w:rsidRPr="00A34764">
              <w:t>Nedostatek lidských zdrojů</w:t>
            </w:r>
          </w:p>
          <w:p w:rsidR="00FB1999" w:rsidRPr="00A34764" w:rsidRDefault="00FB1999" w:rsidP="00E136EF">
            <w:pPr>
              <w:pStyle w:val="Odstavecseseznamem"/>
              <w:numPr>
                <w:ilvl w:val="0"/>
                <w:numId w:val="104"/>
              </w:numPr>
              <w:spacing w:before="0" w:line="240" w:lineRule="auto"/>
            </w:pPr>
            <w:r w:rsidRPr="00A34764">
              <w:t>Nedostatek finančních prostředků z veřejných zdrojů</w:t>
            </w:r>
          </w:p>
          <w:p w:rsidR="00FB1999" w:rsidRPr="00A34764" w:rsidRDefault="00FB1999" w:rsidP="00E136EF">
            <w:pPr>
              <w:pStyle w:val="Odstavecseseznamem"/>
              <w:numPr>
                <w:ilvl w:val="0"/>
                <w:numId w:val="104"/>
              </w:numPr>
              <w:spacing w:before="0" w:line="240" w:lineRule="auto"/>
            </w:pPr>
            <w:r w:rsidRPr="00A34764">
              <w:t>Legislativní změny</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Předpokládaní realizátoři </w:t>
            </w:r>
            <w:r w:rsidRPr="00E136EF">
              <w:rPr>
                <w:rFonts w:eastAsia="Arial Unicode MS"/>
                <w:b/>
                <w:lang w:eastAsia="cs-CZ"/>
              </w:rPr>
              <w:br/>
              <w:t>a partneři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Poskytovatelé sociálních služeb pro dané cílové skupiny osob, kraj, obce</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Časový harmonogram</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2024</w:t>
            </w:r>
            <w:r w:rsidR="00E213F4">
              <w:rPr>
                <w:rFonts w:eastAsia="Arial Unicode MS"/>
                <w:lang w:eastAsia="cs-CZ"/>
              </w:rPr>
              <w:t>–</w:t>
            </w:r>
            <w:r w:rsidRPr="00C400DE">
              <w:rPr>
                <w:rFonts w:eastAsia="Arial Unicode MS"/>
                <w:lang w:eastAsia="cs-CZ"/>
              </w:rPr>
              <w:t>2026</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lastRenderedPageBreak/>
              <w:t>Předpokládané finanční zdroje</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Veřejné zdroje, evropské zdroje a ostatní zdroje financování</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Hodnotící indikátory výstupů a výsledků</w:t>
            </w:r>
          </w:p>
        </w:tc>
        <w:tc>
          <w:tcPr>
            <w:tcW w:w="3673" w:type="pct"/>
          </w:tcPr>
          <w:p w:rsidR="00FB1999" w:rsidRPr="00A34764" w:rsidRDefault="00FB1999" w:rsidP="00E136EF">
            <w:pPr>
              <w:pStyle w:val="Odstavecseseznamem"/>
              <w:numPr>
                <w:ilvl w:val="0"/>
                <w:numId w:val="15"/>
              </w:numPr>
              <w:spacing w:before="0" w:line="240" w:lineRule="auto"/>
            </w:pPr>
            <w:r w:rsidRPr="00A34764">
              <w:t>Zajištění rozvoje sociální služby v daném regionu</w:t>
            </w:r>
          </w:p>
          <w:p w:rsidR="00FB1999" w:rsidRPr="00A34764" w:rsidRDefault="00FB1999" w:rsidP="00E136EF">
            <w:pPr>
              <w:pStyle w:val="Odstavecseseznamem"/>
              <w:numPr>
                <w:ilvl w:val="0"/>
                <w:numId w:val="15"/>
              </w:numPr>
              <w:spacing w:before="0" w:line="240" w:lineRule="auto"/>
            </w:pPr>
            <w:r w:rsidRPr="00A34764">
              <w:t>Aktualizace sítě sociálních služeb dle schválených změn</w:t>
            </w:r>
          </w:p>
        </w:tc>
      </w:tr>
    </w:tbl>
    <w:p w:rsidR="00FB1999" w:rsidRPr="00C400DE" w:rsidRDefault="00FB1999" w:rsidP="00E136EF">
      <w:pPr>
        <w:spacing w:before="0"/>
        <w:rPr>
          <w:rFonts w:eastAsia="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57"/>
      </w:tblGrid>
      <w:tr w:rsidR="00FB1999" w:rsidRPr="00C400DE" w:rsidTr="00506AF9">
        <w:trPr>
          <w:trHeight w:val="397"/>
          <w:jc w:val="center"/>
        </w:trPr>
        <w:tc>
          <w:tcPr>
            <w:tcW w:w="1327" w:type="pct"/>
            <w:shd w:val="clear" w:color="auto" w:fill="F4B083"/>
            <w:vAlign w:val="center"/>
          </w:tcPr>
          <w:p w:rsidR="00FB1999" w:rsidRPr="00E136EF" w:rsidRDefault="00FB1999" w:rsidP="00E136EF">
            <w:pPr>
              <w:spacing w:before="0"/>
              <w:jc w:val="left"/>
              <w:rPr>
                <w:rFonts w:eastAsia="Arial Unicode MS"/>
                <w:b/>
                <w:lang w:eastAsia="cs-CZ"/>
              </w:rPr>
            </w:pPr>
            <w:r w:rsidRPr="00E136EF">
              <w:rPr>
                <w:rFonts w:eastAsia="Arial Unicode MS"/>
                <w:b/>
                <w:lang w:eastAsia="cs-CZ"/>
              </w:rPr>
              <w:t>Cíl 1.4</w:t>
            </w:r>
          </w:p>
        </w:tc>
        <w:tc>
          <w:tcPr>
            <w:tcW w:w="3673" w:type="pct"/>
            <w:shd w:val="clear" w:color="auto" w:fill="F4B083"/>
          </w:tcPr>
          <w:p w:rsidR="00FB1999" w:rsidRPr="00E136EF" w:rsidRDefault="00FB1999" w:rsidP="00E136EF">
            <w:pPr>
              <w:spacing w:before="0"/>
              <w:rPr>
                <w:rFonts w:eastAsia="Arial Unicode MS"/>
                <w:b/>
                <w:lang w:eastAsia="cs-CZ"/>
              </w:rPr>
            </w:pPr>
            <w:r w:rsidRPr="00E136EF">
              <w:rPr>
                <w:rFonts w:eastAsia="Arial Unicode MS"/>
                <w:b/>
                <w:lang w:eastAsia="cs-CZ"/>
              </w:rPr>
              <w:t xml:space="preserve">Podpora pobytové služby pro děti nad 15 let bez doprovodu blízké osoby </w:t>
            </w:r>
          </w:p>
        </w:tc>
      </w:tr>
      <w:tr w:rsidR="00FB1999" w:rsidRPr="00C400DE" w:rsidTr="00506AF9">
        <w:trPr>
          <w:trHeight w:val="397"/>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Kód opatření </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Arial Unicode MS"/>
                <w:b/>
                <w:lang w:eastAsia="cs-CZ"/>
              </w:rPr>
              <w:t>1.4.1</w:t>
            </w:r>
          </w:p>
        </w:tc>
      </w:tr>
      <w:tr w:rsidR="00FB1999" w:rsidRPr="00C400DE" w:rsidTr="00506AF9">
        <w:trPr>
          <w:trHeight w:val="397"/>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Název opatření</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Calibri"/>
                <w:b/>
              </w:rPr>
              <w:t>Zjištění potřebnosti služeb v OK pro děti nad 15 let bez doprovodu osoby blízké, mladé dospělé do 26 let</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Charakteristika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Opatření směřuje ke zjištění potřebnosti pobytové sociální služby pro děti nad 15 let bez doprovodu osoby blízké a mladé dospělé do 26 let. Zjišťování potřebnosti uvedené služby ze strany ORP a poskytovatelů sociálních služeb, jejichž cílová skupina jsou ohrožené rodiny a děti, bude provedeno formou analýzy potřeb. Současně dojde ke zjištění, a to i v návaznosti na novelu zákona o sociálně-právní ochraně dětí, jak jsou obdobné služby zajištěny v ostatních krajích ČR. Opatření je zpracováno s ohledem na nárůst poptávky po službě pro uvedenou cílovou skupinu, a to jak ze strany spolupracujících subjektů, mj. orgány sociálně-právní ochrany dětí, poskytovatelů sociálních služeb cílové skupině, tak i</w:t>
            </w:r>
            <w:r>
              <w:rPr>
                <w:rFonts w:eastAsia="Arial Unicode MS"/>
                <w:lang w:eastAsia="cs-CZ"/>
              </w:rPr>
              <w:t> </w:t>
            </w:r>
            <w:r w:rsidRPr="00C400DE">
              <w:rPr>
                <w:rFonts w:eastAsia="Arial Unicode MS"/>
                <w:lang w:eastAsia="cs-CZ"/>
              </w:rPr>
              <w:t>samotných zástupců cílové skupiny.</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Cílová skupina</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Děti 1</w:t>
            </w:r>
            <w:r w:rsidR="00E213F4">
              <w:rPr>
                <w:rFonts w:eastAsia="Arial Unicode MS"/>
                <w:lang w:eastAsia="cs-CZ"/>
              </w:rPr>
              <w:t>5–</w:t>
            </w:r>
            <w:r w:rsidRPr="00C400DE">
              <w:rPr>
                <w:rFonts w:eastAsia="Arial Unicode MS"/>
                <w:lang w:eastAsia="cs-CZ"/>
              </w:rPr>
              <w:t>18 let, mladí dospělí do 26 let</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Druh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Neurčeno</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Forma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Pobytová</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Vymezení územního dopadu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OK</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Předpokládaný dopad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Opatření má dopad na cílovou skupinu osob od 15</w:t>
            </w:r>
            <w:r w:rsidR="00E213F4">
              <w:rPr>
                <w:rFonts w:eastAsia="Arial Unicode MS"/>
                <w:lang w:eastAsia="cs-CZ"/>
              </w:rPr>
              <w:t>–</w:t>
            </w:r>
            <w:r w:rsidRPr="00C400DE">
              <w:rPr>
                <w:rFonts w:eastAsia="Arial Unicode MS"/>
                <w:lang w:eastAsia="cs-CZ"/>
              </w:rPr>
              <w:t xml:space="preserve">18 let a od 18 </w:t>
            </w:r>
            <w:r w:rsidR="00E213F4">
              <w:rPr>
                <w:rFonts w:eastAsia="Arial Unicode MS"/>
                <w:lang w:eastAsia="cs-CZ"/>
              </w:rPr>
              <w:t>do</w:t>
            </w:r>
            <w:r w:rsidRPr="00C400DE">
              <w:rPr>
                <w:rFonts w:eastAsia="Arial Unicode MS"/>
                <w:lang w:eastAsia="cs-CZ"/>
              </w:rPr>
              <w:t xml:space="preserve"> 26 let</w:t>
            </w:r>
            <w:r w:rsidR="00E213F4">
              <w:rPr>
                <w:rFonts w:eastAsia="Arial Unicode MS"/>
                <w:lang w:eastAsia="cs-CZ"/>
              </w:rPr>
              <w:t xml:space="preserve"> </w:t>
            </w:r>
            <w:r w:rsidRPr="00C400DE">
              <w:rPr>
                <w:rFonts w:eastAsia="Arial Unicode MS"/>
                <w:lang w:eastAsia="cs-CZ"/>
              </w:rPr>
              <w:t>na území OK. Tímto opatřením bude zjištěna reálná potřebnost konkrétní</w:t>
            </w:r>
            <w:r w:rsidR="00E213F4">
              <w:rPr>
                <w:rFonts w:eastAsia="Arial Unicode MS"/>
                <w:lang w:eastAsia="cs-CZ"/>
              </w:rPr>
              <w:t>ho</w:t>
            </w:r>
            <w:r w:rsidRPr="00C400DE">
              <w:rPr>
                <w:rFonts w:eastAsia="Arial Unicode MS"/>
                <w:lang w:eastAsia="cs-CZ"/>
              </w:rPr>
              <w:t xml:space="preserve"> druh</w:t>
            </w:r>
            <w:r w:rsidR="00E213F4">
              <w:rPr>
                <w:rFonts w:eastAsia="Arial Unicode MS"/>
                <w:lang w:eastAsia="cs-CZ"/>
              </w:rPr>
              <w:t>u</w:t>
            </w:r>
            <w:r w:rsidRPr="00C400DE">
              <w:rPr>
                <w:rFonts w:eastAsia="Arial Unicode MS"/>
                <w:lang w:eastAsia="cs-CZ"/>
              </w:rPr>
              <w:t xml:space="preserve"> služby pro tyto cílové skupiny. Na základě uvedeného opatření budou připraveny konkrétní kroky, které mohou vést k zajištění služby pro uvedenou cílovou skupinu. Zájem o pobytovou službu pro osoby od 15 do 18 let, resp. do 26</w:t>
            </w:r>
            <w:r w:rsidR="00E213F4">
              <w:rPr>
                <w:rFonts w:eastAsia="Arial Unicode MS"/>
                <w:lang w:eastAsia="cs-CZ"/>
              </w:rPr>
              <w:t> </w:t>
            </w:r>
            <w:r w:rsidRPr="00C400DE">
              <w:rPr>
                <w:rFonts w:eastAsia="Arial Unicode MS"/>
                <w:lang w:eastAsia="cs-CZ"/>
              </w:rPr>
              <w:t>let, je nejen ze strany samotné cílové skupiny, ale taktéž spolupracujících subjektů, mj. orgánů sociálně-právní ochran</w:t>
            </w:r>
            <w:r w:rsidR="00E213F4">
              <w:rPr>
                <w:rFonts w:eastAsia="Arial Unicode MS"/>
                <w:lang w:eastAsia="cs-CZ"/>
              </w:rPr>
              <w:t>y</w:t>
            </w:r>
            <w:r w:rsidRPr="00C400DE">
              <w:rPr>
                <w:rFonts w:eastAsia="Arial Unicode MS"/>
                <w:lang w:eastAsia="cs-CZ"/>
              </w:rPr>
              <w:t xml:space="preserve"> dětí.   </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Aktivity vedoucí k naplnění opatření </w:t>
            </w:r>
          </w:p>
        </w:tc>
        <w:tc>
          <w:tcPr>
            <w:tcW w:w="3673" w:type="pct"/>
          </w:tcPr>
          <w:p w:rsidR="00FB1999" w:rsidRPr="00A34764" w:rsidRDefault="00FB1999" w:rsidP="00E136EF">
            <w:pPr>
              <w:pStyle w:val="Odstavecseseznamem"/>
              <w:numPr>
                <w:ilvl w:val="0"/>
                <w:numId w:val="106"/>
              </w:numPr>
              <w:spacing w:before="0" w:line="240" w:lineRule="auto"/>
              <w:rPr>
                <w:rFonts w:eastAsia="Calibri"/>
              </w:rPr>
            </w:pPr>
            <w:r w:rsidRPr="00A34764">
              <w:rPr>
                <w:rFonts w:eastAsia="Calibri"/>
              </w:rPr>
              <w:t>Zjištění potřebnosti prostřednictvím dotazníkového šetření u pracovníků zajišťují</w:t>
            </w:r>
            <w:r w:rsidR="00E213F4" w:rsidRPr="00A34764">
              <w:rPr>
                <w:rFonts w:eastAsia="Calibri"/>
              </w:rPr>
              <w:t>c</w:t>
            </w:r>
            <w:r w:rsidR="005A25A2">
              <w:rPr>
                <w:rFonts w:eastAsia="Calibri"/>
              </w:rPr>
              <w:t>íc</w:t>
            </w:r>
            <w:r w:rsidR="00E213F4" w:rsidRPr="00A34764">
              <w:rPr>
                <w:rFonts w:eastAsia="Calibri"/>
              </w:rPr>
              <w:t>h</w:t>
            </w:r>
            <w:r w:rsidRPr="00A34764">
              <w:rPr>
                <w:rFonts w:eastAsia="Calibri"/>
              </w:rPr>
              <w:t xml:space="preserve"> agendu sociálně-právní ochrany dětí na ORP</w:t>
            </w:r>
          </w:p>
          <w:p w:rsidR="00FB1999" w:rsidRPr="00A34764" w:rsidRDefault="00FB1999" w:rsidP="00E136EF">
            <w:pPr>
              <w:pStyle w:val="Odstavecseseznamem"/>
              <w:numPr>
                <w:ilvl w:val="0"/>
                <w:numId w:val="106"/>
              </w:numPr>
              <w:spacing w:before="0" w:line="240" w:lineRule="auto"/>
              <w:rPr>
                <w:rFonts w:eastAsia="Calibri"/>
              </w:rPr>
            </w:pPr>
            <w:r w:rsidRPr="00A34764">
              <w:rPr>
                <w:rFonts w:eastAsia="Calibri"/>
              </w:rPr>
              <w:t>Zjištění potřebnosti prostřednictvím dotazníkového šetření u pracovníků poskytující</w:t>
            </w:r>
            <w:r w:rsidR="00E213F4" w:rsidRPr="00A34764">
              <w:rPr>
                <w:rFonts w:eastAsia="Calibri"/>
              </w:rPr>
              <w:t>ch</w:t>
            </w:r>
            <w:r w:rsidRPr="00A34764">
              <w:rPr>
                <w:rFonts w:eastAsia="Calibri"/>
              </w:rPr>
              <w:t xml:space="preserve"> služby pro ohrožené rodiny s dětmi </w:t>
            </w:r>
          </w:p>
          <w:p w:rsidR="00FB1999" w:rsidRPr="00A34764" w:rsidRDefault="00FB1999" w:rsidP="00E136EF">
            <w:pPr>
              <w:pStyle w:val="Odstavecseseznamem"/>
              <w:numPr>
                <w:ilvl w:val="0"/>
                <w:numId w:val="106"/>
              </w:numPr>
              <w:spacing w:before="0" w:line="240" w:lineRule="auto"/>
              <w:rPr>
                <w:rFonts w:eastAsia="Calibri"/>
              </w:rPr>
            </w:pPr>
            <w:r w:rsidRPr="00A34764">
              <w:rPr>
                <w:rFonts w:eastAsia="Calibri"/>
              </w:rPr>
              <w:t>Analýza služeb pro děti nad 15 let poskytovaných v rámci ostatních krajů ČR</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Calibri"/>
                <w:b/>
              </w:rPr>
              <w:t>Rizika a ohrožení naplnění opatření</w:t>
            </w:r>
          </w:p>
        </w:tc>
        <w:tc>
          <w:tcPr>
            <w:tcW w:w="3673" w:type="pct"/>
          </w:tcPr>
          <w:p w:rsidR="00FB1999" w:rsidRPr="00A34764" w:rsidRDefault="00FB1999" w:rsidP="00E136EF">
            <w:pPr>
              <w:pStyle w:val="Odstavecseseznamem"/>
              <w:numPr>
                <w:ilvl w:val="0"/>
                <w:numId w:val="107"/>
              </w:numPr>
              <w:spacing w:before="0" w:line="240" w:lineRule="auto"/>
            </w:pPr>
            <w:r w:rsidRPr="00A34764">
              <w:t>Neprojevení zájmu o spolupráci při zjišťování potřebnosti prostřednictvím dotazníkového šetření u pracovníků ORP a poskytovatelů sociálních služeb</w:t>
            </w:r>
          </w:p>
          <w:p w:rsidR="00FB1999" w:rsidRPr="00A34764" w:rsidRDefault="00FB1999" w:rsidP="00E136EF">
            <w:pPr>
              <w:pStyle w:val="Odstavecseseznamem"/>
              <w:numPr>
                <w:ilvl w:val="0"/>
                <w:numId w:val="107"/>
              </w:numPr>
              <w:spacing w:before="0" w:line="240" w:lineRule="auto"/>
            </w:pPr>
            <w:r w:rsidRPr="00A34764">
              <w:t>Nezískání dat potřebných pro analýzu od ostatních krajů ČR</w:t>
            </w:r>
          </w:p>
          <w:p w:rsidR="00FB1999" w:rsidRPr="00A34764" w:rsidRDefault="00FB1999" w:rsidP="00E136EF">
            <w:pPr>
              <w:pStyle w:val="Odstavecseseznamem"/>
              <w:numPr>
                <w:ilvl w:val="0"/>
                <w:numId w:val="107"/>
              </w:numPr>
              <w:spacing w:before="0" w:line="240" w:lineRule="auto"/>
            </w:pPr>
            <w:r w:rsidRPr="00A34764">
              <w:t>Nedostatek lidských zdrojů</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Předpokládaní realizátoři </w:t>
            </w:r>
            <w:r w:rsidRPr="00E136EF">
              <w:rPr>
                <w:rFonts w:eastAsia="Arial Unicode MS"/>
                <w:b/>
                <w:lang w:eastAsia="cs-CZ"/>
              </w:rPr>
              <w:br/>
              <w:t>a partneři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Poskytovatelé sociálních služeb pro dané cílové skupiny osob, kraj, obce</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lastRenderedPageBreak/>
              <w:t>Časový harmonogram</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2024</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Předpokládané finanční zdroje</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 xml:space="preserve">Bez dopadu na rozpočet OK </w:t>
            </w:r>
          </w:p>
          <w:p w:rsidR="00FB1999" w:rsidRPr="00C400DE" w:rsidRDefault="00FB1999" w:rsidP="00E136EF">
            <w:pPr>
              <w:spacing w:before="0"/>
              <w:rPr>
                <w:rFonts w:eastAsia="Arial Unicode MS"/>
                <w:lang w:eastAsia="cs-CZ"/>
              </w:rPr>
            </w:pPr>
            <w:r w:rsidRPr="00C400DE">
              <w:rPr>
                <w:rFonts w:eastAsia="Arial Unicode MS"/>
                <w:lang w:eastAsia="cs-CZ"/>
              </w:rPr>
              <w:t>Veřejné zdroje, evropské zdroje a ostatní zdroje financování</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Hodnotící indikátory výstupů a výsledků</w:t>
            </w:r>
          </w:p>
        </w:tc>
        <w:tc>
          <w:tcPr>
            <w:tcW w:w="3673" w:type="pct"/>
          </w:tcPr>
          <w:p w:rsidR="00FB1999" w:rsidRPr="00A34764" w:rsidRDefault="00FB1999" w:rsidP="00E136EF">
            <w:pPr>
              <w:pStyle w:val="Odstavecseseznamem"/>
              <w:numPr>
                <w:ilvl w:val="0"/>
                <w:numId w:val="15"/>
              </w:numPr>
              <w:spacing w:before="0" w:line="240" w:lineRule="auto"/>
            </w:pPr>
            <w:r w:rsidRPr="00A34764">
              <w:t>Zajištění rozvoje sociální služby v daném regionu</w:t>
            </w:r>
          </w:p>
          <w:p w:rsidR="00FB1999" w:rsidRPr="00A34764" w:rsidRDefault="00FB1999" w:rsidP="00E136EF">
            <w:pPr>
              <w:pStyle w:val="Odstavecseseznamem"/>
              <w:numPr>
                <w:ilvl w:val="0"/>
                <w:numId w:val="15"/>
              </w:numPr>
              <w:spacing w:before="0" w:line="240" w:lineRule="auto"/>
            </w:pPr>
            <w:r w:rsidRPr="00A34764">
              <w:t>Aktualizace sítě sociálních služeb dle schválených změn</w:t>
            </w:r>
          </w:p>
        </w:tc>
      </w:tr>
      <w:tr w:rsidR="00FB1999" w:rsidRPr="00C400DE" w:rsidTr="00506AF9">
        <w:trPr>
          <w:trHeight w:val="397"/>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Kód opatření </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Arial Unicode MS"/>
                <w:b/>
                <w:lang w:eastAsia="cs-CZ"/>
              </w:rPr>
              <w:t>1.4.2</w:t>
            </w:r>
          </w:p>
        </w:tc>
      </w:tr>
      <w:tr w:rsidR="00FB1999" w:rsidRPr="00C400DE" w:rsidTr="00506AF9">
        <w:trPr>
          <w:trHeight w:val="397"/>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Název opatření</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Calibri"/>
                <w:b/>
              </w:rPr>
              <w:t>Návrh dalšího postupu dle výstupů na základě realizace opatření 1.4.1</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Charakteristika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Na základě zpracované analýzy potřeb a získaných dalších relevantních podkladů bude navržena realizace konkrétních kroků k zajištění služby pro cílovou skupinu osob od 15 do 18 let a od 18 do 26 let.</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Cílová skupina</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Děti 15</w:t>
            </w:r>
            <w:r w:rsidR="005F5026">
              <w:rPr>
                <w:rFonts w:eastAsia="Arial Unicode MS"/>
                <w:lang w:eastAsia="cs-CZ"/>
              </w:rPr>
              <w:t>–</w:t>
            </w:r>
            <w:r w:rsidRPr="00C400DE">
              <w:rPr>
                <w:rFonts w:eastAsia="Arial Unicode MS"/>
                <w:lang w:eastAsia="cs-CZ"/>
              </w:rPr>
              <w:t>18 let, mladí dospělí do 26 let</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Druh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Azylové domy,</w:t>
            </w:r>
            <w:r w:rsidR="001741DA">
              <w:rPr>
                <w:rFonts w:eastAsia="Arial Unicode MS"/>
                <w:lang w:eastAsia="cs-CZ"/>
              </w:rPr>
              <w:t xml:space="preserve"> sociální rehabilitace, domy na půl cesty pro osoby starší 18 let a</w:t>
            </w:r>
            <w:r w:rsidRPr="00C400DE">
              <w:rPr>
                <w:rFonts w:eastAsia="Arial Unicode MS"/>
                <w:lang w:eastAsia="cs-CZ"/>
              </w:rPr>
              <w:t xml:space="preserve"> ostatní služby, které nejsou uvedeny v zákoně o sociálních službách: krizové bydlení s terénní a ambulantní podporou SAS, a to dle zjištěné analýzy zpracované v rámci opatření 1.4.1</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Forma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Pobytová, terénní, ambulantní</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Vymezení územního dopadu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OK</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Předpokládaný dopad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Opatření má dopad na cílovou skupinu osob od 15 do 18 let na území OK, které neprošly z důvodu zanedbávání, týrání, sexuálního zneužívání nebo domácího násilí běžným vývojem a jejich rozumová a volní vyspělost je tím opožděná nebo dlouhodobou nepříznivou situací v rodině ovlivněná. Cílem opatření je zajistit těmto osobám kvalitní zázemí a takové podmínky, aby měly možnost s ohledem na rozumovou a volní vyspělost uplatnit svou svobodnou vůli a svá práva, tj. měly možnost samostatného bydlení, pomoci a podpory v nezávislém fungování na pečujících osobách. Služba by vytvářela podmínky pro rozvíjení dalších potřebných schopností a dovedností uživatelů tak, aby měli širší možnosti zapojení se do běžného života. Tím by došlo i ke snížení nákladů na další péči.</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Aktivity vedoucí k naplnění opatření </w:t>
            </w:r>
          </w:p>
        </w:tc>
        <w:tc>
          <w:tcPr>
            <w:tcW w:w="3673" w:type="pct"/>
          </w:tcPr>
          <w:p w:rsidR="00FB1999" w:rsidRPr="00A34764" w:rsidRDefault="00FB1999" w:rsidP="00E136EF">
            <w:pPr>
              <w:pStyle w:val="Odstavecseseznamem"/>
              <w:numPr>
                <w:ilvl w:val="0"/>
                <w:numId w:val="108"/>
              </w:numPr>
              <w:spacing w:before="0" w:line="240" w:lineRule="auto"/>
              <w:rPr>
                <w:rFonts w:eastAsia="Calibri"/>
              </w:rPr>
            </w:pPr>
            <w:r w:rsidRPr="00A34764">
              <w:rPr>
                <w:rFonts w:eastAsia="Calibri"/>
              </w:rPr>
              <w:t>Návrh zajištění služby pro cílovou skupinu osob od 15 do 18 let a do 18 do 26 let</w:t>
            </w:r>
          </w:p>
          <w:p w:rsidR="00FB1999" w:rsidRPr="00A34764" w:rsidRDefault="00FB1999" w:rsidP="00E136EF">
            <w:pPr>
              <w:pStyle w:val="Odstavecseseznamem"/>
              <w:numPr>
                <w:ilvl w:val="0"/>
                <w:numId w:val="108"/>
              </w:numPr>
              <w:spacing w:before="0" w:line="240" w:lineRule="auto"/>
              <w:rPr>
                <w:rFonts w:eastAsia="Calibri"/>
              </w:rPr>
            </w:pPr>
            <w:r w:rsidRPr="00A34764">
              <w:rPr>
                <w:rFonts w:eastAsia="Calibri"/>
              </w:rPr>
              <w:t>Dle výstupu z opatření 1.4.1: Projednání předloženého záměru s</w:t>
            </w:r>
            <w:r w:rsidR="00A70AA3">
              <w:rPr>
                <w:rFonts w:eastAsia="Calibri"/>
              </w:rPr>
              <w:t> </w:t>
            </w:r>
            <w:r w:rsidRPr="00A34764">
              <w:rPr>
                <w:rFonts w:eastAsia="Calibri"/>
              </w:rPr>
              <w:t>poskytovateli sociálních služeb vztahujícího se k aktualizaci stávající služby zařazené do sítě sociálních služeb v souladu se schválenými postupy pro aktualizaci sítě sociálních služeb OK na základě zjištěné potřebnosti nebo podání žádosti o zařazení nové služby do sítě služeb Olomouckého kraje, pronájem nebo koupě bytů</w:t>
            </w:r>
          </w:p>
          <w:p w:rsidR="00FB1999" w:rsidRPr="00A34764" w:rsidRDefault="00FB1999" w:rsidP="00E136EF">
            <w:pPr>
              <w:pStyle w:val="Odstavecseseznamem"/>
              <w:numPr>
                <w:ilvl w:val="0"/>
                <w:numId w:val="108"/>
              </w:numPr>
              <w:spacing w:before="0" w:line="240" w:lineRule="auto"/>
              <w:rPr>
                <w:rFonts w:eastAsia="Calibri"/>
              </w:rPr>
            </w:pPr>
            <w:r w:rsidRPr="00A34764">
              <w:rPr>
                <w:rFonts w:eastAsia="Calibri"/>
              </w:rPr>
              <w:t>Při vyjádření pozitivního stanoviska OK aktualizace sítě sociálních služeb dle schválených změn</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Calibri"/>
                <w:b/>
              </w:rPr>
              <w:t>Rizika a ohrožení naplnění opatření</w:t>
            </w:r>
          </w:p>
        </w:tc>
        <w:tc>
          <w:tcPr>
            <w:tcW w:w="3673" w:type="pct"/>
          </w:tcPr>
          <w:p w:rsidR="00FB1999" w:rsidRPr="00A34764" w:rsidRDefault="00FB1999" w:rsidP="00E136EF">
            <w:pPr>
              <w:pStyle w:val="Odstavecseseznamem"/>
              <w:numPr>
                <w:ilvl w:val="0"/>
                <w:numId w:val="109"/>
              </w:numPr>
              <w:spacing w:before="0" w:line="240" w:lineRule="auto"/>
            </w:pPr>
            <w:r w:rsidRPr="00A34764">
              <w:t>Neprojevení zájmu poskytovatelů stávajících služeb zařazených v síti sociálních služeb o plnění cíle a opatření</w:t>
            </w:r>
          </w:p>
          <w:p w:rsidR="00FB1999" w:rsidRPr="00A34764" w:rsidRDefault="00FB1999" w:rsidP="00E136EF">
            <w:pPr>
              <w:pStyle w:val="Odstavecseseznamem"/>
              <w:numPr>
                <w:ilvl w:val="0"/>
                <w:numId w:val="109"/>
              </w:numPr>
              <w:spacing w:before="0" w:line="240" w:lineRule="auto"/>
            </w:pPr>
            <w:r w:rsidRPr="00A34764">
              <w:t>Nesplnění kritérií dle Postupu pro aktualizaci sítě sociálních služeb OK vedoucí k neschválení žádosti poskytovatele</w:t>
            </w:r>
          </w:p>
          <w:p w:rsidR="00FB1999" w:rsidRPr="00A34764" w:rsidRDefault="00FB1999" w:rsidP="00E136EF">
            <w:pPr>
              <w:pStyle w:val="Odstavecseseznamem"/>
              <w:numPr>
                <w:ilvl w:val="0"/>
                <w:numId w:val="109"/>
              </w:numPr>
              <w:spacing w:before="0" w:line="240" w:lineRule="auto"/>
            </w:pPr>
            <w:r w:rsidRPr="00A34764">
              <w:t>Nesplnění podmínek registrace poskytovaných sociálních služeb</w:t>
            </w:r>
          </w:p>
          <w:p w:rsidR="00FB1999" w:rsidRPr="00A34764" w:rsidRDefault="00FB1999" w:rsidP="00E136EF">
            <w:pPr>
              <w:pStyle w:val="Odstavecseseznamem"/>
              <w:numPr>
                <w:ilvl w:val="0"/>
                <w:numId w:val="109"/>
              </w:numPr>
              <w:spacing w:before="0" w:line="240" w:lineRule="auto"/>
            </w:pPr>
            <w:r w:rsidRPr="00A34764">
              <w:t>Nedostatek lidských zdrojů</w:t>
            </w:r>
          </w:p>
          <w:p w:rsidR="00FB1999" w:rsidRPr="00A34764" w:rsidRDefault="00FB1999" w:rsidP="00E136EF">
            <w:pPr>
              <w:pStyle w:val="Odstavecseseznamem"/>
              <w:numPr>
                <w:ilvl w:val="0"/>
                <w:numId w:val="109"/>
              </w:numPr>
              <w:spacing w:before="0" w:line="240" w:lineRule="auto"/>
            </w:pPr>
            <w:r w:rsidRPr="00A34764">
              <w:t>Nedostatek finančních prostředků z veřejných zdrojů</w:t>
            </w:r>
          </w:p>
          <w:p w:rsidR="00FB1999" w:rsidRPr="00A34764" w:rsidRDefault="00FB1999" w:rsidP="00E136EF">
            <w:pPr>
              <w:pStyle w:val="Odstavecseseznamem"/>
              <w:numPr>
                <w:ilvl w:val="0"/>
                <w:numId w:val="109"/>
              </w:numPr>
              <w:spacing w:before="0" w:line="240" w:lineRule="auto"/>
            </w:pPr>
            <w:r w:rsidRPr="00A34764">
              <w:t>Legislativní změny</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lastRenderedPageBreak/>
              <w:t xml:space="preserve">Předpokládaní realizátoři </w:t>
            </w:r>
            <w:r w:rsidRPr="00E136EF">
              <w:rPr>
                <w:rFonts w:eastAsia="Arial Unicode MS"/>
                <w:b/>
                <w:lang w:eastAsia="cs-CZ"/>
              </w:rPr>
              <w:br/>
              <w:t>a partneři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Poskytovatelé sociálních služeb pro dané cílové skupiny osob, OK, obce</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Časový harmonogram</w:t>
            </w:r>
          </w:p>
        </w:tc>
        <w:tc>
          <w:tcPr>
            <w:tcW w:w="3673" w:type="pct"/>
          </w:tcPr>
          <w:p w:rsidR="00FB1999" w:rsidRPr="00C400DE" w:rsidRDefault="00E213F4" w:rsidP="00E136EF">
            <w:pPr>
              <w:spacing w:before="0"/>
              <w:rPr>
                <w:rFonts w:eastAsia="Arial Unicode MS"/>
                <w:lang w:eastAsia="cs-CZ"/>
              </w:rPr>
            </w:pPr>
            <w:r>
              <w:rPr>
                <w:rFonts w:eastAsia="Arial Unicode MS"/>
                <w:lang w:eastAsia="cs-CZ"/>
              </w:rPr>
              <w:t>2024–2026</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Předpokládané finanční zdroje</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Veřejné zdroje, evropské zdroje a ostatní zdroje financování</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Hodnotící indikátory výstupů a výsledků</w:t>
            </w:r>
          </w:p>
        </w:tc>
        <w:tc>
          <w:tcPr>
            <w:tcW w:w="3673" w:type="pct"/>
          </w:tcPr>
          <w:p w:rsidR="00FB1999" w:rsidRPr="00A34764" w:rsidRDefault="00FB1999" w:rsidP="00E136EF">
            <w:pPr>
              <w:pStyle w:val="Odstavecseseznamem"/>
              <w:numPr>
                <w:ilvl w:val="0"/>
                <w:numId w:val="15"/>
              </w:numPr>
              <w:spacing w:before="0" w:line="240" w:lineRule="auto"/>
            </w:pPr>
            <w:r w:rsidRPr="00A34764">
              <w:t>Zajištění rozvoje sociální služby pro cílovou skupinu osob od 15 do 18 let a od 18 do 26 let</w:t>
            </w:r>
          </w:p>
          <w:p w:rsidR="00FB1999" w:rsidRPr="00A34764" w:rsidRDefault="00FB1999" w:rsidP="00E136EF">
            <w:pPr>
              <w:pStyle w:val="Odstavecseseznamem"/>
              <w:numPr>
                <w:ilvl w:val="0"/>
                <w:numId w:val="15"/>
              </w:numPr>
              <w:spacing w:before="0" w:line="240" w:lineRule="auto"/>
            </w:pPr>
            <w:r w:rsidRPr="00A34764">
              <w:t>Aktualizace sítě sociálních služeb dle schválených změn</w:t>
            </w:r>
          </w:p>
        </w:tc>
      </w:tr>
    </w:tbl>
    <w:p w:rsidR="00FB1999" w:rsidRPr="00C400DE" w:rsidRDefault="00FB1999" w:rsidP="00E136EF">
      <w:pPr>
        <w:spacing w:before="0"/>
        <w:rPr>
          <w:rFonts w:eastAsia="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57"/>
      </w:tblGrid>
      <w:tr w:rsidR="00FB1999" w:rsidRPr="00C400DE" w:rsidTr="00506AF9">
        <w:trPr>
          <w:trHeight w:val="397"/>
          <w:jc w:val="center"/>
        </w:trPr>
        <w:tc>
          <w:tcPr>
            <w:tcW w:w="1327" w:type="pct"/>
            <w:shd w:val="clear" w:color="auto" w:fill="F4B083"/>
            <w:vAlign w:val="center"/>
          </w:tcPr>
          <w:p w:rsidR="00FB1999" w:rsidRPr="00E136EF" w:rsidRDefault="00FB1999" w:rsidP="00E136EF">
            <w:pPr>
              <w:spacing w:before="0"/>
              <w:jc w:val="left"/>
              <w:rPr>
                <w:rFonts w:eastAsia="Arial Unicode MS"/>
                <w:b/>
                <w:lang w:eastAsia="cs-CZ"/>
              </w:rPr>
            </w:pPr>
            <w:r w:rsidRPr="00E136EF">
              <w:rPr>
                <w:rFonts w:eastAsia="Arial Unicode MS"/>
                <w:b/>
                <w:lang w:eastAsia="cs-CZ"/>
              </w:rPr>
              <w:t>Cíl 1.5</w:t>
            </w:r>
          </w:p>
        </w:tc>
        <w:tc>
          <w:tcPr>
            <w:tcW w:w="3673" w:type="pct"/>
            <w:shd w:val="clear" w:color="auto" w:fill="F4B083"/>
          </w:tcPr>
          <w:p w:rsidR="00FB1999" w:rsidRPr="00E136EF" w:rsidRDefault="00FB1999" w:rsidP="00E136EF">
            <w:pPr>
              <w:spacing w:before="0"/>
              <w:rPr>
                <w:rFonts w:eastAsia="Arial Unicode MS"/>
                <w:b/>
                <w:lang w:eastAsia="cs-CZ"/>
              </w:rPr>
            </w:pPr>
            <w:r w:rsidRPr="00E136EF">
              <w:rPr>
                <w:rFonts w:eastAsia="Arial Unicode MS"/>
                <w:b/>
                <w:lang w:eastAsia="cs-CZ"/>
              </w:rPr>
              <w:t>Zajištění péče zejména pro děti do 3 let v návaznosti na legislativní změny v oblasti práce s ohroženými dětmi</w:t>
            </w:r>
          </w:p>
        </w:tc>
      </w:tr>
      <w:tr w:rsidR="00FB1999" w:rsidRPr="00C400DE" w:rsidTr="00506AF9">
        <w:trPr>
          <w:trHeight w:val="397"/>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Kód opatření </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Arial Unicode MS"/>
                <w:b/>
                <w:lang w:eastAsia="cs-CZ"/>
              </w:rPr>
              <w:t>1.5.1</w:t>
            </w:r>
          </w:p>
        </w:tc>
      </w:tr>
      <w:tr w:rsidR="00FB1999" w:rsidRPr="00C400DE" w:rsidTr="00506AF9">
        <w:trPr>
          <w:trHeight w:val="397"/>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Název opatření</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Calibri"/>
                <w:b/>
              </w:rPr>
              <w:t>Podpora inovativních terénních služeb pro ohrožené děti a rodiny</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Charakteristika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Opatření je zaměřeno na rozvoj takových ambulantních a terénních sociálních služeb, které svými opatřeními zaměřenými na ohrožené děti a</w:t>
            </w:r>
            <w:r w:rsidR="00A70AA3">
              <w:rPr>
                <w:rFonts w:eastAsia="Arial Unicode MS"/>
                <w:lang w:eastAsia="cs-CZ"/>
              </w:rPr>
              <w:t> </w:t>
            </w:r>
            <w:r w:rsidRPr="00C400DE">
              <w:rPr>
                <w:rFonts w:eastAsia="Arial Unicode MS"/>
                <w:lang w:eastAsia="cs-CZ"/>
              </w:rPr>
              <w:t xml:space="preserve">rodiny budou předcházet riziku umisťování dětí mimo svou rodinu, a to jak do náhradní rodinné péče, tak do péče pobytové. Podpora v rámci OPZ+ bude realizována prostřednictvím soutěžních výzev </w:t>
            </w:r>
            <w:r w:rsidRPr="00C400DE">
              <w:rPr>
                <w:rFonts w:eastAsia="Arial Unicode MS"/>
                <w:bCs/>
                <w:lang w:eastAsia="cs-CZ"/>
              </w:rPr>
              <w:t>Podpora a</w:t>
            </w:r>
            <w:r w:rsidR="00A70AA3">
              <w:rPr>
                <w:rFonts w:eastAsia="Arial Unicode MS"/>
                <w:bCs/>
                <w:lang w:eastAsia="cs-CZ"/>
              </w:rPr>
              <w:t> </w:t>
            </w:r>
            <w:r w:rsidRPr="00C400DE">
              <w:rPr>
                <w:rFonts w:eastAsia="Arial Unicode MS"/>
                <w:bCs/>
                <w:lang w:eastAsia="cs-CZ"/>
              </w:rPr>
              <w:t>rozvoj služeb pro ohrožené děti a rodiny a mladé dospělé; Podpora prevence řešení problémů v sociálně vyloučených lokalitách včetně podpory koordinovaného přístupu k sociálnímu vyloučení; Podpora sociálního bydlení</w:t>
            </w:r>
            <w:r w:rsidR="005F5026">
              <w:rPr>
                <w:rFonts w:eastAsia="Arial Unicode MS"/>
                <w:bCs/>
                <w:lang w:eastAsia="cs-CZ"/>
              </w:rPr>
              <w:t>.</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Cílová skupina</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Dospělé osoby nad 18 let</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Druh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SASRD, odbor</w:t>
            </w:r>
            <w:r w:rsidR="004E7E3A">
              <w:rPr>
                <w:rFonts w:eastAsia="Arial Unicode MS"/>
                <w:lang w:eastAsia="cs-CZ"/>
              </w:rPr>
              <w:t>né poradenství, NZDM, raná péče</w:t>
            </w:r>
            <w:r w:rsidRPr="00C400DE">
              <w:rPr>
                <w:rFonts w:eastAsia="Arial Unicode MS"/>
                <w:lang w:eastAsia="cs-CZ"/>
              </w:rPr>
              <w:t xml:space="preserve"> </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Forma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Ambulantní, terénní</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Vymezení územního dopadu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OK</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Předpokládaný dopad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Opatření má dopad na rodiny s dětmi v ORP, kde budou realizovány inovativní služby zaměřené na ohrožené rodiny s dětmi. Jedná se o rodiny, které budou podpořeny v rámci krizových situací. Tato cílová skupina bude mít zajištěnu odpovídající podporu při řešení nepříznivých sociálních situací souvisejících s nestabilní situací rodiny. Tímto opatřením bude stávající síť služeb doplněna o inovativní služby, jej</w:t>
            </w:r>
            <w:r w:rsidR="005F5026">
              <w:rPr>
                <w:rFonts w:eastAsia="Arial Unicode MS"/>
                <w:lang w:eastAsia="cs-CZ"/>
              </w:rPr>
              <w:t>ichž</w:t>
            </w:r>
            <w:r w:rsidRPr="00C400DE">
              <w:rPr>
                <w:rFonts w:eastAsia="Arial Unicode MS"/>
                <w:lang w:eastAsia="cs-CZ"/>
              </w:rPr>
              <w:t xml:space="preserve"> cílem je předcházení umisťování dětí do náhradního výchovného prostředí. </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Aktivity vedoucí k naplnění opatření </w:t>
            </w:r>
          </w:p>
        </w:tc>
        <w:tc>
          <w:tcPr>
            <w:tcW w:w="3673" w:type="pct"/>
          </w:tcPr>
          <w:p w:rsidR="00FB1999" w:rsidRPr="00A34764" w:rsidRDefault="00FB1999" w:rsidP="00E136EF">
            <w:pPr>
              <w:pStyle w:val="Odstavecseseznamem"/>
              <w:numPr>
                <w:ilvl w:val="0"/>
                <w:numId w:val="110"/>
              </w:numPr>
              <w:spacing w:before="0" w:line="240" w:lineRule="auto"/>
              <w:rPr>
                <w:rFonts w:eastAsia="Calibri"/>
              </w:rPr>
            </w:pPr>
            <w:r w:rsidRPr="00A34764">
              <w:rPr>
                <w:rFonts w:eastAsia="Calibri"/>
              </w:rPr>
              <w:t>Projekty NNO, příspěvkových organizací a obcí na podporu služeb komunitního charakteru pro ohrožené děti a rodiny</w:t>
            </w:r>
          </w:p>
          <w:p w:rsidR="00FB1999" w:rsidRPr="00A34764" w:rsidRDefault="00FB1999" w:rsidP="00E136EF">
            <w:pPr>
              <w:pStyle w:val="Odstavecseseznamem"/>
              <w:numPr>
                <w:ilvl w:val="0"/>
                <w:numId w:val="110"/>
              </w:numPr>
              <w:spacing w:before="0" w:line="240" w:lineRule="auto"/>
              <w:rPr>
                <w:rFonts w:eastAsia="Calibri"/>
              </w:rPr>
            </w:pPr>
            <w:r w:rsidRPr="00A34764">
              <w:rPr>
                <w:rFonts w:eastAsia="Calibri"/>
              </w:rPr>
              <w:t>Projekty NNO, příspěvkových organizací a obcí na podporu služeb prevence odebrání dítěte z rodiny a včasné identifikace ohroženého dítěte, podpora multidisciplinární spolupráce v dané oblasti a území</w:t>
            </w:r>
          </w:p>
          <w:p w:rsidR="00FB1999" w:rsidRPr="00A34764" w:rsidRDefault="00FB1999" w:rsidP="00E136EF">
            <w:pPr>
              <w:pStyle w:val="Odstavecseseznamem"/>
              <w:numPr>
                <w:ilvl w:val="0"/>
                <w:numId w:val="110"/>
              </w:numPr>
              <w:spacing w:before="0" w:line="240" w:lineRule="auto"/>
              <w:rPr>
                <w:rFonts w:eastAsia="Calibri"/>
              </w:rPr>
            </w:pPr>
            <w:r w:rsidRPr="00A34764">
              <w:rPr>
                <w:rFonts w:eastAsia="Calibri"/>
              </w:rPr>
              <w:t>Projekty NNO, příspěvkových organizací a obcí na rozvoj náhradní rodinné péče</w:t>
            </w:r>
          </w:p>
          <w:p w:rsidR="00FB1999" w:rsidRPr="00A34764" w:rsidRDefault="00FB1999" w:rsidP="00E136EF">
            <w:pPr>
              <w:pStyle w:val="Odstavecseseznamem"/>
              <w:numPr>
                <w:ilvl w:val="0"/>
                <w:numId w:val="110"/>
              </w:numPr>
              <w:spacing w:before="0" w:line="240" w:lineRule="auto"/>
              <w:rPr>
                <w:rFonts w:eastAsia="Calibri"/>
              </w:rPr>
            </w:pPr>
            <w:r w:rsidRPr="00A34764">
              <w:rPr>
                <w:rFonts w:eastAsia="Calibri"/>
              </w:rPr>
              <w:t>Projekty NNO, příspěvkových organizací a obcí na rozvoj aktivit směřující</w:t>
            </w:r>
            <w:r w:rsidR="005F5026" w:rsidRPr="00A34764">
              <w:rPr>
                <w:rFonts w:eastAsia="Calibri"/>
              </w:rPr>
              <w:t>ch</w:t>
            </w:r>
            <w:r w:rsidRPr="00A34764">
              <w:rPr>
                <w:rFonts w:eastAsia="Calibri"/>
              </w:rPr>
              <w:t xml:space="preserve"> k podpoře mladých dospělých z ústavní péče při vstupu do samostatného života</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Calibri"/>
                <w:b/>
              </w:rPr>
              <w:t>Rizika a ohrožení naplnění opatření</w:t>
            </w:r>
          </w:p>
        </w:tc>
        <w:tc>
          <w:tcPr>
            <w:tcW w:w="3673" w:type="pct"/>
          </w:tcPr>
          <w:p w:rsidR="00FB1999" w:rsidRPr="00A34764" w:rsidRDefault="00FB1999" w:rsidP="00E136EF">
            <w:pPr>
              <w:pStyle w:val="Odstavecseseznamem"/>
              <w:numPr>
                <w:ilvl w:val="0"/>
                <w:numId w:val="113"/>
              </w:numPr>
              <w:spacing w:before="0" w:line="240" w:lineRule="auto"/>
            </w:pPr>
            <w:r w:rsidRPr="00A34764">
              <w:t>Neprojevení zájmu oprávněných žadatelů o uvedené výzvy</w:t>
            </w:r>
          </w:p>
          <w:p w:rsidR="00FB1999" w:rsidRPr="00A34764" w:rsidRDefault="00FB1999" w:rsidP="00E136EF">
            <w:pPr>
              <w:pStyle w:val="Odstavecseseznamem"/>
              <w:numPr>
                <w:ilvl w:val="0"/>
                <w:numId w:val="113"/>
              </w:numPr>
              <w:spacing w:before="0" w:line="240" w:lineRule="auto"/>
            </w:pPr>
            <w:r w:rsidRPr="00A34764">
              <w:t>Nedostatek odborného personálu na zajištění projektů v rámci uvedených výzev</w:t>
            </w:r>
          </w:p>
          <w:p w:rsidR="00FB1999" w:rsidRPr="00A34764" w:rsidRDefault="00FB1999" w:rsidP="00E136EF">
            <w:pPr>
              <w:pStyle w:val="Odstavecseseznamem"/>
              <w:numPr>
                <w:ilvl w:val="0"/>
                <w:numId w:val="113"/>
              </w:numPr>
              <w:spacing w:before="0" w:line="240" w:lineRule="auto"/>
            </w:pPr>
            <w:r w:rsidRPr="00A34764">
              <w:t>Nedostatek lidských zdrojů</w:t>
            </w:r>
          </w:p>
          <w:p w:rsidR="00FB1999" w:rsidRPr="00A34764" w:rsidRDefault="00FB1999" w:rsidP="00E136EF">
            <w:pPr>
              <w:pStyle w:val="Odstavecseseznamem"/>
              <w:numPr>
                <w:ilvl w:val="0"/>
                <w:numId w:val="113"/>
              </w:numPr>
              <w:spacing w:before="0" w:line="240" w:lineRule="auto"/>
            </w:pPr>
            <w:r w:rsidRPr="00A34764">
              <w:lastRenderedPageBreak/>
              <w:t>Změny ve vyhlášených výzvách související s nedostatkem finančních prostředků z veřejných zdrojů</w:t>
            </w:r>
          </w:p>
          <w:p w:rsidR="00FB1999" w:rsidRPr="00A34764" w:rsidRDefault="00FB1999" w:rsidP="00E136EF">
            <w:pPr>
              <w:pStyle w:val="Odstavecseseznamem"/>
              <w:numPr>
                <w:ilvl w:val="0"/>
                <w:numId w:val="113"/>
              </w:numPr>
              <w:spacing w:before="0" w:line="240" w:lineRule="auto"/>
            </w:pPr>
            <w:r w:rsidRPr="00A34764">
              <w:t>Legislativní změny</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lastRenderedPageBreak/>
              <w:t xml:space="preserve">Předpokládaní realizátoři </w:t>
            </w:r>
            <w:r w:rsidRPr="00E136EF">
              <w:rPr>
                <w:rFonts w:eastAsia="Arial Unicode MS"/>
                <w:b/>
                <w:lang w:eastAsia="cs-CZ"/>
              </w:rPr>
              <w:br/>
              <w:t>a partneři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 xml:space="preserve">NNO, poskytovatelé sociálních služeb, příspěvkové organizace, obce, městské části </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Časový harmonogram</w:t>
            </w:r>
          </w:p>
        </w:tc>
        <w:tc>
          <w:tcPr>
            <w:tcW w:w="3673" w:type="pct"/>
          </w:tcPr>
          <w:p w:rsidR="00FB1999" w:rsidRPr="00C400DE" w:rsidRDefault="00E213F4" w:rsidP="00E136EF">
            <w:pPr>
              <w:spacing w:before="0"/>
              <w:rPr>
                <w:rFonts w:eastAsia="Arial Unicode MS"/>
                <w:lang w:eastAsia="cs-CZ"/>
              </w:rPr>
            </w:pPr>
            <w:r>
              <w:rPr>
                <w:rFonts w:eastAsia="Arial Unicode MS"/>
                <w:lang w:eastAsia="cs-CZ"/>
              </w:rPr>
              <w:t>2024–2026</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Předpokládané finanční zdroje</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Veřejné zdroje, evropské zdroje a ostatní zdroje financování</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Hodnotící indikátory výstupů a výsledků</w:t>
            </w:r>
          </w:p>
        </w:tc>
        <w:tc>
          <w:tcPr>
            <w:tcW w:w="3673" w:type="pct"/>
          </w:tcPr>
          <w:p w:rsidR="00FB1999" w:rsidRPr="00A34764" w:rsidRDefault="00FB1999" w:rsidP="00E136EF">
            <w:pPr>
              <w:pStyle w:val="Odstavecseseznamem"/>
              <w:numPr>
                <w:ilvl w:val="0"/>
                <w:numId w:val="15"/>
              </w:numPr>
              <w:spacing w:before="0" w:line="240" w:lineRule="auto"/>
            </w:pPr>
            <w:r w:rsidRPr="00A34764">
              <w:t xml:space="preserve">Zajištění vzniku a rozvoje inovativních služeb pro ohrožené rodiny s dětmi </w:t>
            </w:r>
          </w:p>
          <w:p w:rsidR="004854CB" w:rsidRPr="00A34764" w:rsidRDefault="00FB1999" w:rsidP="00E136EF">
            <w:pPr>
              <w:pStyle w:val="Odstavecseseznamem"/>
              <w:numPr>
                <w:ilvl w:val="0"/>
                <w:numId w:val="15"/>
              </w:numPr>
              <w:spacing w:before="0" w:line="240" w:lineRule="auto"/>
            </w:pPr>
            <w:r w:rsidRPr="00A34764">
              <w:t>Aktualizace sítě sociálních služeb na základě doložených a ověřených výstupů z inovativních projektů</w:t>
            </w:r>
          </w:p>
        </w:tc>
      </w:tr>
      <w:tr w:rsidR="00FB1999" w:rsidRPr="00C400DE" w:rsidTr="00506AF9">
        <w:trPr>
          <w:trHeight w:val="397"/>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Kód opatření </w:t>
            </w:r>
          </w:p>
        </w:tc>
        <w:tc>
          <w:tcPr>
            <w:tcW w:w="3673" w:type="pct"/>
            <w:shd w:val="clear" w:color="auto" w:fill="E2EFD9"/>
          </w:tcPr>
          <w:p w:rsidR="00FB1999" w:rsidRPr="00E136EF" w:rsidRDefault="004854CB" w:rsidP="00E136EF">
            <w:pPr>
              <w:spacing w:before="0"/>
              <w:rPr>
                <w:rFonts w:eastAsia="Arial Unicode MS"/>
                <w:b/>
                <w:lang w:eastAsia="cs-CZ"/>
              </w:rPr>
            </w:pPr>
            <w:r w:rsidRPr="00E136EF">
              <w:rPr>
                <w:rFonts w:eastAsia="Arial Unicode MS"/>
                <w:b/>
                <w:lang w:eastAsia="cs-CZ"/>
              </w:rPr>
              <w:t>1.5.2</w:t>
            </w:r>
          </w:p>
        </w:tc>
      </w:tr>
      <w:tr w:rsidR="00FB1999" w:rsidRPr="00C400DE" w:rsidTr="00506AF9">
        <w:trPr>
          <w:trHeight w:val="397"/>
          <w:jc w:val="center"/>
        </w:trPr>
        <w:tc>
          <w:tcPr>
            <w:tcW w:w="1327" w:type="pct"/>
            <w:shd w:val="clear" w:color="auto" w:fill="E2EFD9"/>
          </w:tcPr>
          <w:p w:rsidR="00FB1999" w:rsidRPr="00E136EF" w:rsidRDefault="00FB1999" w:rsidP="00E136EF">
            <w:pPr>
              <w:spacing w:before="0"/>
              <w:jc w:val="left"/>
              <w:rPr>
                <w:rFonts w:eastAsia="Arial Unicode MS"/>
                <w:b/>
                <w:lang w:eastAsia="cs-CZ"/>
              </w:rPr>
            </w:pPr>
            <w:r w:rsidRPr="00E136EF">
              <w:rPr>
                <w:rFonts w:eastAsia="Arial Unicode MS"/>
                <w:b/>
                <w:lang w:eastAsia="cs-CZ"/>
              </w:rPr>
              <w:t>Název opatření</w:t>
            </w:r>
          </w:p>
        </w:tc>
        <w:tc>
          <w:tcPr>
            <w:tcW w:w="3673" w:type="pct"/>
            <w:shd w:val="clear" w:color="auto" w:fill="E2EFD9"/>
          </w:tcPr>
          <w:p w:rsidR="00FB1999" w:rsidRPr="00E136EF" w:rsidRDefault="00FB1999" w:rsidP="00E136EF">
            <w:pPr>
              <w:spacing w:before="0"/>
              <w:rPr>
                <w:rFonts w:eastAsia="Arial Unicode MS"/>
                <w:b/>
                <w:lang w:eastAsia="cs-CZ"/>
              </w:rPr>
            </w:pPr>
            <w:r w:rsidRPr="00E136EF">
              <w:rPr>
                <w:rFonts w:eastAsia="Arial Unicode MS"/>
                <w:b/>
                <w:lang w:eastAsia="cs-CZ"/>
              </w:rPr>
              <w:t xml:space="preserve">Zajištění potřebného rozsahu ambulantní a terénní formy služby sociální rehabilitace pro rodiny s dětmi s ohroženým příznivým vývojem v důsledku nepříznivé sociální situace rodiny a osoby s mentálním a kombinovaným postižením, osoby s tělesným postižením, </w:t>
            </w:r>
            <w:r w:rsidR="00B30496">
              <w:rPr>
                <w:rFonts w:eastAsia="Arial Unicode MS"/>
                <w:b/>
                <w:lang w:eastAsia="cs-CZ"/>
              </w:rPr>
              <w:t>osoby se zrakovým postižením 5</w:t>
            </w:r>
            <w:r w:rsidRPr="00E136EF">
              <w:rPr>
                <w:rFonts w:eastAsia="Arial Unicode MS"/>
                <w:b/>
                <w:lang w:eastAsia="cs-CZ"/>
              </w:rPr>
              <w:t xml:space="preserve"> pracovními úvazky pracovníků v přímé péči </w:t>
            </w:r>
            <w:r w:rsidR="00E74ED9" w:rsidRPr="00E136EF">
              <w:rPr>
                <w:rFonts w:eastAsia="Arial Unicode MS"/>
                <w:b/>
                <w:lang w:eastAsia="cs-CZ"/>
              </w:rPr>
              <w:t>v</w:t>
            </w:r>
            <w:r w:rsidR="003D7455" w:rsidRPr="00E136EF">
              <w:rPr>
                <w:rFonts w:eastAsia="Arial Unicode MS"/>
                <w:b/>
                <w:lang w:eastAsia="cs-CZ"/>
              </w:rPr>
              <w:t> </w:t>
            </w:r>
            <w:r w:rsidRPr="00E136EF">
              <w:rPr>
                <w:rFonts w:eastAsia="Arial Unicode MS"/>
                <w:b/>
                <w:lang w:eastAsia="cs-CZ"/>
              </w:rPr>
              <w:t>OK</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Charakteristika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Opatření směřuje k zajištění ambulantní a terénní formy služby sociální rehabilitace pro rodiny s dětmi s ohroženým příznivým vývojem v</w:t>
            </w:r>
            <w:r w:rsidR="00A70AA3">
              <w:rPr>
                <w:rFonts w:eastAsia="Arial Unicode MS"/>
                <w:lang w:eastAsia="cs-CZ"/>
              </w:rPr>
              <w:t> </w:t>
            </w:r>
            <w:r w:rsidRPr="00C400DE">
              <w:rPr>
                <w:rFonts w:eastAsia="Arial Unicode MS"/>
                <w:lang w:eastAsia="cs-CZ"/>
              </w:rPr>
              <w:t>důsledku nepříznivé sociální situace rodiny a osoby s mentálním a</w:t>
            </w:r>
            <w:r w:rsidR="00A70AA3">
              <w:rPr>
                <w:rFonts w:eastAsia="Arial Unicode MS"/>
                <w:lang w:eastAsia="cs-CZ"/>
              </w:rPr>
              <w:t> </w:t>
            </w:r>
            <w:r w:rsidRPr="00C400DE">
              <w:rPr>
                <w:rFonts w:eastAsia="Arial Unicode MS"/>
                <w:lang w:eastAsia="cs-CZ"/>
              </w:rPr>
              <w:t>kombinovaným postižením, osoby s tělesným postižením, osoby se zrakovým postižením</w:t>
            </w:r>
            <w:r w:rsidR="00066C8A">
              <w:rPr>
                <w:rFonts w:eastAsia="Arial Unicode MS"/>
                <w:lang w:eastAsia="cs-CZ"/>
              </w:rPr>
              <w:t>,</w:t>
            </w:r>
            <w:r w:rsidRPr="00C400DE">
              <w:rPr>
                <w:rFonts w:eastAsia="Arial Unicode MS"/>
                <w:b/>
                <w:lang w:eastAsia="cs-CZ"/>
              </w:rPr>
              <w:t xml:space="preserve"> </w:t>
            </w:r>
            <w:r w:rsidRPr="00C400DE">
              <w:rPr>
                <w:rFonts w:eastAsia="Arial Unicode MS"/>
                <w:lang w:eastAsia="cs-CZ"/>
              </w:rPr>
              <w:t xml:space="preserve">na území, kde se vyskytla poptávka po službě pro uvedené cílové skupiny </w:t>
            </w:r>
            <w:r w:rsidR="005F5026">
              <w:rPr>
                <w:rFonts w:eastAsia="Arial Unicode MS"/>
                <w:lang w:eastAsia="cs-CZ"/>
              </w:rPr>
              <w:t>(</w:t>
            </w:r>
            <w:r w:rsidRPr="00C400DE">
              <w:rPr>
                <w:rFonts w:eastAsia="Arial Unicode MS"/>
                <w:lang w:eastAsia="cs-CZ"/>
              </w:rPr>
              <w:t>rodiče dětí ve věku 0</w:t>
            </w:r>
            <w:r w:rsidR="005F5026">
              <w:rPr>
                <w:rFonts w:eastAsia="Arial Unicode MS"/>
                <w:lang w:eastAsia="cs-CZ"/>
              </w:rPr>
              <w:t>–</w:t>
            </w:r>
            <w:r w:rsidRPr="00C400DE">
              <w:rPr>
                <w:rFonts w:eastAsia="Arial Unicode MS"/>
                <w:lang w:eastAsia="cs-CZ"/>
              </w:rPr>
              <w:t>18 s kombinovaným postižením</w:t>
            </w:r>
            <w:r w:rsidR="00304487">
              <w:rPr>
                <w:rFonts w:eastAsia="Arial Unicode MS"/>
                <w:lang w:eastAsia="cs-CZ"/>
              </w:rPr>
              <w:t>),</w:t>
            </w:r>
            <w:r w:rsidRPr="00C400DE">
              <w:rPr>
                <w:rFonts w:eastAsia="Arial Unicode MS"/>
                <w:lang w:eastAsia="cs-CZ"/>
              </w:rPr>
              <w:t xml:space="preserve"> na základě zjištěné potřebnosti na území OK (zajištění služby sociální rehabilitace v ambulantní a terénní formě pro rodiny s dítětem/dětmi s kombinovaným postižením v počtu 5 pracovních úvazků pracovníků v přímé péči působící na území OK). Opatření je směřováno na zajištění sociální služby sociální rehabilitace</w:t>
            </w:r>
            <w:r w:rsidRPr="00C400DE">
              <w:rPr>
                <w:rFonts w:ascii="Arial" w:eastAsia="Calibri" w:hAnsi="Arial" w:cs="Arial"/>
                <w:shd w:val="clear" w:color="auto" w:fill="FFFFFF"/>
              </w:rPr>
              <w:t xml:space="preserve"> </w:t>
            </w:r>
            <w:r w:rsidRPr="00C400DE">
              <w:rPr>
                <w:rFonts w:eastAsia="Arial Unicode MS"/>
                <w:lang w:eastAsia="cs-CZ"/>
              </w:rPr>
              <w:t>takovou formou, aby došlo ke zkvalitnění života dětí a mladých dospělých se zdravotním postižením, včetně dětí s poruchou autistického spektra a ADHD, či s podezřením na tyto diagnózy</w:t>
            </w:r>
            <w:r w:rsidR="00066C8A">
              <w:rPr>
                <w:rFonts w:eastAsia="Arial Unicode MS"/>
                <w:lang w:eastAsia="cs-CZ"/>
              </w:rPr>
              <w:t>,</w:t>
            </w:r>
            <w:r w:rsidRPr="00C400DE">
              <w:rPr>
                <w:rFonts w:eastAsia="Arial Unicode MS"/>
                <w:lang w:eastAsia="cs-CZ"/>
              </w:rPr>
              <w:t xml:space="preserve"> a to poskytováním činností, které vedou k jejich vyšší samostatnosti, nezávislosti a soběstačnosti. Cílem sociální rehabilitace je, aby byl uživatel schopen sám, popř. s co nejmenší mírou podpory</w:t>
            </w:r>
            <w:r w:rsidR="00066C8A">
              <w:rPr>
                <w:rFonts w:eastAsia="Arial Unicode MS"/>
                <w:lang w:eastAsia="cs-CZ"/>
              </w:rPr>
              <w:t>,</w:t>
            </w:r>
            <w:r w:rsidRPr="00C400DE">
              <w:rPr>
                <w:rFonts w:eastAsia="Arial Unicode MS"/>
                <w:lang w:eastAsia="cs-CZ"/>
              </w:rPr>
              <w:t xml:space="preserve"> se o sebe postarat, orientovat se v běžných sociálních situacích, účelně trávit svůj volný čas a samostatně pracovat.</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Cílová skupina</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Rodiny s dítětem/dětmi – s ohroženým příznivým vývojem v důsledku nepříznivé sociální situace rodiny; vedoucí rizikový způsob života nebo jsou tímto způsobem života ohroženy</w:t>
            </w:r>
          </w:p>
          <w:p w:rsidR="00FB1999" w:rsidRPr="00C400DE" w:rsidRDefault="00FB1999" w:rsidP="00E136EF">
            <w:pPr>
              <w:spacing w:before="0"/>
              <w:rPr>
                <w:rFonts w:eastAsia="Arial Unicode MS"/>
                <w:lang w:eastAsia="cs-CZ"/>
              </w:rPr>
            </w:pPr>
            <w:r w:rsidRPr="00C400DE">
              <w:rPr>
                <w:rFonts w:eastAsia="Arial Unicode MS"/>
                <w:lang w:eastAsia="cs-CZ"/>
              </w:rPr>
              <w:t>Osoby s kombinovaným postižením</w:t>
            </w:r>
          </w:p>
          <w:p w:rsidR="00FB1999" w:rsidRPr="00C400DE" w:rsidRDefault="00FB1999" w:rsidP="00E136EF">
            <w:pPr>
              <w:spacing w:before="0"/>
              <w:rPr>
                <w:rFonts w:eastAsia="Arial Unicode MS"/>
                <w:lang w:eastAsia="cs-CZ"/>
              </w:rPr>
            </w:pPr>
            <w:r w:rsidRPr="00C400DE">
              <w:rPr>
                <w:rFonts w:eastAsia="Arial Unicode MS"/>
                <w:lang w:eastAsia="cs-CZ"/>
              </w:rPr>
              <w:t>Děti od 0 do 18 let</w:t>
            </w:r>
          </w:p>
          <w:p w:rsidR="00FB1999" w:rsidRPr="00C400DE" w:rsidRDefault="00FB1999" w:rsidP="00E136EF">
            <w:pPr>
              <w:spacing w:before="0"/>
              <w:rPr>
                <w:rFonts w:eastAsia="Arial Unicode MS"/>
                <w:lang w:eastAsia="cs-CZ"/>
              </w:rPr>
            </w:pPr>
            <w:r w:rsidRPr="00C400DE">
              <w:rPr>
                <w:rFonts w:eastAsia="Arial Unicode MS"/>
                <w:lang w:eastAsia="cs-CZ"/>
              </w:rPr>
              <w:t>Dospělí 18–64 let</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Druh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Sociální rehabilitace</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Forma služby</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Ambulantní, terénní</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Vymezení územního dopadu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OK</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Předpokládaný dopad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 xml:space="preserve">Opatření má dopad na zajištění poptávky po ambulantní a terénní formě služby sociální rehabilitace pro osoby s kombinovaným postižením </w:t>
            </w:r>
            <w:r w:rsidRPr="00C400DE">
              <w:rPr>
                <w:rFonts w:eastAsia="Arial Unicode MS"/>
                <w:lang w:eastAsia="cs-CZ"/>
              </w:rPr>
              <w:lastRenderedPageBreak/>
              <w:t>v</w:t>
            </w:r>
            <w:r w:rsidR="00A70AA3">
              <w:rPr>
                <w:rFonts w:eastAsia="Arial Unicode MS"/>
                <w:lang w:eastAsia="cs-CZ"/>
              </w:rPr>
              <w:t> </w:t>
            </w:r>
            <w:r w:rsidRPr="00C400DE">
              <w:rPr>
                <w:rFonts w:eastAsia="Arial Unicode MS"/>
                <w:lang w:eastAsia="cs-CZ"/>
              </w:rPr>
              <w:t>rozsahu základních činností daných registrací služby na území OK (opatření má dopad na rodiny s dítětem/dětmi s kombinovaným postižením, kterým bude zajištěna odpovídající podpora ambulantní a</w:t>
            </w:r>
            <w:r w:rsidR="00A70AA3">
              <w:rPr>
                <w:rFonts w:eastAsia="Arial Unicode MS"/>
                <w:lang w:eastAsia="cs-CZ"/>
              </w:rPr>
              <w:t> </w:t>
            </w:r>
            <w:r w:rsidRPr="00C400DE">
              <w:rPr>
                <w:rFonts w:eastAsia="Arial Unicode MS"/>
                <w:lang w:eastAsia="cs-CZ"/>
              </w:rPr>
              <w:t>terénní formy služby sociální rehabilitace v rozsahu základních činností daných její registrací. Tímto opatřením budou zajištěny služby na území OK v kapacitě ambulantní formy pro 2 rodiny s dítětem/dětmi denně a</w:t>
            </w:r>
            <w:r w:rsidR="00A70AA3">
              <w:rPr>
                <w:rFonts w:eastAsia="Arial Unicode MS"/>
                <w:lang w:eastAsia="cs-CZ"/>
              </w:rPr>
              <w:t> </w:t>
            </w:r>
            <w:r w:rsidRPr="00C400DE">
              <w:rPr>
                <w:rFonts w:eastAsia="Arial Unicode MS"/>
                <w:lang w:eastAsia="cs-CZ"/>
              </w:rPr>
              <w:t>terénní formy pro 2 rodiny s dítětem/dětmi denně tak, aby byla pokryta poptávka po službě. Zajištění služby povede ke zkvalitnění života osob s</w:t>
            </w:r>
            <w:r w:rsidR="00A70AA3">
              <w:rPr>
                <w:rFonts w:eastAsia="Arial Unicode MS"/>
                <w:lang w:eastAsia="cs-CZ"/>
              </w:rPr>
              <w:t> </w:t>
            </w:r>
            <w:r w:rsidRPr="00C400DE">
              <w:rPr>
                <w:rFonts w:eastAsia="Arial Unicode MS"/>
                <w:lang w:eastAsia="cs-CZ"/>
              </w:rPr>
              <w:t>kombinovaným postižením, včetně osob s poruchou autistického spektra a ADHD, či s podezřením na tyto diagnózy</w:t>
            </w:r>
            <w:r w:rsidR="00066C8A">
              <w:rPr>
                <w:rFonts w:eastAsia="Arial Unicode MS"/>
                <w:lang w:eastAsia="cs-CZ"/>
              </w:rPr>
              <w:t>,</w:t>
            </w:r>
            <w:r w:rsidRPr="00C400DE">
              <w:rPr>
                <w:rFonts w:eastAsia="Arial Unicode MS"/>
                <w:lang w:eastAsia="cs-CZ"/>
              </w:rPr>
              <w:t xml:space="preserve"> a to zajištěním činností vedoucích k nácviku odpovídajících dovedností a schopností rodiny s dítětem/dětmi, které vedou k jejich vyšší samostatnosti, nezávislosti a</w:t>
            </w:r>
            <w:r w:rsidR="00A70AA3">
              <w:rPr>
                <w:rFonts w:eastAsia="Arial Unicode MS"/>
                <w:lang w:eastAsia="cs-CZ"/>
              </w:rPr>
              <w:t> </w:t>
            </w:r>
            <w:r w:rsidRPr="00C400DE">
              <w:rPr>
                <w:rFonts w:eastAsia="Arial Unicode MS"/>
                <w:lang w:eastAsia="cs-CZ"/>
              </w:rPr>
              <w:t>soběstačnosti, podpoří rodinu s dítětem/dětmi orientovat se v běžných sociálních situacích, účelně trávit svůj volný čas a samostatně pracovat.</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lastRenderedPageBreak/>
              <w:t xml:space="preserve">Aktivity vedoucí k naplnění opatření </w:t>
            </w:r>
          </w:p>
        </w:tc>
        <w:tc>
          <w:tcPr>
            <w:tcW w:w="3673" w:type="pct"/>
          </w:tcPr>
          <w:p w:rsidR="00FB1999" w:rsidRPr="00A34764" w:rsidRDefault="00FB1999" w:rsidP="00E136EF">
            <w:pPr>
              <w:pStyle w:val="Odstavecseseznamem"/>
              <w:numPr>
                <w:ilvl w:val="0"/>
                <w:numId w:val="115"/>
              </w:numPr>
              <w:spacing w:before="0" w:line="240" w:lineRule="auto"/>
              <w:rPr>
                <w:rFonts w:eastAsia="Calibri"/>
              </w:rPr>
            </w:pPr>
            <w:r w:rsidRPr="00A34764">
              <w:rPr>
                <w:rFonts w:eastAsia="Calibri"/>
              </w:rPr>
              <w:t>Projednání předloženého záměru poskytovatele sociálních služeb v souladu se schválenými postupy pro aktualizaci sítě sociálních služeb OK</w:t>
            </w:r>
          </w:p>
          <w:p w:rsidR="00FB1999" w:rsidRPr="00A34764" w:rsidRDefault="00FB1999" w:rsidP="00E136EF">
            <w:pPr>
              <w:pStyle w:val="Odstavecseseznamem"/>
              <w:numPr>
                <w:ilvl w:val="0"/>
                <w:numId w:val="115"/>
              </w:numPr>
              <w:spacing w:before="0" w:line="240" w:lineRule="auto"/>
              <w:rPr>
                <w:rFonts w:eastAsia="Calibri"/>
              </w:rPr>
            </w:pPr>
            <w:r w:rsidRPr="00A34764">
              <w:rPr>
                <w:rFonts w:eastAsia="Calibri"/>
              </w:rPr>
              <w:t>Při vyjádření pozitivního stanoviska OK aktualizace sítě sociálních služeb dle schválených změn</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Calibri"/>
                <w:b/>
              </w:rPr>
              <w:t>Rizika a ohrožení naplnění opatření</w:t>
            </w:r>
          </w:p>
        </w:tc>
        <w:tc>
          <w:tcPr>
            <w:tcW w:w="3673" w:type="pct"/>
          </w:tcPr>
          <w:p w:rsidR="00FB1999" w:rsidRPr="00A34764" w:rsidRDefault="00FB1999" w:rsidP="00E136EF">
            <w:pPr>
              <w:pStyle w:val="Odstavecseseznamem"/>
              <w:numPr>
                <w:ilvl w:val="0"/>
                <w:numId w:val="114"/>
              </w:numPr>
              <w:spacing w:before="0" w:line="240" w:lineRule="auto"/>
            </w:pPr>
            <w:r w:rsidRPr="00A34764">
              <w:t>Neprojevení zájmu poskytovatelů stávajících služeb zařazených v síti sociálních služeb o plnění cíle a opatření</w:t>
            </w:r>
          </w:p>
          <w:p w:rsidR="00FB1999" w:rsidRPr="00A34764" w:rsidRDefault="00FB1999" w:rsidP="00E136EF">
            <w:pPr>
              <w:pStyle w:val="Odstavecseseznamem"/>
              <w:numPr>
                <w:ilvl w:val="0"/>
                <w:numId w:val="114"/>
              </w:numPr>
              <w:spacing w:before="0" w:line="240" w:lineRule="auto"/>
            </w:pPr>
            <w:r w:rsidRPr="00A34764">
              <w:t>Nesplnění kritérií dle Postupu pro aktualizaci sítě sociálních služeb OK vedoucí k neschválení žádosti poskytovatele</w:t>
            </w:r>
          </w:p>
          <w:p w:rsidR="00FB1999" w:rsidRPr="00A34764" w:rsidRDefault="00FB1999" w:rsidP="00E136EF">
            <w:pPr>
              <w:pStyle w:val="Odstavecseseznamem"/>
              <w:numPr>
                <w:ilvl w:val="0"/>
                <w:numId w:val="114"/>
              </w:numPr>
              <w:spacing w:before="0" w:line="240" w:lineRule="auto"/>
            </w:pPr>
            <w:r w:rsidRPr="00A34764">
              <w:t>Nesplnění podmínek registrace poskytovaných sociálních služeb</w:t>
            </w:r>
          </w:p>
          <w:p w:rsidR="00FB1999" w:rsidRPr="00A34764" w:rsidRDefault="00FB1999" w:rsidP="00E136EF">
            <w:pPr>
              <w:pStyle w:val="Odstavecseseznamem"/>
              <w:numPr>
                <w:ilvl w:val="0"/>
                <w:numId w:val="114"/>
              </w:numPr>
              <w:spacing w:before="0" w:line="240" w:lineRule="auto"/>
            </w:pPr>
            <w:r w:rsidRPr="00A34764">
              <w:t>Nedostatek lidských zdrojů</w:t>
            </w:r>
          </w:p>
          <w:p w:rsidR="00FB1999" w:rsidRPr="00A34764" w:rsidRDefault="00FB1999" w:rsidP="00E136EF">
            <w:pPr>
              <w:pStyle w:val="Odstavecseseznamem"/>
              <w:numPr>
                <w:ilvl w:val="0"/>
                <w:numId w:val="114"/>
              </w:numPr>
              <w:spacing w:before="0" w:line="240" w:lineRule="auto"/>
            </w:pPr>
            <w:r w:rsidRPr="00A34764">
              <w:t>Nedostatek finančních prostředků z veřejných zdrojů</w:t>
            </w:r>
          </w:p>
          <w:p w:rsidR="00FB1999" w:rsidRPr="00A34764" w:rsidRDefault="00FB1999" w:rsidP="00E136EF">
            <w:pPr>
              <w:pStyle w:val="Odstavecseseznamem"/>
              <w:numPr>
                <w:ilvl w:val="0"/>
                <w:numId w:val="114"/>
              </w:numPr>
              <w:spacing w:before="0" w:line="240" w:lineRule="auto"/>
            </w:pPr>
            <w:r w:rsidRPr="00A34764">
              <w:t>Legislativní změny</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 xml:space="preserve">Předpokládaní realizátoři </w:t>
            </w:r>
            <w:r w:rsidRPr="00E136EF">
              <w:rPr>
                <w:rFonts w:eastAsia="Arial Unicode MS"/>
                <w:b/>
                <w:lang w:eastAsia="cs-CZ"/>
              </w:rPr>
              <w:br/>
              <w:t>a partneři opatření</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Poskytovatelé sociálních služeb dané cílové skupiny, kraj, obce, příspěvkové organizace</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Časový harmonogram</w:t>
            </w:r>
          </w:p>
        </w:tc>
        <w:tc>
          <w:tcPr>
            <w:tcW w:w="3673" w:type="pct"/>
          </w:tcPr>
          <w:p w:rsidR="00FB1999" w:rsidRPr="00C400DE" w:rsidRDefault="00E213F4" w:rsidP="00E136EF">
            <w:pPr>
              <w:spacing w:before="0"/>
              <w:rPr>
                <w:rFonts w:eastAsia="Arial Unicode MS"/>
                <w:lang w:eastAsia="cs-CZ"/>
              </w:rPr>
            </w:pPr>
            <w:r>
              <w:rPr>
                <w:rFonts w:eastAsia="Arial Unicode MS"/>
                <w:lang w:eastAsia="cs-CZ"/>
              </w:rPr>
              <w:t>2024–2026</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Předpokládané finanční zdroje</w:t>
            </w:r>
          </w:p>
        </w:tc>
        <w:tc>
          <w:tcPr>
            <w:tcW w:w="3673" w:type="pct"/>
          </w:tcPr>
          <w:p w:rsidR="00FB1999" w:rsidRPr="00C400DE" w:rsidRDefault="00FB1999" w:rsidP="00E136EF">
            <w:pPr>
              <w:spacing w:before="0"/>
              <w:rPr>
                <w:rFonts w:eastAsia="Arial Unicode MS"/>
                <w:lang w:eastAsia="cs-CZ"/>
              </w:rPr>
            </w:pPr>
            <w:r w:rsidRPr="00C400DE">
              <w:rPr>
                <w:rFonts w:eastAsia="Arial Unicode MS"/>
                <w:lang w:eastAsia="cs-CZ"/>
              </w:rPr>
              <w:t>Veřejné zdroje, evropské zdroje a ostatní zdroje financování</w:t>
            </w:r>
          </w:p>
        </w:tc>
      </w:tr>
      <w:tr w:rsidR="00FB1999" w:rsidRPr="00C400DE" w:rsidTr="00506AF9">
        <w:trPr>
          <w:trHeight w:val="397"/>
          <w:jc w:val="center"/>
        </w:trPr>
        <w:tc>
          <w:tcPr>
            <w:tcW w:w="1327" w:type="pct"/>
            <w:shd w:val="clear" w:color="auto" w:fill="CCECFF"/>
          </w:tcPr>
          <w:p w:rsidR="00FB1999" w:rsidRPr="00E136EF" w:rsidRDefault="00FB1999" w:rsidP="00E136EF">
            <w:pPr>
              <w:spacing w:before="0"/>
              <w:jc w:val="left"/>
              <w:rPr>
                <w:rFonts w:eastAsia="Arial Unicode MS"/>
                <w:b/>
                <w:lang w:eastAsia="cs-CZ"/>
              </w:rPr>
            </w:pPr>
            <w:r w:rsidRPr="00E136EF">
              <w:rPr>
                <w:rFonts w:eastAsia="Arial Unicode MS"/>
                <w:b/>
                <w:lang w:eastAsia="cs-CZ"/>
              </w:rPr>
              <w:t>Hodnotící indikátory výstupů a výsledků</w:t>
            </w:r>
          </w:p>
        </w:tc>
        <w:tc>
          <w:tcPr>
            <w:tcW w:w="3673" w:type="pct"/>
          </w:tcPr>
          <w:p w:rsidR="00FB1999" w:rsidRPr="00A34764" w:rsidRDefault="00FB1999" w:rsidP="00E136EF">
            <w:pPr>
              <w:pStyle w:val="Odstavecseseznamem"/>
              <w:numPr>
                <w:ilvl w:val="0"/>
                <w:numId w:val="15"/>
              </w:numPr>
              <w:spacing w:before="0" w:line="240" w:lineRule="auto"/>
            </w:pPr>
            <w:r w:rsidRPr="00A34764">
              <w:t xml:space="preserve">Zajištění vzniku služeb pro ohrožené rodiny s dětmi </w:t>
            </w:r>
            <w:r w:rsidRPr="00A34764">
              <w:rPr>
                <w:rFonts w:eastAsia="Calibri"/>
              </w:rPr>
              <w:t>v daném regionu</w:t>
            </w:r>
          </w:p>
          <w:p w:rsidR="00FB1999" w:rsidRPr="00A34764" w:rsidRDefault="00FB1999" w:rsidP="00E136EF">
            <w:pPr>
              <w:pStyle w:val="Odstavecseseznamem"/>
              <w:numPr>
                <w:ilvl w:val="0"/>
                <w:numId w:val="15"/>
              </w:numPr>
              <w:spacing w:before="0" w:line="240" w:lineRule="auto"/>
            </w:pPr>
            <w:r w:rsidRPr="00A34764">
              <w:t>Aktualizace sítě sociálních služeb dle schválených změn</w:t>
            </w:r>
          </w:p>
        </w:tc>
      </w:tr>
    </w:tbl>
    <w:p w:rsidR="00FB1999" w:rsidRPr="00A34764" w:rsidRDefault="00FB1999" w:rsidP="00A34764">
      <w:pPr>
        <w:pStyle w:val="Odstavecseseznamem"/>
        <w:numPr>
          <w:ilvl w:val="3"/>
          <w:numId w:val="2"/>
        </w:numPr>
        <w:rPr>
          <w:rFonts w:eastAsiaTheme="majorEastAsia"/>
        </w:rPr>
      </w:pPr>
      <w:r w:rsidRPr="00A34764">
        <w:rPr>
          <w:rFonts w:eastAsiaTheme="majorEastAsia"/>
        </w:rPr>
        <w:br w:type="page"/>
      </w:r>
    </w:p>
    <w:p w:rsidR="00FB1999" w:rsidRPr="007C2EB2" w:rsidRDefault="00FB1999" w:rsidP="00A34764">
      <w:pPr>
        <w:pStyle w:val="Nadpis2"/>
      </w:pPr>
      <w:bookmarkStart w:id="198" w:name="_Toc22896386"/>
      <w:bookmarkStart w:id="199" w:name="_Toc111537475"/>
      <w:bookmarkStart w:id="200" w:name="_Toc113622085"/>
      <w:bookmarkStart w:id="201" w:name="_Toc117606996"/>
      <w:r w:rsidRPr="007C2EB2">
        <w:lastRenderedPageBreak/>
        <w:t>Pracovní skupina č. 2: OSOBY SE ZDRAVOTNÍM POSTIŽENÍM</w:t>
      </w:r>
      <w:bookmarkEnd w:id="198"/>
      <w:bookmarkEnd w:id="199"/>
      <w:bookmarkEnd w:id="200"/>
      <w:bookmarkEnd w:id="201"/>
    </w:p>
    <w:p w:rsidR="00FB1999" w:rsidRPr="007C2EB2" w:rsidRDefault="00FB1999" w:rsidP="00E136EF">
      <w:pPr>
        <w:pStyle w:val="Tun"/>
      </w:pPr>
      <w:r w:rsidRPr="007C2EB2">
        <w:t>Popis cílové skupiny, vymezení okruhu osob</w:t>
      </w:r>
    </w:p>
    <w:p w:rsidR="00FB1999" w:rsidRPr="007C2EB2" w:rsidRDefault="00FB1999" w:rsidP="00A34764">
      <w:pPr>
        <w:rPr>
          <w:rFonts w:eastAsia="Arial Unicode MS"/>
          <w:lang w:eastAsia="cs-CZ"/>
        </w:rPr>
      </w:pPr>
      <w:r w:rsidRPr="007C2EB2">
        <w:rPr>
          <w:rFonts w:eastAsia="Arial Unicode MS"/>
          <w:lang w:eastAsia="cs-CZ"/>
        </w:rPr>
        <w:t>Osoby se zdravotním postižením tvoří vnitřně diferencovanou skupinu, u níž sociální události vznikají z nedostatečně zajištěných individuálních potřeb souvisejících se změnami zdravotního stavu, jež zhoršují adaptabilitu těchto osob v přirozeném prostředí.</w:t>
      </w:r>
    </w:p>
    <w:p w:rsidR="00FB1999" w:rsidRPr="007C2EB2" w:rsidRDefault="00FB1999" w:rsidP="00A34764">
      <w:pPr>
        <w:rPr>
          <w:rFonts w:eastAsia="Arial Unicode MS"/>
          <w:lang w:eastAsia="cs-CZ"/>
        </w:rPr>
      </w:pPr>
      <w:r w:rsidRPr="007C2EB2">
        <w:rPr>
          <w:rFonts w:eastAsia="Arial Unicode MS"/>
          <w:lang w:eastAsia="cs-CZ"/>
        </w:rPr>
        <w:t>Poškozením se míní samotné porušení organické, mentální či psychické složky nebo funkce člověka. Z poškození vyplývá určité omezení nebo neschopnost konat činnost či více činností v rozsahu nebo způsobem, který je pro člověka bez tohoto omezení jinak běžný. Tento individuální nedostatek může omezovat či znemožňovat plnění (sociálních) rolí, které by byly pro konkrétního jedince jinak normální. Pokud vzniklé znevýhodnění již dosahuje společenských a sociálních rozměrů</w:t>
      </w:r>
      <w:r w:rsidR="00BC6813">
        <w:rPr>
          <w:rFonts w:eastAsia="Arial Unicode MS"/>
          <w:lang w:eastAsia="cs-CZ"/>
        </w:rPr>
        <w:t>,</w:t>
      </w:r>
      <w:r w:rsidRPr="007C2EB2">
        <w:rPr>
          <w:rFonts w:eastAsia="Arial Unicode MS"/>
          <w:lang w:eastAsia="cs-CZ"/>
        </w:rPr>
        <w:t xml:space="preserve"> jedná se tak o postižení (handicap).</w:t>
      </w:r>
      <w:r w:rsidRPr="007C2EB2">
        <w:rPr>
          <w:rFonts w:eastAsia="Arial Unicode MS"/>
          <w:vertAlign w:val="superscript"/>
          <w:lang w:eastAsia="cs-CZ"/>
        </w:rPr>
        <w:footnoteReference w:id="10"/>
      </w:r>
    </w:p>
    <w:p w:rsidR="00FB1999" w:rsidRPr="007C2EB2" w:rsidRDefault="00FB1999" w:rsidP="00A34764">
      <w:pPr>
        <w:rPr>
          <w:rFonts w:eastAsia="Arial Unicode MS"/>
          <w:lang w:eastAsia="cs-CZ"/>
        </w:rPr>
      </w:pPr>
      <w:r w:rsidRPr="007C2EB2">
        <w:rPr>
          <w:rFonts w:eastAsia="Arial Unicode MS"/>
          <w:lang w:eastAsia="cs-CZ"/>
        </w:rPr>
        <w:t>Sociální služby určené této cílové skupině osob vedou ke zmírnění sociálních důsledků zdravotního postižení a k podpoře sociálního začlenění. Jsou rozděleny svým vnitřním zaměřením v rozsahu nabízených úkonů v základních činnostech na určitý druh zdravotního postižení, věk a podporu osoby se zdravotním postižením, případně osob blízkých této osobě, jež se na zajištění podpory a pomoci podílí.</w:t>
      </w:r>
    </w:p>
    <w:p w:rsidR="00FB1999" w:rsidRPr="007C2EB2" w:rsidRDefault="00FB1999" w:rsidP="00A34764">
      <w:pPr>
        <w:rPr>
          <w:rFonts w:eastAsia="Arial Unicode MS"/>
          <w:lang w:eastAsia="cs-CZ"/>
        </w:rPr>
      </w:pPr>
      <w:r w:rsidRPr="007C2EB2">
        <w:rPr>
          <w:rFonts w:eastAsia="Arial Unicode MS"/>
          <w:lang w:eastAsia="cs-CZ"/>
        </w:rPr>
        <w:t>Do popředí vystupují individuální potřeby osoby související se zdravotním postižením, které vedou k</w:t>
      </w:r>
      <w:r>
        <w:rPr>
          <w:rFonts w:eastAsia="Arial Unicode MS"/>
          <w:lang w:eastAsia="cs-CZ"/>
        </w:rPr>
        <w:t> </w:t>
      </w:r>
      <w:r w:rsidRPr="007C2EB2">
        <w:rPr>
          <w:rFonts w:eastAsia="Arial Unicode MS"/>
          <w:lang w:eastAsia="cs-CZ"/>
        </w:rPr>
        <w:t xml:space="preserve">vyšším životním nákladům spojeným např. se zajištěním vhodných úprav prostředí, pořízením vhodných pomůcek nebo přizpůsobením podmínek nutných ke každodennímu životu. </w:t>
      </w:r>
    </w:p>
    <w:p w:rsidR="00FB1999" w:rsidRPr="007C2EB2" w:rsidRDefault="00FB1999" w:rsidP="00A34764">
      <w:pPr>
        <w:rPr>
          <w:rFonts w:eastAsia="Arial Unicode MS"/>
          <w:lang w:eastAsia="cs-CZ"/>
        </w:rPr>
      </w:pPr>
      <w:r w:rsidRPr="007C2EB2">
        <w:rPr>
          <w:rFonts w:eastAsia="Arial Unicode MS"/>
          <w:lang w:eastAsia="cs-CZ"/>
        </w:rPr>
        <w:t>Pracovní skupina se zaměřila na osoby se ztrátou nebo omezením schopnosti vykonávat činnosti způsobem či v rozsahu, který je pro osobu považován za obvyklý. V rámci střednědobého plánování sociálních služeb na krajské úrovni se za osoby se zdravotním postižením považují osoby s nepříznivou sociální situací vycházející z převažujícího postižení:</w:t>
      </w:r>
    </w:p>
    <w:p w:rsidR="00FB1999" w:rsidRPr="00E136EF" w:rsidRDefault="00FB1999" w:rsidP="00E136EF">
      <w:pPr>
        <w:pStyle w:val="Odstavecseseznamem"/>
        <w:keepNext/>
        <w:numPr>
          <w:ilvl w:val="0"/>
          <w:numId w:val="75"/>
        </w:numPr>
        <w:tabs>
          <w:tab w:val="clear" w:pos="720"/>
          <w:tab w:val="num" w:pos="709"/>
        </w:tabs>
        <w:ind w:left="426" w:hanging="11"/>
        <w:rPr>
          <w:u w:val="single"/>
        </w:rPr>
      </w:pPr>
      <w:r w:rsidRPr="00E136EF">
        <w:rPr>
          <w:u w:val="single"/>
        </w:rPr>
        <w:t>tělesného,</w:t>
      </w:r>
    </w:p>
    <w:p w:rsidR="00FB1999" w:rsidRPr="007C2EB2" w:rsidRDefault="00FB1999" w:rsidP="00E136EF">
      <w:pPr>
        <w:tabs>
          <w:tab w:val="num" w:pos="709"/>
        </w:tabs>
        <w:spacing w:before="0"/>
        <w:ind w:left="426" w:hanging="11"/>
        <w:rPr>
          <w:rFonts w:eastAsia="Arial Unicode MS"/>
          <w:lang w:eastAsia="cs-CZ"/>
        </w:rPr>
      </w:pPr>
      <w:r w:rsidRPr="007C2EB2">
        <w:rPr>
          <w:rFonts w:eastAsia="Arial Unicode MS"/>
          <w:lang w:eastAsia="cs-CZ"/>
        </w:rPr>
        <w:t>neboli pohybového handicapu, který je zjevný a má souvislost především s omezením soběstačnosti osoby v oblasti péče o sebe sama i svou domácnost;</w:t>
      </w:r>
    </w:p>
    <w:p w:rsidR="00FB1999" w:rsidRPr="00E136EF" w:rsidRDefault="00FB1999" w:rsidP="00E136EF">
      <w:pPr>
        <w:pStyle w:val="Odstavecseseznamem"/>
        <w:keepNext/>
        <w:numPr>
          <w:ilvl w:val="0"/>
          <w:numId w:val="75"/>
        </w:numPr>
        <w:tabs>
          <w:tab w:val="clear" w:pos="720"/>
          <w:tab w:val="num" w:pos="709"/>
        </w:tabs>
        <w:ind w:left="426" w:hanging="11"/>
        <w:rPr>
          <w:u w:val="single"/>
        </w:rPr>
      </w:pPr>
      <w:r w:rsidRPr="00E136EF">
        <w:rPr>
          <w:u w:val="single"/>
        </w:rPr>
        <w:t>mentálního,</w:t>
      </w:r>
    </w:p>
    <w:p w:rsidR="00FB1999" w:rsidRPr="007C2EB2" w:rsidRDefault="00FB1999" w:rsidP="00E136EF">
      <w:pPr>
        <w:tabs>
          <w:tab w:val="num" w:pos="709"/>
        </w:tabs>
        <w:spacing w:before="0"/>
        <w:ind w:left="426" w:hanging="11"/>
        <w:rPr>
          <w:rFonts w:eastAsia="Arial Unicode MS"/>
          <w:lang w:eastAsia="cs-CZ"/>
        </w:rPr>
      </w:pPr>
      <w:r w:rsidRPr="007C2EB2">
        <w:rPr>
          <w:rFonts w:eastAsia="Arial Unicode MS"/>
          <w:lang w:eastAsia="cs-CZ"/>
        </w:rPr>
        <w:t>neboli s omezenou intelektuální činností, jež se projevuje vážným omezením adaptivních schopností potřebných v každodenním životě především v oblasti myšlení, vnímání a komunikace, přičemž tento stav trvá od dětství, vedoucí k omezení soběstačnosti osoby v oblasti péče o sebe sama i svou domácnost;</w:t>
      </w:r>
    </w:p>
    <w:p w:rsidR="00FB1999" w:rsidRPr="00E136EF" w:rsidRDefault="00FB1999" w:rsidP="00E136EF">
      <w:pPr>
        <w:pStyle w:val="Odstavecseseznamem"/>
        <w:keepNext/>
        <w:numPr>
          <w:ilvl w:val="0"/>
          <w:numId w:val="75"/>
        </w:numPr>
        <w:tabs>
          <w:tab w:val="clear" w:pos="720"/>
          <w:tab w:val="num" w:pos="709"/>
        </w:tabs>
        <w:ind w:left="426" w:hanging="11"/>
        <w:rPr>
          <w:u w:val="single"/>
        </w:rPr>
      </w:pPr>
      <w:r w:rsidRPr="00E136EF">
        <w:rPr>
          <w:u w:val="single"/>
        </w:rPr>
        <w:t>kombinovaného,</w:t>
      </w:r>
    </w:p>
    <w:p w:rsidR="00FB1999" w:rsidRPr="007C2EB2" w:rsidRDefault="00FB1999" w:rsidP="00E136EF">
      <w:pPr>
        <w:tabs>
          <w:tab w:val="num" w:pos="709"/>
        </w:tabs>
        <w:spacing w:before="0"/>
        <w:ind w:left="426" w:hanging="11"/>
        <w:rPr>
          <w:rFonts w:eastAsia="Arial Unicode MS"/>
          <w:lang w:eastAsia="cs-CZ"/>
        </w:rPr>
      </w:pPr>
      <w:r w:rsidRPr="007C2EB2">
        <w:rPr>
          <w:rFonts w:eastAsia="Arial Unicode MS"/>
          <w:lang w:eastAsia="cs-CZ"/>
        </w:rPr>
        <w:t xml:space="preserve">neboli vícečetného, vícenásobného postižení, kdy jako primární postižení je vnímáno mentální postižení v kombinaci s tělesným, smyslovým postižením (zrakovým, sluchovým), případně v kombinaci s poruchou autistického spektra nebo jako samostatné postižení poruchy autistického spektra či postižením poruchami autistického spektra (pozn. </w:t>
      </w:r>
      <w:proofErr w:type="spellStart"/>
      <w:r w:rsidRPr="007C2EB2">
        <w:rPr>
          <w:rFonts w:eastAsia="Arial Unicode MS"/>
          <w:lang w:eastAsia="cs-CZ"/>
        </w:rPr>
        <w:t>pervazivními</w:t>
      </w:r>
      <w:proofErr w:type="spellEnd"/>
      <w:r w:rsidRPr="007C2EB2">
        <w:rPr>
          <w:rFonts w:eastAsia="Arial Unicode MS"/>
          <w:lang w:eastAsia="cs-CZ"/>
        </w:rPr>
        <w:t xml:space="preserve"> vývojovými poruchami</w:t>
      </w:r>
      <w:r w:rsidRPr="007C2EB2">
        <w:rPr>
          <w:rFonts w:eastAsia="Arial Unicode MS"/>
          <w:vertAlign w:val="superscript"/>
          <w:lang w:eastAsia="cs-CZ"/>
        </w:rPr>
        <w:footnoteReference w:id="11"/>
      </w:r>
      <w:r w:rsidRPr="007C2EB2">
        <w:rPr>
          <w:rFonts w:eastAsia="Arial Unicode MS"/>
          <w:lang w:eastAsia="cs-CZ"/>
        </w:rPr>
        <w:t>), které v</w:t>
      </w:r>
      <w:r>
        <w:rPr>
          <w:rFonts w:eastAsia="Arial Unicode MS"/>
          <w:lang w:eastAsia="cs-CZ"/>
        </w:rPr>
        <w:t> </w:t>
      </w:r>
      <w:r w:rsidRPr="007C2EB2">
        <w:rPr>
          <w:rFonts w:eastAsia="Arial Unicode MS"/>
          <w:lang w:eastAsia="cs-CZ"/>
        </w:rPr>
        <w:t>posloupnosti významně handicapují osobu při zajištění každodenních úkonů péče o sebe sama i svou domácnost;</w:t>
      </w:r>
    </w:p>
    <w:p w:rsidR="00FB1999" w:rsidRPr="00E136EF" w:rsidRDefault="00FB1999" w:rsidP="00E136EF">
      <w:pPr>
        <w:pStyle w:val="Odstavecseseznamem"/>
        <w:keepNext/>
        <w:numPr>
          <w:ilvl w:val="0"/>
          <w:numId w:val="75"/>
        </w:numPr>
        <w:tabs>
          <w:tab w:val="clear" w:pos="720"/>
          <w:tab w:val="num" w:pos="709"/>
        </w:tabs>
        <w:ind w:left="426" w:hanging="11"/>
        <w:rPr>
          <w:u w:val="single"/>
        </w:rPr>
      </w:pPr>
      <w:r w:rsidRPr="00E136EF">
        <w:rPr>
          <w:u w:val="single"/>
        </w:rPr>
        <w:lastRenderedPageBreak/>
        <w:t>zrakového,</w:t>
      </w:r>
    </w:p>
    <w:p w:rsidR="00FB1999" w:rsidRPr="007C2EB2" w:rsidRDefault="00FB1999" w:rsidP="00E136EF">
      <w:pPr>
        <w:tabs>
          <w:tab w:val="num" w:pos="709"/>
        </w:tabs>
        <w:spacing w:before="0"/>
        <w:ind w:left="426" w:hanging="11"/>
        <w:rPr>
          <w:rFonts w:eastAsia="Arial Unicode MS"/>
          <w:lang w:eastAsia="cs-CZ"/>
        </w:rPr>
      </w:pPr>
      <w:r w:rsidRPr="007C2EB2">
        <w:rPr>
          <w:rFonts w:eastAsia="Arial Unicode MS"/>
          <w:lang w:eastAsia="cs-CZ"/>
        </w:rPr>
        <w:t>neboli vážného poškození zraku či jeho úplnou absencí (slepotou), u něhož poškození zraku nelze upravit optickou korekcí a ovlivňuje činnosti osoby v běžném životě, především orientaci osoby v prostoru a čase;</w:t>
      </w:r>
    </w:p>
    <w:p w:rsidR="00FB1999" w:rsidRPr="00E136EF" w:rsidRDefault="00FB1999" w:rsidP="00E136EF">
      <w:pPr>
        <w:pStyle w:val="Odstavecseseznamem"/>
        <w:keepNext/>
        <w:numPr>
          <w:ilvl w:val="0"/>
          <w:numId w:val="75"/>
        </w:numPr>
        <w:tabs>
          <w:tab w:val="clear" w:pos="720"/>
          <w:tab w:val="num" w:pos="709"/>
        </w:tabs>
        <w:ind w:left="426" w:hanging="11"/>
        <w:rPr>
          <w:u w:val="single"/>
        </w:rPr>
      </w:pPr>
      <w:r w:rsidRPr="00E136EF">
        <w:rPr>
          <w:u w:val="single"/>
        </w:rPr>
        <w:t>sluchového,</w:t>
      </w:r>
    </w:p>
    <w:p w:rsidR="00FB1999" w:rsidRPr="007C2EB2" w:rsidRDefault="00FB1999" w:rsidP="00E136EF">
      <w:pPr>
        <w:tabs>
          <w:tab w:val="num" w:pos="709"/>
        </w:tabs>
        <w:spacing w:before="0"/>
        <w:ind w:left="426" w:hanging="11"/>
        <w:rPr>
          <w:rFonts w:eastAsia="Arial Unicode MS"/>
          <w:lang w:eastAsia="cs-CZ"/>
        </w:rPr>
      </w:pPr>
      <w:r w:rsidRPr="007C2EB2">
        <w:rPr>
          <w:rFonts w:eastAsia="Arial Unicode MS"/>
          <w:lang w:eastAsia="cs-CZ"/>
        </w:rPr>
        <w:t>neboli vážného poškození sluchu či jeho ztrátou (hluchotou), kdy porozumění mluvené řeči osoby je závislé na míře schopnosti vnímat a rozlišovat zvuky, přičemž tyto osoby komunikují pomocí alternativních komunikačních systémů;</w:t>
      </w:r>
    </w:p>
    <w:p w:rsidR="00FB1999" w:rsidRPr="00E136EF" w:rsidRDefault="00FB1999" w:rsidP="00E136EF">
      <w:pPr>
        <w:pStyle w:val="Odstavecseseznamem"/>
        <w:keepNext/>
        <w:numPr>
          <w:ilvl w:val="0"/>
          <w:numId w:val="75"/>
        </w:numPr>
        <w:tabs>
          <w:tab w:val="clear" w:pos="720"/>
          <w:tab w:val="num" w:pos="709"/>
        </w:tabs>
        <w:ind w:left="426" w:hanging="11"/>
        <w:rPr>
          <w:u w:val="single"/>
        </w:rPr>
      </w:pPr>
      <w:r w:rsidRPr="00E136EF">
        <w:rPr>
          <w:u w:val="single"/>
        </w:rPr>
        <w:t>chronického duševního onemocnění,</w:t>
      </w:r>
    </w:p>
    <w:p w:rsidR="00FB1999" w:rsidRPr="007C2EB2" w:rsidRDefault="00FB1999" w:rsidP="00E136EF">
      <w:pPr>
        <w:tabs>
          <w:tab w:val="num" w:pos="709"/>
        </w:tabs>
        <w:spacing w:before="0"/>
        <w:ind w:left="426" w:hanging="11"/>
        <w:rPr>
          <w:rFonts w:eastAsia="Arial Unicode MS"/>
          <w:lang w:eastAsia="cs-CZ"/>
        </w:rPr>
      </w:pPr>
      <w:r w:rsidRPr="007C2EB2">
        <w:rPr>
          <w:rFonts w:eastAsia="Arial Unicode MS"/>
          <w:lang w:eastAsia="cs-CZ"/>
        </w:rPr>
        <w:t>neboli chronickou duševní poruchou projevující se rozpoznanými typy abnormních psychických procesů projevující se v myšlení, prožívání a chování člověka a znesnadňující jeho fungování ve společnosti, způsobující u osoby především ztrátu orientace a schopnost</w:t>
      </w:r>
      <w:r w:rsidR="00BC6813">
        <w:rPr>
          <w:rFonts w:eastAsia="Arial Unicode MS"/>
          <w:lang w:eastAsia="cs-CZ"/>
        </w:rPr>
        <w:t>i</w:t>
      </w:r>
      <w:r w:rsidRPr="007C2EB2">
        <w:rPr>
          <w:rFonts w:eastAsia="Arial Unicode MS"/>
          <w:lang w:eastAsia="cs-CZ"/>
        </w:rPr>
        <w:t xml:space="preserve"> pochopení významu slov, pod tento okruh spadají osoby s afektivními poruchami (poruchami nálady – depresemi, bipolárními afektivními poruchami), neurózami a úzkostmi (halucinacemi, bludy), poruchami osobnosti, s psychotickými nemocemi schizoidního typu a s duševními poruchami spojenými s užíváním alkoholu či jiných psychoaktivních látek, s poruchami příjmu potravy, poruchami spánku či poruchami sexuality, případně s organickými poruchami způsobujícími demenci či poškození mozku</w:t>
      </w:r>
      <w:r w:rsidRPr="007C2EB2">
        <w:rPr>
          <w:rFonts w:eastAsia="Arial Unicode MS"/>
          <w:vertAlign w:val="superscript"/>
          <w:lang w:eastAsia="cs-CZ"/>
        </w:rPr>
        <w:footnoteReference w:id="12"/>
      </w:r>
      <w:r w:rsidRPr="007C2EB2">
        <w:rPr>
          <w:rFonts w:eastAsia="Arial Unicode MS"/>
          <w:lang w:eastAsia="cs-CZ"/>
        </w:rPr>
        <w:t>; upřesňující cílovou skupinou související se službami center duševního zdraví je skupina osob se „</w:t>
      </w:r>
      <w:r w:rsidRPr="007C2EB2">
        <w:rPr>
          <w:rFonts w:eastAsia="Arial Unicode MS"/>
          <w:bCs/>
          <w:lang w:eastAsia="cs-CZ"/>
        </w:rPr>
        <w:t>závažným duševním onemocněním</w:t>
      </w:r>
      <w:r w:rsidRPr="007C2EB2">
        <w:rPr>
          <w:rFonts w:eastAsia="Arial Unicode MS"/>
          <w:lang w:eastAsia="cs-CZ"/>
        </w:rPr>
        <w:t>“ (anglicky „</w:t>
      </w:r>
      <w:r w:rsidRPr="007C2EB2">
        <w:rPr>
          <w:rFonts w:eastAsia="Arial Unicode MS"/>
          <w:bCs/>
          <w:lang w:eastAsia="cs-CZ"/>
        </w:rPr>
        <w:t xml:space="preserve">severe </w:t>
      </w:r>
      <w:proofErr w:type="spellStart"/>
      <w:r w:rsidRPr="007C2EB2">
        <w:rPr>
          <w:rFonts w:eastAsia="Arial Unicode MS"/>
          <w:bCs/>
          <w:lang w:eastAsia="cs-CZ"/>
        </w:rPr>
        <w:t>mental</w:t>
      </w:r>
      <w:proofErr w:type="spellEnd"/>
      <w:r w:rsidRPr="007C2EB2">
        <w:rPr>
          <w:rFonts w:eastAsia="Arial Unicode MS"/>
          <w:bCs/>
          <w:lang w:eastAsia="cs-CZ"/>
        </w:rPr>
        <w:t xml:space="preserve"> </w:t>
      </w:r>
      <w:proofErr w:type="spellStart"/>
      <w:r w:rsidRPr="007C2EB2">
        <w:rPr>
          <w:rFonts w:eastAsia="Arial Unicode MS"/>
          <w:bCs/>
          <w:lang w:eastAsia="cs-CZ"/>
        </w:rPr>
        <w:t>illness</w:t>
      </w:r>
      <w:proofErr w:type="spellEnd"/>
      <w:r w:rsidRPr="007C2EB2">
        <w:rPr>
          <w:rFonts w:eastAsia="Arial Unicode MS"/>
          <w:lang w:eastAsia="cs-CZ"/>
        </w:rPr>
        <w:t xml:space="preserve">“, SMI), </w:t>
      </w:r>
      <w:r w:rsidRPr="007C2EB2">
        <w:rPr>
          <w:rFonts w:eastAsia="Arial Unicode MS"/>
          <w:bCs/>
          <w:lang w:eastAsia="cs-CZ"/>
        </w:rPr>
        <w:t xml:space="preserve">které </w:t>
      </w:r>
      <w:r w:rsidRPr="007C2EB2">
        <w:rPr>
          <w:rFonts w:eastAsia="Arial Unicode MS"/>
          <w:lang w:eastAsia="cs-CZ"/>
        </w:rPr>
        <w:t>osobě výrazně narušuje běžný život a onemocnění trvá déle než 2 roky;</w:t>
      </w:r>
    </w:p>
    <w:p w:rsidR="00FB1999" w:rsidRPr="00E136EF" w:rsidRDefault="00FB1999" w:rsidP="00E136EF">
      <w:pPr>
        <w:pStyle w:val="Odstavecseseznamem"/>
        <w:keepNext/>
        <w:numPr>
          <w:ilvl w:val="0"/>
          <w:numId w:val="75"/>
        </w:numPr>
        <w:tabs>
          <w:tab w:val="clear" w:pos="720"/>
          <w:tab w:val="num" w:pos="709"/>
        </w:tabs>
        <w:ind w:left="426" w:hanging="11"/>
        <w:rPr>
          <w:u w:val="single"/>
        </w:rPr>
      </w:pPr>
      <w:r w:rsidRPr="00E136EF">
        <w:rPr>
          <w:u w:val="single"/>
        </w:rPr>
        <w:t>chronického onemocnění,</w:t>
      </w:r>
    </w:p>
    <w:p w:rsidR="00FB1999" w:rsidRPr="007C2EB2" w:rsidRDefault="00FB1999" w:rsidP="00E136EF">
      <w:pPr>
        <w:tabs>
          <w:tab w:val="num" w:pos="709"/>
        </w:tabs>
        <w:spacing w:before="0"/>
        <w:ind w:left="426" w:hanging="11"/>
        <w:rPr>
          <w:rFonts w:eastAsia="Arial Unicode MS"/>
          <w:lang w:eastAsia="cs-CZ"/>
        </w:rPr>
      </w:pPr>
      <w:r w:rsidRPr="007C2EB2">
        <w:rPr>
          <w:rFonts w:eastAsia="Arial Unicode MS"/>
          <w:lang w:eastAsia="cs-CZ"/>
        </w:rPr>
        <w:t xml:space="preserve">jež osobu limituje při zajištění svých každodenních potřeb, spadají sem osoby s chronickým </w:t>
      </w:r>
      <w:proofErr w:type="spellStart"/>
      <w:r w:rsidRPr="007C2EB2">
        <w:rPr>
          <w:rFonts w:eastAsia="Arial Unicode MS"/>
          <w:lang w:eastAsia="cs-CZ"/>
        </w:rPr>
        <w:t>neurodegenerativním</w:t>
      </w:r>
      <w:proofErr w:type="spellEnd"/>
      <w:r w:rsidRPr="007C2EB2">
        <w:rPr>
          <w:rFonts w:eastAsia="Arial Unicode MS"/>
          <w:lang w:eastAsia="cs-CZ"/>
        </w:rPr>
        <w:t xml:space="preserve"> onemocněním (např. osoby s Parkinsonovou chorobou, </w:t>
      </w:r>
      <w:proofErr w:type="spellStart"/>
      <w:r w:rsidRPr="007C2EB2">
        <w:rPr>
          <w:rFonts w:eastAsia="Arial Unicode MS"/>
          <w:lang w:eastAsia="cs-CZ"/>
        </w:rPr>
        <w:t>Huntingtonovou</w:t>
      </w:r>
      <w:proofErr w:type="spellEnd"/>
      <w:r w:rsidRPr="007C2EB2">
        <w:rPr>
          <w:rFonts w:eastAsia="Arial Unicode MS"/>
          <w:lang w:eastAsia="cs-CZ"/>
        </w:rPr>
        <w:t xml:space="preserve"> chorobou), autoimunitními onemocněními (např. osoby s roztroušenou sklerózou), myopatií, civilizačním onemocněním kardiovaskulárního, respiračního aparátu, poruchami látkové výměny</w:t>
      </w:r>
      <w:r w:rsidR="00BC6813">
        <w:rPr>
          <w:rFonts w:eastAsia="Arial Unicode MS"/>
          <w:lang w:eastAsia="cs-CZ"/>
        </w:rPr>
        <w:t>;</w:t>
      </w:r>
      <w:r w:rsidRPr="007C2EB2">
        <w:rPr>
          <w:rFonts w:eastAsia="Arial Unicode MS"/>
          <w:lang w:eastAsia="cs-CZ"/>
        </w:rPr>
        <w:t xml:space="preserve"> </w:t>
      </w:r>
    </w:p>
    <w:p w:rsidR="00FB1999" w:rsidRPr="00E136EF" w:rsidRDefault="00FB1999" w:rsidP="00E136EF">
      <w:pPr>
        <w:pStyle w:val="Odstavecseseznamem"/>
        <w:keepNext/>
        <w:numPr>
          <w:ilvl w:val="0"/>
          <w:numId w:val="75"/>
        </w:numPr>
        <w:tabs>
          <w:tab w:val="clear" w:pos="720"/>
          <w:tab w:val="num" w:pos="709"/>
        </w:tabs>
        <w:ind w:left="426" w:hanging="11"/>
        <w:rPr>
          <w:u w:val="single"/>
        </w:rPr>
      </w:pPr>
      <w:r w:rsidRPr="00E136EF">
        <w:rPr>
          <w:u w:val="single"/>
        </w:rPr>
        <w:t xml:space="preserve">jiného zdravotního postižení, </w:t>
      </w:r>
    </w:p>
    <w:p w:rsidR="00FB1999" w:rsidRPr="007C2EB2" w:rsidRDefault="00FB1999" w:rsidP="00E136EF">
      <w:pPr>
        <w:tabs>
          <w:tab w:val="num" w:pos="709"/>
        </w:tabs>
        <w:spacing w:before="0"/>
        <w:ind w:left="426" w:hanging="11"/>
        <w:rPr>
          <w:rFonts w:eastAsia="Arial Unicode MS"/>
          <w:lang w:eastAsia="cs-CZ"/>
        </w:rPr>
      </w:pPr>
      <w:r w:rsidRPr="007C2EB2">
        <w:rPr>
          <w:rFonts w:eastAsia="Arial Unicode MS"/>
          <w:lang w:eastAsia="cs-CZ"/>
        </w:rPr>
        <w:t>neboli osoby s nevyléčitelnou nemocí v </w:t>
      </w:r>
      <w:proofErr w:type="spellStart"/>
      <w:r w:rsidRPr="007C2EB2">
        <w:rPr>
          <w:rFonts w:eastAsia="Arial Unicode MS"/>
          <w:lang w:eastAsia="cs-CZ"/>
        </w:rPr>
        <w:t>preterminálním</w:t>
      </w:r>
      <w:proofErr w:type="spellEnd"/>
      <w:r w:rsidRPr="007C2EB2">
        <w:rPr>
          <w:rFonts w:eastAsia="Arial Unicode MS"/>
          <w:lang w:eastAsia="cs-CZ"/>
        </w:rPr>
        <w:t xml:space="preserve"> a terminálním stádiu onemocnění;</w:t>
      </w:r>
    </w:p>
    <w:p w:rsidR="00FB1999" w:rsidRPr="00E136EF" w:rsidRDefault="00FB1999" w:rsidP="00E136EF">
      <w:pPr>
        <w:pStyle w:val="Odstavecseseznamem"/>
        <w:keepNext/>
        <w:numPr>
          <w:ilvl w:val="0"/>
          <w:numId w:val="75"/>
        </w:numPr>
        <w:tabs>
          <w:tab w:val="clear" w:pos="720"/>
          <w:tab w:val="num" w:pos="709"/>
        </w:tabs>
        <w:ind w:left="426" w:hanging="11"/>
        <w:rPr>
          <w:u w:val="single"/>
        </w:rPr>
      </w:pPr>
      <w:r w:rsidRPr="00E136EF">
        <w:rPr>
          <w:u w:val="single"/>
        </w:rPr>
        <w:t>osoby v krizi,</w:t>
      </w:r>
    </w:p>
    <w:p w:rsidR="00FB1999" w:rsidRPr="007C2EB2" w:rsidRDefault="00FB1999" w:rsidP="00E136EF">
      <w:pPr>
        <w:tabs>
          <w:tab w:val="num" w:pos="709"/>
        </w:tabs>
        <w:spacing w:before="0"/>
        <w:ind w:left="426" w:hanging="11"/>
        <w:rPr>
          <w:rFonts w:eastAsia="Arial Unicode MS"/>
          <w:lang w:eastAsia="cs-CZ"/>
        </w:rPr>
      </w:pPr>
      <w:r w:rsidRPr="007C2EB2">
        <w:rPr>
          <w:rFonts w:eastAsia="Arial Unicode MS"/>
          <w:lang w:eastAsia="cs-CZ"/>
        </w:rPr>
        <w:t>přičemž krize v tomto případě je definována nepříznivou sociální situací osoby pečující o osobu s jiným zdravotním postižením souvisejícím s řešením paliativního stádia onemocnění osoby, o kterou tato osoba pečuje.</w:t>
      </w:r>
    </w:p>
    <w:p w:rsidR="00FB1999" w:rsidRPr="007C2EB2" w:rsidRDefault="00FB1999" w:rsidP="00A34764">
      <w:pPr>
        <w:rPr>
          <w:rFonts w:eastAsia="Arial Unicode MS"/>
          <w:lang w:eastAsia="cs-CZ"/>
        </w:rPr>
      </w:pPr>
    </w:p>
    <w:p w:rsidR="00FB1999" w:rsidRPr="007C2EB2" w:rsidRDefault="00FB1999" w:rsidP="00A34764">
      <w:pPr>
        <w:rPr>
          <w:rFonts w:eastAsia="Arial Unicode MS"/>
          <w:lang w:eastAsia="cs-CZ"/>
        </w:rPr>
      </w:pPr>
      <w:r w:rsidRPr="007C2EB2">
        <w:rPr>
          <w:rFonts w:eastAsia="Arial Unicode MS"/>
          <w:lang w:eastAsia="cs-CZ"/>
        </w:rPr>
        <w:t>Cílová skupina byla popsána s přihlédnutím k okruhům osob, jež je možno blíže profilovat v rámci registrace sociálních služeb. Individuální potřeby vycházející s různých druhů zdravotního postižení jsou zohledněny v nabídce služeb odpovídající rozsahu základních činností daného druhu sociální služby.</w:t>
      </w:r>
    </w:p>
    <w:p w:rsidR="00FB1999" w:rsidRPr="007C2EB2" w:rsidRDefault="00FB1999" w:rsidP="00A34764">
      <w:pPr>
        <w:rPr>
          <w:rFonts w:eastAsia="Arial Unicode MS"/>
          <w:lang w:eastAsia="cs-CZ"/>
        </w:rPr>
      </w:pPr>
    </w:p>
    <w:p w:rsidR="00FB1999" w:rsidRPr="007C2EB2" w:rsidRDefault="00FB1999" w:rsidP="00D55950">
      <w:pPr>
        <w:pStyle w:val="Tun"/>
      </w:pPr>
      <w:r w:rsidRPr="007C2EB2">
        <w:t>Pracovní skupina se s ohledem na vymezení jednotlivých cílových skupin prioritně zaměřovala na níže uvedené sociální služby:</w:t>
      </w:r>
    </w:p>
    <w:p w:rsidR="00FB1999" w:rsidRPr="00A34764" w:rsidRDefault="00FB1999" w:rsidP="00A34764">
      <w:pPr>
        <w:pStyle w:val="Odstavecseseznamem"/>
        <w:numPr>
          <w:ilvl w:val="0"/>
          <w:numId w:val="3"/>
        </w:numPr>
      </w:pPr>
      <w:r w:rsidRPr="00A34764">
        <w:t>Odborné sociální poradenství</w:t>
      </w:r>
    </w:p>
    <w:p w:rsidR="00FB1999" w:rsidRPr="00A34764" w:rsidRDefault="00FB1999" w:rsidP="00A34764">
      <w:pPr>
        <w:pStyle w:val="Odstavecseseznamem"/>
        <w:numPr>
          <w:ilvl w:val="0"/>
          <w:numId w:val="3"/>
        </w:numPr>
      </w:pPr>
      <w:r w:rsidRPr="00A34764">
        <w:t>Osobní asistence</w:t>
      </w:r>
    </w:p>
    <w:p w:rsidR="00FB1999" w:rsidRPr="00A34764" w:rsidRDefault="00FB1999" w:rsidP="00A34764">
      <w:pPr>
        <w:pStyle w:val="Odstavecseseznamem"/>
        <w:numPr>
          <w:ilvl w:val="0"/>
          <w:numId w:val="3"/>
        </w:numPr>
      </w:pPr>
      <w:r w:rsidRPr="00A34764">
        <w:t>Pečovatelská služba</w:t>
      </w:r>
    </w:p>
    <w:p w:rsidR="00FB1999" w:rsidRPr="00A34764" w:rsidRDefault="00FB1999" w:rsidP="00A34764">
      <w:pPr>
        <w:pStyle w:val="Odstavecseseznamem"/>
        <w:numPr>
          <w:ilvl w:val="0"/>
          <w:numId w:val="3"/>
        </w:numPr>
      </w:pPr>
      <w:r w:rsidRPr="00A34764">
        <w:t>Podpora samostatného bydlení</w:t>
      </w:r>
    </w:p>
    <w:p w:rsidR="00FB1999" w:rsidRPr="00A34764" w:rsidRDefault="00FB1999" w:rsidP="00A34764">
      <w:pPr>
        <w:pStyle w:val="Odstavecseseznamem"/>
        <w:numPr>
          <w:ilvl w:val="0"/>
          <w:numId w:val="3"/>
        </w:numPr>
      </w:pPr>
      <w:r w:rsidRPr="00A34764">
        <w:t>Odlehčovací služby</w:t>
      </w:r>
    </w:p>
    <w:p w:rsidR="00FB1999" w:rsidRPr="00A34764" w:rsidRDefault="00FB1999" w:rsidP="00A34764">
      <w:pPr>
        <w:pStyle w:val="Odstavecseseznamem"/>
        <w:numPr>
          <w:ilvl w:val="0"/>
          <w:numId w:val="3"/>
        </w:numPr>
      </w:pPr>
      <w:r w:rsidRPr="00A34764">
        <w:lastRenderedPageBreak/>
        <w:t>Centra denních služeb</w:t>
      </w:r>
    </w:p>
    <w:p w:rsidR="00FB1999" w:rsidRPr="00A34764" w:rsidRDefault="00FB1999" w:rsidP="00A34764">
      <w:pPr>
        <w:pStyle w:val="Odstavecseseznamem"/>
        <w:numPr>
          <w:ilvl w:val="0"/>
          <w:numId w:val="3"/>
        </w:numPr>
      </w:pPr>
      <w:r w:rsidRPr="00A34764">
        <w:t>Denní stacionáře</w:t>
      </w:r>
    </w:p>
    <w:p w:rsidR="00FB1999" w:rsidRPr="00A34764" w:rsidRDefault="00FB1999" w:rsidP="00A34764">
      <w:pPr>
        <w:pStyle w:val="Odstavecseseznamem"/>
        <w:numPr>
          <w:ilvl w:val="0"/>
          <w:numId w:val="3"/>
        </w:numPr>
      </w:pPr>
      <w:r w:rsidRPr="00A34764">
        <w:t>Týdenní stacionáře</w:t>
      </w:r>
    </w:p>
    <w:p w:rsidR="00FB1999" w:rsidRPr="00A34764" w:rsidRDefault="00FB1999" w:rsidP="00A34764">
      <w:pPr>
        <w:pStyle w:val="Odstavecseseznamem"/>
        <w:numPr>
          <w:ilvl w:val="0"/>
          <w:numId w:val="3"/>
        </w:numPr>
      </w:pPr>
      <w:r w:rsidRPr="00A34764">
        <w:t>Domovy pro soby se zdravotním postižením</w:t>
      </w:r>
    </w:p>
    <w:p w:rsidR="00FB1999" w:rsidRPr="00A34764" w:rsidRDefault="00FB1999" w:rsidP="00A34764">
      <w:pPr>
        <w:pStyle w:val="Odstavecseseznamem"/>
        <w:numPr>
          <w:ilvl w:val="0"/>
          <w:numId w:val="3"/>
        </w:numPr>
      </w:pPr>
      <w:r w:rsidRPr="00A34764">
        <w:t>Domovy se zvláštním režimem</w:t>
      </w:r>
    </w:p>
    <w:p w:rsidR="00FB1999" w:rsidRPr="00A34764" w:rsidRDefault="00FB1999" w:rsidP="00A34764">
      <w:pPr>
        <w:pStyle w:val="Odstavecseseznamem"/>
        <w:numPr>
          <w:ilvl w:val="0"/>
          <w:numId w:val="3"/>
        </w:numPr>
      </w:pPr>
      <w:r w:rsidRPr="00A34764">
        <w:t>Chráněné bydlení</w:t>
      </w:r>
    </w:p>
    <w:p w:rsidR="00FB1999" w:rsidRPr="00A34764" w:rsidRDefault="00FB1999" w:rsidP="00A34764">
      <w:pPr>
        <w:pStyle w:val="Odstavecseseznamem"/>
        <w:numPr>
          <w:ilvl w:val="0"/>
          <w:numId w:val="3"/>
        </w:numPr>
      </w:pPr>
      <w:r w:rsidRPr="00A34764">
        <w:t>Sociální služby poskytované ve zdravotnických zařízeních lůžkové péče</w:t>
      </w:r>
    </w:p>
    <w:p w:rsidR="00FB1999" w:rsidRPr="00A34764" w:rsidRDefault="00FB1999" w:rsidP="00A34764">
      <w:pPr>
        <w:pStyle w:val="Odstavecseseznamem"/>
        <w:numPr>
          <w:ilvl w:val="0"/>
          <w:numId w:val="3"/>
        </w:numPr>
      </w:pPr>
      <w:r w:rsidRPr="00A34764">
        <w:t>Raná péče</w:t>
      </w:r>
    </w:p>
    <w:p w:rsidR="00FB1999" w:rsidRPr="00A34764" w:rsidRDefault="00FB1999" w:rsidP="00A34764">
      <w:pPr>
        <w:pStyle w:val="Odstavecseseznamem"/>
        <w:numPr>
          <w:ilvl w:val="0"/>
          <w:numId w:val="3"/>
        </w:numPr>
      </w:pPr>
      <w:r w:rsidRPr="00A34764">
        <w:t>Tlumočnické služby</w:t>
      </w:r>
    </w:p>
    <w:p w:rsidR="00FB1999" w:rsidRPr="00A34764" w:rsidRDefault="00FB1999" w:rsidP="00A34764">
      <w:pPr>
        <w:pStyle w:val="Odstavecseseznamem"/>
        <w:numPr>
          <w:ilvl w:val="0"/>
          <w:numId w:val="3"/>
        </w:numPr>
      </w:pPr>
      <w:r w:rsidRPr="00A34764">
        <w:t>Sociálně aktivizační služby pro seniory a osoby se zdravotním postižením</w:t>
      </w:r>
    </w:p>
    <w:p w:rsidR="00FB1999" w:rsidRPr="00A34764" w:rsidRDefault="00FB1999" w:rsidP="00A34764">
      <w:pPr>
        <w:pStyle w:val="Odstavecseseznamem"/>
        <w:numPr>
          <w:ilvl w:val="0"/>
          <w:numId w:val="3"/>
        </w:numPr>
      </w:pPr>
      <w:r w:rsidRPr="00A34764">
        <w:t>Sociálně terapeutické dílny</w:t>
      </w:r>
    </w:p>
    <w:p w:rsidR="00FB1999" w:rsidRPr="00A34764" w:rsidRDefault="00FB1999" w:rsidP="00A34764">
      <w:pPr>
        <w:pStyle w:val="Odstavecseseznamem"/>
        <w:numPr>
          <w:ilvl w:val="0"/>
          <w:numId w:val="3"/>
        </w:numPr>
      </w:pPr>
      <w:r w:rsidRPr="00A34764">
        <w:t>Terapeutické komunity</w:t>
      </w:r>
    </w:p>
    <w:p w:rsidR="00FB1999" w:rsidRPr="00A34764" w:rsidRDefault="00FB1999" w:rsidP="00A34764">
      <w:pPr>
        <w:pStyle w:val="Odstavecseseznamem"/>
        <w:numPr>
          <w:ilvl w:val="0"/>
          <w:numId w:val="3"/>
        </w:numPr>
      </w:pPr>
      <w:r w:rsidRPr="00A34764">
        <w:t>Sociální rehabilitace</w:t>
      </w:r>
    </w:p>
    <w:p w:rsidR="00FB1999" w:rsidRPr="007C2EB2" w:rsidRDefault="00FB1999" w:rsidP="00A34764">
      <w:pPr>
        <w:rPr>
          <w:rFonts w:eastAsia="Arial Unicode MS"/>
          <w:lang w:eastAsia="cs-CZ"/>
        </w:rPr>
      </w:pPr>
    </w:p>
    <w:p w:rsidR="00FB1999" w:rsidRPr="007C2EB2" w:rsidRDefault="00FB1999" w:rsidP="00A34764">
      <w:pPr>
        <w:rPr>
          <w:rFonts w:eastAsia="Arial Unicode MS"/>
          <w:lang w:eastAsia="cs-CZ"/>
        </w:rPr>
      </w:pPr>
      <w:r w:rsidRPr="007C2EB2">
        <w:rPr>
          <w:rFonts w:eastAsia="Arial Unicode MS"/>
          <w:lang w:eastAsia="cs-CZ"/>
        </w:rPr>
        <w:t>Zástupci výše zmiňovaných cílových skupin jsou nominováni do dalších pracovních skupin, které jsou při činnosti Olomouckého kraje sestaveny a podílejí se na přípravě podkladů a připomínkování dokumentů, jež ovlivňují život osob se zdravotním postižením.</w:t>
      </w:r>
    </w:p>
    <w:p w:rsidR="00FB1999" w:rsidRPr="007C2EB2" w:rsidRDefault="00FB1999" w:rsidP="00A34764">
      <w:pPr>
        <w:rPr>
          <w:lang w:eastAsia="cs-CZ"/>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8"/>
        <w:gridCol w:w="5222"/>
      </w:tblGrid>
      <w:tr w:rsidR="00D55950" w:rsidRPr="00D55950" w:rsidTr="00D55950">
        <w:tc>
          <w:tcPr>
            <w:tcW w:w="5038" w:type="dxa"/>
            <w:shd w:val="clear" w:color="auto" w:fill="auto"/>
          </w:tcPr>
          <w:p w:rsidR="00D55950" w:rsidRPr="00D55950" w:rsidRDefault="00D55950" w:rsidP="00D55950">
            <w:pPr>
              <w:spacing w:before="0" w:after="160"/>
              <w:jc w:val="center"/>
              <w:rPr>
                <w:rFonts w:eastAsiaTheme="minorHAnsi" w:cs="Segoe UI"/>
                <w:sz w:val="18"/>
                <w:szCs w:val="18"/>
              </w:rPr>
            </w:pPr>
            <w:r w:rsidRPr="00D55950">
              <w:rPr>
                <w:rFonts w:eastAsiaTheme="minorHAnsi" w:cs="Segoe UI"/>
                <w:b/>
                <w:sz w:val="18"/>
                <w:szCs w:val="18"/>
              </w:rPr>
              <w:t>Silné stránky</w:t>
            </w:r>
          </w:p>
        </w:tc>
        <w:tc>
          <w:tcPr>
            <w:tcW w:w="5222" w:type="dxa"/>
            <w:shd w:val="clear" w:color="auto" w:fill="auto"/>
          </w:tcPr>
          <w:p w:rsidR="00D55950" w:rsidRPr="00D55950" w:rsidRDefault="00D55950" w:rsidP="00D55950">
            <w:pPr>
              <w:spacing w:before="0" w:after="160"/>
              <w:jc w:val="center"/>
              <w:rPr>
                <w:rFonts w:eastAsiaTheme="minorHAnsi" w:cs="Segoe UI"/>
                <w:sz w:val="18"/>
                <w:szCs w:val="18"/>
              </w:rPr>
            </w:pPr>
            <w:r w:rsidRPr="00D55950">
              <w:rPr>
                <w:rFonts w:eastAsiaTheme="minorHAnsi" w:cs="Segoe UI"/>
                <w:b/>
                <w:sz w:val="18"/>
                <w:szCs w:val="18"/>
              </w:rPr>
              <w:t>Slabé stránky</w:t>
            </w:r>
          </w:p>
        </w:tc>
      </w:tr>
      <w:tr w:rsidR="00D55950" w:rsidRPr="00D55950" w:rsidTr="00D55950">
        <w:tc>
          <w:tcPr>
            <w:tcW w:w="5038" w:type="dxa"/>
            <w:shd w:val="clear" w:color="auto" w:fill="auto"/>
          </w:tcPr>
          <w:p w:rsidR="00D55950" w:rsidRPr="00D55950" w:rsidRDefault="00D55950" w:rsidP="00F95646">
            <w:pPr>
              <w:pStyle w:val="odrkaSWOT"/>
              <w:jc w:val="both"/>
              <w:rPr>
                <w:rFonts w:eastAsiaTheme="minorHAnsi"/>
                <w:b/>
                <w:color w:val="2E74B5" w:themeColor="accent1" w:themeShade="BF"/>
              </w:rPr>
            </w:pPr>
            <w:r w:rsidRPr="00D55950">
              <w:rPr>
                <w:rFonts w:eastAsiaTheme="minorHAnsi"/>
              </w:rPr>
              <w:t xml:space="preserve">Stabilní síť poskytovatelů sociálních služeb pro osoby se zdravotním postižením </w:t>
            </w:r>
          </w:p>
          <w:p w:rsidR="00D55950" w:rsidRPr="00D55950" w:rsidRDefault="00D55950" w:rsidP="00F95646">
            <w:pPr>
              <w:pStyle w:val="odrkaSWOT"/>
              <w:jc w:val="both"/>
              <w:rPr>
                <w:rFonts w:eastAsiaTheme="minorHAnsi"/>
                <w:b/>
                <w:color w:val="2E74B5" w:themeColor="accent1" w:themeShade="BF"/>
              </w:rPr>
            </w:pPr>
            <w:r w:rsidRPr="00D55950">
              <w:rPr>
                <w:rFonts w:eastAsiaTheme="minorHAnsi"/>
              </w:rPr>
              <w:t xml:space="preserve">Aplikace </w:t>
            </w:r>
            <w:proofErr w:type="spellStart"/>
            <w:r w:rsidRPr="00D55950">
              <w:rPr>
                <w:rFonts w:eastAsiaTheme="minorHAnsi"/>
              </w:rPr>
              <w:t>KISSoS</w:t>
            </w:r>
            <w:proofErr w:type="spellEnd"/>
            <w:r w:rsidRPr="00D55950">
              <w:rPr>
                <w:rFonts w:eastAsiaTheme="minorHAnsi"/>
              </w:rPr>
              <w:t xml:space="preserve"> umožňující hodnocení informací o sociálních službách včetně modulu pro řešení sociální práce zaměřené na řešení nepříznivých sociálních situací osob se zdravotním postižením</w:t>
            </w:r>
          </w:p>
          <w:p w:rsidR="00D55950" w:rsidRPr="00D55950" w:rsidRDefault="00D55950" w:rsidP="00F95646">
            <w:pPr>
              <w:pStyle w:val="odrkaSWOT"/>
              <w:jc w:val="both"/>
              <w:rPr>
                <w:rFonts w:eastAsiaTheme="minorHAnsi"/>
              </w:rPr>
            </w:pPr>
            <w:r w:rsidRPr="00D55950">
              <w:rPr>
                <w:rFonts w:eastAsiaTheme="minorHAnsi"/>
              </w:rPr>
              <w:t>Provedena analýza využitý</w:t>
            </w:r>
            <w:bookmarkStart w:id="202" w:name="_GoBack"/>
            <w:bookmarkEnd w:id="202"/>
            <w:r w:rsidRPr="00D55950">
              <w:rPr>
                <w:rFonts w:eastAsiaTheme="minorHAnsi"/>
              </w:rPr>
              <w:t xml:space="preserve">ch kapacit stávajících sociálních služeb pro osoby se zdravotním postižením zařazených do sítě sociálních služeb Olomouckého kraje </w:t>
            </w:r>
          </w:p>
          <w:p w:rsidR="00D55950" w:rsidRPr="00D55950" w:rsidRDefault="00A70AA3" w:rsidP="00F95646">
            <w:pPr>
              <w:pStyle w:val="odrkaSWOT"/>
              <w:jc w:val="both"/>
              <w:rPr>
                <w:rFonts w:eastAsiaTheme="minorHAnsi"/>
              </w:rPr>
            </w:pPr>
            <w:r>
              <w:rPr>
                <w:rFonts w:eastAsiaTheme="minorHAnsi"/>
              </w:rPr>
              <w:t>Pravidelná aktualizace E</w:t>
            </w:r>
            <w:r w:rsidR="00D55950" w:rsidRPr="00D55950">
              <w:rPr>
                <w:rFonts w:eastAsiaTheme="minorHAnsi"/>
              </w:rPr>
              <w:t>lektronického katalogu poskytovatelů sociálních služeb poskytovateli sociálních služeb</w:t>
            </w:r>
          </w:p>
          <w:p w:rsidR="00D55950" w:rsidRPr="00D55950" w:rsidRDefault="00D55950" w:rsidP="00F95646">
            <w:pPr>
              <w:pStyle w:val="odrkaSWOT"/>
              <w:jc w:val="both"/>
              <w:rPr>
                <w:rFonts w:eastAsiaTheme="minorHAnsi"/>
              </w:rPr>
            </w:pPr>
            <w:r w:rsidRPr="00D55950">
              <w:rPr>
                <w:rFonts w:eastAsiaTheme="minorHAnsi"/>
              </w:rPr>
              <w:t>Činnost pracovní skupiny působící při Krajském plánu vyrovnávání příležitostí pro osoby se zdravotním postižením věnovaná meziresortní spolupráci na zajištění potřeb osob s poruchou autistického spektra</w:t>
            </w:r>
          </w:p>
          <w:p w:rsidR="00D55950" w:rsidRPr="00D55950" w:rsidRDefault="00D55950" w:rsidP="00F95646">
            <w:pPr>
              <w:pStyle w:val="odrkaSWOT"/>
              <w:jc w:val="both"/>
              <w:rPr>
                <w:rFonts w:eastAsiaTheme="minorHAnsi"/>
              </w:rPr>
            </w:pPr>
            <w:r w:rsidRPr="00D55950">
              <w:rPr>
                <w:rFonts w:eastAsiaTheme="minorHAnsi"/>
              </w:rPr>
              <w:t xml:space="preserve">Vytvořeny mechanismy financování sociálních služeb </w:t>
            </w:r>
          </w:p>
          <w:p w:rsidR="00D55950" w:rsidRPr="00D55950" w:rsidRDefault="00D55950" w:rsidP="00F95646">
            <w:pPr>
              <w:pStyle w:val="odrkaSWOT"/>
              <w:jc w:val="both"/>
              <w:rPr>
                <w:rFonts w:eastAsiaTheme="minorHAnsi"/>
              </w:rPr>
            </w:pPr>
            <w:r w:rsidRPr="00D55950">
              <w:rPr>
                <w:rFonts w:eastAsiaTheme="minorHAnsi"/>
              </w:rPr>
              <w:t>Vzájemná spolupráce poskytovatelů sociálních služeb vedoucí k návaznosti při řešení nepříznivých sociálních situací osob se zdravotním postižením</w:t>
            </w:r>
          </w:p>
          <w:p w:rsidR="00D55950" w:rsidRPr="00D55950" w:rsidRDefault="00D55950" w:rsidP="00F95646">
            <w:pPr>
              <w:pStyle w:val="odrkaSWOT"/>
              <w:jc w:val="both"/>
              <w:rPr>
                <w:rFonts w:eastAsiaTheme="minorHAnsi"/>
              </w:rPr>
            </w:pPr>
            <w:r w:rsidRPr="00D55950">
              <w:rPr>
                <w:rFonts w:eastAsiaTheme="minorHAnsi"/>
              </w:rPr>
              <w:t xml:space="preserve">Řešení situací specifických potřeb osob se zdravotním postižením přes sociální práci na obcích a kraji </w:t>
            </w:r>
          </w:p>
          <w:p w:rsidR="00D55950" w:rsidRPr="00D55950" w:rsidRDefault="00D55950" w:rsidP="00F95646">
            <w:pPr>
              <w:pStyle w:val="odrkaSWOT"/>
              <w:jc w:val="both"/>
              <w:rPr>
                <w:rFonts w:eastAsiaTheme="minorHAnsi"/>
              </w:rPr>
            </w:pPr>
            <w:r w:rsidRPr="00D55950">
              <w:rPr>
                <w:rFonts w:eastAsiaTheme="minorHAnsi"/>
              </w:rPr>
              <w:t>Zvyšující se kvalita poskytovaných sociálních služeb pro osoby se zdravotním postižením se zaměřením na nové metody sociální práce</w:t>
            </w:r>
          </w:p>
          <w:p w:rsidR="00D55950" w:rsidRPr="00D55950" w:rsidRDefault="00D55950" w:rsidP="00F95646">
            <w:pPr>
              <w:pStyle w:val="odrkaSWOT"/>
              <w:jc w:val="both"/>
              <w:rPr>
                <w:rFonts w:eastAsiaTheme="minorHAnsi"/>
                <w:b/>
                <w:color w:val="2E74B5" w:themeColor="accent1" w:themeShade="BF"/>
              </w:rPr>
            </w:pPr>
            <w:r w:rsidRPr="00D55950">
              <w:rPr>
                <w:rFonts w:eastAsiaTheme="minorHAnsi"/>
              </w:rPr>
              <w:t xml:space="preserve">Vyjádřená podpora kraje při zajištění kontinuity procesu transformace, </w:t>
            </w:r>
            <w:proofErr w:type="spellStart"/>
            <w:r w:rsidRPr="00D55950">
              <w:rPr>
                <w:rFonts w:eastAsiaTheme="minorHAnsi"/>
              </w:rPr>
              <w:t>deinstitucionalizace</w:t>
            </w:r>
            <w:proofErr w:type="spellEnd"/>
            <w:r w:rsidRPr="00D55950">
              <w:rPr>
                <w:rFonts w:eastAsiaTheme="minorHAnsi"/>
              </w:rPr>
              <w:t xml:space="preserve">, </w:t>
            </w:r>
            <w:proofErr w:type="spellStart"/>
            <w:r w:rsidRPr="00D55950">
              <w:rPr>
                <w:rFonts w:eastAsiaTheme="minorHAnsi"/>
              </w:rPr>
              <w:t>reprofilizace</w:t>
            </w:r>
            <w:proofErr w:type="spellEnd"/>
            <w:r w:rsidRPr="00D55950">
              <w:rPr>
                <w:rFonts w:eastAsiaTheme="minorHAnsi"/>
              </w:rPr>
              <w:t xml:space="preserve">, humanizace sociálních služeb </w:t>
            </w:r>
          </w:p>
          <w:p w:rsidR="00D55950" w:rsidRPr="00D55950" w:rsidRDefault="00D55950" w:rsidP="00F95646">
            <w:pPr>
              <w:pStyle w:val="odrkaSWOT"/>
              <w:jc w:val="both"/>
              <w:rPr>
                <w:rFonts w:eastAsiaTheme="minorHAnsi"/>
              </w:rPr>
            </w:pPr>
            <w:r w:rsidRPr="00D55950">
              <w:rPr>
                <w:rFonts w:eastAsiaTheme="minorHAnsi"/>
              </w:rPr>
              <w:t xml:space="preserve">Vyjádřená podpora kraje pro zapojení stávajících poskytovatelů sociálních služeb pro osoby s chronickým duševním onemocněním do reformy psychiatrické péče </w:t>
            </w:r>
          </w:p>
          <w:p w:rsidR="00D55950" w:rsidRPr="00D55950" w:rsidRDefault="00D55950" w:rsidP="00F95646">
            <w:pPr>
              <w:pStyle w:val="odrkaSWOT"/>
              <w:jc w:val="both"/>
              <w:rPr>
                <w:rFonts w:eastAsiaTheme="minorHAnsi"/>
                <w:b/>
                <w:color w:val="2E74B5" w:themeColor="accent1" w:themeShade="BF"/>
              </w:rPr>
            </w:pPr>
            <w:r w:rsidRPr="00D55950">
              <w:rPr>
                <w:rFonts w:eastAsiaTheme="minorHAnsi"/>
              </w:rPr>
              <w:t xml:space="preserve">Vyjádřená podpora kraje při rozvojových aktivitách poskytovatelů stávajících sociálních služeb určených skupinám osob s kombinovaným postižením (PAS), </w:t>
            </w:r>
            <w:r w:rsidRPr="00D55950">
              <w:rPr>
                <w:rFonts w:eastAsiaTheme="minorHAnsi"/>
              </w:rPr>
              <w:lastRenderedPageBreak/>
              <w:t xml:space="preserve">osobám s mentálním postižením s přidruženými psychózami či zvlášť významnými projevy poruch chování, osobám s chronickým onemocněním (např. </w:t>
            </w:r>
            <w:proofErr w:type="spellStart"/>
            <w:r w:rsidRPr="00D55950">
              <w:rPr>
                <w:rFonts w:eastAsiaTheme="minorHAnsi"/>
              </w:rPr>
              <w:t>neurodegenerativního</w:t>
            </w:r>
            <w:proofErr w:type="spellEnd"/>
            <w:r w:rsidRPr="00D55950">
              <w:rPr>
                <w:rFonts w:eastAsiaTheme="minorHAnsi"/>
              </w:rPr>
              <w:t xml:space="preserve"> charakteru – </w:t>
            </w:r>
            <w:proofErr w:type="spellStart"/>
            <w:r w:rsidRPr="00D55950">
              <w:rPr>
                <w:rFonts w:eastAsiaTheme="minorHAnsi"/>
              </w:rPr>
              <w:t>Huntingtonova</w:t>
            </w:r>
            <w:proofErr w:type="spellEnd"/>
            <w:r w:rsidRPr="00D55950">
              <w:rPr>
                <w:rFonts w:eastAsiaTheme="minorHAnsi"/>
              </w:rPr>
              <w:t xml:space="preserve"> choroba, Parkinsonova choroba, myopatie, roztroušená skleróza, stavy po CMP) či chronickým duševním onemocněním, osobám s tělesným postižením (po úrazech)</w:t>
            </w:r>
          </w:p>
          <w:p w:rsidR="00D55950" w:rsidRPr="00D55950" w:rsidRDefault="00D55950" w:rsidP="00F95646">
            <w:pPr>
              <w:pStyle w:val="odrkaSWOT"/>
              <w:jc w:val="both"/>
              <w:rPr>
                <w:rFonts w:eastAsiaTheme="minorHAnsi"/>
              </w:rPr>
            </w:pPr>
            <w:r w:rsidRPr="00D55950">
              <w:rPr>
                <w:rFonts w:eastAsiaTheme="minorHAnsi"/>
              </w:rPr>
              <w:t xml:space="preserve">Realizace IP Podpora plánování, ve kterém jsou aktivity zaměřené na prohlubování vzdělanostní úrovně zástupců krajských a obecních úřadů zabývajících se sociální problematikou, poskytovatelů sociálních služeb i neformálně pečujících, zajištění </w:t>
            </w:r>
            <w:proofErr w:type="spellStart"/>
            <w:r w:rsidRPr="00D55950">
              <w:rPr>
                <w:rFonts w:eastAsiaTheme="minorHAnsi"/>
              </w:rPr>
              <w:t>respitních</w:t>
            </w:r>
            <w:proofErr w:type="spellEnd"/>
            <w:r w:rsidRPr="00D55950">
              <w:rPr>
                <w:rFonts w:eastAsiaTheme="minorHAnsi"/>
              </w:rPr>
              <w:t xml:space="preserve"> pobytů pro uživatele určitých druhů sociálních služeb a zajištění volnočasových a svépomocných aktivit osobám se zdravotním postižením</w:t>
            </w:r>
          </w:p>
          <w:p w:rsidR="00D55950" w:rsidRPr="00D55950" w:rsidRDefault="00D55950" w:rsidP="00F95646">
            <w:pPr>
              <w:pStyle w:val="odrkaSWOT"/>
              <w:jc w:val="both"/>
              <w:rPr>
                <w:rFonts w:eastAsiaTheme="minorHAnsi"/>
              </w:rPr>
            </w:pPr>
            <w:r w:rsidRPr="00D55950">
              <w:rPr>
                <w:rFonts w:eastAsiaTheme="minorHAnsi"/>
              </w:rPr>
              <w:t>Kvalitně vedená podpůrná komunikace kraje s poskytovateli sociálních služeb</w:t>
            </w:r>
          </w:p>
        </w:tc>
        <w:tc>
          <w:tcPr>
            <w:tcW w:w="5222" w:type="dxa"/>
            <w:shd w:val="clear" w:color="auto" w:fill="auto"/>
          </w:tcPr>
          <w:p w:rsidR="00D55950" w:rsidRPr="00D55950" w:rsidRDefault="00D55950" w:rsidP="00F95646">
            <w:pPr>
              <w:pStyle w:val="odrkaSWOT"/>
              <w:jc w:val="both"/>
              <w:rPr>
                <w:rFonts w:eastAsiaTheme="minorHAnsi"/>
              </w:rPr>
            </w:pPr>
            <w:r w:rsidRPr="00D55950">
              <w:rPr>
                <w:rFonts w:eastAsiaTheme="minorHAnsi"/>
              </w:rPr>
              <w:lastRenderedPageBreak/>
              <w:t xml:space="preserve">Nedostatek finančních prostředků odpovídajících požadavkům některých druhů sociálních služeb ze strany obcí, kraje  </w:t>
            </w:r>
          </w:p>
          <w:p w:rsidR="00D55950" w:rsidRPr="00D55950" w:rsidRDefault="00D55950" w:rsidP="00F95646">
            <w:pPr>
              <w:pStyle w:val="odrkaSWOT"/>
              <w:jc w:val="both"/>
              <w:rPr>
                <w:rFonts w:eastAsiaTheme="minorHAnsi"/>
              </w:rPr>
            </w:pPr>
            <w:r w:rsidRPr="00D55950">
              <w:rPr>
                <w:rFonts w:eastAsiaTheme="minorHAnsi"/>
              </w:rPr>
              <w:t xml:space="preserve">Stávající systém pro aktualizaci sítě sociálních služeb neumožňuje operativně reagovat na změny potřeb ze strany potřebných osob úpravou jednotek v síti sociálních služeb nebo vstupem nového poskytovatele do sítě sociálních služeb </w:t>
            </w:r>
            <w:r w:rsidR="00A70AA3">
              <w:rPr>
                <w:rFonts w:eastAsiaTheme="minorHAnsi"/>
              </w:rPr>
              <w:t>OK</w:t>
            </w:r>
          </w:p>
          <w:p w:rsidR="00D55950" w:rsidRPr="00D55950" w:rsidRDefault="00D55950" w:rsidP="00F95646">
            <w:pPr>
              <w:pStyle w:val="odrkaSWOT"/>
              <w:jc w:val="both"/>
              <w:rPr>
                <w:rFonts w:eastAsiaTheme="minorHAnsi"/>
              </w:rPr>
            </w:pPr>
            <w:r w:rsidRPr="00D55950">
              <w:rPr>
                <w:rFonts w:eastAsiaTheme="minorHAnsi"/>
              </w:rPr>
              <w:t>Nevytvořen postup umožňující zadavateli snížit počet jednotek v síti či vyjmout ze sítě sociálních služeb poskytovatele neplnící svoje povinnosti k zadavateli a funkci</w:t>
            </w:r>
          </w:p>
          <w:p w:rsidR="00D55950" w:rsidRPr="00D55950" w:rsidRDefault="00D55950" w:rsidP="00F95646">
            <w:pPr>
              <w:pStyle w:val="odrkaSWOT"/>
              <w:jc w:val="both"/>
              <w:rPr>
                <w:rFonts w:eastAsiaTheme="minorHAnsi"/>
              </w:rPr>
            </w:pPr>
            <w:r w:rsidRPr="00D55950">
              <w:rPr>
                <w:rFonts w:eastAsiaTheme="minorHAnsi"/>
              </w:rPr>
              <w:t xml:space="preserve">Zvyšující se životní náklady mají dopady na nízkopříjmové rodiny pečující o osobu závislou na péči, tyto rodiny omezují sjednaný rozsah podpory a pomoci v rámci smluvně zajištěných služeb, aby zafinancovaly základní životní náklady osoby i pečující rodiny </w:t>
            </w:r>
          </w:p>
          <w:p w:rsidR="00D55950" w:rsidRPr="00D55950" w:rsidRDefault="00D55950" w:rsidP="00F95646">
            <w:pPr>
              <w:pStyle w:val="odrkaSWOT"/>
              <w:jc w:val="both"/>
              <w:rPr>
                <w:rFonts w:eastAsiaTheme="minorHAnsi"/>
              </w:rPr>
            </w:pPr>
            <w:r w:rsidRPr="00D55950">
              <w:rPr>
                <w:rFonts w:eastAsiaTheme="minorHAnsi"/>
              </w:rPr>
              <w:t>Rodiny s dětmi se zdravotním postižením nejsou schopny zajistit svým dětem odpovídající rozsah hrazených sociálních služeb z důvodu vysoké finanční náročnosti, jelikož často nedosáhnou v raném věku u dítěte odpovídající stupeň příspěvku na péči</w:t>
            </w:r>
          </w:p>
          <w:p w:rsidR="00D55950" w:rsidRPr="00D55950" w:rsidRDefault="00D55950" w:rsidP="00F95646">
            <w:pPr>
              <w:pStyle w:val="odrkaSWOT"/>
              <w:jc w:val="both"/>
              <w:rPr>
                <w:rFonts w:eastAsiaTheme="minorHAnsi"/>
              </w:rPr>
            </w:pPr>
            <w:r w:rsidRPr="00D55950">
              <w:rPr>
                <w:rFonts w:eastAsiaTheme="minorHAnsi"/>
              </w:rPr>
              <w:t xml:space="preserve">Zvyšující se úhrady za zajištění sociálních služeb přináší využití menšího rozsahu služeb u hrazených sociálních služeb ze strany uživatelů </w:t>
            </w:r>
          </w:p>
          <w:p w:rsidR="00D55950" w:rsidRPr="00D55950" w:rsidRDefault="00D55950" w:rsidP="00F95646">
            <w:pPr>
              <w:pStyle w:val="odrkaSWOT"/>
              <w:jc w:val="both"/>
              <w:rPr>
                <w:rFonts w:eastAsiaTheme="minorHAnsi"/>
              </w:rPr>
            </w:pPr>
            <w:r w:rsidRPr="00D55950">
              <w:rPr>
                <w:rFonts w:eastAsiaTheme="minorHAnsi"/>
              </w:rPr>
              <w:t>Nesjednocený a náročný systém administrativy při vykazování činnosti sociální služby v rámci požadovaných výstupů pro různé subjekty</w:t>
            </w:r>
          </w:p>
          <w:p w:rsidR="00D55950" w:rsidRPr="00D55950" w:rsidRDefault="00D55950" w:rsidP="00F95646">
            <w:pPr>
              <w:pStyle w:val="odrkaSWOT"/>
              <w:jc w:val="both"/>
              <w:rPr>
                <w:rFonts w:eastAsiaTheme="minorHAnsi"/>
              </w:rPr>
            </w:pPr>
            <w:r w:rsidRPr="00D55950">
              <w:rPr>
                <w:rFonts w:eastAsiaTheme="minorHAnsi"/>
              </w:rPr>
              <w:t xml:space="preserve">Nedostatek kvalitních, kvalifikovaných pracovníků pro činnosti pracovníků v přímé práci </w:t>
            </w:r>
          </w:p>
          <w:p w:rsidR="00D55950" w:rsidRPr="00D55950" w:rsidRDefault="00D55950" w:rsidP="00F95646">
            <w:pPr>
              <w:pStyle w:val="odrkaSWOT"/>
              <w:jc w:val="both"/>
              <w:rPr>
                <w:rFonts w:eastAsiaTheme="minorHAnsi"/>
              </w:rPr>
            </w:pPr>
            <w:r w:rsidRPr="00D55950">
              <w:rPr>
                <w:rFonts w:eastAsiaTheme="minorHAnsi"/>
              </w:rPr>
              <w:t>Některé stávající pobytové sociální služby pro osoby se zdravotním postižením nesplňují kritéria materiálně – technického standardu podle doporučeného postupu MPSV</w:t>
            </w:r>
          </w:p>
          <w:p w:rsidR="00D55950" w:rsidRPr="00D55950" w:rsidRDefault="00D55950" w:rsidP="00F95646">
            <w:pPr>
              <w:pStyle w:val="odrkaSWOT"/>
              <w:jc w:val="both"/>
              <w:rPr>
                <w:rFonts w:eastAsiaTheme="minorHAnsi"/>
              </w:rPr>
            </w:pPr>
            <w:r w:rsidRPr="00D55950">
              <w:rPr>
                <w:rFonts w:eastAsiaTheme="minorHAnsi"/>
              </w:rPr>
              <w:lastRenderedPageBreak/>
              <w:t>Snížená dostupnost odpovídajících sociálních služeb pro osoby se specifickými potřebami vyžadující individuální přístup v určitých regionech</w:t>
            </w:r>
          </w:p>
          <w:p w:rsidR="00D55950" w:rsidRPr="00D55950" w:rsidRDefault="00D55950" w:rsidP="00F95646">
            <w:pPr>
              <w:pStyle w:val="odrkaSWOT"/>
              <w:jc w:val="both"/>
              <w:rPr>
                <w:rFonts w:eastAsiaTheme="minorHAnsi"/>
              </w:rPr>
            </w:pPr>
            <w:r w:rsidRPr="00D55950">
              <w:rPr>
                <w:rFonts w:eastAsiaTheme="minorHAnsi"/>
              </w:rPr>
              <w:t>Nedostatečná participace některých obcí v procesu komunitního plánování, jejich nerovnoměrné zapojení do systému financování sociálních služeb</w:t>
            </w:r>
          </w:p>
          <w:p w:rsidR="00D55950" w:rsidRPr="00D55950" w:rsidRDefault="00D55950" w:rsidP="00F95646">
            <w:pPr>
              <w:pStyle w:val="odrkaSWOT"/>
              <w:jc w:val="both"/>
              <w:rPr>
                <w:rFonts w:eastAsiaTheme="minorHAnsi"/>
              </w:rPr>
            </w:pPr>
            <w:r w:rsidRPr="00D55950">
              <w:rPr>
                <w:rFonts w:eastAsiaTheme="minorHAnsi"/>
              </w:rPr>
              <w:t>Komunitní plány některých ORP stále neposkytují dostatečné informace pro plánování rozvojových kapacit sociálních služeb z úrovně kraje</w:t>
            </w:r>
          </w:p>
          <w:p w:rsidR="00D55950" w:rsidRPr="00D55950" w:rsidRDefault="00D55950" w:rsidP="00F95646">
            <w:pPr>
              <w:pStyle w:val="odrkaSWOT"/>
              <w:jc w:val="both"/>
              <w:rPr>
                <w:rFonts w:eastAsiaTheme="minorHAnsi"/>
              </w:rPr>
            </w:pPr>
            <w:r w:rsidRPr="00D55950">
              <w:rPr>
                <w:rFonts w:eastAsiaTheme="minorHAnsi"/>
              </w:rPr>
              <w:t>Některé obce neznají konkrétní potřeby OZP na svém území, často se na ně obrací potřebné osoby až ve chvíli, kdy se nepříznivá sociální situace občana stává neřešitelnou</w:t>
            </w:r>
          </w:p>
          <w:p w:rsidR="00D55950" w:rsidRPr="00D55950" w:rsidRDefault="00D55950" w:rsidP="00F95646">
            <w:pPr>
              <w:pStyle w:val="odrkaSWOT"/>
              <w:jc w:val="both"/>
              <w:rPr>
                <w:rFonts w:eastAsiaTheme="minorHAnsi"/>
              </w:rPr>
            </w:pPr>
            <w:r w:rsidRPr="00D55950">
              <w:rPr>
                <w:rFonts w:eastAsiaTheme="minorHAnsi"/>
              </w:rPr>
              <w:t>Snižující se počty osob se zdravotním postižením, které získaly s podporou služeb místo na chráněném nebo otevřeném trhu práce, nedostatečné mechanismy pro zajištění podpory těchto zaměstnavatelů</w:t>
            </w:r>
          </w:p>
          <w:p w:rsidR="00D55950" w:rsidRPr="00D55950" w:rsidRDefault="00D55950" w:rsidP="00F95646">
            <w:pPr>
              <w:pStyle w:val="odrkaSWOT"/>
              <w:numPr>
                <w:ilvl w:val="0"/>
                <w:numId w:val="0"/>
              </w:numPr>
              <w:ind w:left="357"/>
              <w:jc w:val="both"/>
              <w:rPr>
                <w:rFonts w:eastAsiaTheme="minorHAnsi"/>
                <w:color w:val="000000"/>
              </w:rPr>
            </w:pPr>
          </w:p>
        </w:tc>
      </w:tr>
      <w:tr w:rsidR="00D55950" w:rsidRPr="00D55950" w:rsidTr="00D55950">
        <w:tc>
          <w:tcPr>
            <w:tcW w:w="5038" w:type="dxa"/>
            <w:shd w:val="clear" w:color="auto" w:fill="auto"/>
          </w:tcPr>
          <w:p w:rsidR="00D55950" w:rsidRPr="00D55950" w:rsidRDefault="00D55950" w:rsidP="00D55950">
            <w:pPr>
              <w:spacing w:before="0" w:after="160"/>
              <w:jc w:val="center"/>
              <w:rPr>
                <w:rFonts w:eastAsiaTheme="minorHAnsi" w:cs="Segoe UI"/>
                <w:b/>
                <w:sz w:val="18"/>
                <w:szCs w:val="18"/>
              </w:rPr>
            </w:pPr>
            <w:r w:rsidRPr="00D55950">
              <w:rPr>
                <w:rFonts w:eastAsiaTheme="minorHAnsi" w:cs="Segoe UI"/>
                <w:b/>
                <w:sz w:val="18"/>
                <w:szCs w:val="18"/>
              </w:rPr>
              <w:lastRenderedPageBreak/>
              <w:t>Příležitosti</w:t>
            </w:r>
          </w:p>
        </w:tc>
        <w:tc>
          <w:tcPr>
            <w:tcW w:w="5222" w:type="dxa"/>
            <w:shd w:val="clear" w:color="auto" w:fill="auto"/>
          </w:tcPr>
          <w:p w:rsidR="00D55950" w:rsidRPr="00D55950" w:rsidRDefault="00D55950" w:rsidP="00D55950">
            <w:pPr>
              <w:spacing w:before="0" w:after="160"/>
              <w:jc w:val="center"/>
              <w:rPr>
                <w:rFonts w:eastAsiaTheme="minorHAnsi" w:cs="Segoe UI"/>
                <w:b/>
                <w:sz w:val="18"/>
                <w:szCs w:val="18"/>
              </w:rPr>
            </w:pPr>
            <w:r w:rsidRPr="00D55950">
              <w:rPr>
                <w:rFonts w:eastAsiaTheme="minorHAnsi" w:cs="Segoe UI"/>
                <w:b/>
                <w:sz w:val="18"/>
                <w:szCs w:val="18"/>
              </w:rPr>
              <w:t>Ohrožení</w:t>
            </w:r>
          </w:p>
        </w:tc>
      </w:tr>
      <w:tr w:rsidR="00D55950" w:rsidRPr="00D55950" w:rsidTr="00D55950">
        <w:tc>
          <w:tcPr>
            <w:tcW w:w="5038" w:type="dxa"/>
            <w:shd w:val="clear" w:color="auto" w:fill="auto"/>
          </w:tcPr>
          <w:p w:rsidR="00D55950" w:rsidRPr="00D55950" w:rsidRDefault="00D55950" w:rsidP="00F95646">
            <w:pPr>
              <w:pStyle w:val="odrkaSWOT"/>
              <w:jc w:val="both"/>
              <w:rPr>
                <w:rFonts w:eastAsiaTheme="minorHAnsi"/>
              </w:rPr>
            </w:pPr>
            <w:r w:rsidRPr="00D55950">
              <w:rPr>
                <w:rFonts w:eastAsiaTheme="minorHAnsi"/>
              </w:rPr>
              <w:t xml:space="preserve">Vytvoření mechanismu pro spolufinancování potřebných sociálních služeb obcemi </w:t>
            </w:r>
          </w:p>
          <w:p w:rsidR="00D55950" w:rsidRPr="00D55950" w:rsidRDefault="00D55950" w:rsidP="00F95646">
            <w:pPr>
              <w:pStyle w:val="odrkaSWOT"/>
              <w:jc w:val="both"/>
              <w:rPr>
                <w:rFonts w:eastAsiaTheme="minorHAnsi"/>
              </w:rPr>
            </w:pPr>
            <w:r w:rsidRPr="00D55950">
              <w:rPr>
                <w:rFonts w:eastAsiaTheme="minorHAnsi"/>
              </w:rPr>
              <w:t>Vytvoření rezervního sociálního fondu na úrovni obcí i kraje k financování aktuálních potřeb konkrétních osob se zdravotním postižením</w:t>
            </w:r>
          </w:p>
          <w:p w:rsidR="00D55950" w:rsidRPr="00D55950" w:rsidRDefault="00D55950" w:rsidP="00F95646">
            <w:pPr>
              <w:pStyle w:val="odrkaSWOT"/>
              <w:jc w:val="both"/>
              <w:rPr>
                <w:rFonts w:eastAsiaTheme="minorHAnsi"/>
              </w:rPr>
            </w:pPr>
            <w:r w:rsidRPr="00D55950">
              <w:rPr>
                <w:rFonts w:eastAsiaTheme="minorHAnsi"/>
              </w:rPr>
              <w:t>Vyjádřená podpora kraje při zapojení poskytovatelů do projektů z IROP a dalších výzev z projektů ESF</w:t>
            </w:r>
          </w:p>
          <w:p w:rsidR="00D55950" w:rsidRPr="00D55950" w:rsidRDefault="00D55950" w:rsidP="00F95646">
            <w:pPr>
              <w:pStyle w:val="odrkaSWOT"/>
              <w:jc w:val="both"/>
              <w:rPr>
                <w:rFonts w:eastAsiaTheme="minorHAnsi"/>
              </w:rPr>
            </w:pPr>
            <w:r w:rsidRPr="00D55950">
              <w:rPr>
                <w:rFonts w:eastAsiaTheme="minorHAnsi"/>
              </w:rPr>
              <w:t xml:space="preserve">Vyjádřená podpora a finanční participace kraje na projektech příspěvkových organizací kraje vedoucích k transformaci, </w:t>
            </w:r>
            <w:proofErr w:type="spellStart"/>
            <w:r w:rsidRPr="00D55950">
              <w:rPr>
                <w:rFonts w:eastAsiaTheme="minorHAnsi"/>
              </w:rPr>
              <w:t>deinstitucionalizaci</w:t>
            </w:r>
            <w:proofErr w:type="spellEnd"/>
            <w:r w:rsidRPr="00D55950">
              <w:rPr>
                <w:rFonts w:eastAsiaTheme="minorHAnsi"/>
              </w:rPr>
              <w:t xml:space="preserve">, </w:t>
            </w:r>
            <w:proofErr w:type="spellStart"/>
            <w:r w:rsidRPr="00D55950">
              <w:rPr>
                <w:rFonts w:eastAsiaTheme="minorHAnsi"/>
              </w:rPr>
              <w:t>reprofilizaci</w:t>
            </w:r>
            <w:proofErr w:type="spellEnd"/>
            <w:r w:rsidRPr="00D55950">
              <w:rPr>
                <w:rFonts w:eastAsiaTheme="minorHAnsi"/>
              </w:rPr>
              <w:t xml:space="preserve"> a humanizaci pobytových sociálních služeb </w:t>
            </w:r>
          </w:p>
          <w:p w:rsidR="00D55950" w:rsidRPr="00D55950" w:rsidRDefault="00D55950" w:rsidP="00F95646">
            <w:pPr>
              <w:pStyle w:val="odrkaSWOT"/>
              <w:jc w:val="both"/>
              <w:rPr>
                <w:rFonts w:eastAsiaTheme="minorHAnsi"/>
              </w:rPr>
            </w:pPr>
            <w:r w:rsidRPr="00D55950">
              <w:rPr>
                <w:rFonts w:eastAsiaTheme="minorHAnsi"/>
              </w:rPr>
              <w:t>Vyjádřená podpora kraje při zapojení poskytovatelů do výzev financovaných z ESF v rámci reformy psychiatrické péče</w:t>
            </w:r>
          </w:p>
          <w:p w:rsidR="00D55950" w:rsidRPr="00D55950" w:rsidRDefault="00D55950" w:rsidP="00F95646">
            <w:pPr>
              <w:pStyle w:val="odrkaSWOT"/>
              <w:jc w:val="both"/>
              <w:rPr>
                <w:rFonts w:eastAsiaTheme="minorHAnsi"/>
              </w:rPr>
            </w:pPr>
            <w:r w:rsidRPr="00D55950">
              <w:rPr>
                <w:rFonts w:eastAsiaTheme="minorHAnsi"/>
              </w:rPr>
              <w:t>Vytvoření mechanismu pro vyřazení služeb neplnících svoje povinnosti k zadavateli a funkci ze sítě sociálních služeb Olomouckého kraje</w:t>
            </w:r>
          </w:p>
          <w:p w:rsidR="00D55950" w:rsidRPr="00D55950" w:rsidRDefault="00D55950" w:rsidP="00F95646">
            <w:pPr>
              <w:pStyle w:val="odrkaSWOT"/>
              <w:jc w:val="both"/>
              <w:rPr>
                <w:rFonts w:eastAsiaTheme="minorHAnsi"/>
              </w:rPr>
            </w:pPr>
            <w:r w:rsidRPr="00D55950">
              <w:rPr>
                <w:rFonts w:eastAsiaTheme="minorHAnsi"/>
              </w:rPr>
              <w:t>Provázanost poskytovatelů sociálních služeb, zástupců kraje a obcí s rozšířenou působností</w:t>
            </w:r>
          </w:p>
          <w:p w:rsidR="00D55950" w:rsidRPr="00D55950" w:rsidRDefault="00D55950" w:rsidP="00F95646">
            <w:pPr>
              <w:pStyle w:val="odrkaSWOT"/>
              <w:jc w:val="both"/>
              <w:rPr>
                <w:rFonts w:eastAsiaTheme="minorHAnsi"/>
              </w:rPr>
            </w:pPr>
            <w:r w:rsidRPr="00D55950">
              <w:rPr>
                <w:rFonts w:eastAsiaTheme="minorHAnsi"/>
              </w:rPr>
              <w:t>Zapojení kraje do návazného projektu Podpora plánování a sociální práce III. financovaného z ESF, rozšíření klíčových aktivit projektu</w:t>
            </w:r>
          </w:p>
          <w:p w:rsidR="00D55950" w:rsidRPr="00D55950" w:rsidRDefault="00D55950" w:rsidP="00F95646">
            <w:pPr>
              <w:pStyle w:val="odrkaSWOT"/>
              <w:jc w:val="both"/>
              <w:rPr>
                <w:rFonts w:eastAsiaTheme="minorHAnsi"/>
              </w:rPr>
            </w:pPr>
            <w:r w:rsidRPr="00D55950">
              <w:rPr>
                <w:rFonts w:eastAsiaTheme="minorHAnsi"/>
              </w:rPr>
              <w:t>Intenzívnější zapojení dobrovolníků do podpory osob se zdravotním postižením při řešení jejich individuálních potřeb</w:t>
            </w:r>
          </w:p>
          <w:p w:rsidR="00D55950" w:rsidRPr="00D55950" w:rsidRDefault="00D55950" w:rsidP="00F95646">
            <w:pPr>
              <w:pStyle w:val="odrkaSWOT"/>
              <w:jc w:val="both"/>
              <w:rPr>
                <w:rFonts w:eastAsiaTheme="minorHAnsi"/>
              </w:rPr>
            </w:pPr>
            <w:r w:rsidRPr="00D55950">
              <w:rPr>
                <w:rFonts w:eastAsiaTheme="minorHAnsi"/>
              </w:rPr>
              <w:t>Podpora neformálně pečujících formou zvyšování jejich vzdělanostní úrovně se zaměřením na sociální problematiku osob se zdravotním postižením</w:t>
            </w:r>
          </w:p>
          <w:p w:rsidR="00D55950" w:rsidRPr="00D55950" w:rsidRDefault="00D55950" w:rsidP="00F95646">
            <w:pPr>
              <w:pStyle w:val="odrkaSWOT"/>
              <w:jc w:val="both"/>
              <w:rPr>
                <w:rFonts w:eastAsiaTheme="minorHAnsi"/>
              </w:rPr>
            </w:pPr>
            <w:r w:rsidRPr="00D55950">
              <w:rPr>
                <w:rFonts w:eastAsiaTheme="minorHAnsi"/>
              </w:rPr>
              <w:t>Podpora svépomocných skupin pečujících osob</w:t>
            </w:r>
          </w:p>
          <w:p w:rsidR="00D55950" w:rsidRPr="00D55950" w:rsidRDefault="00D55950" w:rsidP="00F95646">
            <w:pPr>
              <w:pStyle w:val="odrkaSWOT"/>
              <w:jc w:val="both"/>
              <w:rPr>
                <w:rFonts w:eastAsiaTheme="minorHAnsi"/>
              </w:rPr>
            </w:pPr>
            <w:r w:rsidRPr="00D55950">
              <w:rPr>
                <w:rFonts w:eastAsiaTheme="minorHAnsi"/>
              </w:rPr>
              <w:t xml:space="preserve">Využití </w:t>
            </w:r>
            <w:proofErr w:type="spellStart"/>
            <w:r w:rsidRPr="00D55950">
              <w:rPr>
                <w:rFonts w:eastAsiaTheme="minorHAnsi"/>
              </w:rPr>
              <w:t>asistivních</w:t>
            </w:r>
            <w:proofErr w:type="spellEnd"/>
            <w:r w:rsidRPr="00D55950">
              <w:rPr>
                <w:rFonts w:eastAsiaTheme="minorHAnsi"/>
              </w:rPr>
              <w:t xml:space="preserve"> technologií při zajištění podpory a pomoci osobám se zdravotním postižením</w:t>
            </w:r>
          </w:p>
          <w:p w:rsidR="00D55950" w:rsidRPr="00D55950" w:rsidRDefault="00D55950" w:rsidP="00F95646">
            <w:pPr>
              <w:pStyle w:val="odrkaSWOT"/>
              <w:jc w:val="both"/>
              <w:rPr>
                <w:rFonts w:eastAsiaTheme="minorHAnsi"/>
              </w:rPr>
            </w:pPr>
            <w:r w:rsidRPr="00D55950">
              <w:rPr>
                <w:rFonts w:eastAsiaTheme="minorHAnsi"/>
              </w:rPr>
              <w:t>Zajištění multidisciplinárního přístupu v rámci zajištěné pomoci a podpory osobám se zdravotním postižením při využívání služeb v situacích, kdy je to potřeba</w:t>
            </w:r>
          </w:p>
          <w:p w:rsidR="00D55950" w:rsidRPr="00D55950" w:rsidRDefault="00D55950" w:rsidP="00F95646">
            <w:pPr>
              <w:pStyle w:val="odrkaSWOT"/>
              <w:jc w:val="both"/>
              <w:rPr>
                <w:rFonts w:eastAsiaTheme="minorHAnsi"/>
              </w:rPr>
            </w:pPr>
            <w:r w:rsidRPr="00D55950">
              <w:rPr>
                <w:rFonts w:eastAsiaTheme="minorHAnsi"/>
              </w:rPr>
              <w:t>Národní plán obnovy a výzvy z IROP – příležitost pro zkvalitnění materiálně technických podmínek poskytovaných služeb</w:t>
            </w:r>
          </w:p>
          <w:p w:rsidR="00D55950" w:rsidRPr="00D55950" w:rsidRDefault="00D55950" w:rsidP="00F95646">
            <w:pPr>
              <w:pStyle w:val="odrkaSWOT"/>
              <w:jc w:val="both"/>
              <w:rPr>
                <w:rFonts w:eastAsiaTheme="minorHAnsi"/>
              </w:rPr>
            </w:pPr>
            <w:r w:rsidRPr="00D55950">
              <w:rPr>
                <w:rFonts w:eastAsiaTheme="minorHAnsi"/>
              </w:rPr>
              <w:lastRenderedPageBreak/>
              <w:t xml:space="preserve">Velké množství středních a vysokých škol se sociálními a zdravotními obory, jež skýtá potenciál pro budoucí personální zabezpečení sociálních služeb, včetně možností dobrovolnické činnosti </w:t>
            </w:r>
          </w:p>
          <w:p w:rsidR="00D55950" w:rsidRPr="00D55950" w:rsidRDefault="00D55950" w:rsidP="00F95646">
            <w:pPr>
              <w:pStyle w:val="odrkaSWOT"/>
              <w:jc w:val="both"/>
              <w:rPr>
                <w:rFonts w:eastAsiaTheme="minorHAnsi"/>
              </w:rPr>
            </w:pPr>
            <w:r w:rsidRPr="00D55950">
              <w:rPr>
                <w:rFonts w:eastAsiaTheme="minorHAnsi"/>
              </w:rPr>
              <w:t xml:space="preserve">Zavádění nových metod (včetně </w:t>
            </w:r>
            <w:proofErr w:type="spellStart"/>
            <w:r w:rsidRPr="00D55950">
              <w:rPr>
                <w:rFonts w:eastAsiaTheme="minorHAnsi"/>
              </w:rPr>
              <w:t>homesharingu</w:t>
            </w:r>
            <w:proofErr w:type="spellEnd"/>
            <w:r w:rsidRPr="00D55950">
              <w:rPr>
                <w:rFonts w:eastAsiaTheme="minorHAnsi"/>
              </w:rPr>
              <w:t>), které rozšiřují možnosti podpory osob se zdravotním postižením, pečujících, a doplňují síť sociálních služeb na bázi komunitní pomoci</w:t>
            </w:r>
          </w:p>
          <w:p w:rsidR="00D55950" w:rsidRPr="00D55950" w:rsidRDefault="00D55950" w:rsidP="00F95646">
            <w:pPr>
              <w:pStyle w:val="odrkaSWOT"/>
              <w:jc w:val="both"/>
              <w:rPr>
                <w:rFonts w:eastAsiaTheme="minorHAnsi"/>
              </w:rPr>
            </w:pPr>
            <w:r w:rsidRPr="00D55950">
              <w:rPr>
                <w:rFonts w:eastAsiaTheme="minorHAnsi"/>
              </w:rPr>
              <w:t>Spolupráce poskytovatelů sociálních služeb a dalších institucí v oblasti zpřístupňování veřejných institucí osobám se ZP</w:t>
            </w:r>
          </w:p>
        </w:tc>
        <w:tc>
          <w:tcPr>
            <w:tcW w:w="5222" w:type="dxa"/>
            <w:shd w:val="clear" w:color="auto" w:fill="auto"/>
          </w:tcPr>
          <w:p w:rsidR="00D55950" w:rsidRPr="00D55950" w:rsidRDefault="00D55950" w:rsidP="00F95646">
            <w:pPr>
              <w:pStyle w:val="odrkaSWOT"/>
              <w:jc w:val="both"/>
              <w:rPr>
                <w:rFonts w:eastAsiaTheme="minorHAnsi"/>
              </w:rPr>
            </w:pPr>
            <w:r w:rsidRPr="00D55950">
              <w:rPr>
                <w:rFonts w:eastAsiaTheme="minorHAnsi"/>
              </w:rPr>
              <w:lastRenderedPageBreak/>
              <w:t>Nejasnosti při tvorbě a účinnosti nové legislativy v oblasti sociálních služeb</w:t>
            </w:r>
          </w:p>
          <w:p w:rsidR="00D55950" w:rsidRPr="00D55950" w:rsidRDefault="00D55950" w:rsidP="00F95646">
            <w:pPr>
              <w:pStyle w:val="odrkaSWOT"/>
              <w:jc w:val="both"/>
              <w:rPr>
                <w:rFonts w:eastAsiaTheme="minorHAnsi"/>
              </w:rPr>
            </w:pPr>
            <w:r w:rsidRPr="00D55950">
              <w:rPr>
                <w:rFonts w:eastAsiaTheme="minorHAnsi"/>
              </w:rPr>
              <w:t xml:space="preserve">Negarantovaná výše finančních prostředků ze státního rozpočtu na příslušný kalendářní rok mající vliv na snížení přepočítané výše finančních prostředků ze státního rozpočtu na sociální služby </w:t>
            </w:r>
          </w:p>
          <w:p w:rsidR="00D55950" w:rsidRPr="00D55950" w:rsidRDefault="00D55950" w:rsidP="00F95646">
            <w:pPr>
              <w:pStyle w:val="odrkaSWOT"/>
              <w:jc w:val="both"/>
              <w:rPr>
                <w:rFonts w:eastAsiaTheme="minorHAnsi"/>
              </w:rPr>
            </w:pPr>
            <w:r w:rsidRPr="00D55950">
              <w:rPr>
                <w:rFonts w:eastAsiaTheme="minorHAnsi"/>
              </w:rPr>
              <w:t>Povinnost obcí participovat na financování sociálních služeb není legislativně ukotvena</w:t>
            </w:r>
          </w:p>
          <w:p w:rsidR="00D55950" w:rsidRPr="00D55950" w:rsidRDefault="00D55950" w:rsidP="00F95646">
            <w:pPr>
              <w:pStyle w:val="odrkaSWOT"/>
              <w:jc w:val="both"/>
              <w:rPr>
                <w:rFonts w:eastAsiaTheme="minorHAnsi"/>
              </w:rPr>
            </w:pPr>
            <w:r w:rsidRPr="00D55950">
              <w:rPr>
                <w:rFonts w:eastAsiaTheme="minorHAnsi"/>
              </w:rPr>
              <w:t xml:space="preserve">Neprovázanost a nezajištění kontinuity probíhajících procesů reformy psychiatrické péče prostřednictvím zainteresovaných ministerstev </w:t>
            </w:r>
          </w:p>
          <w:p w:rsidR="00D55950" w:rsidRPr="00D55950" w:rsidRDefault="00D55950" w:rsidP="00F95646">
            <w:pPr>
              <w:pStyle w:val="odrkaSWOT"/>
              <w:jc w:val="both"/>
              <w:rPr>
                <w:rFonts w:eastAsiaTheme="minorHAnsi"/>
              </w:rPr>
            </w:pPr>
            <w:r w:rsidRPr="00D55950">
              <w:rPr>
                <w:rFonts w:eastAsiaTheme="minorHAnsi"/>
              </w:rPr>
              <w:t>Nedostatek kvalifikovaného personálu zabezpečujícího přímou práci v sociálních službách</w:t>
            </w:r>
          </w:p>
          <w:p w:rsidR="00D55950" w:rsidRPr="00D55950" w:rsidRDefault="00D55950" w:rsidP="00F95646">
            <w:pPr>
              <w:pStyle w:val="odrkaSWOT"/>
              <w:jc w:val="both"/>
              <w:rPr>
                <w:rFonts w:eastAsiaTheme="minorHAnsi"/>
              </w:rPr>
            </w:pPr>
            <w:r w:rsidRPr="00D55950">
              <w:rPr>
                <w:rFonts w:eastAsiaTheme="minorHAnsi"/>
              </w:rPr>
              <w:t>Meziresortní nepropojenost systémů sociální, zdravotní i školské problematiky</w:t>
            </w:r>
          </w:p>
          <w:p w:rsidR="00D55950" w:rsidRPr="00D55950" w:rsidRDefault="00D55950" w:rsidP="00F95646">
            <w:pPr>
              <w:pStyle w:val="odrkaSWOT"/>
              <w:jc w:val="both"/>
              <w:rPr>
                <w:rFonts w:eastAsiaTheme="minorHAnsi"/>
              </w:rPr>
            </w:pPr>
            <w:r w:rsidRPr="00D55950">
              <w:rPr>
                <w:rFonts w:eastAsiaTheme="minorHAnsi"/>
              </w:rPr>
              <w:t>Změna v prioritách rozvoje sociálních služeb související s volebními obdobími</w:t>
            </w:r>
          </w:p>
          <w:p w:rsidR="00D55950" w:rsidRPr="00D55950" w:rsidRDefault="00D55950" w:rsidP="00F95646">
            <w:pPr>
              <w:pStyle w:val="odrkaSWOT"/>
              <w:jc w:val="both"/>
              <w:rPr>
                <w:rFonts w:eastAsiaTheme="minorHAnsi"/>
              </w:rPr>
            </w:pPr>
            <w:r w:rsidRPr="00D55950">
              <w:rPr>
                <w:rFonts w:eastAsiaTheme="minorHAnsi"/>
              </w:rPr>
              <w:t>Působnost neregistrovaných sociálních služeb a využívání jejich kapacit osobami se zdravotním postižením</w:t>
            </w:r>
          </w:p>
          <w:p w:rsidR="00D55950" w:rsidRPr="00D55950" w:rsidRDefault="00D55950" w:rsidP="00F95646">
            <w:pPr>
              <w:pStyle w:val="odrkaSWOT"/>
              <w:jc w:val="both"/>
              <w:rPr>
                <w:rFonts w:eastAsiaTheme="minorHAnsi"/>
              </w:rPr>
            </w:pPr>
            <w:r w:rsidRPr="00D55950">
              <w:rPr>
                <w:rFonts w:eastAsiaTheme="minorHAnsi"/>
              </w:rPr>
              <w:t xml:space="preserve">Omezení některých druhů ambulantních a terénních sociálních služeb způsobené epidemiologickou situací </w:t>
            </w:r>
          </w:p>
          <w:p w:rsidR="00D55950" w:rsidRPr="00D55950" w:rsidRDefault="00D55950" w:rsidP="00F95646">
            <w:pPr>
              <w:pStyle w:val="odrkaSWOT"/>
              <w:jc w:val="both"/>
              <w:rPr>
                <w:rFonts w:eastAsiaTheme="minorHAnsi"/>
              </w:rPr>
            </w:pPr>
            <w:r w:rsidRPr="00D55950">
              <w:rPr>
                <w:rFonts w:eastAsiaTheme="minorHAnsi"/>
              </w:rPr>
              <w:t>Nevyhovující obsah a rozsah vzdělávacích plánů se zaměřením na obory sociální pracovník a speciální pedagog</w:t>
            </w:r>
          </w:p>
          <w:p w:rsidR="00D55950" w:rsidRPr="00D55950" w:rsidRDefault="00D55950" w:rsidP="00F95646">
            <w:pPr>
              <w:pStyle w:val="odrkaSWOT"/>
              <w:jc w:val="both"/>
              <w:rPr>
                <w:rFonts w:eastAsiaTheme="minorHAnsi"/>
              </w:rPr>
            </w:pPr>
            <w:r w:rsidRPr="00D55950">
              <w:rPr>
                <w:rFonts w:eastAsiaTheme="minorHAnsi"/>
              </w:rPr>
              <w:t>Nedostatek dostupné kapacity pro vzdělávání osob se zdravotním postižením v předškolním a školním vzdělávání u škol zřízených podle § 16 odst. 1 školského zákona v Olomouckém kraji</w:t>
            </w:r>
          </w:p>
          <w:p w:rsidR="00D55950" w:rsidRPr="00D55950" w:rsidRDefault="00D55950" w:rsidP="00F95646">
            <w:pPr>
              <w:pStyle w:val="odrkaSWOT"/>
              <w:jc w:val="both"/>
              <w:rPr>
                <w:rFonts w:eastAsiaTheme="minorHAnsi"/>
              </w:rPr>
            </w:pPr>
            <w:r w:rsidRPr="00D55950">
              <w:rPr>
                <w:rFonts w:eastAsiaTheme="minorHAnsi"/>
              </w:rPr>
              <w:t xml:space="preserve">Nedostatečné kapacity pro diagnostiku osob s poruchou autistického spektra (osob s kombinovaným postižením) či jiným onemocněním skrze odbornost </w:t>
            </w:r>
            <w:proofErr w:type="spellStart"/>
            <w:r w:rsidRPr="00D55950">
              <w:rPr>
                <w:rFonts w:eastAsiaTheme="minorHAnsi"/>
              </w:rPr>
              <w:t>pedopsychiatrie</w:t>
            </w:r>
            <w:proofErr w:type="spellEnd"/>
          </w:p>
          <w:p w:rsidR="00D55950" w:rsidRPr="00D55950" w:rsidRDefault="00D55950" w:rsidP="00F95646">
            <w:pPr>
              <w:pStyle w:val="odrkaSWOT"/>
              <w:jc w:val="both"/>
              <w:rPr>
                <w:rFonts w:eastAsiaTheme="minorHAnsi"/>
              </w:rPr>
            </w:pPr>
            <w:r w:rsidRPr="00D55950">
              <w:rPr>
                <w:rFonts w:eastAsiaTheme="minorHAnsi"/>
              </w:rPr>
              <w:t>Zhoršující se celková finanční situace u nízkopříjmových skupin osob se zdravotním postižením má dopad na využívání sociálních služeb</w:t>
            </w:r>
          </w:p>
          <w:p w:rsidR="00D55950" w:rsidRPr="00D55950" w:rsidRDefault="00D55950" w:rsidP="00F95646">
            <w:pPr>
              <w:pStyle w:val="odrkaSWOT"/>
              <w:jc w:val="both"/>
              <w:rPr>
                <w:rFonts w:eastAsiaTheme="minorHAnsi"/>
              </w:rPr>
            </w:pPr>
            <w:r w:rsidRPr="00D55950">
              <w:rPr>
                <w:rFonts w:eastAsiaTheme="minorHAnsi"/>
              </w:rPr>
              <w:t>Nevalorizovaný příspěvek na péči nepokryje zvyšující se úhrady za zajištění sociálních služeb</w:t>
            </w:r>
          </w:p>
          <w:p w:rsidR="00D55950" w:rsidRPr="00D55950" w:rsidRDefault="00D55950" w:rsidP="00F95646">
            <w:pPr>
              <w:pStyle w:val="odrkaSWOT"/>
              <w:numPr>
                <w:ilvl w:val="0"/>
                <w:numId w:val="0"/>
              </w:numPr>
              <w:ind w:left="357"/>
              <w:rPr>
                <w:rFonts w:eastAsiaTheme="minorHAnsi"/>
                <w:color w:val="000000"/>
              </w:rPr>
            </w:pPr>
          </w:p>
        </w:tc>
      </w:tr>
    </w:tbl>
    <w:p w:rsidR="00FB1999" w:rsidRPr="007C2EB2" w:rsidRDefault="00FB1999" w:rsidP="00A34764">
      <w:pPr>
        <w:rPr>
          <w:lang w:eastAsia="cs-CZ"/>
        </w:rPr>
      </w:pPr>
    </w:p>
    <w:p w:rsidR="00FB1999" w:rsidRDefault="00FB1999" w:rsidP="00A34764">
      <w:pPr>
        <w:pStyle w:val="Nadpis3"/>
      </w:pPr>
      <w:bookmarkStart w:id="203" w:name="_Toc22896387"/>
      <w:bookmarkStart w:id="204" w:name="_Toc111537476"/>
      <w:bookmarkStart w:id="205" w:name="_Toc113622086"/>
      <w:bookmarkStart w:id="206" w:name="_Toc117606997"/>
      <w:r w:rsidRPr="007C2EB2">
        <w:t>Seznam cílů a opatření</w:t>
      </w:r>
      <w:bookmarkEnd w:id="203"/>
      <w:bookmarkEnd w:id="204"/>
      <w:bookmarkEnd w:id="205"/>
      <w:bookmarkEnd w:id="2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E2320B" w:rsidRPr="004A7196" w:rsidTr="00D55950">
        <w:trPr>
          <w:trHeight w:val="397"/>
          <w:jc w:val="center"/>
        </w:trPr>
        <w:tc>
          <w:tcPr>
            <w:tcW w:w="1249" w:type="pct"/>
            <w:shd w:val="clear" w:color="auto" w:fill="FABF8F"/>
          </w:tcPr>
          <w:p w:rsidR="00E2320B" w:rsidRPr="00D55950" w:rsidRDefault="00E2320B" w:rsidP="00D55950">
            <w:pPr>
              <w:spacing w:before="0"/>
              <w:jc w:val="left"/>
              <w:rPr>
                <w:rFonts w:eastAsia="Arial Unicode MS"/>
                <w:b/>
                <w:lang w:eastAsia="cs-CZ"/>
              </w:rPr>
            </w:pPr>
            <w:r w:rsidRPr="00D55950">
              <w:rPr>
                <w:rFonts w:eastAsia="Arial Unicode MS"/>
                <w:b/>
                <w:lang w:eastAsia="cs-CZ"/>
              </w:rPr>
              <w:t>Cíl 2.1</w:t>
            </w:r>
          </w:p>
        </w:tc>
        <w:tc>
          <w:tcPr>
            <w:tcW w:w="3751" w:type="pct"/>
            <w:shd w:val="clear" w:color="auto" w:fill="FABF8F"/>
          </w:tcPr>
          <w:p w:rsidR="00E2320B" w:rsidRPr="00D55950" w:rsidRDefault="00E2320B" w:rsidP="00D55950">
            <w:pPr>
              <w:spacing w:before="0"/>
              <w:rPr>
                <w:rFonts w:eastAsia="Arial Unicode MS"/>
                <w:b/>
                <w:color w:val="FF0000"/>
                <w:lang w:eastAsia="cs-CZ"/>
              </w:rPr>
            </w:pPr>
            <w:r w:rsidRPr="00D55950">
              <w:rPr>
                <w:rFonts w:eastAsia="Arial Unicode MS"/>
                <w:b/>
                <w:lang w:eastAsia="cs-CZ"/>
              </w:rPr>
              <w:t>Zajištění potřebného rozsahu služby odborné sociální poradenství v OK</w:t>
            </w:r>
          </w:p>
        </w:tc>
      </w:tr>
      <w:tr w:rsidR="00E2320B" w:rsidRPr="004A7196" w:rsidTr="00D55950">
        <w:trPr>
          <w:trHeight w:val="833"/>
          <w:jc w:val="center"/>
        </w:trPr>
        <w:tc>
          <w:tcPr>
            <w:tcW w:w="1249" w:type="pct"/>
            <w:shd w:val="clear" w:color="auto" w:fill="E2EFD9" w:themeFill="accent6" w:themeFillTint="33"/>
          </w:tcPr>
          <w:p w:rsidR="00E2320B" w:rsidRPr="00D55950" w:rsidRDefault="00E2320B" w:rsidP="00D55950">
            <w:pPr>
              <w:spacing w:before="0"/>
              <w:jc w:val="left"/>
              <w:rPr>
                <w:rFonts w:eastAsia="Arial Unicode MS"/>
                <w:b/>
                <w:lang w:eastAsia="cs-CZ"/>
              </w:rPr>
            </w:pPr>
            <w:r w:rsidRPr="00D55950">
              <w:rPr>
                <w:rFonts w:eastAsia="Arial Unicode MS"/>
                <w:b/>
                <w:lang w:eastAsia="cs-CZ"/>
              </w:rPr>
              <w:t>Opatření 2.1.1</w:t>
            </w:r>
          </w:p>
        </w:tc>
        <w:tc>
          <w:tcPr>
            <w:tcW w:w="3751" w:type="pct"/>
            <w:shd w:val="clear" w:color="auto" w:fill="E2EFD9" w:themeFill="accent6" w:themeFillTint="33"/>
          </w:tcPr>
          <w:p w:rsidR="00E2320B" w:rsidRPr="00971964" w:rsidRDefault="00E2320B" w:rsidP="00D55950">
            <w:pPr>
              <w:spacing w:before="0"/>
              <w:rPr>
                <w:rFonts w:eastAsia="Arial Unicode MS"/>
                <w:lang w:eastAsia="cs-CZ"/>
              </w:rPr>
            </w:pPr>
            <w:r w:rsidRPr="00971964">
              <w:rPr>
                <w:rFonts w:eastAsia="Arial Unicode MS"/>
                <w:lang w:eastAsia="cs-CZ"/>
              </w:rPr>
              <w:t>Zajištění terénní formy služby odborné sociální poradenství pro osoby s jiným zdravotním postižením a osoby v krizi dle zjištěné potřebnosti</w:t>
            </w:r>
            <w:r w:rsidRPr="00E2320B">
              <w:rPr>
                <w:rFonts w:eastAsia="Arial Unicode MS"/>
                <w:lang w:eastAsia="cs-CZ"/>
              </w:rPr>
              <w:t xml:space="preserve"> </w:t>
            </w:r>
            <w:r w:rsidR="005A25A2">
              <w:rPr>
                <w:rFonts w:eastAsia="Arial Unicode MS"/>
                <w:lang w:eastAsia="cs-CZ"/>
              </w:rPr>
              <w:t>3</w:t>
            </w:r>
            <w:r w:rsidRPr="00971964">
              <w:rPr>
                <w:rFonts w:eastAsia="Arial Unicode MS"/>
                <w:lang w:eastAsia="cs-CZ"/>
              </w:rPr>
              <w:t xml:space="preserve"> pracovními úvazky pracovníků v přímé péči v OK</w:t>
            </w:r>
          </w:p>
        </w:tc>
      </w:tr>
      <w:tr w:rsidR="00E2320B" w:rsidRPr="004A7196" w:rsidTr="00D55950">
        <w:trPr>
          <w:trHeight w:val="397"/>
          <w:jc w:val="center"/>
        </w:trPr>
        <w:tc>
          <w:tcPr>
            <w:tcW w:w="1249" w:type="pct"/>
            <w:shd w:val="clear" w:color="auto" w:fill="FABF8F"/>
          </w:tcPr>
          <w:p w:rsidR="00E2320B" w:rsidRPr="00D55950" w:rsidRDefault="00E2320B" w:rsidP="00D55950">
            <w:pPr>
              <w:spacing w:before="0"/>
              <w:jc w:val="left"/>
              <w:rPr>
                <w:rFonts w:eastAsia="Arial Unicode MS"/>
                <w:b/>
                <w:lang w:eastAsia="cs-CZ"/>
              </w:rPr>
            </w:pPr>
            <w:r w:rsidRPr="00D55950">
              <w:rPr>
                <w:rFonts w:eastAsia="Arial Unicode MS"/>
                <w:b/>
                <w:lang w:eastAsia="cs-CZ"/>
              </w:rPr>
              <w:t>Cíl 2.1</w:t>
            </w:r>
          </w:p>
        </w:tc>
        <w:tc>
          <w:tcPr>
            <w:tcW w:w="3751" w:type="pct"/>
            <w:shd w:val="clear" w:color="auto" w:fill="FABF8F"/>
          </w:tcPr>
          <w:p w:rsidR="00E2320B" w:rsidRPr="00D55950" w:rsidRDefault="00E2320B" w:rsidP="00D55950">
            <w:pPr>
              <w:spacing w:before="0"/>
              <w:rPr>
                <w:rFonts w:eastAsia="Arial Unicode MS"/>
                <w:b/>
                <w:color w:val="FF0000"/>
                <w:lang w:eastAsia="cs-CZ"/>
              </w:rPr>
            </w:pPr>
            <w:r w:rsidRPr="00D55950">
              <w:rPr>
                <w:rFonts w:eastAsia="Arial Unicode MS"/>
                <w:b/>
                <w:lang w:eastAsia="cs-CZ"/>
              </w:rPr>
              <w:t>Zajištění potřebného rozsahu služby podpora samostatného bydlení v</w:t>
            </w:r>
            <w:r w:rsidR="00A70AA3">
              <w:rPr>
                <w:rFonts w:eastAsia="Arial Unicode MS"/>
                <w:b/>
                <w:lang w:eastAsia="cs-CZ"/>
              </w:rPr>
              <w:t> </w:t>
            </w:r>
            <w:r w:rsidRPr="00D55950">
              <w:rPr>
                <w:rFonts w:eastAsia="Arial Unicode MS"/>
                <w:b/>
                <w:lang w:eastAsia="cs-CZ"/>
              </w:rPr>
              <w:t>OK</w:t>
            </w:r>
          </w:p>
        </w:tc>
      </w:tr>
      <w:tr w:rsidR="00E2320B" w:rsidRPr="004A7196" w:rsidTr="00D55950">
        <w:trPr>
          <w:trHeight w:val="397"/>
          <w:jc w:val="center"/>
        </w:trPr>
        <w:tc>
          <w:tcPr>
            <w:tcW w:w="1249" w:type="pct"/>
            <w:shd w:val="clear" w:color="auto" w:fill="E2EFD9" w:themeFill="accent6" w:themeFillTint="33"/>
          </w:tcPr>
          <w:p w:rsidR="00E2320B" w:rsidRPr="00D55950" w:rsidRDefault="00E2320B" w:rsidP="00D55950">
            <w:pPr>
              <w:spacing w:before="0"/>
              <w:jc w:val="left"/>
              <w:rPr>
                <w:rFonts w:eastAsia="Arial Unicode MS"/>
                <w:b/>
                <w:lang w:eastAsia="cs-CZ"/>
              </w:rPr>
            </w:pPr>
            <w:r w:rsidRPr="00D55950">
              <w:rPr>
                <w:rFonts w:eastAsia="Arial Unicode MS"/>
                <w:b/>
                <w:lang w:eastAsia="cs-CZ"/>
              </w:rPr>
              <w:t>Opatření 2.2.1</w:t>
            </w:r>
          </w:p>
        </w:tc>
        <w:tc>
          <w:tcPr>
            <w:tcW w:w="3751" w:type="pct"/>
            <w:shd w:val="clear" w:color="auto" w:fill="E2EFD9" w:themeFill="accent6" w:themeFillTint="33"/>
          </w:tcPr>
          <w:p w:rsidR="00E2320B" w:rsidRPr="00971964" w:rsidRDefault="00E2320B" w:rsidP="00D55950">
            <w:pPr>
              <w:spacing w:before="0"/>
              <w:rPr>
                <w:rFonts w:eastAsia="Arial Unicode MS"/>
                <w:lang w:eastAsia="cs-CZ"/>
              </w:rPr>
            </w:pPr>
            <w:r w:rsidRPr="00971964">
              <w:rPr>
                <w:rFonts w:eastAsia="Arial Unicode MS"/>
                <w:lang w:eastAsia="cs-CZ"/>
              </w:rPr>
              <w:t>Zajištění služby podpory samostatného bydlení pro osoby s chr</w:t>
            </w:r>
            <w:r w:rsidR="005A25A2">
              <w:rPr>
                <w:rFonts w:eastAsia="Arial Unicode MS"/>
                <w:lang w:eastAsia="cs-CZ"/>
              </w:rPr>
              <w:t>onickým duševním onemocněním 5</w:t>
            </w:r>
            <w:r w:rsidRPr="00971964">
              <w:rPr>
                <w:rFonts w:eastAsia="Arial Unicode MS"/>
                <w:lang w:eastAsia="cs-CZ"/>
              </w:rPr>
              <w:t xml:space="preserve"> pracovními úvazky pracovníků v přímé péči v OK</w:t>
            </w:r>
          </w:p>
        </w:tc>
      </w:tr>
      <w:tr w:rsidR="00E2320B" w:rsidRPr="004A7196" w:rsidTr="00D55950">
        <w:trPr>
          <w:trHeight w:val="397"/>
          <w:jc w:val="center"/>
        </w:trPr>
        <w:tc>
          <w:tcPr>
            <w:tcW w:w="1249" w:type="pct"/>
            <w:shd w:val="clear" w:color="auto" w:fill="FABF8F"/>
          </w:tcPr>
          <w:p w:rsidR="00E2320B" w:rsidRPr="00D55950" w:rsidRDefault="00E2320B" w:rsidP="00D55950">
            <w:pPr>
              <w:spacing w:before="0"/>
              <w:jc w:val="left"/>
              <w:rPr>
                <w:rFonts w:eastAsia="Arial Unicode MS"/>
                <w:b/>
                <w:lang w:eastAsia="cs-CZ"/>
              </w:rPr>
            </w:pPr>
            <w:r w:rsidRPr="00D55950">
              <w:rPr>
                <w:rFonts w:eastAsia="Arial Unicode MS"/>
                <w:b/>
                <w:lang w:eastAsia="cs-CZ"/>
              </w:rPr>
              <w:t>Cíl 2.3</w:t>
            </w:r>
          </w:p>
        </w:tc>
        <w:tc>
          <w:tcPr>
            <w:tcW w:w="3751" w:type="pct"/>
            <w:shd w:val="clear" w:color="auto" w:fill="FABF8F"/>
          </w:tcPr>
          <w:p w:rsidR="00E2320B" w:rsidRPr="00D55950" w:rsidRDefault="00E2320B" w:rsidP="00D55950">
            <w:pPr>
              <w:spacing w:before="0"/>
              <w:rPr>
                <w:rFonts w:eastAsia="Arial Unicode MS"/>
                <w:b/>
                <w:color w:val="FF0000"/>
                <w:highlight w:val="cyan"/>
                <w:lang w:eastAsia="cs-CZ"/>
              </w:rPr>
            </w:pPr>
            <w:r w:rsidRPr="00D55950">
              <w:rPr>
                <w:rFonts w:eastAsia="Arial Unicode MS"/>
                <w:b/>
                <w:lang w:eastAsia="cs-CZ"/>
              </w:rPr>
              <w:t>Zajištění potřebného rozsahu služby osobní asistence v OK</w:t>
            </w:r>
          </w:p>
        </w:tc>
      </w:tr>
      <w:tr w:rsidR="00E2320B" w:rsidRPr="004A7196" w:rsidTr="00D55950">
        <w:trPr>
          <w:trHeight w:val="397"/>
          <w:jc w:val="center"/>
        </w:trPr>
        <w:tc>
          <w:tcPr>
            <w:tcW w:w="1249" w:type="pct"/>
            <w:shd w:val="clear" w:color="auto" w:fill="E2EFD9" w:themeFill="accent6" w:themeFillTint="33"/>
          </w:tcPr>
          <w:p w:rsidR="00E2320B" w:rsidRPr="00D55950" w:rsidRDefault="00E2320B" w:rsidP="00D55950">
            <w:pPr>
              <w:spacing w:before="0"/>
              <w:jc w:val="left"/>
              <w:rPr>
                <w:rFonts w:eastAsia="Arial Unicode MS"/>
                <w:b/>
                <w:lang w:eastAsia="cs-CZ"/>
              </w:rPr>
            </w:pPr>
            <w:r w:rsidRPr="00D55950">
              <w:rPr>
                <w:rFonts w:eastAsia="Arial Unicode MS"/>
                <w:b/>
                <w:lang w:eastAsia="cs-CZ"/>
              </w:rPr>
              <w:t>Opatření 2.3.1</w:t>
            </w:r>
          </w:p>
        </w:tc>
        <w:tc>
          <w:tcPr>
            <w:tcW w:w="3751" w:type="pct"/>
            <w:shd w:val="clear" w:color="auto" w:fill="E2EFD9" w:themeFill="accent6" w:themeFillTint="33"/>
          </w:tcPr>
          <w:p w:rsidR="00E2320B" w:rsidRPr="00971964" w:rsidRDefault="00E2320B" w:rsidP="00D55950">
            <w:pPr>
              <w:spacing w:before="0"/>
              <w:rPr>
                <w:rFonts w:eastAsia="Arial Unicode MS"/>
                <w:lang w:eastAsia="cs-CZ"/>
              </w:rPr>
            </w:pPr>
            <w:r w:rsidRPr="00971964">
              <w:rPr>
                <w:rFonts w:eastAsia="Arial Unicode MS"/>
                <w:lang w:eastAsia="cs-CZ"/>
              </w:rPr>
              <w:t>Zajištění služby osobní asistence pro osoby s mentálním a kombinovaným postižením, osoby s tělesným postižením, osoby s chronickým onemocněním, osoby s chr</w:t>
            </w:r>
            <w:r w:rsidR="005A25A2">
              <w:rPr>
                <w:rFonts w:eastAsia="Arial Unicode MS"/>
                <w:lang w:eastAsia="cs-CZ"/>
              </w:rPr>
              <w:t>onickým duševním onemocněním 5</w:t>
            </w:r>
            <w:r w:rsidRPr="00971964">
              <w:rPr>
                <w:rFonts w:eastAsia="Arial Unicode MS"/>
                <w:lang w:eastAsia="cs-CZ"/>
              </w:rPr>
              <w:t xml:space="preserve"> pracovními úvazky pracovníků v přímé péči v</w:t>
            </w:r>
            <w:r w:rsidR="00AD2C3D">
              <w:rPr>
                <w:rFonts w:eastAsia="Arial Unicode MS"/>
                <w:lang w:eastAsia="cs-CZ"/>
              </w:rPr>
              <w:t> </w:t>
            </w:r>
            <w:r w:rsidRPr="00971964">
              <w:rPr>
                <w:rFonts w:eastAsia="Arial Unicode MS"/>
                <w:lang w:eastAsia="cs-CZ"/>
              </w:rPr>
              <w:t>OK</w:t>
            </w:r>
          </w:p>
        </w:tc>
      </w:tr>
      <w:tr w:rsidR="00E2320B" w:rsidRPr="004A7196" w:rsidTr="00D55950">
        <w:trPr>
          <w:trHeight w:val="397"/>
          <w:jc w:val="center"/>
        </w:trPr>
        <w:tc>
          <w:tcPr>
            <w:tcW w:w="1249" w:type="pct"/>
            <w:shd w:val="clear" w:color="auto" w:fill="FABF8F"/>
          </w:tcPr>
          <w:p w:rsidR="00E2320B" w:rsidRPr="00D55950" w:rsidRDefault="00E2320B" w:rsidP="00D55950">
            <w:pPr>
              <w:spacing w:before="0"/>
              <w:jc w:val="left"/>
              <w:rPr>
                <w:rFonts w:eastAsia="Arial Unicode MS"/>
                <w:b/>
                <w:lang w:eastAsia="cs-CZ"/>
              </w:rPr>
            </w:pPr>
            <w:r w:rsidRPr="00D55950">
              <w:rPr>
                <w:rFonts w:eastAsia="Arial Unicode MS"/>
                <w:b/>
                <w:lang w:eastAsia="cs-CZ"/>
              </w:rPr>
              <w:t>Cíl 2.4</w:t>
            </w:r>
          </w:p>
        </w:tc>
        <w:tc>
          <w:tcPr>
            <w:tcW w:w="3751" w:type="pct"/>
            <w:shd w:val="clear" w:color="auto" w:fill="FABF8F"/>
          </w:tcPr>
          <w:p w:rsidR="00E2320B" w:rsidRPr="00D55950" w:rsidRDefault="00E2320B" w:rsidP="00D55950">
            <w:pPr>
              <w:spacing w:before="0"/>
              <w:rPr>
                <w:rFonts w:eastAsia="Arial Unicode MS"/>
                <w:b/>
                <w:color w:val="FF0000"/>
                <w:lang w:eastAsia="cs-CZ"/>
              </w:rPr>
            </w:pPr>
            <w:r w:rsidRPr="00D55950">
              <w:rPr>
                <w:rFonts w:eastAsia="Arial Unicode MS"/>
                <w:b/>
                <w:lang w:eastAsia="cs-CZ"/>
              </w:rPr>
              <w:t>Zajištění potřebného rozsahu odlehčovací služby v OK</w:t>
            </w:r>
          </w:p>
        </w:tc>
      </w:tr>
      <w:tr w:rsidR="00E2320B" w:rsidRPr="004A7196" w:rsidTr="00D55950">
        <w:trPr>
          <w:trHeight w:val="397"/>
          <w:jc w:val="center"/>
        </w:trPr>
        <w:tc>
          <w:tcPr>
            <w:tcW w:w="1249" w:type="pct"/>
            <w:shd w:val="clear" w:color="auto" w:fill="E2EFD9" w:themeFill="accent6" w:themeFillTint="33"/>
          </w:tcPr>
          <w:p w:rsidR="00E2320B" w:rsidRPr="00D55950" w:rsidRDefault="00E2320B" w:rsidP="00D55950">
            <w:pPr>
              <w:spacing w:before="0"/>
              <w:jc w:val="left"/>
              <w:rPr>
                <w:rFonts w:eastAsia="Arial Unicode MS"/>
                <w:b/>
                <w:lang w:eastAsia="cs-CZ"/>
              </w:rPr>
            </w:pPr>
            <w:r w:rsidRPr="00D55950">
              <w:rPr>
                <w:rFonts w:eastAsia="Arial Unicode MS"/>
                <w:b/>
                <w:lang w:eastAsia="cs-CZ"/>
              </w:rPr>
              <w:t>Opatření 2.4.1</w:t>
            </w:r>
          </w:p>
        </w:tc>
        <w:tc>
          <w:tcPr>
            <w:tcW w:w="3751" w:type="pct"/>
            <w:shd w:val="clear" w:color="auto" w:fill="E2EFD9" w:themeFill="accent6" w:themeFillTint="33"/>
          </w:tcPr>
          <w:p w:rsidR="00E2320B" w:rsidRPr="00971964" w:rsidRDefault="00E2320B" w:rsidP="00D55950">
            <w:pPr>
              <w:spacing w:before="0"/>
              <w:rPr>
                <w:rFonts w:eastAsia="Arial Unicode MS"/>
                <w:lang w:eastAsia="cs-CZ"/>
              </w:rPr>
            </w:pPr>
            <w:r w:rsidRPr="00971964">
              <w:rPr>
                <w:rFonts w:eastAsia="Arial Unicode MS"/>
                <w:lang w:eastAsia="cs-CZ"/>
              </w:rPr>
              <w:t>Zajištění pobytové formy odlehčovací služby pro osoby s mentálním a</w:t>
            </w:r>
            <w:r w:rsidR="00A70AA3">
              <w:rPr>
                <w:rFonts w:eastAsia="Arial Unicode MS"/>
                <w:lang w:eastAsia="cs-CZ"/>
              </w:rPr>
              <w:t> </w:t>
            </w:r>
            <w:r w:rsidRPr="00971964">
              <w:rPr>
                <w:rFonts w:eastAsia="Arial Unicode MS"/>
                <w:lang w:eastAsia="cs-CZ"/>
              </w:rPr>
              <w:t>tělesným postižením, pro o</w:t>
            </w:r>
            <w:r w:rsidR="00B00BE7">
              <w:rPr>
                <w:rFonts w:eastAsia="Arial Unicode MS"/>
                <w:lang w:eastAsia="cs-CZ"/>
              </w:rPr>
              <w:t>soby s chronickým onemocněním 11</w:t>
            </w:r>
            <w:r w:rsidRPr="00971964">
              <w:rPr>
                <w:rFonts w:eastAsia="Arial Unicode MS"/>
                <w:lang w:eastAsia="cs-CZ"/>
              </w:rPr>
              <w:t xml:space="preserve"> pracovními úvazky pracovníků v přímé péči v ORP Zábřeh </w:t>
            </w:r>
          </w:p>
        </w:tc>
      </w:tr>
      <w:tr w:rsidR="00E2320B" w:rsidRPr="004A7196" w:rsidTr="00D55950">
        <w:trPr>
          <w:trHeight w:val="397"/>
          <w:jc w:val="center"/>
        </w:trPr>
        <w:tc>
          <w:tcPr>
            <w:tcW w:w="1249" w:type="pct"/>
            <w:shd w:val="clear" w:color="auto" w:fill="E2EFD9" w:themeFill="accent6" w:themeFillTint="33"/>
          </w:tcPr>
          <w:p w:rsidR="00E2320B" w:rsidRPr="00D55950" w:rsidRDefault="00E2320B" w:rsidP="00D55950">
            <w:pPr>
              <w:spacing w:before="0"/>
              <w:jc w:val="left"/>
              <w:rPr>
                <w:rFonts w:eastAsia="Arial Unicode MS"/>
                <w:b/>
                <w:lang w:eastAsia="cs-CZ"/>
              </w:rPr>
            </w:pPr>
            <w:r w:rsidRPr="00D55950">
              <w:rPr>
                <w:rFonts w:eastAsia="Arial Unicode MS"/>
                <w:b/>
                <w:lang w:eastAsia="cs-CZ"/>
              </w:rPr>
              <w:t>Opatření 2.4.2</w:t>
            </w:r>
          </w:p>
        </w:tc>
        <w:tc>
          <w:tcPr>
            <w:tcW w:w="3751" w:type="pct"/>
            <w:shd w:val="clear" w:color="auto" w:fill="E2EFD9" w:themeFill="accent6" w:themeFillTint="33"/>
          </w:tcPr>
          <w:p w:rsidR="00E2320B" w:rsidRPr="00971964" w:rsidRDefault="00E2320B" w:rsidP="00D55950">
            <w:pPr>
              <w:spacing w:before="0"/>
              <w:rPr>
                <w:rFonts w:eastAsia="Arial Unicode MS"/>
                <w:lang w:eastAsia="cs-CZ"/>
              </w:rPr>
            </w:pPr>
            <w:r w:rsidRPr="00971964">
              <w:rPr>
                <w:rFonts w:eastAsia="Arial Unicode MS"/>
                <w:lang w:eastAsia="cs-CZ"/>
              </w:rPr>
              <w:t>Zajištění pobytové formy odlehčovací služby pro osoby a mentáln</w:t>
            </w:r>
            <w:r w:rsidR="005A25A2">
              <w:rPr>
                <w:rFonts w:eastAsia="Arial Unicode MS"/>
                <w:lang w:eastAsia="cs-CZ"/>
              </w:rPr>
              <w:t>ím a</w:t>
            </w:r>
            <w:r w:rsidR="00A70AA3">
              <w:rPr>
                <w:rFonts w:eastAsia="Arial Unicode MS"/>
                <w:lang w:eastAsia="cs-CZ"/>
              </w:rPr>
              <w:t> </w:t>
            </w:r>
            <w:r w:rsidR="005A25A2">
              <w:rPr>
                <w:rFonts w:eastAsia="Arial Unicode MS"/>
                <w:lang w:eastAsia="cs-CZ"/>
              </w:rPr>
              <w:t>kombinovaným postižením 7</w:t>
            </w:r>
            <w:r w:rsidRPr="00971964">
              <w:rPr>
                <w:rFonts w:eastAsia="Arial Unicode MS"/>
                <w:lang w:eastAsia="cs-CZ"/>
              </w:rPr>
              <w:t xml:space="preserve"> pracovními úvazky pracovníků v přímé péči v ORP Olomouc</w:t>
            </w:r>
          </w:p>
        </w:tc>
      </w:tr>
      <w:tr w:rsidR="00E2320B" w:rsidRPr="004A7196" w:rsidTr="00D55950">
        <w:trPr>
          <w:trHeight w:val="397"/>
          <w:jc w:val="center"/>
        </w:trPr>
        <w:tc>
          <w:tcPr>
            <w:tcW w:w="1249" w:type="pct"/>
            <w:shd w:val="clear" w:color="auto" w:fill="E2EFD9" w:themeFill="accent6" w:themeFillTint="33"/>
          </w:tcPr>
          <w:p w:rsidR="00E2320B" w:rsidRPr="00D55950" w:rsidRDefault="00E2320B" w:rsidP="00D55950">
            <w:pPr>
              <w:spacing w:before="0"/>
              <w:jc w:val="left"/>
              <w:rPr>
                <w:rFonts w:eastAsia="Arial Unicode MS"/>
                <w:b/>
                <w:lang w:eastAsia="cs-CZ"/>
              </w:rPr>
            </w:pPr>
            <w:r w:rsidRPr="00D55950">
              <w:rPr>
                <w:rFonts w:eastAsia="Arial Unicode MS"/>
                <w:b/>
                <w:lang w:eastAsia="cs-CZ"/>
              </w:rPr>
              <w:t>Opatření 2.4.3</w:t>
            </w:r>
          </w:p>
        </w:tc>
        <w:tc>
          <w:tcPr>
            <w:tcW w:w="3751" w:type="pct"/>
            <w:shd w:val="clear" w:color="auto" w:fill="E2EFD9" w:themeFill="accent6" w:themeFillTint="33"/>
          </w:tcPr>
          <w:p w:rsidR="00E2320B" w:rsidRPr="00971964" w:rsidRDefault="00E2320B" w:rsidP="00D55950">
            <w:pPr>
              <w:spacing w:before="0"/>
              <w:rPr>
                <w:rFonts w:eastAsia="Arial Unicode MS"/>
                <w:lang w:eastAsia="cs-CZ"/>
              </w:rPr>
            </w:pPr>
            <w:r w:rsidRPr="00971964">
              <w:rPr>
                <w:rFonts w:eastAsia="Arial Unicode MS"/>
                <w:lang w:eastAsia="cs-CZ"/>
              </w:rPr>
              <w:t>Zajištění pobytové formy odlehčovací služby pro oso</w:t>
            </w:r>
            <w:r w:rsidR="005A25A2">
              <w:rPr>
                <w:rFonts w:eastAsia="Arial Unicode MS"/>
                <w:lang w:eastAsia="cs-CZ"/>
              </w:rPr>
              <w:t>by s kombinovaným postižením 7</w:t>
            </w:r>
            <w:r w:rsidRPr="00971964">
              <w:rPr>
                <w:rFonts w:eastAsia="Arial Unicode MS"/>
                <w:lang w:eastAsia="cs-CZ"/>
              </w:rPr>
              <w:t xml:space="preserve"> pracovními úvazky pracovníků v přímé péči působící v ORP Olomouc a ORP Šumperk </w:t>
            </w:r>
          </w:p>
        </w:tc>
      </w:tr>
      <w:tr w:rsidR="00E2320B" w:rsidRPr="004A7196" w:rsidTr="00D55950">
        <w:trPr>
          <w:trHeight w:val="397"/>
          <w:jc w:val="center"/>
        </w:trPr>
        <w:tc>
          <w:tcPr>
            <w:tcW w:w="1249" w:type="pct"/>
            <w:shd w:val="clear" w:color="auto" w:fill="E2EFD9" w:themeFill="accent6" w:themeFillTint="33"/>
          </w:tcPr>
          <w:p w:rsidR="00E2320B" w:rsidRPr="00D55950" w:rsidRDefault="00E2320B" w:rsidP="00D55950">
            <w:pPr>
              <w:spacing w:before="0"/>
              <w:jc w:val="left"/>
              <w:rPr>
                <w:rFonts w:eastAsia="Arial Unicode MS"/>
                <w:b/>
                <w:lang w:eastAsia="cs-CZ"/>
              </w:rPr>
            </w:pPr>
            <w:r w:rsidRPr="00D55950">
              <w:rPr>
                <w:rFonts w:eastAsia="Arial Unicode MS"/>
                <w:b/>
                <w:lang w:eastAsia="cs-CZ"/>
              </w:rPr>
              <w:t>Opatření 2.4.4</w:t>
            </w:r>
          </w:p>
        </w:tc>
        <w:tc>
          <w:tcPr>
            <w:tcW w:w="3751" w:type="pct"/>
            <w:shd w:val="clear" w:color="auto" w:fill="E2EFD9" w:themeFill="accent6" w:themeFillTint="33"/>
          </w:tcPr>
          <w:p w:rsidR="00E2320B" w:rsidRPr="00971964" w:rsidRDefault="00E2320B" w:rsidP="00D55950">
            <w:pPr>
              <w:spacing w:before="0"/>
              <w:rPr>
                <w:rFonts w:eastAsia="Arial Unicode MS"/>
                <w:lang w:eastAsia="cs-CZ"/>
              </w:rPr>
            </w:pPr>
            <w:r w:rsidRPr="00971964">
              <w:rPr>
                <w:rFonts w:eastAsia="Arial Unicode MS"/>
                <w:lang w:eastAsia="cs-CZ"/>
              </w:rPr>
              <w:t xml:space="preserve">Zajištění terénní formy odlehčovací služby pro osoby </w:t>
            </w:r>
            <w:r w:rsidR="00102318">
              <w:rPr>
                <w:rFonts w:eastAsia="Arial Unicode MS"/>
                <w:lang w:eastAsia="cs-CZ"/>
              </w:rPr>
              <w:t>s</w:t>
            </w:r>
            <w:r w:rsidRPr="00971964">
              <w:rPr>
                <w:rFonts w:eastAsia="Arial Unicode MS"/>
                <w:lang w:eastAsia="cs-CZ"/>
              </w:rPr>
              <w:t> mentáln</w:t>
            </w:r>
            <w:r w:rsidR="005A25A2">
              <w:rPr>
                <w:rFonts w:eastAsia="Arial Unicode MS"/>
                <w:lang w:eastAsia="cs-CZ"/>
              </w:rPr>
              <w:t>ím a</w:t>
            </w:r>
            <w:r w:rsidR="00A70AA3">
              <w:rPr>
                <w:rFonts w:eastAsia="Arial Unicode MS"/>
                <w:lang w:eastAsia="cs-CZ"/>
              </w:rPr>
              <w:t> </w:t>
            </w:r>
            <w:r w:rsidR="005A25A2">
              <w:rPr>
                <w:rFonts w:eastAsia="Arial Unicode MS"/>
                <w:lang w:eastAsia="cs-CZ"/>
              </w:rPr>
              <w:t>kombinovaným postižením 8</w:t>
            </w:r>
            <w:r w:rsidRPr="00971964">
              <w:rPr>
                <w:rFonts w:eastAsia="Arial Unicode MS"/>
                <w:lang w:eastAsia="cs-CZ"/>
              </w:rPr>
              <w:t xml:space="preserve"> pracovními úvazky pracovníků v přímé péči v ORP Olomouc, ORP Přerov, ORP Prostějov, ORP Konice, ORP Šternberk, ORP Uničov, ORP Šumperk, ORP Jeseník</w:t>
            </w:r>
          </w:p>
        </w:tc>
      </w:tr>
      <w:tr w:rsidR="0089264D" w:rsidRPr="004A7196" w:rsidTr="00D55950">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9264D" w:rsidRPr="00D55950" w:rsidRDefault="0089264D" w:rsidP="00D55950">
            <w:pPr>
              <w:spacing w:before="0"/>
              <w:jc w:val="left"/>
              <w:rPr>
                <w:rFonts w:eastAsia="Arial Unicode MS"/>
                <w:b/>
                <w:lang w:eastAsia="cs-CZ"/>
              </w:rPr>
            </w:pPr>
            <w:r w:rsidRPr="00D55950">
              <w:rPr>
                <w:rFonts w:eastAsia="Arial Unicode MS"/>
                <w:b/>
                <w:lang w:eastAsia="cs-CZ"/>
              </w:rPr>
              <w:t>Opatření 2.4.5</w:t>
            </w:r>
          </w:p>
        </w:tc>
        <w:tc>
          <w:tcPr>
            <w:tcW w:w="375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9264D" w:rsidRPr="00971964" w:rsidRDefault="0089264D" w:rsidP="00D55950">
            <w:pPr>
              <w:spacing w:before="0"/>
              <w:rPr>
                <w:rFonts w:eastAsia="Arial Unicode MS"/>
                <w:lang w:eastAsia="cs-CZ"/>
              </w:rPr>
            </w:pPr>
            <w:r w:rsidRPr="00971964">
              <w:rPr>
                <w:rFonts w:eastAsia="Arial Unicode MS"/>
                <w:lang w:eastAsia="cs-CZ"/>
              </w:rPr>
              <w:t>Zajištění terénní formy odlehčovací služby pro osoby s tělesným a</w:t>
            </w:r>
            <w:r w:rsidR="00102318">
              <w:rPr>
                <w:rFonts w:eastAsia="Arial Unicode MS"/>
                <w:lang w:eastAsia="cs-CZ"/>
              </w:rPr>
              <w:t> </w:t>
            </w:r>
            <w:r w:rsidRPr="00971964">
              <w:rPr>
                <w:rFonts w:eastAsia="Arial Unicode MS"/>
                <w:lang w:eastAsia="cs-CZ"/>
              </w:rPr>
              <w:t>kombinovaným postižením, pro osoby s chronickým onemocněním</w:t>
            </w:r>
            <w:r w:rsidR="00102318">
              <w:rPr>
                <w:rFonts w:eastAsia="Arial Unicode MS"/>
                <w:lang w:eastAsia="cs-CZ"/>
              </w:rPr>
              <w:t>,</w:t>
            </w:r>
            <w:r w:rsidR="005A25A2">
              <w:rPr>
                <w:rFonts w:eastAsia="Arial Unicode MS"/>
                <w:lang w:eastAsia="cs-CZ"/>
              </w:rPr>
              <w:t xml:space="preserve"> dle zjištěné potřebnosti 5</w:t>
            </w:r>
            <w:r w:rsidRPr="00971964">
              <w:rPr>
                <w:rFonts w:eastAsia="Arial Unicode MS"/>
                <w:lang w:eastAsia="cs-CZ"/>
              </w:rPr>
              <w:t xml:space="preserve"> pracovními úvazky pracovníků v přímé péči působící v ORP Šumperk a ORP Jeseník</w:t>
            </w:r>
          </w:p>
        </w:tc>
      </w:tr>
      <w:tr w:rsidR="0089264D" w:rsidRPr="004A7196" w:rsidTr="00D55950">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9264D" w:rsidRPr="00D55950" w:rsidRDefault="0089264D" w:rsidP="00D55950">
            <w:pPr>
              <w:spacing w:before="0"/>
              <w:jc w:val="left"/>
              <w:rPr>
                <w:rFonts w:eastAsia="Arial Unicode MS"/>
                <w:b/>
                <w:lang w:eastAsia="cs-CZ"/>
              </w:rPr>
            </w:pPr>
            <w:r w:rsidRPr="00D55950">
              <w:rPr>
                <w:rFonts w:eastAsia="Arial Unicode MS"/>
                <w:b/>
                <w:lang w:eastAsia="cs-CZ"/>
              </w:rPr>
              <w:t>Opatření 2.4.6</w:t>
            </w:r>
          </w:p>
        </w:tc>
        <w:tc>
          <w:tcPr>
            <w:tcW w:w="375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9264D" w:rsidRPr="00971964" w:rsidRDefault="0089264D" w:rsidP="00D55950">
            <w:pPr>
              <w:spacing w:before="0"/>
              <w:rPr>
                <w:rFonts w:eastAsia="Arial Unicode MS"/>
                <w:lang w:eastAsia="cs-CZ"/>
              </w:rPr>
            </w:pPr>
            <w:r w:rsidRPr="00971964">
              <w:rPr>
                <w:rFonts w:eastAsia="Arial Unicode MS"/>
                <w:lang w:eastAsia="cs-CZ"/>
              </w:rPr>
              <w:t>Zajištění terénní formy odlehčovací služby pro osoby s</w:t>
            </w:r>
            <w:r w:rsidR="005A25A2">
              <w:rPr>
                <w:rFonts w:eastAsia="Arial Unicode MS"/>
                <w:lang w:eastAsia="cs-CZ"/>
              </w:rPr>
              <w:t> jiným zdravotním postižením 3</w:t>
            </w:r>
            <w:r w:rsidRPr="00971964">
              <w:rPr>
                <w:rFonts w:eastAsia="Arial Unicode MS"/>
                <w:lang w:eastAsia="cs-CZ"/>
              </w:rPr>
              <w:t xml:space="preserve"> pracovními úvazky pracovníků v přímé péči v OK</w:t>
            </w:r>
          </w:p>
        </w:tc>
      </w:tr>
      <w:tr w:rsidR="0089264D" w:rsidRPr="004A7196" w:rsidTr="00D55950">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9264D" w:rsidRPr="00D55950" w:rsidRDefault="0089264D" w:rsidP="00D55950">
            <w:pPr>
              <w:spacing w:before="0"/>
              <w:jc w:val="left"/>
              <w:rPr>
                <w:rFonts w:eastAsia="Arial Unicode MS"/>
                <w:b/>
                <w:lang w:eastAsia="cs-CZ"/>
              </w:rPr>
            </w:pPr>
            <w:r w:rsidRPr="00D55950">
              <w:rPr>
                <w:rFonts w:eastAsia="Arial Unicode MS"/>
                <w:b/>
                <w:lang w:eastAsia="cs-CZ"/>
              </w:rPr>
              <w:t>Opatření 2.4.7</w:t>
            </w:r>
          </w:p>
        </w:tc>
        <w:tc>
          <w:tcPr>
            <w:tcW w:w="375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9264D" w:rsidRPr="00971964" w:rsidRDefault="0089264D" w:rsidP="00D55950">
            <w:pPr>
              <w:spacing w:before="0"/>
              <w:rPr>
                <w:rFonts w:eastAsia="Arial Unicode MS"/>
                <w:lang w:eastAsia="cs-CZ"/>
              </w:rPr>
            </w:pPr>
            <w:r w:rsidRPr="00971964">
              <w:rPr>
                <w:rFonts w:eastAsia="Arial Unicode MS"/>
                <w:lang w:eastAsia="cs-CZ"/>
              </w:rPr>
              <w:t>Zajištění ambulantní formy odlehčovací služby pro osoby s mentáln</w:t>
            </w:r>
            <w:r w:rsidR="005A25A2">
              <w:rPr>
                <w:rFonts w:eastAsia="Arial Unicode MS"/>
                <w:lang w:eastAsia="cs-CZ"/>
              </w:rPr>
              <w:t>ím a</w:t>
            </w:r>
            <w:r w:rsidR="00A70AA3">
              <w:rPr>
                <w:rFonts w:eastAsia="Arial Unicode MS"/>
                <w:lang w:eastAsia="cs-CZ"/>
              </w:rPr>
              <w:t> </w:t>
            </w:r>
            <w:r w:rsidR="005A25A2">
              <w:rPr>
                <w:rFonts w:eastAsia="Arial Unicode MS"/>
                <w:lang w:eastAsia="cs-CZ"/>
              </w:rPr>
              <w:t>kombinovaným postižením 1</w:t>
            </w:r>
            <w:r w:rsidRPr="00971964">
              <w:rPr>
                <w:rFonts w:eastAsia="Arial Unicode MS"/>
                <w:lang w:eastAsia="cs-CZ"/>
              </w:rPr>
              <w:t xml:space="preserve"> pracovním úvazkem pracovníků v přímé péči v ORP Olomouc </w:t>
            </w:r>
          </w:p>
        </w:tc>
      </w:tr>
      <w:tr w:rsidR="0089264D" w:rsidRPr="004A7196" w:rsidTr="00D55950">
        <w:trPr>
          <w:trHeight w:val="397"/>
          <w:jc w:val="center"/>
        </w:trPr>
        <w:tc>
          <w:tcPr>
            <w:tcW w:w="1249" w:type="pct"/>
            <w:shd w:val="clear" w:color="auto" w:fill="E2EFD9" w:themeFill="accent6" w:themeFillTint="33"/>
          </w:tcPr>
          <w:p w:rsidR="0089264D" w:rsidRPr="00D55950" w:rsidRDefault="0089264D" w:rsidP="00D55950">
            <w:pPr>
              <w:spacing w:before="0"/>
              <w:jc w:val="left"/>
              <w:rPr>
                <w:rFonts w:eastAsia="Arial Unicode MS"/>
                <w:b/>
                <w:lang w:eastAsia="cs-CZ"/>
              </w:rPr>
            </w:pPr>
            <w:r w:rsidRPr="00D55950">
              <w:rPr>
                <w:rFonts w:eastAsia="Arial Unicode MS"/>
                <w:b/>
                <w:lang w:eastAsia="cs-CZ"/>
              </w:rPr>
              <w:lastRenderedPageBreak/>
              <w:t>Opatření 2.4.8</w:t>
            </w:r>
          </w:p>
        </w:tc>
        <w:tc>
          <w:tcPr>
            <w:tcW w:w="3751" w:type="pct"/>
            <w:shd w:val="clear" w:color="auto" w:fill="E2EFD9" w:themeFill="accent6" w:themeFillTint="33"/>
          </w:tcPr>
          <w:p w:rsidR="0089264D" w:rsidRPr="00971964" w:rsidRDefault="0089264D" w:rsidP="00D55950">
            <w:pPr>
              <w:spacing w:before="0"/>
              <w:rPr>
                <w:rFonts w:eastAsia="Arial Unicode MS"/>
                <w:lang w:eastAsia="cs-CZ"/>
              </w:rPr>
            </w:pPr>
            <w:r w:rsidRPr="00971964">
              <w:rPr>
                <w:rFonts w:eastAsia="Arial Unicode MS"/>
                <w:lang w:eastAsia="cs-CZ"/>
              </w:rPr>
              <w:t>Zajištění ambulantní formy odlehčovací služby pro oso</w:t>
            </w:r>
            <w:r w:rsidR="005A25A2">
              <w:rPr>
                <w:rFonts w:eastAsia="Arial Unicode MS"/>
                <w:lang w:eastAsia="cs-CZ"/>
              </w:rPr>
              <w:t>by s kombinovaným postižením 4</w:t>
            </w:r>
            <w:r w:rsidRPr="00971964">
              <w:rPr>
                <w:rFonts w:eastAsia="Arial Unicode MS"/>
                <w:lang w:eastAsia="cs-CZ"/>
              </w:rPr>
              <w:t xml:space="preserve"> pracovními úvazky pracovníků v přímé péči v ORP Olomouc a</w:t>
            </w:r>
            <w:r w:rsidR="00A70AA3">
              <w:rPr>
                <w:rFonts w:eastAsia="Arial Unicode MS"/>
                <w:lang w:eastAsia="cs-CZ"/>
              </w:rPr>
              <w:t> </w:t>
            </w:r>
            <w:r w:rsidRPr="00971964">
              <w:rPr>
                <w:rFonts w:eastAsia="Arial Unicode MS"/>
                <w:lang w:eastAsia="cs-CZ"/>
              </w:rPr>
              <w:t>ORP Šumperk</w:t>
            </w:r>
          </w:p>
        </w:tc>
      </w:tr>
      <w:tr w:rsidR="0089264D" w:rsidRPr="004A7196" w:rsidTr="00D55950">
        <w:trPr>
          <w:trHeight w:val="397"/>
          <w:jc w:val="center"/>
        </w:trPr>
        <w:tc>
          <w:tcPr>
            <w:tcW w:w="1249" w:type="pct"/>
            <w:tcBorders>
              <w:bottom w:val="single" w:sz="4" w:space="0" w:color="auto"/>
            </w:tcBorders>
            <w:shd w:val="clear" w:color="auto" w:fill="FABF8F"/>
          </w:tcPr>
          <w:p w:rsidR="0089264D" w:rsidRPr="00D55950" w:rsidRDefault="0089264D" w:rsidP="00D55950">
            <w:pPr>
              <w:spacing w:before="0"/>
              <w:jc w:val="left"/>
              <w:rPr>
                <w:rFonts w:eastAsia="Arial Unicode MS"/>
                <w:b/>
                <w:lang w:eastAsia="cs-CZ"/>
              </w:rPr>
            </w:pPr>
            <w:r w:rsidRPr="00D55950">
              <w:rPr>
                <w:rFonts w:eastAsia="Arial Unicode MS"/>
                <w:b/>
                <w:lang w:eastAsia="cs-CZ"/>
              </w:rPr>
              <w:t>Cíl 2.5</w:t>
            </w:r>
          </w:p>
        </w:tc>
        <w:tc>
          <w:tcPr>
            <w:tcW w:w="3751" w:type="pct"/>
            <w:tcBorders>
              <w:bottom w:val="single" w:sz="4" w:space="0" w:color="auto"/>
            </w:tcBorders>
            <w:shd w:val="clear" w:color="auto" w:fill="FABF8F"/>
          </w:tcPr>
          <w:p w:rsidR="0089264D" w:rsidRPr="00D55950" w:rsidRDefault="0089264D" w:rsidP="00D55950">
            <w:pPr>
              <w:spacing w:before="0"/>
              <w:rPr>
                <w:rFonts w:eastAsia="Arial Unicode MS"/>
                <w:b/>
                <w:lang w:eastAsia="cs-CZ"/>
              </w:rPr>
            </w:pPr>
            <w:r w:rsidRPr="00D55950">
              <w:rPr>
                <w:rFonts w:eastAsia="Arial Unicode MS"/>
                <w:b/>
                <w:lang w:eastAsia="cs-CZ"/>
              </w:rPr>
              <w:t>Zajištění potřebného rozsahu služby centrum denních služeb v OK</w:t>
            </w:r>
          </w:p>
        </w:tc>
      </w:tr>
      <w:tr w:rsidR="0089264D" w:rsidRPr="004A7196" w:rsidTr="00D55950">
        <w:trPr>
          <w:trHeight w:val="397"/>
          <w:jc w:val="center"/>
        </w:trPr>
        <w:tc>
          <w:tcPr>
            <w:tcW w:w="1249" w:type="pct"/>
            <w:shd w:val="clear" w:color="auto" w:fill="E2EFD9" w:themeFill="accent6" w:themeFillTint="33"/>
          </w:tcPr>
          <w:p w:rsidR="0089264D" w:rsidRPr="00D55950" w:rsidRDefault="0089264D" w:rsidP="00D55950">
            <w:pPr>
              <w:spacing w:before="0"/>
              <w:jc w:val="left"/>
              <w:rPr>
                <w:rFonts w:eastAsia="Arial Unicode MS"/>
                <w:b/>
                <w:lang w:eastAsia="cs-CZ"/>
              </w:rPr>
            </w:pPr>
            <w:r w:rsidRPr="00D55950">
              <w:rPr>
                <w:rFonts w:eastAsia="Arial Unicode MS"/>
                <w:b/>
                <w:lang w:eastAsia="cs-CZ"/>
              </w:rPr>
              <w:t>Opatření 2.5.1</w:t>
            </w:r>
          </w:p>
        </w:tc>
        <w:tc>
          <w:tcPr>
            <w:tcW w:w="3751" w:type="pct"/>
            <w:shd w:val="clear" w:color="auto" w:fill="E2EFD9" w:themeFill="accent6" w:themeFillTint="33"/>
          </w:tcPr>
          <w:p w:rsidR="0089264D" w:rsidRPr="00971964" w:rsidRDefault="0089264D" w:rsidP="00D55950">
            <w:pPr>
              <w:spacing w:before="0"/>
              <w:rPr>
                <w:rFonts w:eastAsia="Arial Unicode MS"/>
                <w:lang w:eastAsia="cs-CZ"/>
              </w:rPr>
            </w:pPr>
            <w:r w:rsidRPr="00971964">
              <w:rPr>
                <w:rFonts w:eastAsia="Arial Unicode MS"/>
                <w:lang w:eastAsia="cs-CZ"/>
              </w:rPr>
              <w:t>Zajištění služby centrum denních služeb pro osoby s </w:t>
            </w:r>
            <w:r w:rsidR="005A25A2">
              <w:rPr>
                <w:rFonts w:eastAsia="Arial Unicode MS"/>
                <w:lang w:eastAsia="cs-CZ"/>
              </w:rPr>
              <w:t>kombinovaným postižením 3</w:t>
            </w:r>
            <w:r w:rsidRPr="00971964">
              <w:rPr>
                <w:rFonts w:eastAsia="Arial Unicode MS"/>
                <w:lang w:eastAsia="cs-CZ"/>
              </w:rPr>
              <w:t xml:space="preserve"> pracovními úvazky pracovníků v přímé péči v ORP Šumperk</w:t>
            </w:r>
          </w:p>
        </w:tc>
      </w:tr>
      <w:tr w:rsidR="0089264D" w:rsidRPr="004A7196" w:rsidTr="00D55950">
        <w:trPr>
          <w:trHeight w:val="397"/>
          <w:jc w:val="center"/>
        </w:trPr>
        <w:tc>
          <w:tcPr>
            <w:tcW w:w="1249" w:type="pct"/>
            <w:tcBorders>
              <w:bottom w:val="single" w:sz="4" w:space="0" w:color="auto"/>
            </w:tcBorders>
            <w:shd w:val="clear" w:color="auto" w:fill="FABF8F"/>
          </w:tcPr>
          <w:p w:rsidR="0089264D" w:rsidRPr="00D55950" w:rsidRDefault="0089264D" w:rsidP="00D55950">
            <w:pPr>
              <w:spacing w:before="0"/>
              <w:jc w:val="left"/>
              <w:rPr>
                <w:rFonts w:eastAsia="Arial Unicode MS"/>
                <w:b/>
                <w:lang w:eastAsia="cs-CZ"/>
              </w:rPr>
            </w:pPr>
            <w:r w:rsidRPr="00D55950">
              <w:rPr>
                <w:rFonts w:eastAsia="Arial Unicode MS"/>
                <w:b/>
                <w:lang w:eastAsia="cs-CZ"/>
              </w:rPr>
              <w:t>Cíl 2.6</w:t>
            </w:r>
          </w:p>
        </w:tc>
        <w:tc>
          <w:tcPr>
            <w:tcW w:w="3751" w:type="pct"/>
            <w:tcBorders>
              <w:bottom w:val="single" w:sz="4" w:space="0" w:color="auto"/>
            </w:tcBorders>
            <w:shd w:val="clear" w:color="auto" w:fill="FABF8F"/>
          </w:tcPr>
          <w:p w:rsidR="0089264D" w:rsidRPr="00D55950" w:rsidRDefault="0089264D" w:rsidP="00D55950">
            <w:pPr>
              <w:spacing w:before="0"/>
              <w:rPr>
                <w:rFonts w:eastAsia="Arial Unicode MS"/>
                <w:b/>
                <w:lang w:eastAsia="cs-CZ"/>
              </w:rPr>
            </w:pPr>
            <w:r w:rsidRPr="00D55950">
              <w:rPr>
                <w:rFonts w:eastAsia="Arial Unicode MS"/>
                <w:b/>
                <w:lang w:eastAsia="cs-CZ"/>
              </w:rPr>
              <w:t>Zajištění potřebného rozsahu služby domovy pro osoby se zdravotním postižením v OK</w:t>
            </w:r>
          </w:p>
        </w:tc>
      </w:tr>
      <w:tr w:rsidR="0089264D" w:rsidRPr="004A7196" w:rsidTr="00D55950">
        <w:trPr>
          <w:trHeight w:val="397"/>
          <w:jc w:val="center"/>
        </w:trPr>
        <w:tc>
          <w:tcPr>
            <w:tcW w:w="1249" w:type="pct"/>
            <w:shd w:val="clear" w:color="auto" w:fill="E2EFD9" w:themeFill="accent6" w:themeFillTint="33"/>
          </w:tcPr>
          <w:p w:rsidR="0089264D" w:rsidRPr="00D55950" w:rsidRDefault="0089264D" w:rsidP="00D55950">
            <w:pPr>
              <w:spacing w:before="0"/>
              <w:jc w:val="left"/>
              <w:rPr>
                <w:rFonts w:eastAsia="Arial Unicode MS"/>
                <w:b/>
                <w:lang w:eastAsia="cs-CZ"/>
              </w:rPr>
            </w:pPr>
            <w:r w:rsidRPr="00D55950">
              <w:rPr>
                <w:rFonts w:eastAsia="Arial Unicode MS"/>
                <w:b/>
                <w:lang w:eastAsia="cs-CZ"/>
              </w:rPr>
              <w:t>Opatření 2.6.1</w:t>
            </w:r>
          </w:p>
        </w:tc>
        <w:tc>
          <w:tcPr>
            <w:tcW w:w="3751" w:type="pct"/>
            <w:shd w:val="clear" w:color="auto" w:fill="E2EFD9" w:themeFill="accent6" w:themeFillTint="33"/>
          </w:tcPr>
          <w:p w:rsidR="0089264D" w:rsidRPr="00971964" w:rsidRDefault="0089264D" w:rsidP="00D55950">
            <w:pPr>
              <w:spacing w:before="0"/>
              <w:rPr>
                <w:rFonts w:eastAsia="Arial Unicode MS"/>
                <w:lang w:eastAsia="cs-CZ"/>
              </w:rPr>
            </w:pPr>
            <w:r w:rsidRPr="00971964">
              <w:rPr>
                <w:rFonts w:eastAsia="Arial Unicode MS"/>
                <w:lang w:eastAsia="cs-CZ"/>
              </w:rPr>
              <w:t>Zajištění služby domovy pro osoby se zdravotním postižením pro osoby s kombinovaným postižením 12 lůžky v ORP Olomouc a</w:t>
            </w:r>
            <w:r w:rsidR="00102318">
              <w:rPr>
                <w:rFonts w:eastAsia="Arial Unicode MS"/>
                <w:lang w:eastAsia="cs-CZ"/>
              </w:rPr>
              <w:t> </w:t>
            </w:r>
            <w:r w:rsidRPr="00971964">
              <w:rPr>
                <w:rFonts w:eastAsia="Arial Unicode MS"/>
                <w:lang w:eastAsia="cs-CZ"/>
              </w:rPr>
              <w:t>ORP Šumperk</w:t>
            </w:r>
          </w:p>
        </w:tc>
      </w:tr>
      <w:tr w:rsidR="0089264D" w:rsidRPr="004A7196" w:rsidTr="00D55950">
        <w:trPr>
          <w:trHeight w:val="397"/>
          <w:jc w:val="center"/>
        </w:trPr>
        <w:tc>
          <w:tcPr>
            <w:tcW w:w="1249" w:type="pct"/>
            <w:shd w:val="clear" w:color="auto" w:fill="FABF8F"/>
          </w:tcPr>
          <w:p w:rsidR="0089264D" w:rsidRPr="00D55950" w:rsidRDefault="0089264D" w:rsidP="00D55950">
            <w:pPr>
              <w:spacing w:before="0"/>
              <w:jc w:val="left"/>
              <w:rPr>
                <w:rFonts w:eastAsia="Arial Unicode MS"/>
                <w:b/>
                <w:lang w:eastAsia="cs-CZ"/>
              </w:rPr>
            </w:pPr>
            <w:r w:rsidRPr="00D55950">
              <w:rPr>
                <w:rFonts w:eastAsia="Arial Unicode MS"/>
                <w:b/>
                <w:lang w:eastAsia="cs-CZ"/>
              </w:rPr>
              <w:t>Cíl 2.7</w:t>
            </w:r>
          </w:p>
        </w:tc>
        <w:tc>
          <w:tcPr>
            <w:tcW w:w="3751" w:type="pct"/>
            <w:shd w:val="clear" w:color="auto" w:fill="FABF8F"/>
          </w:tcPr>
          <w:p w:rsidR="0089264D" w:rsidRPr="00D55950" w:rsidRDefault="0089264D" w:rsidP="00D55950">
            <w:pPr>
              <w:spacing w:before="0"/>
              <w:rPr>
                <w:rFonts w:eastAsia="Arial Unicode MS"/>
                <w:b/>
                <w:color w:val="FF0000"/>
                <w:lang w:eastAsia="cs-CZ"/>
              </w:rPr>
            </w:pPr>
            <w:r w:rsidRPr="00D55950">
              <w:rPr>
                <w:rFonts w:eastAsia="Arial Unicode MS"/>
                <w:b/>
                <w:lang w:eastAsia="cs-CZ"/>
              </w:rPr>
              <w:t>Zajištění potřebného rozsahu služby domovy se zvláštním režimem v OK</w:t>
            </w:r>
          </w:p>
        </w:tc>
      </w:tr>
      <w:tr w:rsidR="0089264D" w:rsidRPr="004A7196" w:rsidTr="00D55950">
        <w:trPr>
          <w:trHeight w:val="397"/>
          <w:jc w:val="center"/>
        </w:trPr>
        <w:tc>
          <w:tcPr>
            <w:tcW w:w="1249" w:type="pct"/>
            <w:shd w:val="clear" w:color="auto" w:fill="E2EFD9" w:themeFill="accent6" w:themeFillTint="33"/>
          </w:tcPr>
          <w:p w:rsidR="0089264D" w:rsidRPr="00D55950" w:rsidRDefault="0089264D" w:rsidP="00D55950">
            <w:pPr>
              <w:spacing w:before="0"/>
              <w:jc w:val="left"/>
              <w:rPr>
                <w:rFonts w:eastAsia="Arial Unicode MS"/>
                <w:b/>
                <w:lang w:eastAsia="cs-CZ"/>
              </w:rPr>
            </w:pPr>
            <w:r w:rsidRPr="00D55950">
              <w:rPr>
                <w:rFonts w:eastAsia="Arial Unicode MS"/>
                <w:b/>
                <w:lang w:eastAsia="cs-CZ"/>
              </w:rPr>
              <w:t>Opatření 2.7.1</w:t>
            </w:r>
          </w:p>
        </w:tc>
        <w:tc>
          <w:tcPr>
            <w:tcW w:w="3751" w:type="pct"/>
            <w:shd w:val="clear" w:color="auto" w:fill="E2EFD9" w:themeFill="accent6" w:themeFillTint="33"/>
          </w:tcPr>
          <w:p w:rsidR="0089264D" w:rsidRPr="00971964" w:rsidRDefault="0089264D" w:rsidP="00D55950">
            <w:pPr>
              <w:spacing w:before="0"/>
              <w:rPr>
                <w:rFonts w:eastAsia="Arial Unicode MS"/>
                <w:lang w:eastAsia="cs-CZ"/>
              </w:rPr>
            </w:pPr>
            <w:r w:rsidRPr="00971964">
              <w:rPr>
                <w:rFonts w:eastAsia="Arial Unicode MS"/>
                <w:lang w:eastAsia="cs-CZ"/>
              </w:rPr>
              <w:t>Zajištění služby domovy se zvláštním režimem pro osoby s chronickým duševním onemocněním 12 lůžky v OK</w:t>
            </w:r>
          </w:p>
        </w:tc>
      </w:tr>
      <w:tr w:rsidR="0089264D" w:rsidRPr="004A7196" w:rsidTr="00D55950">
        <w:trPr>
          <w:trHeight w:val="397"/>
          <w:jc w:val="center"/>
        </w:trPr>
        <w:tc>
          <w:tcPr>
            <w:tcW w:w="1249" w:type="pct"/>
            <w:tcBorders>
              <w:bottom w:val="single" w:sz="4" w:space="0" w:color="auto"/>
            </w:tcBorders>
            <w:shd w:val="clear" w:color="auto" w:fill="FABF8F"/>
          </w:tcPr>
          <w:p w:rsidR="0089264D" w:rsidRPr="00D55950" w:rsidRDefault="0089264D" w:rsidP="00D55950">
            <w:pPr>
              <w:spacing w:before="0"/>
              <w:jc w:val="left"/>
              <w:rPr>
                <w:rFonts w:eastAsia="Arial Unicode MS"/>
                <w:b/>
                <w:lang w:eastAsia="cs-CZ"/>
              </w:rPr>
            </w:pPr>
            <w:r w:rsidRPr="00D55950">
              <w:rPr>
                <w:rFonts w:eastAsia="Arial Unicode MS"/>
                <w:b/>
                <w:lang w:eastAsia="cs-CZ"/>
              </w:rPr>
              <w:t>Cíl 2.8</w:t>
            </w:r>
          </w:p>
        </w:tc>
        <w:tc>
          <w:tcPr>
            <w:tcW w:w="3751" w:type="pct"/>
            <w:tcBorders>
              <w:bottom w:val="single" w:sz="4" w:space="0" w:color="auto"/>
            </w:tcBorders>
            <w:shd w:val="clear" w:color="auto" w:fill="FABF8F"/>
          </w:tcPr>
          <w:p w:rsidR="0089264D" w:rsidRPr="00D55950" w:rsidRDefault="0089264D" w:rsidP="00D55950">
            <w:pPr>
              <w:spacing w:before="0"/>
              <w:rPr>
                <w:rFonts w:eastAsia="Arial Unicode MS"/>
                <w:b/>
                <w:lang w:eastAsia="cs-CZ"/>
              </w:rPr>
            </w:pPr>
            <w:r w:rsidRPr="00D55950">
              <w:rPr>
                <w:rFonts w:eastAsia="Arial Unicode MS"/>
                <w:b/>
                <w:lang w:eastAsia="cs-CZ"/>
              </w:rPr>
              <w:t>Zajištění potřebného rozsahu služby chráněné bydlení v OK</w:t>
            </w:r>
          </w:p>
        </w:tc>
      </w:tr>
      <w:tr w:rsidR="0089264D" w:rsidRPr="004A7196" w:rsidTr="00D55950">
        <w:trPr>
          <w:trHeight w:val="397"/>
          <w:jc w:val="center"/>
        </w:trPr>
        <w:tc>
          <w:tcPr>
            <w:tcW w:w="1249" w:type="pct"/>
            <w:shd w:val="clear" w:color="auto" w:fill="E2EFD9" w:themeFill="accent6" w:themeFillTint="33"/>
          </w:tcPr>
          <w:p w:rsidR="0089264D" w:rsidRPr="00D55950" w:rsidRDefault="0089264D" w:rsidP="00D55950">
            <w:pPr>
              <w:spacing w:before="0"/>
              <w:jc w:val="left"/>
              <w:rPr>
                <w:rFonts w:eastAsia="Arial Unicode MS"/>
                <w:b/>
                <w:lang w:eastAsia="cs-CZ"/>
              </w:rPr>
            </w:pPr>
            <w:r w:rsidRPr="00D55950">
              <w:rPr>
                <w:rFonts w:eastAsia="Arial Unicode MS"/>
                <w:b/>
                <w:lang w:eastAsia="cs-CZ"/>
              </w:rPr>
              <w:t>Opatření 2.8.1</w:t>
            </w:r>
          </w:p>
        </w:tc>
        <w:tc>
          <w:tcPr>
            <w:tcW w:w="3751" w:type="pct"/>
            <w:shd w:val="clear" w:color="auto" w:fill="E2EFD9" w:themeFill="accent6" w:themeFillTint="33"/>
          </w:tcPr>
          <w:p w:rsidR="0089264D" w:rsidRPr="00971964" w:rsidRDefault="0089264D" w:rsidP="00D55950">
            <w:pPr>
              <w:spacing w:before="0"/>
              <w:rPr>
                <w:rFonts w:eastAsia="Arial Unicode MS"/>
                <w:lang w:eastAsia="cs-CZ"/>
              </w:rPr>
            </w:pPr>
            <w:r w:rsidRPr="00971964">
              <w:rPr>
                <w:rFonts w:eastAsia="Arial Unicode MS"/>
                <w:lang w:eastAsia="cs-CZ"/>
              </w:rPr>
              <w:t>Zajištění služby chráněné bydlení pro osoby s chronickým duševním onemocněním 6 lůžky v OK</w:t>
            </w:r>
          </w:p>
        </w:tc>
      </w:tr>
      <w:tr w:rsidR="0089264D" w:rsidRPr="004A7196" w:rsidTr="00D55950">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9264D" w:rsidRPr="00D55950" w:rsidRDefault="0089264D" w:rsidP="00D55950">
            <w:pPr>
              <w:spacing w:before="0"/>
              <w:jc w:val="left"/>
              <w:rPr>
                <w:rFonts w:eastAsia="Arial Unicode MS"/>
                <w:b/>
                <w:lang w:eastAsia="cs-CZ"/>
              </w:rPr>
            </w:pPr>
            <w:r w:rsidRPr="00D55950">
              <w:rPr>
                <w:rFonts w:eastAsia="Arial Unicode MS"/>
                <w:b/>
                <w:lang w:eastAsia="cs-CZ"/>
              </w:rPr>
              <w:t>Opatření 2.8.2</w:t>
            </w:r>
          </w:p>
        </w:tc>
        <w:tc>
          <w:tcPr>
            <w:tcW w:w="375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9264D" w:rsidRPr="00971964" w:rsidRDefault="0089264D" w:rsidP="00D55950">
            <w:pPr>
              <w:spacing w:before="0"/>
              <w:rPr>
                <w:rFonts w:eastAsia="Arial Unicode MS"/>
                <w:lang w:eastAsia="cs-CZ"/>
              </w:rPr>
            </w:pPr>
            <w:r w:rsidRPr="00971964">
              <w:rPr>
                <w:rFonts w:eastAsia="Arial Unicode MS"/>
                <w:lang w:eastAsia="cs-CZ"/>
              </w:rPr>
              <w:t>Zajištění služby chráněné bydlení pro osoby s mentálním a kombinovaným postižením 6 lůžky v ORP Jeseník</w:t>
            </w:r>
          </w:p>
        </w:tc>
      </w:tr>
      <w:tr w:rsidR="00C50C93" w:rsidRPr="004A7196" w:rsidTr="00D55950">
        <w:trPr>
          <w:trHeight w:val="397"/>
          <w:jc w:val="center"/>
        </w:trPr>
        <w:tc>
          <w:tcPr>
            <w:tcW w:w="1249" w:type="pct"/>
            <w:shd w:val="clear" w:color="auto" w:fill="FABF8F"/>
          </w:tcPr>
          <w:p w:rsidR="00C50C93" w:rsidRPr="00D55950" w:rsidRDefault="00C50C93" w:rsidP="00D55950">
            <w:pPr>
              <w:spacing w:before="0"/>
              <w:jc w:val="left"/>
              <w:rPr>
                <w:rFonts w:eastAsia="Arial Unicode MS"/>
                <w:b/>
                <w:highlight w:val="darkCyan"/>
                <w:lang w:eastAsia="cs-CZ"/>
              </w:rPr>
            </w:pPr>
            <w:r w:rsidRPr="00D55950">
              <w:rPr>
                <w:rFonts w:eastAsia="Arial Unicode MS"/>
                <w:b/>
                <w:lang w:eastAsia="cs-CZ"/>
              </w:rPr>
              <w:t>Cíl 2.9</w:t>
            </w:r>
          </w:p>
        </w:tc>
        <w:tc>
          <w:tcPr>
            <w:tcW w:w="3751" w:type="pct"/>
            <w:shd w:val="clear" w:color="auto" w:fill="FABF8F"/>
          </w:tcPr>
          <w:p w:rsidR="00C50C93" w:rsidRPr="00D55950" w:rsidRDefault="00C50C93" w:rsidP="00D55950">
            <w:pPr>
              <w:spacing w:before="0"/>
              <w:rPr>
                <w:rFonts w:eastAsia="Arial Unicode MS"/>
                <w:b/>
                <w:highlight w:val="darkCyan"/>
                <w:lang w:eastAsia="cs-CZ"/>
              </w:rPr>
            </w:pPr>
            <w:r w:rsidRPr="00D55950">
              <w:rPr>
                <w:rFonts w:eastAsia="Arial Unicode MS"/>
                <w:b/>
                <w:lang w:eastAsia="cs-CZ"/>
              </w:rPr>
              <w:t xml:space="preserve">Zajištění potřebného rozsahu služby rané péče zaměřené na potřeby osob se zdravotním postižením v OK </w:t>
            </w:r>
          </w:p>
        </w:tc>
      </w:tr>
      <w:tr w:rsidR="00C50C93" w:rsidRPr="004A7196" w:rsidTr="00D55950">
        <w:trPr>
          <w:trHeight w:val="397"/>
          <w:jc w:val="center"/>
        </w:trPr>
        <w:tc>
          <w:tcPr>
            <w:tcW w:w="1249" w:type="pct"/>
            <w:shd w:val="clear" w:color="auto" w:fill="E2EFD9" w:themeFill="accent6" w:themeFillTint="33"/>
          </w:tcPr>
          <w:p w:rsidR="00C50C93" w:rsidRPr="00D55950" w:rsidRDefault="00C50C93" w:rsidP="00D55950">
            <w:pPr>
              <w:spacing w:before="0"/>
              <w:jc w:val="left"/>
              <w:rPr>
                <w:rFonts w:eastAsia="Arial Unicode MS"/>
                <w:b/>
                <w:lang w:eastAsia="cs-CZ"/>
              </w:rPr>
            </w:pPr>
            <w:r w:rsidRPr="00D55950">
              <w:rPr>
                <w:rFonts w:eastAsia="Arial Unicode MS"/>
                <w:b/>
                <w:lang w:eastAsia="cs-CZ"/>
              </w:rPr>
              <w:t>Opatření 2.9.1</w:t>
            </w:r>
          </w:p>
        </w:tc>
        <w:tc>
          <w:tcPr>
            <w:tcW w:w="3751" w:type="pct"/>
            <w:shd w:val="clear" w:color="auto" w:fill="E2EFD9" w:themeFill="accent6" w:themeFillTint="33"/>
          </w:tcPr>
          <w:p w:rsidR="00C50C93" w:rsidRPr="00971964" w:rsidRDefault="00C50C93" w:rsidP="00D55950">
            <w:pPr>
              <w:spacing w:before="0"/>
              <w:rPr>
                <w:rFonts w:eastAsia="Arial Unicode MS"/>
                <w:lang w:eastAsia="cs-CZ"/>
              </w:rPr>
            </w:pPr>
            <w:r w:rsidRPr="00971964">
              <w:rPr>
                <w:rFonts w:eastAsia="Arial Unicode MS"/>
                <w:lang w:eastAsia="cs-CZ"/>
              </w:rPr>
              <w:t>Zajištění terénní formy služby rané péče pro osoby s mentálním a</w:t>
            </w:r>
            <w:r w:rsidR="00102318">
              <w:rPr>
                <w:rFonts w:eastAsia="Arial Unicode MS"/>
                <w:lang w:eastAsia="cs-CZ"/>
              </w:rPr>
              <w:t> </w:t>
            </w:r>
            <w:r w:rsidRPr="00971964">
              <w:rPr>
                <w:rFonts w:eastAsia="Arial Unicode MS"/>
                <w:lang w:eastAsia="cs-CZ"/>
              </w:rPr>
              <w:t>kombinovaným postižením, osoby s tělesným postižení</w:t>
            </w:r>
            <w:r w:rsidR="00102318">
              <w:rPr>
                <w:rFonts w:eastAsia="Arial Unicode MS"/>
                <w:lang w:eastAsia="cs-CZ"/>
              </w:rPr>
              <w:t>m</w:t>
            </w:r>
            <w:r w:rsidRPr="00971964">
              <w:rPr>
                <w:rFonts w:eastAsia="Arial Unicode MS"/>
                <w:lang w:eastAsia="cs-CZ"/>
              </w:rPr>
              <w:t xml:space="preserve">, </w:t>
            </w:r>
            <w:r w:rsidR="005A25A2">
              <w:rPr>
                <w:rFonts w:eastAsia="Arial Unicode MS"/>
                <w:lang w:eastAsia="cs-CZ"/>
              </w:rPr>
              <w:t>osoby se zrakovým postižením 3</w:t>
            </w:r>
            <w:r w:rsidRPr="00971964">
              <w:rPr>
                <w:rFonts w:eastAsia="Arial Unicode MS"/>
                <w:lang w:eastAsia="cs-CZ"/>
              </w:rPr>
              <w:t xml:space="preserve"> pracovními úvazky pracovníků v přímé péči v OK</w:t>
            </w:r>
            <w:r w:rsidRPr="00971964">
              <w:rPr>
                <w:rFonts w:eastAsia="Arial Unicode MS"/>
                <w:color w:val="FF0000"/>
                <w:lang w:eastAsia="cs-CZ"/>
              </w:rPr>
              <w:t xml:space="preserve"> </w:t>
            </w:r>
          </w:p>
        </w:tc>
      </w:tr>
      <w:tr w:rsidR="00C50C93" w:rsidRPr="004A7196" w:rsidTr="00D55950">
        <w:trPr>
          <w:trHeight w:val="397"/>
          <w:jc w:val="center"/>
        </w:trPr>
        <w:tc>
          <w:tcPr>
            <w:tcW w:w="1249" w:type="pct"/>
            <w:shd w:val="clear" w:color="auto" w:fill="FABF8F"/>
          </w:tcPr>
          <w:p w:rsidR="00C50C93" w:rsidRPr="00D55950" w:rsidRDefault="00C50C93" w:rsidP="00D55950">
            <w:pPr>
              <w:keepNext/>
              <w:spacing w:before="0"/>
              <w:jc w:val="left"/>
              <w:rPr>
                <w:rFonts w:eastAsia="Arial Unicode MS"/>
                <w:b/>
                <w:lang w:eastAsia="cs-CZ"/>
              </w:rPr>
            </w:pPr>
            <w:r w:rsidRPr="00D55950">
              <w:rPr>
                <w:rFonts w:eastAsia="Arial Unicode MS"/>
                <w:b/>
                <w:lang w:eastAsia="cs-CZ"/>
              </w:rPr>
              <w:t>Cíl 2.10</w:t>
            </w:r>
          </w:p>
        </w:tc>
        <w:tc>
          <w:tcPr>
            <w:tcW w:w="3751" w:type="pct"/>
            <w:shd w:val="clear" w:color="auto" w:fill="FABF8F"/>
          </w:tcPr>
          <w:p w:rsidR="00C50C93" w:rsidRPr="00D55950" w:rsidRDefault="00C50C93" w:rsidP="00D55950">
            <w:pPr>
              <w:keepNext/>
              <w:spacing w:before="0"/>
              <w:rPr>
                <w:rFonts w:eastAsia="Arial Unicode MS"/>
                <w:b/>
                <w:color w:val="FF0000"/>
                <w:lang w:eastAsia="cs-CZ"/>
              </w:rPr>
            </w:pPr>
            <w:r w:rsidRPr="00D55950">
              <w:rPr>
                <w:rFonts w:eastAsia="Arial Unicode MS"/>
                <w:b/>
                <w:lang w:eastAsia="cs-CZ"/>
              </w:rPr>
              <w:t>Zajištění potřebného rozsahu služby sociálně terapeutické dílny v OK</w:t>
            </w:r>
          </w:p>
        </w:tc>
      </w:tr>
      <w:tr w:rsidR="00C50C93" w:rsidRPr="004A7196" w:rsidTr="00D55950">
        <w:trPr>
          <w:trHeight w:val="397"/>
          <w:jc w:val="center"/>
        </w:trPr>
        <w:tc>
          <w:tcPr>
            <w:tcW w:w="1249" w:type="pct"/>
            <w:shd w:val="clear" w:color="auto" w:fill="E2EFD9" w:themeFill="accent6" w:themeFillTint="33"/>
          </w:tcPr>
          <w:p w:rsidR="00C50C93" w:rsidRPr="00D55950" w:rsidRDefault="00C50C93" w:rsidP="00D55950">
            <w:pPr>
              <w:spacing w:before="0"/>
              <w:jc w:val="left"/>
              <w:rPr>
                <w:rFonts w:eastAsia="Arial Unicode MS"/>
                <w:b/>
                <w:lang w:eastAsia="cs-CZ"/>
              </w:rPr>
            </w:pPr>
            <w:r w:rsidRPr="00D55950">
              <w:rPr>
                <w:rFonts w:eastAsia="Arial Unicode MS"/>
                <w:b/>
                <w:lang w:eastAsia="cs-CZ"/>
              </w:rPr>
              <w:t>Opatření 2.10.1</w:t>
            </w:r>
          </w:p>
        </w:tc>
        <w:tc>
          <w:tcPr>
            <w:tcW w:w="3751" w:type="pct"/>
            <w:shd w:val="clear" w:color="auto" w:fill="E2EFD9" w:themeFill="accent6" w:themeFillTint="33"/>
          </w:tcPr>
          <w:p w:rsidR="00C50C93" w:rsidRPr="00971964" w:rsidRDefault="00C50C93" w:rsidP="00D55950">
            <w:pPr>
              <w:spacing w:before="0"/>
              <w:rPr>
                <w:rFonts w:eastAsia="Arial Unicode MS"/>
                <w:lang w:eastAsia="cs-CZ"/>
              </w:rPr>
            </w:pPr>
            <w:r w:rsidRPr="00971964">
              <w:rPr>
                <w:rFonts w:eastAsia="Arial Unicode MS"/>
                <w:lang w:eastAsia="cs-CZ"/>
              </w:rPr>
              <w:t>Zajištění služby sociálně terapeutické dílny pro osoby s tělesným a</w:t>
            </w:r>
            <w:r w:rsidR="00102318">
              <w:rPr>
                <w:rFonts w:eastAsia="Arial Unicode MS"/>
                <w:lang w:eastAsia="cs-CZ"/>
              </w:rPr>
              <w:t> </w:t>
            </w:r>
            <w:r w:rsidRPr="00971964">
              <w:rPr>
                <w:rFonts w:eastAsia="Arial Unicode MS"/>
                <w:lang w:eastAsia="cs-CZ"/>
              </w:rPr>
              <w:t>mentálním postižením 3,5 pracovními úvazky pracovníků v přímé péči v ORP Olomouc</w:t>
            </w:r>
          </w:p>
        </w:tc>
      </w:tr>
      <w:tr w:rsidR="00C50C93" w:rsidRPr="004A7196" w:rsidTr="00D55950">
        <w:trPr>
          <w:trHeight w:val="397"/>
          <w:jc w:val="center"/>
        </w:trPr>
        <w:tc>
          <w:tcPr>
            <w:tcW w:w="1249" w:type="pct"/>
            <w:shd w:val="clear" w:color="auto" w:fill="FABF8F"/>
          </w:tcPr>
          <w:p w:rsidR="00C50C93" w:rsidRPr="00D55950" w:rsidRDefault="00C50C93" w:rsidP="00D55950">
            <w:pPr>
              <w:spacing w:before="0"/>
              <w:jc w:val="left"/>
              <w:rPr>
                <w:rFonts w:eastAsia="Arial Unicode MS"/>
                <w:b/>
                <w:lang w:eastAsia="cs-CZ"/>
              </w:rPr>
            </w:pPr>
            <w:r w:rsidRPr="00D55950">
              <w:rPr>
                <w:rFonts w:eastAsia="Arial Unicode MS"/>
                <w:b/>
                <w:lang w:eastAsia="cs-CZ"/>
              </w:rPr>
              <w:t>Cíl 2.11</w:t>
            </w:r>
          </w:p>
        </w:tc>
        <w:tc>
          <w:tcPr>
            <w:tcW w:w="3751" w:type="pct"/>
            <w:shd w:val="clear" w:color="auto" w:fill="FABF8F"/>
          </w:tcPr>
          <w:p w:rsidR="00C50C93" w:rsidRPr="00D55950" w:rsidRDefault="00C50C93" w:rsidP="00D55950">
            <w:pPr>
              <w:spacing w:before="0"/>
              <w:rPr>
                <w:rFonts w:eastAsia="Arial Unicode MS"/>
                <w:b/>
                <w:color w:val="FF0000"/>
                <w:lang w:eastAsia="cs-CZ"/>
              </w:rPr>
            </w:pPr>
            <w:r w:rsidRPr="00D55950">
              <w:rPr>
                <w:rFonts w:eastAsia="Arial Unicode MS"/>
                <w:b/>
                <w:lang w:eastAsia="cs-CZ"/>
              </w:rPr>
              <w:t>Zajištění potřebného rozsahu služby sociální rehabilitace v OK</w:t>
            </w:r>
          </w:p>
        </w:tc>
      </w:tr>
      <w:tr w:rsidR="00C50C93" w:rsidRPr="004A7196" w:rsidTr="00D55950">
        <w:trPr>
          <w:trHeight w:val="397"/>
          <w:jc w:val="center"/>
        </w:trPr>
        <w:tc>
          <w:tcPr>
            <w:tcW w:w="1249" w:type="pct"/>
            <w:shd w:val="clear" w:color="auto" w:fill="E2EFD9" w:themeFill="accent6" w:themeFillTint="33"/>
          </w:tcPr>
          <w:p w:rsidR="00C50C93" w:rsidRPr="00D55950" w:rsidRDefault="00C50C93" w:rsidP="00D55950">
            <w:pPr>
              <w:spacing w:before="0"/>
              <w:jc w:val="left"/>
              <w:rPr>
                <w:rFonts w:eastAsia="Arial Unicode MS"/>
                <w:b/>
                <w:lang w:eastAsia="cs-CZ"/>
              </w:rPr>
            </w:pPr>
            <w:r w:rsidRPr="00D55950">
              <w:rPr>
                <w:rFonts w:eastAsia="Arial Unicode MS"/>
                <w:b/>
                <w:lang w:eastAsia="cs-CZ"/>
              </w:rPr>
              <w:t>Opatření 2.11.1</w:t>
            </w:r>
          </w:p>
        </w:tc>
        <w:tc>
          <w:tcPr>
            <w:tcW w:w="3751" w:type="pct"/>
            <w:shd w:val="clear" w:color="auto" w:fill="E2EFD9" w:themeFill="accent6" w:themeFillTint="33"/>
          </w:tcPr>
          <w:p w:rsidR="00C50C93" w:rsidRPr="00971964" w:rsidRDefault="00C50C93" w:rsidP="00D55950">
            <w:pPr>
              <w:spacing w:before="0"/>
              <w:rPr>
                <w:rFonts w:eastAsia="Arial Unicode MS"/>
                <w:lang w:eastAsia="cs-CZ"/>
              </w:rPr>
            </w:pPr>
            <w:r w:rsidRPr="00971964">
              <w:rPr>
                <w:rFonts w:eastAsia="Arial Unicode MS"/>
                <w:lang w:eastAsia="cs-CZ"/>
              </w:rPr>
              <w:t>Zajištění terénní formy služby sociální rehabilitace pro oso</w:t>
            </w:r>
            <w:r w:rsidR="005A25A2">
              <w:rPr>
                <w:rFonts w:eastAsia="Arial Unicode MS"/>
                <w:lang w:eastAsia="cs-CZ"/>
              </w:rPr>
              <w:t>by s kombinovaným postižením 3</w:t>
            </w:r>
            <w:r w:rsidRPr="00971964">
              <w:rPr>
                <w:rFonts w:eastAsia="Arial Unicode MS"/>
                <w:lang w:eastAsia="cs-CZ"/>
              </w:rPr>
              <w:t xml:space="preserve"> pracovními úvazk</w:t>
            </w:r>
            <w:r w:rsidR="00102318">
              <w:rPr>
                <w:rFonts w:eastAsia="Arial Unicode MS"/>
                <w:lang w:eastAsia="cs-CZ"/>
              </w:rPr>
              <w:t>y</w:t>
            </w:r>
            <w:r w:rsidRPr="00971964">
              <w:rPr>
                <w:rFonts w:eastAsia="Arial Unicode MS"/>
                <w:lang w:eastAsia="cs-CZ"/>
              </w:rPr>
              <w:t xml:space="preserve"> pracovníků v přímé péči v OK </w:t>
            </w:r>
          </w:p>
        </w:tc>
      </w:tr>
      <w:tr w:rsidR="00C50C93" w:rsidRPr="004A7196" w:rsidTr="00D55950">
        <w:trPr>
          <w:trHeight w:val="397"/>
          <w:jc w:val="center"/>
        </w:trPr>
        <w:tc>
          <w:tcPr>
            <w:tcW w:w="1249" w:type="pct"/>
            <w:shd w:val="clear" w:color="auto" w:fill="E2EFD9" w:themeFill="accent6" w:themeFillTint="33"/>
          </w:tcPr>
          <w:p w:rsidR="00C50C93" w:rsidRPr="00D55950" w:rsidRDefault="00C50C93" w:rsidP="00D55950">
            <w:pPr>
              <w:spacing w:before="0"/>
              <w:jc w:val="left"/>
              <w:rPr>
                <w:rFonts w:eastAsia="Arial Unicode MS"/>
                <w:b/>
                <w:lang w:eastAsia="cs-CZ"/>
              </w:rPr>
            </w:pPr>
            <w:r w:rsidRPr="00D55950">
              <w:rPr>
                <w:rFonts w:eastAsia="Arial Unicode MS"/>
                <w:b/>
                <w:lang w:eastAsia="cs-CZ"/>
              </w:rPr>
              <w:t>Opatření 2.11.2</w:t>
            </w:r>
          </w:p>
        </w:tc>
        <w:tc>
          <w:tcPr>
            <w:tcW w:w="3751" w:type="pct"/>
            <w:shd w:val="clear" w:color="auto" w:fill="E2EFD9" w:themeFill="accent6" w:themeFillTint="33"/>
          </w:tcPr>
          <w:p w:rsidR="00C50C93" w:rsidRPr="00971964" w:rsidRDefault="00C50C93" w:rsidP="00D55950">
            <w:pPr>
              <w:spacing w:before="0"/>
              <w:rPr>
                <w:rFonts w:eastAsia="Arial Unicode MS"/>
                <w:lang w:eastAsia="cs-CZ"/>
              </w:rPr>
            </w:pPr>
            <w:r w:rsidRPr="00971964">
              <w:rPr>
                <w:rFonts w:eastAsia="Arial Unicode MS"/>
                <w:lang w:eastAsia="cs-CZ"/>
              </w:rPr>
              <w:t>Zajištění ambulantní formy služby sociální rehabilitace pro oso</w:t>
            </w:r>
            <w:r w:rsidR="005A25A2">
              <w:rPr>
                <w:rFonts w:eastAsia="Arial Unicode MS"/>
                <w:lang w:eastAsia="cs-CZ"/>
              </w:rPr>
              <w:t>by s kombinovaným postižením 2</w:t>
            </w:r>
            <w:r w:rsidRPr="00971964">
              <w:rPr>
                <w:rFonts w:eastAsia="Arial Unicode MS"/>
                <w:lang w:eastAsia="cs-CZ"/>
              </w:rPr>
              <w:t xml:space="preserve"> pracovními úvazky pracovníků v přímé péči v OK </w:t>
            </w:r>
          </w:p>
        </w:tc>
      </w:tr>
      <w:tr w:rsidR="00C50C93" w:rsidRPr="004A7196" w:rsidTr="00D55950">
        <w:trPr>
          <w:trHeight w:val="397"/>
          <w:jc w:val="center"/>
        </w:trPr>
        <w:tc>
          <w:tcPr>
            <w:tcW w:w="1249" w:type="pct"/>
            <w:shd w:val="clear" w:color="auto" w:fill="FABF8F"/>
          </w:tcPr>
          <w:p w:rsidR="00C50C93" w:rsidRPr="00D55950" w:rsidRDefault="00C50C93" w:rsidP="00D55950">
            <w:pPr>
              <w:spacing w:before="0"/>
              <w:jc w:val="left"/>
              <w:rPr>
                <w:rFonts w:eastAsia="Arial Unicode MS"/>
                <w:b/>
                <w:lang w:eastAsia="cs-CZ"/>
              </w:rPr>
            </w:pPr>
            <w:r w:rsidRPr="00D55950">
              <w:rPr>
                <w:rFonts w:eastAsia="Arial Unicode MS"/>
                <w:b/>
                <w:lang w:eastAsia="cs-CZ"/>
              </w:rPr>
              <w:t>Cíl 2.12</w:t>
            </w:r>
          </w:p>
        </w:tc>
        <w:tc>
          <w:tcPr>
            <w:tcW w:w="3751" w:type="pct"/>
            <w:shd w:val="clear" w:color="auto" w:fill="FABF8F"/>
          </w:tcPr>
          <w:p w:rsidR="00C50C93" w:rsidRPr="00D55950" w:rsidRDefault="00C50C93" w:rsidP="00D55950">
            <w:pPr>
              <w:spacing w:before="0"/>
              <w:rPr>
                <w:rFonts w:eastAsia="Arial Unicode MS"/>
                <w:b/>
                <w:lang w:eastAsia="cs-CZ"/>
              </w:rPr>
            </w:pPr>
            <w:r w:rsidRPr="00D55950">
              <w:rPr>
                <w:rFonts w:eastAsia="Arial Unicode MS"/>
                <w:b/>
                <w:lang w:eastAsia="cs-CZ"/>
              </w:rPr>
              <w:t xml:space="preserve">Podpora rozvoje služeb vedoucích k transformaci, </w:t>
            </w:r>
            <w:proofErr w:type="spellStart"/>
            <w:r w:rsidRPr="00D55950">
              <w:rPr>
                <w:rFonts w:eastAsia="Arial Unicode MS"/>
                <w:b/>
                <w:lang w:eastAsia="cs-CZ"/>
              </w:rPr>
              <w:t>deinstitucionalizaci</w:t>
            </w:r>
            <w:proofErr w:type="spellEnd"/>
            <w:r w:rsidRPr="00D55950">
              <w:rPr>
                <w:rFonts w:eastAsia="Arial Unicode MS"/>
                <w:b/>
                <w:lang w:eastAsia="cs-CZ"/>
              </w:rPr>
              <w:t xml:space="preserve"> a humanizaci služeb sociální péče pro osoby se zdravotním postižením</w:t>
            </w:r>
          </w:p>
        </w:tc>
      </w:tr>
      <w:tr w:rsidR="00C50C93" w:rsidRPr="004A7196" w:rsidTr="00D55950">
        <w:trPr>
          <w:trHeight w:val="397"/>
          <w:jc w:val="center"/>
        </w:trPr>
        <w:tc>
          <w:tcPr>
            <w:tcW w:w="1249" w:type="pct"/>
            <w:shd w:val="clear" w:color="auto" w:fill="E2EFD9" w:themeFill="accent6" w:themeFillTint="33"/>
          </w:tcPr>
          <w:p w:rsidR="00C50C93" w:rsidRPr="00D55950" w:rsidRDefault="00C50C93" w:rsidP="00D55950">
            <w:pPr>
              <w:spacing w:before="0"/>
              <w:jc w:val="left"/>
              <w:rPr>
                <w:rFonts w:eastAsia="Arial Unicode MS"/>
                <w:b/>
                <w:lang w:eastAsia="cs-CZ"/>
              </w:rPr>
            </w:pPr>
            <w:r w:rsidRPr="00D55950">
              <w:rPr>
                <w:rFonts w:eastAsia="Arial Unicode MS"/>
                <w:b/>
                <w:lang w:eastAsia="cs-CZ"/>
              </w:rPr>
              <w:t>Opatření 2.12.1</w:t>
            </w:r>
          </w:p>
        </w:tc>
        <w:tc>
          <w:tcPr>
            <w:tcW w:w="3751" w:type="pct"/>
            <w:shd w:val="clear" w:color="auto" w:fill="E2EFD9" w:themeFill="accent6" w:themeFillTint="33"/>
          </w:tcPr>
          <w:p w:rsidR="00C50C93" w:rsidRPr="00971964" w:rsidRDefault="00C50C93" w:rsidP="00D55950">
            <w:pPr>
              <w:spacing w:before="0"/>
              <w:rPr>
                <w:rFonts w:eastAsia="Arial Unicode MS"/>
                <w:color w:val="FF0000"/>
                <w:lang w:eastAsia="cs-CZ"/>
              </w:rPr>
            </w:pPr>
            <w:r w:rsidRPr="00971964">
              <w:rPr>
                <w:rFonts w:eastAsia="Arial Unicode MS"/>
                <w:lang w:eastAsia="cs-CZ"/>
              </w:rPr>
              <w:t xml:space="preserve">Transformace, </w:t>
            </w:r>
            <w:proofErr w:type="spellStart"/>
            <w:r w:rsidRPr="00971964">
              <w:rPr>
                <w:rFonts w:eastAsia="Arial Unicode MS"/>
                <w:lang w:eastAsia="cs-CZ"/>
              </w:rPr>
              <w:t>deinstitucionalizace</w:t>
            </w:r>
            <w:proofErr w:type="spellEnd"/>
            <w:r w:rsidRPr="00971964">
              <w:rPr>
                <w:rFonts w:eastAsia="Arial Unicode MS"/>
                <w:lang w:eastAsia="cs-CZ"/>
              </w:rPr>
              <w:t xml:space="preserve"> a humanizace pobytových sociálních služeb u poskytovatelů vybraných domovů pro osoby se zdravotním postižením, jej</w:t>
            </w:r>
            <w:r w:rsidR="00102318">
              <w:rPr>
                <w:rFonts w:eastAsia="Arial Unicode MS"/>
                <w:lang w:eastAsia="cs-CZ"/>
              </w:rPr>
              <w:t>ich</w:t>
            </w:r>
            <w:r w:rsidRPr="00971964">
              <w:rPr>
                <w:rFonts w:eastAsia="Arial Unicode MS"/>
                <w:lang w:eastAsia="cs-CZ"/>
              </w:rPr>
              <w:t>ž zřizovatelem je Olomoucký kraj, jež transformují své kapacity do stejných či odlišných druhů sociálních služeb komunitního typu</w:t>
            </w:r>
          </w:p>
        </w:tc>
      </w:tr>
      <w:tr w:rsidR="00971964" w:rsidRPr="004A7196" w:rsidTr="00D55950">
        <w:trPr>
          <w:trHeight w:val="397"/>
          <w:jc w:val="center"/>
        </w:trPr>
        <w:tc>
          <w:tcPr>
            <w:tcW w:w="1249" w:type="pct"/>
            <w:shd w:val="clear" w:color="auto" w:fill="FABF8F"/>
          </w:tcPr>
          <w:p w:rsidR="00971964" w:rsidRPr="00D55950" w:rsidRDefault="00971964" w:rsidP="00D55950">
            <w:pPr>
              <w:spacing w:before="0"/>
              <w:jc w:val="left"/>
              <w:rPr>
                <w:rFonts w:eastAsia="Arial Unicode MS"/>
                <w:b/>
                <w:lang w:eastAsia="cs-CZ"/>
              </w:rPr>
            </w:pPr>
            <w:r w:rsidRPr="00D55950">
              <w:rPr>
                <w:rFonts w:eastAsia="Arial Unicode MS"/>
                <w:b/>
                <w:lang w:eastAsia="cs-CZ"/>
              </w:rPr>
              <w:t>Cíl 2.13</w:t>
            </w:r>
          </w:p>
        </w:tc>
        <w:tc>
          <w:tcPr>
            <w:tcW w:w="3751" w:type="pct"/>
            <w:shd w:val="clear" w:color="auto" w:fill="FABF8F"/>
          </w:tcPr>
          <w:p w:rsidR="00971964" w:rsidRPr="00D55950" w:rsidRDefault="00971964" w:rsidP="00D55950">
            <w:pPr>
              <w:spacing w:before="0"/>
              <w:rPr>
                <w:rFonts w:eastAsia="Arial Unicode MS"/>
                <w:b/>
                <w:lang w:eastAsia="cs-CZ"/>
              </w:rPr>
            </w:pPr>
            <w:r w:rsidRPr="00D55950">
              <w:rPr>
                <w:rFonts w:eastAsia="Arial Unicode MS"/>
                <w:b/>
                <w:lang w:eastAsia="cs-CZ"/>
              </w:rPr>
              <w:t>Podpora rozvoje služeb související s procesy Reformy psychiatrické péče pro osoby se zdravotním postižením</w:t>
            </w:r>
          </w:p>
        </w:tc>
      </w:tr>
      <w:tr w:rsidR="00971964" w:rsidRPr="004A7196" w:rsidTr="00D55950">
        <w:trPr>
          <w:trHeight w:val="397"/>
          <w:jc w:val="center"/>
        </w:trPr>
        <w:tc>
          <w:tcPr>
            <w:tcW w:w="1249" w:type="pct"/>
            <w:shd w:val="clear" w:color="auto" w:fill="E2EFD9" w:themeFill="accent6" w:themeFillTint="33"/>
          </w:tcPr>
          <w:p w:rsidR="00971964" w:rsidRPr="00D55950" w:rsidRDefault="00971964" w:rsidP="00D55950">
            <w:pPr>
              <w:spacing w:before="0"/>
              <w:jc w:val="left"/>
              <w:rPr>
                <w:rFonts w:eastAsia="Arial Unicode MS"/>
                <w:b/>
                <w:lang w:eastAsia="cs-CZ"/>
              </w:rPr>
            </w:pPr>
            <w:r w:rsidRPr="00D55950">
              <w:rPr>
                <w:rFonts w:eastAsia="Arial Unicode MS"/>
                <w:b/>
                <w:lang w:eastAsia="cs-CZ"/>
              </w:rPr>
              <w:t>Opatření 2.13.1</w:t>
            </w:r>
          </w:p>
        </w:tc>
        <w:tc>
          <w:tcPr>
            <w:tcW w:w="3751" w:type="pct"/>
            <w:shd w:val="clear" w:color="auto" w:fill="E2EFD9" w:themeFill="accent6" w:themeFillTint="33"/>
          </w:tcPr>
          <w:p w:rsidR="00971964" w:rsidRPr="00971964" w:rsidRDefault="00971964" w:rsidP="00D55950">
            <w:pPr>
              <w:spacing w:before="0"/>
              <w:rPr>
                <w:rFonts w:eastAsia="Arial Unicode MS"/>
                <w:lang w:eastAsia="cs-CZ"/>
              </w:rPr>
            </w:pPr>
            <w:r w:rsidRPr="00971964">
              <w:rPr>
                <w:rFonts w:eastAsia="Arial Unicode MS"/>
                <w:lang w:eastAsia="cs-CZ"/>
              </w:rPr>
              <w:t>Zajištění vybraných druhů sociálních služeb pro osoby s chronickým duševním onemocněním odpovídající nedostupným kapacitám služeb v OK</w:t>
            </w:r>
          </w:p>
        </w:tc>
      </w:tr>
    </w:tbl>
    <w:p w:rsidR="00E2320B" w:rsidRPr="00E2320B" w:rsidRDefault="00E2320B" w:rsidP="00A34764"/>
    <w:p w:rsidR="00FB1999" w:rsidRDefault="00FB1999" w:rsidP="00A34764">
      <w:pPr>
        <w:pStyle w:val="Nadpis3"/>
      </w:pPr>
      <w:bookmarkStart w:id="207" w:name="_Toc117606998"/>
      <w:r>
        <w:lastRenderedPageBreak/>
        <w:t>Popis cílů a opatření</w:t>
      </w:r>
      <w:bookmarkEnd w:id="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shd w:val="clear" w:color="auto" w:fill="FABF8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 2.1</w:t>
            </w:r>
          </w:p>
        </w:tc>
        <w:tc>
          <w:tcPr>
            <w:tcW w:w="3751" w:type="pct"/>
            <w:shd w:val="clear" w:color="auto" w:fill="FABF8F"/>
          </w:tcPr>
          <w:p w:rsidR="004A7196" w:rsidRPr="00D55950" w:rsidRDefault="004A7196" w:rsidP="00D55950">
            <w:pPr>
              <w:spacing w:before="0"/>
              <w:rPr>
                <w:rFonts w:eastAsia="Arial Unicode MS"/>
                <w:b/>
                <w:color w:val="FF0000"/>
                <w:lang w:eastAsia="cs-CZ"/>
              </w:rPr>
            </w:pPr>
            <w:r w:rsidRPr="00D55950">
              <w:rPr>
                <w:rFonts w:eastAsia="Arial Unicode MS"/>
                <w:b/>
                <w:lang w:eastAsia="cs-CZ"/>
              </w:rPr>
              <w:t>Zajištění potřebného rozsahu služby odborné sociální poradenství v OK</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D55950">
            <w:pPr>
              <w:spacing w:before="0"/>
              <w:rPr>
                <w:rFonts w:eastAsia="Arial Unicode MS"/>
                <w:b/>
                <w:lang w:eastAsia="cs-CZ"/>
              </w:rPr>
            </w:pPr>
            <w:r w:rsidRPr="00D55950">
              <w:rPr>
                <w:rFonts w:eastAsia="Arial Unicode MS"/>
                <w:b/>
                <w:lang w:eastAsia="cs-CZ"/>
              </w:rPr>
              <w:t>2.1.1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D55950">
            <w:pPr>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D55950">
            <w:pPr>
              <w:spacing w:before="0"/>
              <w:rPr>
                <w:rFonts w:eastAsia="Arial Unicode MS"/>
                <w:b/>
                <w:lang w:eastAsia="cs-CZ"/>
              </w:rPr>
            </w:pPr>
            <w:r w:rsidRPr="00D55950">
              <w:rPr>
                <w:rFonts w:eastAsia="Arial Unicode MS"/>
                <w:b/>
                <w:lang w:eastAsia="cs-CZ"/>
              </w:rPr>
              <w:t>Zajištění terénní formy služby odborné sociální poradenství pro osoby s jiným zdravotním postižením a osoby v kr</w:t>
            </w:r>
            <w:r w:rsidR="00C64B77">
              <w:rPr>
                <w:rFonts w:eastAsia="Arial Unicode MS"/>
                <w:b/>
                <w:lang w:eastAsia="cs-CZ"/>
              </w:rPr>
              <w:t>izi dle zjištěné potřebnosti 3</w:t>
            </w:r>
            <w:r w:rsidRPr="00D55950">
              <w:rPr>
                <w:rFonts w:eastAsia="Arial Unicode MS"/>
                <w:b/>
                <w:lang w:eastAsia="cs-CZ"/>
              </w:rPr>
              <w:t xml:space="preserve"> pracovními úvazky pracovníků v přímé péči v 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směřuje k zajištění služby odborné sociální poradenství zaměřené na oblast paliativní péče pro všechny věkové kategorie osob s jiným zdravotním postižením (pozn. osoby </w:t>
            </w:r>
            <w:r w:rsidR="00590A39">
              <w:rPr>
                <w:rFonts w:eastAsia="Arial Unicode MS"/>
                <w:lang w:eastAsia="cs-CZ"/>
              </w:rPr>
              <w:t>v</w:t>
            </w:r>
            <w:r w:rsidRPr="004A7196">
              <w:rPr>
                <w:rFonts w:eastAsia="Arial Unicode MS"/>
                <w:lang w:eastAsia="cs-CZ"/>
              </w:rPr>
              <w:t> </w:t>
            </w:r>
            <w:proofErr w:type="spellStart"/>
            <w:r w:rsidRPr="004A7196">
              <w:rPr>
                <w:rFonts w:eastAsia="Arial Unicode MS"/>
                <w:lang w:eastAsia="cs-CZ"/>
              </w:rPr>
              <w:t>preterminálním</w:t>
            </w:r>
            <w:proofErr w:type="spellEnd"/>
            <w:r w:rsidRPr="004A7196">
              <w:rPr>
                <w:rFonts w:eastAsia="Arial Unicode MS"/>
                <w:lang w:eastAsia="cs-CZ"/>
              </w:rPr>
              <w:t xml:space="preserve"> a terminálním stádiu onemocnění ve všech věkových kategoriích osob) a osob v krizi (pozn.</w:t>
            </w:r>
            <w:r w:rsidRPr="004A7196">
              <w:rPr>
                <w:color w:val="323232"/>
              </w:rPr>
              <w:t xml:space="preserve"> osoby neformálně pečující, které řeší situaci osob v </w:t>
            </w:r>
            <w:proofErr w:type="spellStart"/>
            <w:r w:rsidRPr="004A7196">
              <w:rPr>
                <w:color w:val="323232"/>
              </w:rPr>
              <w:t>preterminálním</w:t>
            </w:r>
            <w:proofErr w:type="spellEnd"/>
            <w:r w:rsidRPr="004A7196">
              <w:rPr>
                <w:color w:val="323232"/>
              </w:rPr>
              <w:t xml:space="preserve"> či terminálním stádiu onemocnění, případně zajištění podpory ve formě doprovázení i po úmrtí této osoby) na základě zjištěné potřebnosti </w:t>
            </w:r>
            <w:r w:rsidRPr="004A7196">
              <w:rPr>
                <w:rFonts w:eastAsia="Arial Unicode MS"/>
                <w:lang w:eastAsia="cs-CZ"/>
              </w:rPr>
              <w:t>v 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jiným zdravotním postižením</w:t>
            </w:r>
          </w:p>
          <w:p w:rsidR="004A7196" w:rsidRPr="004A7196" w:rsidRDefault="004A7196" w:rsidP="00D55950">
            <w:pPr>
              <w:spacing w:before="0"/>
              <w:rPr>
                <w:rFonts w:eastAsia="Arial Unicode MS"/>
                <w:lang w:eastAsia="cs-CZ"/>
              </w:rPr>
            </w:pPr>
            <w:r w:rsidRPr="004A7196">
              <w:rPr>
                <w:rFonts w:eastAsia="Arial Unicode MS"/>
                <w:lang w:eastAsia="cs-CZ"/>
              </w:rPr>
              <w:t>Osoby v krizi</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Odborné sociální poradenství (§ 37)</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Terénní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na zajištění poptávky po činnostech služby odborného sociálního poradenství pro všechny věkové kategorie osob s jiným zdravotním postižením a osob v krizi v terénní formě zaměřené na oblast paliativní péče, které doplňuje zdravotní složku péče v rámci zajištění činností multidisciplinárního týmu při odbornosti 925 – sestra domácí zdravotní péče a odbornosti 926 – domácí péče o pacienta v terminálním stádiu v rozsahu základních činností daných registrací služby na území OK.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4A7196" w:rsidRDefault="004A7196" w:rsidP="00D55950">
            <w:pPr>
              <w:pStyle w:val="Odstavecseseznamem"/>
              <w:numPr>
                <w:ilvl w:val="0"/>
                <w:numId w:val="156"/>
              </w:numPr>
              <w:spacing w:before="0" w:line="240" w:lineRule="auto"/>
            </w:pPr>
            <w:r w:rsidRPr="004A7196">
              <w:t>Projednání předloženého záměru poskytovatele sociálních služeb v souladu se schválenými postupy pro aktualizaci sítě sociálních služeb OK</w:t>
            </w:r>
          </w:p>
          <w:p w:rsidR="004A7196" w:rsidRPr="004A7196" w:rsidRDefault="004A7196" w:rsidP="00D55950">
            <w:pPr>
              <w:pStyle w:val="Odstavecseseznamem"/>
              <w:numPr>
                <w:ilvl w:val="0"/>
                <w:numId w:val="156"/>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57"/>
              </w:numPr>
              <w:spacing w:before="0" w:line="240" w:lineRule="auto"/>
            </w:pPr>
            <w:r w:rsidRPr="00A34764">
              <w:t>Neprojevení zájmu poskytovatelů služeb o plnění cíle a opatření</w:t>
            </w:r>
          </w:p>
          <w:p w:rsidR="004A7196" w:rsidRPr="00A34764" w:rsidRDefault="004A7196" w:rsidP="00D55950">
            <w:pPr>
              <w:pStyle w:val="Odstavecseseznamem"/>
              <w:numPr>
                <w:ilvl w:val="0"/>
                <w:numId w:val="157"/>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57"/>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57"/>
              </w:numPr>
              <w:spacing w:before="0" w:line="240" w:lineRule="auto"/>
            </w:pPr>
            <w:r w:rsidRPr="00A34764">
              <w:t>Nedostatek lidských zdrojů</w:t>
            </w:r>
          </w:p>
          <w:p w:rsidR="004A7196" w:rsidRPr="00A34764" w:rsidRDefault="004A7196" w:rsidP="00D55950">
            <w:pPr>
              <w:pStyle w:val="Odstavecseseznamem"/>
              <w:numPr>
                <w:ilvl w:val="0"/>
                <w:numId w:val="157"/>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57"/>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bl>
    <w:p w:rsidR="004A7196" w:rsidRPr="004A7196" w:rsidRDefault="004A7196" w:rsidP="00A3476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shd w:val="clear" w:color="auto" w:fill="FABF8F"/>
          </w:tcPr>
          <w:p w:rsidR="004A7196" w:rsidRPr="00D55950" w:rsidRDefault="004A7196" w:rsidP="00D55950">
            <w:pPr>
              <w:spacing w:before="0"/>
              <w:jc w:val="left"/>
              <w:rPr>
                <w:rFonts w:eastAsia="Arial Unicode MS"/>
                <w:b/>
                <w:lang w:eastAsia="cs-CZ"/>
              </w:rPr>
            </w:pPr>
            <w:r w:rsidRPr="00D55950">
              <w:rPr>
                <w:rFonts w:eastAsia="Arial Unicode MS"/>
                <w:b/>
                <w:lang w:eastAsia="cs-CZ"/>
              </w:rPr>
              <w:lastRenderedPageBreak/>
              <w:t>Cíl 2.1</w:t>
            </w:r>
          </w:p>
        </w:tc>
        <w:tc>
          <w:tcPr>
            <w:tcW w:w="3751" w:type="pct"/>
            <w:shd w:val="clear" w:color="auto" w:fill="FABF8F"/>
          </w:tcPr>
          <w:p w:rsidR="004A7196" w:rsidRPr="00D55950" w:rsidRDefault="004A7196" w:rsidP="00D55950">
            <w:pPr>
              <w:spacing w:before="0"/>
              <w:rPr>
                <w:rFonts w:eastAsia="Arial Unicode MS"/>
                <w:b/>
                <w:color w:val="FF0000"/>
                <w:lang w:eastAsia="cs-CZ"/>
              </w:rPr>
            </w:pPr>
            <w:r w:rsidRPr="00D55950">
              <w:rPr>
                <w:rFonts w:eastAsia="Arial Unicode MS"/>
                <w:b/>
                <w:lang w:eastAsia="cs-CZ"/>
              </w:rPr>
              <w:t>Zajištění potřebného rozsahu služby podpora samostatného bydlení v</w:t>
            </w:r>
            <w:r w:rsidR="00A70AA3">
              <w:rPr>
                <w:rFonts w:eastAsia="Arial Unicode MS"/>
                <w:b/>
                <w:lang w:eastAsia="cs-CZ"/>
              </w:rPr>
              <w:t> </w:t>
            </w:r>
            <w:r w:rsidRPr="00D55950">
              <w:rPr>
                <w:rFonts w:eastAsia="Arial Unicode MS"/>
                <w:b/>
                <w:lang w:eastAsia="cs-CZ"/>
              </w:rPr>
              <w:t>OK</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D55950">
            <w:pPr>
              <w:spacing w:before="0"/>
              <w:rPr>
                <w:rFonts w:eastAsia="Arial Unicode MS"/>
                <w:b/>
                <w:lang w:eastAsia="cs-CZ"/>
              </w:rPr>
            </w:pPr>
            <w:r w:rsidRPr="00D55950">
              <w:rPr>
                <w:rFonts w:eastAsia="Arial Unicode MS"/>
                <w:b/>
                <w:lang w:eastAsia="cs-CZ"/>
              </w:rPr>
              <w:t>2.2.1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D55950">
            <w:pPr>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D55950">
            <w:pPr>
              <w:spacing w:before="0"/>
              <w:rPr>
                <w:rFonts w:eastAsia="Arial Unicode MS"/>
                <w:b/>
                <w:lang w:eastAsia="cs-CZ"/>
              </w:rPr>
            </w:pPr>
            <w:r w:rsidRPr="00D55950">
              <w:rPr>
                <w:rFonts w:eastAsia="Arial Unicode MS"/>
                <w:b/>
                <w:lang w:eastAsia="cs-CZ"/>
              </w:rPr>
              <w:t>Zajištění služby podpory samostatného bydlení pro osoby s chr</w:t>
            </w:r>
            <w:r w:rsidR="00C64B77">
              <w:rPr>
                <w:rFonts w:eastAsia="Arial Unicode MS"/>
                <w:b/>
                <w:lang w:eastAsia="cs-CZ"/>
              </w:rPr>
              <w:t>onickým duševním onemocněním 5</w:t>
            </w:r>
            <w:r w:rsidRPr="00D55950">
              <w:rPr>
                <w:rFonts w:eastAsia="Arial Unicode MS"/>
                <w:b/>
                <w:lang w:eastAsia="cs-CZ"/>
              </w:rPr>
              <w:t xml:space="preserve"> pracovními úvazky pracovníků v přímé péči </w:t>
            </w:r>
            <w:r w:rsidR="00CC3998" w:rsidRPr="00D55950">
              <w:rPr>
                <w:rFonts w:eastAsia="Arial Unicode MS"/>
                <w:b/>
                <w:lang w:eastAsia="cs-CZ"/>
              </w:rPr>
              <w:t>v</w:t>
            </w:r>
            <w:r w:rsidRPr="00D55950">
              <w:rPr>
                <w:rFonts w:eastAsia="Arial Unicode MS"/>
                <w:b/>
                <w:lang w:eastAsia="cs-CZ"/>
              </w:rPr>
              <w:t xml:space="preserve"> 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zajištění služby podpory samostatného bydlení pro osoby s chronickým duševním onemocněním (z okruhu psychóz) na základě zjištěné potřebnosti v 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chronickým duševním onemocněním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Podpora samostatného bydlení (§ 43)</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Terénní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na zajištění poptávky po službě podpory samostatného bydlení pro osoby s chronickým duševním onemocněním v rozsahu základních činností daných registrací služby v OK.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4A7196" w:rsidRDefault="004A7196" w:rsidP="00D55950">
            <w:pPr>
              <w:pStyle w:val="Odstavecseseznamem"/>
              <w:numPr>
                <w:ilvl w:val="0"/>
                <w:numId w:val="140"/>
              </w:numPr>
              <w:spacing w:before="0" w:line="240" w:lineRule="auto"/>
            </w:pPr>
            <w:r w:rsidRPr="004A7196">
              <w:t>Projednání předloženého záměru poskytovatele sociálních služeb v souladu se schválenými postupy pro aktualizaci sítě sociálních služeb OK</w:t>
            </w:r>
          </w:p>
          <w:p w:rsidR="004A7196" w:rsidRPr="004A7196" w:rsidRDefault="004A7196" w:rsidP="00D55950">
            <w:pPr>
              <w:pStyle w:val="Odstavecseseznamem"/>
              <w:numPr>
                <w:ilvl w:val="0"/>
                <w:numId w:val="140"/>
              </w:numPr>
              <w:spacing w:before="0" w:line="240" w:lineRule="auto"/>
            </w:pPr>
            <w:r w:rsidRPr="004A7196">
              <w:t>Při vyjádření pozitivního stanoviska OK aktualizace sítě sociálních služeb dle schválených změn</w:t>
            </w:r>
          </w:p>
        </w:tc>
      </w:tr>
      <w:tr w:rsidR="004A7196" w:rsidRPr="004A7196" w:rsidTr="00506AF9">
        <w:trPr>
          <w:trHeight w:val="2284"/>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41"/>
              </w:numPr>
              <w:spacing w:before="0" w:line="240" w:lineRule="auto"/>
            </w:pPr>
            <w:r w:rsidRPr="00A34764">
              <w:t>Neprojevení zájmu poskytovatelů služeb o plnění cíle a opatření</w:t>
            </w:r>
          </w:p>
          <w:p w:rsidR="004A7196" w:rsidRPr="00A34764" w:rsidRDefault="004A7196" w:rsidP="00D55950">
            <w:pPr>
              <w:pStyle w:val="Odstavecseseznamem"/>
              <w:numPr>
                <w:ilvl w:val="0"/>
                <w:numId w:val="141"/>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41"/>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41"/>
              </w:numPr>
              <w:spacing w:before="0" w:line="240" w:lineRule="auto"/>
            </w:pPr>
            <w:r w:rsidRPr="00A34764">
              <w:t>Nedostatek lidských zdrojů</w:t>
            </w:r>
          </w:p>
          <w:p w:rsidR="004A7196" w:rsidRPr="00A34764" w:rsidRDefault="004A7196" w:rsidP="00D55950">
            <w:pPr>
              <w:pStyle w:val="Odstavecseseznamem"/>
              <w:numPr>
                <w:ilvl w:val="0"/>
                <w:numId w:val="141"/>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41"/>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bl>
    <w:p w:rsidR="004A7196" w:rsidRPr="004A7196" w:rsidRDefault="004A7196" w:rsidP="00A3476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shd w:val="clear" w:color="auto" w:fill="FABF8F"/>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lastRenderedPageBreak/>
              <w:t>Cíl 2.3</w:t>
            </w:r>
          </w:p>
        </w:tc>
        <w:tc>
          <w:tcPr>
            <w:tcW w:w="3751" w:type="pct"/>
            <w:shd w:val="clear" w:color="auto" w:fill="FABF8F"/>
          </w:tcPr>
          <w:p w:rsidR="004A7196" w:rsidRPr="00D55950" w:rsidRDefault="004A7196" w:rsidP="00806448">
            <w:pPr>
              <w:keepNext/>
              <w:spacing w:before="0"/>
              <w:rPr>
                <w:rFonts w:eastAsia="Arial Unicode MS"/>
                <w:b/>
                <w:color w:val="FF0000"/>
                <w:highlight w:val="cyan"/>
                <w:lang w:eastAsia="cs-CZ"/>
              </w:rPr>
            </w:pPr>
            <w:r w:rsidRPr="00D55950">
              <w:rPr>
                <w:rFonts w:eastAsia="Arial Unicode MS"/>
                <w:b/>
                <w:lang w:eastAsia="cs-CZ"/>
              </w:rPr>
              <w:t>Zajištění potřebného rozsahu služby osobní asistence v OK</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2.3.1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Zajištění služby osobní asistence pro osoby s mentálním a kombinovaným postižením, osoby s tělesným postižením, osoby s chronickým onemocněním, osoby s chr</w:t>
            </w:r>
            <w:r w:rsidR="00C64B77">
              <w:rPr>
                <w:rFonts w:eastAsia="Arial Unicode MS"/>
                <w:b/>
                <w:lang w:eastAsia="cs-CZ"/>
              </w:rPr>
              <w:t>onickým duševním onemocněním 5</w:t>
            </w:r>
            <w:r w:rsidRPr="00D55950">
              <w:rPr>
                <w:rFonts w:eastAsia="Arial Unicode MS"/>
                <w:b/>
                <w:lang w:eastAsia="cs-CZ"/>
              </w:rPr>
              <w:t xml:space="preserve"> pracovními úvazky pracovníků v přímé péči v 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směřuje k optimalizaci (pozn. k přesunu nevyužitých kapacit služby do území, kde se vyskytla poptávka po službě) a k případnému rozvoji kapacit služby osobní asistence pro osoby s mentálním a kombinovaným postižením, osoby s tělesným postižením, osoby s chronickým onemocněním, osoby s chronickým duševním onemocněním (z okruhu psychóz) na základě zjištěné potřebnosti v OK.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mentálním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tělesným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chronickým onemocněním</w:t>
            </w:r>
          </w:p>
          <w:p w:rsidR="004A7196" w:rsidRPr="004A7196" w:rsidRDefault="004A7196" w:rsidP="00D55950">
            <w:pPr>
              <w:spacing w:before="0"/>
              <w:rPr>
                <w:rFonts w:eastAsia="Arial Unicode MS"/>
                <w:lang w:eastAsia="cs-CZ"/>
              </w:rPr>
            </w:pPr>
            <w:r w:rsidRPr="004A7196">
              <w:rPr>
                <w:rFonts w:eastAsia="Arial Unicode MS"/>
                <w:lang w:eastAsia="cs-CZ"/>
              </w:rPr>
              <w:t xml:space="preserve">Osoby s chronickým duševním onemocněním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Osobní asistence (§ 39)</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Terénní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na zajištění poptávky po službě osobní asistence pro osoby s mentálním a kombinovaným postižením, osoby s tělesným postižením, osoby s chronickým onemocněním, osoby s chronickým duševním onemocněním v rozsahu základních činností daných registrací služby v OK.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4A7196" w:rsidRDefault="004A7196" w:rsidP="00D55950">
            <w:pPr>
              <w:pStyle w:val="Odstavecseseznamem"/>
              <w:numPr>
                <w:ilvl w:val="0"/>
                <w:numId w:val="158"/>
              </w:numPr>
              <w:spacing w:before="0" w:line="240" w:lineRule="auto"/>
            </w:pPr>
            <w:r w:rsidRPr="004A7196">
              <w:t>Monitoring jednotek zařazených v síti sociálních služeb</w:t>
            </w:r>
          </w:p>
          <w:p w:rsidR="004A7196" w:rsidRPr="004A7196" w:rsidRDefault="004A7196" w:rsidP="00D55950">
            <w:pPr>
              <w:pStyle w:val="Odstavecseseznamem"/>
              <w:numPr>
                <w:ilvl w:val="0"/>
                <w:numId w:val="158"/>
              </w:numPr>
              <w:spacing w:before="0" w:line="240" w:lineRule="auto"/>
            </w:pPr>
            <w:r w:rsidRPr="004A7196">
              <w:t xml:space="preserve">Projednání předloženého záměru poskytovatele sociálních služeb v souladu se schválenými postupy pro aktualizaci sítě sociálních služeb OK </w:t>
            </w:r>
          </w:p>
          <w:p w:rsidR="004A7196" w:rsidRPr="004A7196" w:rsidRDefault="004A7196" w:rsidP="00D55950">
            <w:pPr>
              <w:pStyle w:val="Odstavecseseznamem"/>
              <w:numPr>
                <w:ilvl w:val="0"/>
                <w:numId w:val="158"/>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59"/>
              </w:numPr>
              <w:spacing w:before="0" w:line="240" w:lineRule="auto"/>
            </w:pPr>
            <w:r w:rsidRPr="00A34764">
              <w:t>Neprojevení zájmu poskytovatelů služeb o plnění cíle a opatření</w:t>
            </w:r>
          </w:p>
          <w:p w:rsidR="004A7196" w:rsidRPr="00A34764" w:rsidRDefault="004A7196" w:rsidP="00D55950">
            <w:pPr>
              <w:pStyle w:val="Odstavecseseznamem"/>
              <w:numPr>
                <w:ilvl w:val="0"/>
                <w:numId w:val="159"/>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59"/>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59"/>
              </w:numPr>
              <w:spacing w:before="0" w:line="240" w:lineRule="auto"/>
            </w:pPr>
            <w:r w:rsidRPr="00A34764">
              <w:t>Nedostatek lidských zdrojů</w:t>
            </w:r>
          </w:p>
          <w:p w:rsidR="004A7196" w:rsidRPr="00A34764" w:rsidRDefault="004A7196" w:rsidP="00D55950">
            <w:pPr>
              <w:pStyle w:val="Odstavecseseznamem"/>
              <w:numPr>
                <w:ilvl w:val="0"/>
                <w:numId w:val="159"/>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59"/>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bl>
    <w:p w:rsidR="004A7196" w:rsidRPr="004A7196" w:rsidRDefault="004A7196" w:rsidP="00A3476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shd w:val="clear" w:color="auto" w:fill="FABF8F"/>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lastRenderedPageBreak/>
              <w:t>Cíl 2.4</w:t>
            </w:r>
          </w:p>
        </w:tc>
        <w:tc>
          <w:tcPr>
            <w:tcW w:w="3751" w:type="pct"/>
            <w:shd w:val="clear" w:color="auto" w:fill="FABF8F"/>
          </w:tcPr>
          <w:p w:rsidR="004A7196" w:rsidRPr="00D55950" w:rsidRDefault="004A7196" w:rsidP="00806448">
            <w:pPr>
              <w:keepNext/>
              <w:spacing w:before="0"/>
              <w:rPr>
                <w:rFonts w:eastAsia="Arial Unicode MS"/>
                <w:b/>
                <w:color w:val="FF0000"/>
                <w:lang w:eastAsia="cs-CZ"/>
              </w:rPr>
            </w:pPr>
            <w:r w:rsidRPr="00D55950">
              <w:rPr>
                <w:rFonts w:eastAsia="Arial Unicode MS"/>
                <w:b/>
                <w:lang w:eastAsia="cs-CZ"/>
              </w:rPr>
              <w:t>Zajištění potřebného rozsahu odlehčovací služby v OK</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2.4.1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Zajištění pobytové formy odlehčovací služby pro osoby s mentálním a</w:t>
            </w:r>
            <w:r w:rsidR="00A70AA3">
              <w:rPr>
                <w:rFonts w:eastAsia="Arial Unicode MS"/>
                <w:b/>
                <w:lang w:eastAsia="cs-CZ"/>
              </w:rPr>
              <w:t> </w:t>
            </w:r>
            <w:r w:rsidRPr="00D55950">
              <w:rPr>
                <w:rFonts w:eastAsia="Arial Unicode MS"/>
                <w:b/>
                <w:lang w:eastAsia="cs-CZ"/>
              </w:rPr>
              <w:t>tělesným postižením, pro o</w:t>
            </w:r>
            <w:r w:rsidR="00B00BE7" w:rsidRPr="00D55950">
              <w:rPr>
                <w:rFonts w:eastAsia="Arial Unicode MS"/>
                <w:b/>
                <w:lang w:eastAsia="cs-CZ"/>
              </w:rPr>
              <w:t>soby s chronickým onemocněním 11</w:t>
            </w:r>
            <w:r w:rsidRPr="00D55950">
              <w:rPr>
                <w:rFonts w:eastAsia="Arial Unicode MS"/>
                <w:b/>
                <w:lang w:eastAsia="cs-CZ"/>
              </w:rPr>
              <w:t xml:space="preserve"> pracovními úvazky pracovníků v přímé péči v ORP Zábřeh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zajištění pobytové formy odlehčovací služby pro osoby s mentálním a tělesným postižením, pro osoby s chronickým onemocněním na základě zjištěné potřebnosti v ORP Zábřeh.</w:t>
            </w:r>
          </w:p>
          <w:p w:rsidR="004A7196" w:rsidRPr="004A7196" w:rsidRDefault="00FF153C" w:rsidP="00D55950">
            <w:pPr>
              <w:spacing w:before="0"/>
              <w:rPr>
                <w:rFonts w:eastAsia="Arial Unicode MS"/>
                <w:lang w:eastAsia="cs-CZ"/>
              </w:rPr>
            </w:pPr>
            <w:r w:rsidRPr="00FF153C">
              <w:rPr>
                <w:rFonts w:eastAsia="Arial Unicode MS"/>
                <w:lang w:eastAsia="cs-CZ"/>
              </w:rPr>
              <w:t xml:space="preserve">Počet pracovních úvazků </w:t>
            </w:r>
            <w:r w:rsidR="00B00BE7">
              <w:rPr>
                <w:rFonts w:eastAsia="Arial Unicode MS"/>
                <w:lang w:eastAsia="cs-CZ"/>
              </w:rPr>
              <w:t>u</w:t>
            </w:r>
            <w:r w:rsidRPr="00FF153C">
              <w:rPr>
                <w:rFonts w:eastAsia="Arial Unicode MS"/>
                <w:lang w:eastAsia="cs-CZ"/>
              </w:rPr>
              <w:t>vedených v opatření je součtem pracovních úvazků pro pracovní skupiny Osoby se zdravotním postižením a Senioři.</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mentálním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tělesným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chronickým onemocněním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Odlehčovací služba (§ 44)</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Pobytová</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ORP Zábřeh</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na zajištění poptávky po pobytové formě odlehčovací služby pro osoby s mentálním a tělesným postižením, pro osoby s chronickým onemocněním v rozsahu základních činností daných registrací služby v ORP Zábřeh. </w:t>
            </w:r>
          </w:p>
          <w:p w:rsidR="004A7196" w:rsidRPr="004A7196" w:rsidRDefault="004A7196" w:rsidP="00D55950">
            <w:pPr>
              <w:spacing w:before="0"/>
              <w:rPr>
                <w:rFonts w:eastAsia="Arial Unicode MS"/>
                <w:lang w:eastAsia="cs-CZ"/>
              </w:rPr>
            </w:pPr>
            <w:r w:rsidRPr="004A7196">
              <w:rPr>
                <w:rFonts w:eastAsia="Arial Unicode MS"/>
                <w:lang w:eastAsia="cs-CZ"/>
              </w:rPr>
              <w:t xml:space="preserve">Tímto opatřením bude síť </w:t>
            </w:r>
            <w:r w:rsidR="00B00BE7">
              <w:rPr>
                <w:rFonts w:eastAsia="Arial Unicode MS"/>
                <w:lang w:eastAsia="cs-CZ"/>
              </w:rPr>
              <w:t>sociálních služeb rozšířena o 14</w:t>
            </w:r>
            <w:r w:rsidRPr="004A7196">
              <w:rPr>
                <w:rFonts w:eastAsia="Arial Unicode MS"/>
                <w:lang w:eastAsia="cs-CZ"/>
              </w:rPr>
              <w:t xml:space="preserve"> lůžek v pobytové formě odlehčovací služby.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4A7196" w:rsidRDefault="004A7196" w:rsidP="00D55950">
            <w:pPr>
              <w:pStyle w:val="Odstavecseseznamem"/>
              <w:numPr>
                <w:ilvl w:val="0"/>
                <w:numId w:val="116"/>
              </w:numPr>
              <w:spacing w:before="0" w:line="240" w:lineRule="auto"/>
            </w:pPr>
            <w:r w:rsidRPr="004A7196">
              <w:t>Projednání předloženého záměru poskytovatele sociálních služeb v souladu se schválenými postupy pro aktualizaci sítě sociálních služeb OK</w:t>
            </w:r>
          </w:p>
          <w:p w:rsidR="004A7196" w:rsidRPr="004A7196" w:rsidRDefault="004A7196" w:rsidP="00D55950">
            <w:pPr>
              <w:pStyle w:val="Odstavecseseznamem"/>
              <w:numPr>
                <w:ilvl w:val="0"/>
                <w:numId w:val="116"/>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17"/>
              </w:numPr>
              <w:spacing w:before="0" w:line="240" w:lineRule="auto"/>
            </w:pPr>
            <w:r w:rsidRPr="00A34764">
              <w:t>Neprojevení zájmu poskytovatelů služeb o plnění cíle a opatření</w:t>
            </w:r>
          </w:p>
          <w:p w:rsidR="004A7196" w:rsidRPr="00A34764" w:rsidRDefault="004A7196" w:rsidP="00D55950">
            <w:pPr>
              <w:pStyle w:val="Odstavecseseznamem"/>
              <w:numPr>
                <w:ilvl w:val="0"/>
                <w:numId w:val="117"/>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17"/>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17"/>
              </w:numPr>
              <w:spacing w:before="0" w:line="240" w:lineRule="auto"/>
            </w:pPr>
            <w:r w:rsidRPr="00A34764">
              <w:t>Nedostatek lidských zdrojů</w:t>
            </w:r>
          </w:p>
          <w:p w:rsidR="004A7196" w:rsidRPr="00A34764" w:rsidRDefault="004A7196" w:rsidP="00D55950">
            <w:pPr>
              <w:pStyle w:val="Odstavecseseznamem"/>
              <w:numPr>
                <w:ilvl w:val="0"/>
                <w:numId w:val="117"/>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17"/>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lastRenderedPageBreak/>
              <w:t xml:space="preserve">Kód opatření </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2.4.2</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Zajištění pobytové formy odlehčovací služby pro osoby a mentáln</w:t>
            </w:r>
            <w:r w:rsidR="00C64B77">
              <w:rPr>
                <w:rFonts w:eastAsia="Arial Unicode MS"/>
                <w:b/>
                <w:lang w:eastAsia="cs-CZ"/>
              </w:rPr>
              <w:t>ím a</w:t>
            </w:r>
            <w:r w:rsidR="00A70AA3">
              <w:rPr>
                <w:rFonts w:eastAsia="Arial Unicode MS"/>
                <w:b/>
                <w:lang w:eastAsia="cs-CZ"/>
              </w:rPr>
              <w:t> </w:t>
            </w:r>
            <w:r w:rsidR="00C64B77">
              <w:rPr>
                <w:rFonts w:eastAsia="Arial Unicode MS"/>
                <w:b/>
                <w:lang w:eastAsia="cs-CZ"/>
              </w:rPr>
              <w:t>kombinovaným postižením 7</w:t>
            </w:r>
            <w:r w:rsidRPr="00D55950">
              <w:rPr>
                <w:rFonts w:eastAsia="Arial Unicode MS"/>
                <w:b/>
                <w:lang w:eastAsia="cs-CZ"/>
              </w:rPr>
              <w:t xml:space="preserve"> pracovními úvazky pracovníků v přímé péči v ORP Olomouc</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zajištění pobytové formy odlehčovací služby pro osoby s mentálním a kombinovaným postižením (vždy je primární mentální postižení v kombinaci s PAS či tělesným postižením) na základě zjištěné potřebnosti v ORP Olomouc.</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mentálním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Odlehčovací služba (§ 44)</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Pobytová</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ORP Olomouc</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má dopad na zajištění poptávky po pobytové formě odlehčovací služby pro osoby s mentálním a kombinovaným postižením v rozsahu základních činností daných registrací služby v ORP Olomouc.</w:t>
            </w:r>
          </w:p>
          <w:p w:rsidR="004A7196" w:rsidRPr="004A7196" w:rsidRDefault="004A7196" w:rsidP="00D55950">
            <w:pPr>
              <w:spacing w:before="0"/>
              <w:rPr>
                <w:rFonts w:eastAsia="Arial Unicode MS"/>
                <w:lang w:eastAsia="cs-CZ"/>
              </w:rPr>
            </w:pPr>
            <w:r w:rsidRPr="004A7196">
              <w:rPr>
                <w:rFonts w:eastAsia="Arial Unicode MS"/>
                <w:lang w:eastAsia="cs-CZ"/>
              </w:rPr>
              <w:t>Tímto opatřením bude síť sociálních služeb rozšířena o 4 lůžka v pobytové formě odlehčovací služby.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A34764" w:rsidRDefault="004A7196" w:rsidP="00D55950">
            <w:pPr>
              <w:pStyle w:val="Odstavecseseznamem"/>
              <w:numPr>
                <w:ilvl w:val="0"/>
                <w:numId w:val="148"/>
              </w:numPr>
              <w:spacing w:before="0" w:line="240" w:lineRule="auto"/>
            </w:pPr>
            <w:r w:rsidRPr="00A34764">
              <w:t>Projednání předloženého záměru poskytovatele sociálních služeb v souladu se schválenými postupy pro aktualizaci sítě sociálních služeb OK</w:t>
            </w:r>
          </w:p>
          <w:p w:rsidR="004A7196" w:rsidRPr="00A34764" w:rsidRDefault="004A7196" w:rsidP="00D55950">
            <w:pPr>
              <w:pStyle w:val="Odstavecseseznamem"/>
              <w:numPr>
                <w:ilvl w:val="0"/>
                <w:numId w:val="148"/>
              </w:numPr>
              <w:spacing w:before="0" w:line="240" w:lineRule="auto"/>
            </w:pPr>
            <w:r w:rsidRPr="00A34764">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49"/>
              </w:numPr>
              <w:spacing w:before="0" w:line="240" w:lineRule="auto"/>
            </w:pPr>
            <w:r w:rsidRPr="00A34764">
              <w:t>Neprojevení zájmu poskytovatelů služeb o plnění cíle a opatření</w:t>
            </w:r>
          </w:p>
          <w:p w:rsidR="004A7196" w:rsidRPr="00A34764" w:rsidRDefault="004A7196" w:rsidP="00D55950">
            <w:pPr>
              <w:pStyle w:val="Odstavecseseznamem"/>
              <w:numPr>
                <w:ilvl w:val="0"/>
                <w:numId w:val="149"/>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49"/>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49"/>
              </w:numPr>
              <w:spacing w:before="0" w:line="240" w:lineRule="auto"/>
            </w:pPr>
            <w:r w:rsidRPr="00A34764">
              <w:t>Nedostatek lidských zdrojů</w:t>
            </w:r>
          </w:p>
          <w:p w:rsidR="004A7196" w:rsidRPr="00A34764" w:rsidRDefault="004A7196" w:rsidP="00D55950">
            <w:pPr>
              <w:pStyle w:val="Odstavecseseznamem"/>
              <w:numPr>
                <w:ilvl w:val="0"/>
                <w:numId w:val="149"/>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49"/>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2.4.3</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Zajištění pobytové formy odlehčovací služby pro oso</w:t>
            </w:r>
            <w:r w:rsidR="00C64B77">
              <w:rPr>
                <w:rFonts w:eastAsia="Arial Unicode MS"/>
                <w:b/>
                <w:lang w:eastAsia="cs-CZ"/>
              </w:rPr>
              <w:t>by s kombinovaným postižením 7</w:t>
            </w:r>
            <w:r w:rsidRPr="00D55950">
              <w:rPr>
                <w:rFonts w:eastAsia="Arial Unicode MS"/>
                <w:b/>
                <w:lang w:eastAsia="cs-CZ"/>
              </w:rPr>
              <w:t xml:space="preserve"> pracovními úvazky pracovníků v přímé péči působící v ORP Olomouc a ORP Šumperk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b/>
                <w:lang w:eastAsia="cs-CZ"/>
              </w:rPr>
            </w:pPr>
            <w:r w:rsidRPr="004A7196">
              <w:rPr>
                <w:rFonts w:eastAsia="Arial Unicode MS"/>
                <w:lang w:eastAsia="cs-CZ"/>
              </w:rPr>
              <w:t>Opatření směřuje k zajištění pobytové formy odlehčovací služby pro osoby s kombinovaným postižením (jedná se o osoby s vícenásobným postižením, popř. i o osoby vyžadující při zajištění péče zabezpečení specializovaných zdravotních výkonů, včetně osob s PAS ve věku 0</w:t>
            </w:r>
            <w:r w:rsidR="00590A39">
              <w:rPr>
                <w:rFonts w:eastAsia="Arial Unicode MS"/>
                <w:lang w:eastAsia="cs-CZ"/>
              </w:rPr>
              <w:t>–</w:t>
            </w:r>
            <w:r w:rsidRPr="004A7196">
              <w:rPr>
                <w:rFonts w:eastAsia="Arial Unicode MS"/>
                <w:lang w:eastAsia="cs-CZ"/>
              </w:rPr>
              <w:t>18 let) na základě zjištěné potřebnosti v ORP Olomouc a ORP Šumperk</w:t>
            </w:r>
            <w:r w:rsidR="00B00BE7">
              <w:rPr>
                <w:rFonts w:eastAsia="Arial Unicode MS"/>
                <w:lang w:eastAsia="cs-CZ"/>
              </w:rPr>
              <w:t>.</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lastRenderedPageBreak/>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Odlehčovací služba (§ 44)</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Pobytová</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ORP Olomouc</w:t>
            </w:r>
          </w:p>
          <w:p w:rsidR="004A7196" w:rsidRPr="004A7196" w:rsidRDefault="004A7196" w:rsidP="00D55950">
            <w:pPr>
              <w:spacing w:before="0"/>
              <w:rPr>
                <w:rFonts w:eastAsia="Arial Unicode MS"/>
                <w:lang w:eastAsia="cs-CZ"/>
              </w:rPr>
            </w:pPr>
            <w:r w:rsidRPr="004A7196">
              <w:rPr>
                <w:rFonts w:eastAsia="Arial Unicode MS"/>
                <w:lang w:eastAsia="cs-CZ"/>
              </w:rPr>
              <w:t>ORP Šumperk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pPr>
            <w:r w:rsidRPr="004A7196">
              <w:t>Opatření má dopad na zajištění poptávky po pobytové formě odlehčovací služby pro osoby kombinovaným postižením, jež vyžadují při zajištění péče i specializované zdravotní výkony, případně se jedná o osoby s PAS ve věkové kategorii 0–18 let</w:t>
            </w:r>
            <w:r w:rsidR="00376DC5">
              <w:t>,</w:t>
            </w:r>
            <w:r w:rsidRPr="004A7196">
              <w:t xml:space="preserve"> v rozsahu základních činností d</w:t>
            </w:r>
            <w:r w:rsidR="00376DC5">
              <w:t xml:space="preserve">aných její </w:t>
            </w:r>
            <w:r w:rsidRPr="004A7196">
              <w:t xml:space="preserve">registrací v ORP Olomouc a ORP Šumperk. </w:t>
            </w:r>
          </w:p>
          <w:p w:rsidR="004A7196" w:rsidRPr="004A7196" w:rsidRDefault="004A7196" w:rsidP="00D55950">
            <w:pPr>
              <w:spacing w:before="0"/>
              <w:rPr>
                <w:rFonts w:eastAsia="Arial Unicode MS"/>
                <w:lang w:eastAsia="cs-CZ"/>
              </w:rPr>
            </w:pPr>
            <w:r w:rsidRPr="004A7196">
              <w:t>Tímto opatřením bude síť sociálních služeb doplněna o 4 lůžka v pobytové formě odlehčovací služby.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4A7196" w:rsidRDefault="004A7196" w:rsidP="00D55950">
            <w:pPr>
              <w:pStyle w:val="Odstavecseseznamem"/>
              <w:numPr>
                <w:ilvl w:val="0"/>
                <w:numId w:val="118"/>
              </w:numPr>
              <w:spacing w:before="0" w:line="240" w:lineRule="auto"/>
            </w:pPr>
            <w:r w:rsidRPr="004A7196">
              <w:t>Projednání předloženého záměru poskytovatele sociálních služeb v souladu se schválenými postupy pro aktualizaci sítě sociálních služeb OK</w:t>
            </w:r>
          </w:p>
          <w:p w:rsidR="004A7196" w:rsidRPr="00A34764" w:rsidRDefault="004A7196" w:rsidP="00D55950">
            <w:pPr>
              <w:pStyle w:val="Odstavecseseznamem"/>
              <w:numPr>
                <w:ilvl w:val="0"/>
                <w:numId w:val="118"/>
              </w:numPr>
              <w:spacing w:before="0" w:line="240" w:lineRule="auto"/>
            </w:pPr>
            <w:r w:rsidRPr="00A34764">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19"/>
              </w:numPr>
              <w:spacing w:before="0" w:line="240" w:lineRule="auto"/>
            </w:pPr>
            <w:r w:rsidRPr="00A34764">
              <w:t>Neprojevení zájmu poskytovatelů služeb o plnění cíle a</w:t>
            </w:r>
            <w:r w:rsidR="00CC6696" w:rsidRPr="00A34764">
              <w:t> </w:t>
            </w:r>
            <w:r w:rsidRPr="00A34764">
              <w:t>opatření</w:t>
            </w:r>
          </w:p>
          <w:p w:rsidR="004A7196" w:rsidRPr="00A34764" w:rsidRDefault="004A7196" w:rsidP="00D55950">
            <w:pPr>
              <w:pStyle w:val="Odstavecseseznamem"/>
              <w:numPr>
                <w:ilvl w:val="0"/>
                <w:numId w:val="119"/>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19"/>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19"/>
              </w:numPr>
              <w:spacing w:before="0" w:line="240" w:lineRule="auto"/>
            </w:pPr>
            <w:r w:rsidRPr="00A34764">
              <w:t>Nedostatek lidských zdrojů</w:t>
            </w:r>
          </w:p>
          <w:p w:rsidR="004A7196" w:rsidRPr="00A34764" w:rsidRDefault="004A7196" w:rsidP="00D55950">
            <w:pPr>
              <w:pStyle w:val="Odstavecseseznamem"/>
              <w:numPr>
                <w:ilvl w:val="0"/>
                <w:numId w:val="119"/>
              </w:numPr>
              <w:spacing w:before="0" w:line="240" w:lineRule="auto"/>
            </w:pPr>
            <w:r w:rsidRPr="00A34764">
              <w:t>Nedostatek finančních prostředků z veřejných zdrojů</w:t>
            </w:r>
          </w:p>
          <w:p w:rsidR="004A7196" w:rsidRPr="004A7196" w:rsidRDefault="004A7196" w:rsidP="00D55950">
            <w:pPr>
              <w:pStyle w:val="Odstavecseseznamem"/>
              <w:numPr>
                <w:ilvl w:val="0"/>
                <w:numId w:val="119"/>
              </w:numPr>
              <w:spacing w:before="0" w:line="240" w:lineRule="auto"/>
            </w:pPr>
            <w:r w:rsidRPr="004A7196">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b/>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pPr>
            <w:r w:rsidRPr="004A7196">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pPr>
            <w:r w:rsidRPr="004A7196">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pPr>
            <w:r w:rsidRPr="004A7196">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4A7196">
              <w:t>Aktualizace sítě sociálních služeb dle schválených změn</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2.4.4</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 xml:space="preserve">Zajištění terénní formy odlehčovací služby pro osoby </w:t>
            </w:r>
            <w:r w:rsidR="00102318" w:rsidRPr="00D55950">
              <w:rPr>
                <w:rFonts w:eastAsia="Arial Unicode MS"/>
                <w:b/>
                <w:lang w:eastAsia="cs-CZ"/>
              </w:rPr>
              <w:t>s</w:t>
            </w:r>
            <w:r w:rsidRPr="00D55950">
              <w:rPr>
                <w:rFonts w:eastAsia="Arial Unicode MS"/>
                <w:b/>
                <w:lang w:eastAsia="cs-CZ"/>
              </w:rPr>
              <w:t> mentáln</w:t>
            </w:r>
            <w:r w:rsidR="00C64B77">
              <w:rPr>
                <w:rFonts w:eastAsia="Arial Unicode MS"/>
                <w:b/>
                <w:lang w:eastAsia="cs-CZ"/>
              </w:rPr>
              <w:t>ím a</w:t>
            </w:r>
            <w:r w:rsidR="00A70AA3">
              <w:rPr>
                <w:rFonts w:eastAsia="Arial Unicode MS"/>
                <w:b/>
                <w:lang w:eastAsia="cs-CZ"/>
              </w:rPr>
              <w:t> </w:t>
            </w:r>
            <w:r w:rsidR="00C64B77">
              <w:rPr>
                <w:rFonts w:eastAsia="Arial Unicode MS"/>
                <w:b/>
                <w:lang w:eastAsia="cs-CZ"/>
              </w:rPr>
              <w:t>kombinovaným postižením 8</w:t>
            </w:r>
            <w:r w:rsidRPr="00D55950">
              <w:rPr>
                <w:rFonts w:eastAsia="Arial Unicode MS"/>
                <w:b/>
                <w:lang w:eastAsia="cs-CZ"/>
              </w:rPr>
              <w:t xml:space="preserve"> pracovními úvazky pracovníků v přímé péči v ORP Olomouc, ORP Přerov, ORP Prostějov, ORP Konice, ORP Šternberk, ORP Uničov, ORP Šumperk, ORP Jeseník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b/>
                <w:lang w:eastAsia="cs-CZ"/>
              </w:rPr>
            </w:pPr>
            <w:r w:rsidRPr="004A7196">
              <w:rPr>
                <w:rFonts w:eastAsia="Arial Unicode MS"/>
                <w:lang w:eastAsia="cs-CZ"/>
              </w:rPr>
              <w:t>Opatření směřuje k optimalizaci (pozn. k přesunu nevyužitých kapacit stávající služby do území, kde se vyskytla poptávka po službě) a</w:t>
            </w:r>
            <w:r w:rsidR="00A70AA3">
              <w:rPr>
                <w:rFonts w:eastAsia="Arial Unicode MS"/>
                <w:lang w:eastAsia="cs-CZ"/>
              </w:rPr>
              <w:t> </w:t>
            </w:r>
            <w:r w:rsidRPr="004A7196">
              <w:rPr>
                <w:rFonts w:eastAsia="Arial Unicode MS"/>
                <w:lang w:eastAsia="cs-CZ"/>
              </w:rPr>
              <w:t>k</w:t>
            </w:r>
            <w:r w:rsidR="00CC6696">
              <w:rPr>
                <w:rFonts w:eastAsia="Arial Unicode MS"/>
                <w:lang w:eastAsia="cs-CZ"/>
              </w:rPr>
              <w:t> </w:t>
            </w:r>
            <w:r w:rsidRPr="004A7196">
              <w:rPr>
                <w:rFonts w:eastAsia="Arial Unicode MS"/>
                <w:lang w:eastAsia="cs-CZ"/>
              </w:rPr>
              <w:t>případnému</w:t>
            </w:r>
            <w:r w:rsidR="00CC6696">
              <w:rPr>
                <w:rFonts w:eastAsia="Arial Unicode MS"/>
                <w:lang w:eastAsia="cs-CZ"/>
              </w:rPr>
              <w:t xml:space="preserve"> </w:t>
            </w:r>
            <w:r w:rsidRPr="004A7196">
              <w:rPr>
                <w:rFonts w:eastAsia="Arial Unicode MS"/>
                <w:lang w:eastAsia="cs-CZ"/>
              </w:rPr>
              <w:t>rozvoji kapacit služby terénní formy odlehčovací služby pro osoby s mentálním a kombinovaným postižením (vždy primární mentální postižení v kombinaci s PAS či v kombinaci s dalšími zdravotními postiženími) na základě zjištěné potřebnosti v ORP Olomouc, ORP Přerov, ORP Prostějov, ORP Konice, ORP Šternberk, ORP Uničov, ORP Šumperk, ORP Jeseník.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mentálním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Odlehčovací služba (§ 44)</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lastRenderedPageBreak/>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Terénní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ORP Olomouc</w:t>
            </w:r>
          </w:p>
          <w:p w:rsidR="004A7196" w:rsidRPr="004A7196" w:rsidRDefault="004A7196" w:rsidP="00D55950">
            <w:pPr>
              <w:spacing w:before="0"/>
              <w:rPr>
                <w:rFonts w:eastAsia="Arial Unicode MS"/>
                <w:lang w:eastAsia="cs-CZ"/>
              </w:rPr>
            </w:pPr>
            <w:r w:rsidRPr="004A7196">
              <w:rPr>
                <w:rFonts w:eastAsia="Arial Unicode MS"/>
                <w:lang w:eastAsia="cs-CZ"/>
              </w:rPr>
              <w:t>ORP Přerov</w:t>
            </w:r>
          </w:p>
          <w:p w:rsidR="004A7196" w:rsidRPr="004A7196" w:rsidRDefault="004A7196" w:rsidP="00D55950">
            <w:pPr>
              <w:spacing w:before="0"/>
              <w:rPr>
                <w:rFonts w:eastAsia="Arial Unicode MS"/>
                <w:lang w:eastAsia="cs-CZ"/>
              </w:rPr>
            </w:pPr>
            <w:r w:rsidRPr="004A7196">
              <w:rPr>
                <w:rFonts w:eastAsia="Arial Unicode MS"/>
                <w:lang w:eastAsia="cs-CZ"/>
              </w:rPr>
              <w:t>ORP Prostějov</w:t>
            </w:r>
          </w:p>
          <w:p w:rsidR="004A7196" w:rsidRPr="004A7196" w:rsidRDefault="004A7196" w:rsidP="00D55950">
            <w:pPr>
              <w:spacing w:before="0"/>
              <w:rPr>
                <w:rFonts w:eastAsia="Arial Unicode MS"/>
                <w:lang w:eastAsia="cs-CZ"/>
              </w:rPr>
            </w:pPr>
            <w:r w:rsidRPr="004A7196">
              <w:rPr>
                <w:rFonts w:eastAsia="Arial Unicode MS"/>
                <w:lang w:eastAsia="cs-CZ"/>
              </w:rPr>
              <w:t>ORP Konice</w:t>
            </w:r>
          </w:p>
          <w:p w:rsidR="004A7196" w:rsidRPr="004A7196" w:rsidRDefault="004A7196" w:rsidP="00D55950">
            <w:pPr>
              <w:spacing w:before="0"/>
              <w:rPr>
                <w:rFonts w:eastAsia="Arial Unicode MS"/>
                <w:lang w:eastAsia="cs-CZ"/>
              </w:rPr>
            </w:pPr>
            <w:r w:rsidRPr="004A7196">
              <w:rPr>
                <w:rFonts w:eastAsia="Arial Unicode MS"/>
                <w:lang w:eastAsia="cs-CZ"/>
              </w:rPr>
              <w:t>ORP Šternberk</w:t>
            </w:r>
          </w:p>
          <w:p w:rsidR="004A7196" w:rsidRPr="004A7196" w:rsidRDefault="004A7196" w:rsidP="00D55950">
            <w:pPr>
              <w:spacing w:before="0"/>
              <w:rPr>
                <w:rFonts w:eastAsia="Arial Unicode MS"/>
                <w:lang w:eastAsia="cs-CZ"/>
              </w:rPr>
            </w:pPr>
            <w:r w:rsidRPr="004A7196">
              <w:rPr>
                <w:rFonts w:eastAsia="Arial Unicode MS"/>
                <w:lang w:eastAsia="cs-CZ"/>
              </w:rPr>
              <w:t>ORP Uničov</w:t>
            </w:r>
          </w:p>
          <w:p w:rsidR="004A7196" w:rsidRPr="004A7196" w:rsidRDefault="004A7196" w:rsidP="00D55950">
            <w:pPr>
              <w:spacing w:before="0"/>
              <w:rPr>
                <w:rFonts w:eastAsia="Arial Unicode MS"/>
                <w:lang w:eastAsia="cs-CZ"/>
              </w:rPr>
            </w:pPr>
            <w:r w:rsidRPr="004A7196">
              <w:rPr>
                <w:rFonts w:eastAsia="Arial Unicode MS"/>
                <w:lang w:eastAsia="cs-CZ"/>
              </w:rPr>
              <w:t>ORP Šumperk</w:t>
            </w:r>
          </w:p>
          <w:p w:rsidR="004A7196" w:rsidRPr="004A7196" w:rsidRDefault="004A7196" w:rsidP="00D55950">
            <w:pPr>
              <w:spacing w:before="0"/>
              <w:rPr>
                <w:rFonts w:eastAsia="Arial Unicode MS"/>
                <w:lang w:eastAsia="cs-CZ"/>
              </w:rPr>
            </w:pPr>
            <w:r w:rsidRPr="004A7196">
              <w:rPr>
                <w:rFonts w:eastAsia="Arial Unicode MS"/>
                <w:lang w:eastAsia="cs-CZ"/>
              </w:rPr>
              <w:t>ORP Jeseník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na zajištění poptávky po terénní formě odlehčovací služby pro osoby s mentálním a kombinovaným postižením v rozsahu základních činností daných registrací služby v ORP Olomouc, ORP Přerov, ORP Prostějov, ORP Konice, ORP Šternberk, ORP Uničov, ORP Šumperk, ORP Jeseník.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A34764" w:rsidRDefault="004A7196" w:rsidP="00D55950">
            <w:pPr>
              <w:pStyle w:val="Odstavecseseznamem"/>
              <w:numPr>
                <w:ilvl w:val="0"/>
                <w:numId w:val="120"/>
              </w:numPr>
              <w:spacing w:before="0" w:line="240" w:lineRule="auto"/>
            </w:pPr>
            <w:r w:rsidRPr="00A34764">
              <w:t>Monitoring jednotek zařazených v síti sociálních služeb</w:t>
            </w:r>
          </w:p>
          <w:p w:rsidR="004A7196" w:rsidRPr="00A34764" w:rsidRDefault="004A7196" w:rsidP="00D55950">
            <w:pPr>
              <w:pStyle w:val="Odstavecseseznamem"/>
              <w:numPr>
                <w:ilvl w:val="0"/>
                <w:numId w:val="120"/>
              </w:numPr>
              <w:spacing w:before="0" w:line="240" w:lineRule="auto"/>
            </w:pPr>
            <w:r w:rsidRPr="00A34764">
              <w:t>Projednání předloženého záměru poskytovatele sociálních služeb v</w:t>
            </w:r>
            <w:r w:rsidR="00A70AA3">
              <w:t> </w:t>
            </w:r>
            <w:r w:rsidRPr="00A34764">
              <w:t>souladu se schválenými postupy pro aktualizaci sítě sociálních služeb OK</w:t>
            </w:r>
          </w:p>
          <w:p w:rsidR="004A7196" w:rsidRPr="00A34764" w:rsidRDefault="004A7196" w:rsidP="00D55950">
            <w:pPr>
              <w:pStyle w:val="Odstavecseseznamem"/>
              <w:numPr>
                <w:ilvl w:val="0"/>
                <w:numId w:val="120"/>
              </w:numPr>
              <w:spacing w:before="0" w:line="240" w:lineRule="auto"/>
            </w:pPr>
            <w:r w:rsidRPr="00A34764">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21"/>
              </w:numPr>
              <w:spacing w:before="0" w:line="240" w:lineRule="auto"/>
            </w:pPr>
            <w:r w:rsidRPr="00A34764">
              <w:t>Neprojevení zájmu poskytovatelů služeb o plnění cíle a opatření</w:t>
            </w:r>
          </w:p>
          <w:p w:rsidR="004A7196" w:rsidRPr="00A34764" w:rsidRDefault="004A7196" w:rsidP="00D55950">
            <w:pPr>
              <w:pStyle w:val="Odstavecseseznamem"/>
              <w:numPr>
                <w:ilvl w:val="0"/>
                <w:numId w:val="121"/>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21"/>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21"/>
              </w:numPr>
              <w:spacing w:before="0" w:line="240" w:lineRule="auto"/>
            </w:pPr>
            <w:r w:rsidRPr="00A34764">
              <w:t>Nedostatek lidských zdrojů</w:t>
            </w:r>
          </w:p>
          <w:p w:rsidR="004A7196" w:rsidRPr="00A34764" w:rsidRDefault="004A7196" w:rsidP="00D55950">
            <w:pPr>
              <w:pStyle w:val="Odstavecseseznamem"/>
              <w:numPr>
                <w:ilvl w:val="0"/>
                <w:numId w:val="121"/>
              </w:numPr>
              <w:spacing w:before="0" w:line="240" w:lineRule="auto"/>
            </w:pPr>
            <w:r w:rsidRPr="00A34764">
              <w:t>Nedostatek finančních prostředků z veřejných zdrojů</w:t>
            </w:r>
          </w:p>
          <w:p w:rsidR="004A7196" w:rsidRPr="004A7196" w:rsidRDefault="004A7196" w:rsidP="00D55950">
            <w:pPr>
              <w:pStyle w:val="Odstavecseseznamem"/>
              <w:numPr>
                <w:ilvl w:val="0"/>
                <w:numId w:val="121"/>
              </w:numPr>
              <w:spacing w:before="0" w:line="240" w:lineRule="auto"/>
            </w:pPr>
            <w:r w:rsidRPr="004A7196">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b/>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pPr>
            <w:r w:rsidRPr="004A7196">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pPr>
            <w:r w:rsidRPr="004A7196">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pPr>
            <w:r w:rsidRPr="004A7196">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4A7196">
              <w:t>Aktualizace sítě sociálních služeb dle schválených změn</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2.4.5</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Název opatření</w:t>
            </w:r>
          </w:p>
        </w:tc>
        <w:tc>
          <w:tcPr>
            <w:tcW w:w="375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Zajištění terénní formy odlehčovací služby pro osoby s tělesným a</w:t>
            </w:r>
            <w:r w:rsidR="00A70AA3">
              <w:rPr>
                <w:rFonts w:eastAsia="Arial Unicode MS"/>
                <w:b/>
                <w:lang w:eastAsia="cs-CZ"/>
              </w:rPr>
              <w:t> </w:t>
            </w:r>
            <w:r w:rsidRPr="00D55950">
              <w:rPr>
                <w:rFonts w:eastAsia="Arial Unicode MS"/>
                <w:b/>
                <w:lang w:eastAsia="cs-CZ"/>
              </w:rPr>
              <w:t>kombinovaným postižením, pro osoby s chronickým onemocněním</w:t>
            </w:r>
            <w:r w:rsidR="00102318" w:rsidRPr="00D55950">
              <w:rPr>
                <w:rFonts w:eastAsia="Arial Unicode MS"/>
                <w:b/>
                <w:lang w:eastAsia="cs-CZ"/>
              </w:rPr>
              <w:t>,</w:t>
            </w:r>
            <w:r w:rsidR="00C64B77">
              <w:rPr>
                <w:rFonts w:eastAsia="Arial Unicode MS"/>
                <w:b/>
                <w:lang w:eastAsia="cs-CZ"/>
              </w:rPr>
              <w:t xml:space="preserve"> dle zjištěné potřebnosti 5</w:t>
            </w:r>
            <w:r w:rsidRPr="00D55950">
              <w:rPr>
                <w:rFonts w:eastAsia="Arial Unicode MS"/>
                <w:b/>
                <w:lang w:eastAsia="cs-CZ"/>
              </w:rPr>
              <w:t xml:space="preserve"> pracovními úvazky pracovníků v přímé péči působící v ORP Šumperk a ORP Jeseník</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optimalizaci (pozn. k přesunu nevyužitých kapacit stávající služby do území, kde se vyskytla poptávka po službě) a k případnému rozvoji terénní formy odlehčovací služby pro osoby s tělesným a kombinovaným postižením (jedná se o</w:t>
            </w:r>
            <w:r w:rsidR="00CC6696">
              <w:rPr>
                <w:rFonts w:eastAsia="Arial Unicode MS"/>
                <w:lang w:eastAsia="cs-CZ"/>
              </w:rPr>
              <w:t> </w:t>
            </w:r>
            <w:r w:rsidRPr="004A7196">
              <w:rPr>
                <w:rFonts w:eastAsia="Arial Unicode MS"/>
                <w:lang w:eastAsia="cs-CZ"/>
              </w:rPr>
              <w:t xml:space="preserve">osoby </w:t>
            </w:r>
            <w:r w:rsidR="00CC6696">
              <w:rPr>
                <w:rFonts w:eastAsia="Arial Unicode MS"/>
                <w:lang w:eastAsia="cs-CZ"/>
              </w:rPr>
              <w:t>s </w:t>
            </w:r>
            <w:r w:rsidRPr="004A7196">
              <w:rPr>
                <w:rFonts w:eastAsia="Arial Unicode MS"/>
                <w:lang w:eastAsia="cs-CZ"/>
              </w:rPr>
              <w:t>vícenásobným postižením), osoby s chronickým onemocněním na základě zjištěné potřebnosti v ORP Šumperk a</w:t>
            </w:r>
            <w:r w:rsidR="00CC6696">
              <w:rPr>
                <w:rFonts w:eastAsia="Arial Unicode MS"/>
                <w:lang w:eastAsia="cs-CZ"/>
              </w:rPr>
              <w:t> </w:t>
            </w:r>
            <w:r w:rsidRPr="004A7196">
              <w:rPr>
                <w:rFonts w:eastAsia="Arial Unicode MS"/>
                <w:lang w:eastAsia="cs-CZ"/>
              </w:rPr>
              <w:t>ORP Jeseník.</w:t>
            </w:r>
          </w:p>
          <w:p w:rsidR="004A7196" w:rsidRPr="004A7196" w:rsidRDefault="00FF153C" w:rsidP="00D55950">
            <w:pPr>
              <w:spacing w:before="0"/>
              <w:rPr>
                <w:rFonts w:eastAsia="Arial Unicode MS"/>
                <w:lang w:eastAsia="cs-CZ"/>
              </w:rPr>
            </w:pPr>
            <w:r w:rsidRPr="00FF153C">
              <w:rPr>
                <w:rFonts w:eastAsia="Arial Unicode MS"/>
                <w:lang w:eastAsia="cs-CZ"/>
              </w:rPr>
              <w:t>Počet pracovních úvazků vedených v opatření je součtem pracovních úvazků pro pracovní skupiny Osoby se zdravotním postižením a Senioři.</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Osoby s tělesným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p w:rsidR="004A7196" w:rsidRPr="004A7196" w:rsidRDefault="004A7196" w:rsidP="00D55950">
            <w:pPr>
              <w:spacing w:before="0"/>
              <w:rPr>
                <w:rFonts w:eastAsia="Arial Unicode MS"/>
                <w:lang w:eastAsia="cs-CZ"/>
              </w:rPr>
            </w:pPr>
            <w:r w:rsidRPr="004A7196">
              <w:rPr>
                <w:rFonts w:eastAsia="Arial Unicode MS"/>
                <w:lang w:eastAsia="cs-CZ"/>
              </w:rPr>
              <w:lastRenderedPageBreak/>
              <w:t>Osoby s chronickým onemocněním</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lastRenderedPageBreak/>
              <w:t>Druh služby</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Odlehčovací služba (§ 44)</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Terénní</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ORP Šumperk</w:t>
            </w:r>
          </w:p>
          <w:p w:rsidR="004A7196" w:rsidRPr="004A7196" w:rsidRDefault="004A7196" w:rsidP="00D55950">
            <w:pPr>
              <w:spacing w:before="0"/>
              <w:rPr>
                <w:rFonts w:eastAsia="Arial Unicode MS"/>
                <w:lang w:eastAsia="cs-CZ"/>
              </w:rPr>
            </w:pPr>
            <w:r w:rsidRPr="004A7196">
              <w:rPr>
                <w:rFonts w:eastAsia="Arial Unicode MS"/>
                <w:lang w:eastAsia="cs-CZ"/>
              </w:rPr>
              <w:t>ORP Jeseník</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na zajištění poptávky po terénní formě odlehčovací služby pro osoby s tělesným a kombinovaným postižením, osoby s chronickým onemocněním v ORP Šumperk a ORP Jeseník v rozsahu základních činností daných registrací služby. </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Borders>
              <w:top w:val="single" w:sz="4" w:space="0" w:color="auto"/>
              <w:left w:val="single" w:sz="4" w:space="0" w:color="auto"/>
              <w:bottom w:val="single" w:sz="4" w:space="0" w:color="auto"/>
              <w:right w:val="single" w:sz="4" w:space="0" w:color="auto"/>
            </w:tcBorders>
          </w:tcPr>
          <w:p w:rsidR="004A7196" w:rsidRPr="00A34764" w:rsidRDefault="004A7196" w:rsidP="00D55950">
            <w:pPr>
              <w:pStyle w:val="Odstavecseseznamem"/>
              <w:numPr>
                <w:ilvl w:val="0"/>
                <w:numId w:val="122"/>
              </w:numPr>
              <w:spacing w:before="0" w:line="240" w:lineRule="auto"/>
            </w:pPr>
            <w:r w:rsidRPr="00A34764">
              <w:t>Monitoring jednotek zařazených v síti sociálních služeb</w:t>
            </w:r>
          </w:p>
          <w:p w:rsidR="004A7196" w:rsidRPr="00A34764" w:rsidRDefault="004A7196" w:rsidP="00D55950">
            <w:pPr>
              <w:pStyle w:val="Odstavecseseznamem"/>
              <w:numPr>
                <w:ilvl w:val="0"/>
                <w:numId w:val="122"/>
              </w:numPr>
              <w:spacing w:before="0" w:line="240" w:lineRule="auto"/>
            </w:pPr>
            <w:r w:rsidRPr="00A34764">
              <w:t>Projednání předloženého záměru poskytovatele sociálních služeb v</w:t>
            </w:r>
            <w:r w:rsidR="00A70AA3">
              <w:t> </w:t>
            </w:r>
            <w:r w:rsidRPr="00A34764">
              <w:t>souladu se schválenými postupy pro aktualizaci sítě sociálních služeb OK</w:t>
            </w:r>
          </w:p>
          <w:p w:rsidR="004A7196" w:rsidRPr="00A34764" w:rsidRDefault="004A7196" w:rsidP="00D55950">
            <w:pPr>
              <w:pStyle w:val="Odstavecseseznamem"/>
              <w:numPr>
                <w:ilvl w:val="0"/>
                <w:numId w:val="122"/>
              </w:numPr>
              <w:spacing w:before="0" w:line="240" w:lineRule="auto"/>
            </w:pPr>
            <w:r w:rsidRPr="00A34764">
              <w:t>Při vyjádření pozitivního stanoviska OK aktualizace sítě sociálních služeb dle schválených změn</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Rizika a ohrožení naplnění opatření</w:t>
            </w:r>
          </w:p>
        </w:tc>
        <w:tc>
          <w:tcPr>
            <w:tcW w:w="3751" w:type="pct"/>
            <w:tcBorders>
              <w:top w:val="single" w:sz="4" w:space="0" w:color="auto"/>
              <w:left w:val="single" w:sz="4" w:space="0" w:color="auto"/>
              <w:bottom w:val="single" w:sz="4" w:space="0" w:color="auto"/>
              <w:right w:val="single" w:sz="4" w:space="0" w:color="auto"/>
            </w:tcBorders>
          </w:tcPr>
          <w:p w:rsidR="004A7196" w:rsidRPr="00A34764" w:rsidRDefault="004A7196" w:rsidP="00D55950">
            <w:pPr>
              <w:pStyle w:val="Odstavecseseznamem"/>
              <w:numPr>
                <w:ilvl w:val="0"/>
                <w:numId w:val="123"/>
              </w:numPr>
              <w:spacing w:before="0" w:line="240" w:lineRule="auto"/>
            </w:pPr>
            <w:r w:rsidRPr="00A34764">
              <w:t>Neprojevení zájmu poskytovatelů služeb o plnění cíle a opatření</w:t>
            </w:r>
          </w:p>
          <w:p w:rsidR="004A7196" w:rsidRPr="00A34764" w:rsidRDefault="004A7196" w:rsidP="00D55950">
            <w:pPr>
              <w:pStyle w:val="Odstavecseseznamem"/>
              <w:numPr>
                <w:ilvl w:val="0"/>
                <w:numId w:val="123"/>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23"/>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23"/>
              </w:numPr>
              <w:spacing w:before="0" w:line="240" w:lineRule="auto"/>
            </w:pPr>
            <w:r w:rsidRPr="00A34764">
              <w:t>Nedostatek lidských zdrojů</w:t>
            </w:r>
          </w:p>
          <w:p w:rsidR="004A7196" w:rsidRPr="00A34764" w:rsidRDefault="004A7196" w:rsidP="00D55950">
            <w:pPr>
              <w:pStyle w:val="Odstavecseseznamem"/>
              <w:numPr>
                <w:ilvl w:val="0"/>
                <w:numId w:val="123"/>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23"/>
              </w:numPr>
              <w:spacing w:before="0" w:line="240" w:lineRule="auto"/>
            </w:pPr>
            <w:r w:rsidRPr="00A34764">
              <w:t>Legislativní změny</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Borders>
              <w:top w:val="single" w:sz="4" w:space="0" w:color="auto"/>
              <w:left w:val="single" w:sz="4" w:space="0" w:color="auto"/>
              <w:bottom w:val="single" w:sz="4" w:space="0" w:color="auto"/>
              <w:right w:val="single" w:sz="4" w:space="0" w:color="auto"/>
            </w:tcBorders>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r w:rsidR="004A7196" w:rsidRPr="004A7196" w:rsidTr="00B30496">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2.4.6</w:t>
            </w:r>
          </w:p>
        </w:tc>
      </w:tr>
      <w:tr w:rsidR="004A7196" w:rsidRPr="004A7196" w:rsidTr="00B30496">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Název opatření</w:t>
            </w:r>
          </w:p>
        </w:tc>
        <w:tc>
          <w:tcPr>
            <w:tcW w:w="375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Zajištění terénní formy odlehčovací služby pro osoby s</w:t>
            </w:r>
            <w:r w:rsidR="00C64B77">
              <w:rPr>
                <w:rFonts w:eastAsia="Arial Unicode MS"/>
                <w:b/>
                <w:lang w:eastAsia="cs-CZ"/>
              </w:rPr>
              <w:t> jiným zdravotním postižením 3</w:t>
            </w:r>
            <w:r w:rsidRPr="00D55950">
              <w:rPr>
                <w:rFonts w:eastAsia="Arial Unicode MS"/>
                <w:b/>
                <w:lang w:eastAsia="cs-CZ"/>
              </w:rPr>
              <w:t xml:space="preserve"> pracovními úvazky pracovníků v přímé péči v OK</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zajištění terénní formy odlehčovací služby pro osoby s jiným zdravotním postižením (osoby v </w:t>
            </w:r>
            <w:proofErr w:type="spellStart"/>
            <w:r w:rsidRPr="004A7196">
              <w:rPr>
                <w:rFonts w:eastAsia="Arial Unicode MS"/>
                <w:lang w:eastAsia="cs-CZ"/>
              </w:rPr>
              <w:t>preterminálním</w:t>
            </w:r>
            <w:proofErr w:type="spellEnd"/>
            <w:r w:rsidRPr="004A7196">
              <w:rPr>
                <w:rFonts w:eastAsia="Arial Unicode MS"/>
                <w:lang w:eastAsia="cs-CZ"/>
              </w:rPr>
              <w:t xml:space="preserve"> či terminálním stádiu onemocnění ve všech věkových kategoriích) na základě zjištěné potřebnosti v OK.</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Osoby s jiným zdravotním postižením</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Odlehčovací služba (§ 44)</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Terénní</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OK</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na zajištění poptávky po terénní formě odlehčovací služby pro osoby s jiným zdravotním postižením v rozsahu základních činností daných registrací služby na území OK. </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lastRenderedPageBreak/>
              <w:t xml:space="preserve">Aktivity vedoucí k naplnění opatření </w:t>
            </w:r>
          </w:p>
        </w:tc>
        <w:tc>
          <w:tcPr>
            <w:tcW w:w="3751" w:type="pct"/>
            <w:tcBorders>
              <w:top w:val="single" w:sz="4" w:space="0" w:color="auto"/>
              <w:left w:val="single" w:sz="4" w:space="0" w:color="auto"/>
              <w:bottom w:val="single" w:sz="4" w:space="0" w:color="auto"/>
              <w:right w:val="single" w:sz="4" w:space="0" w:color="auto"/>
            </w:tcBorders>
          </w:tcPr>
          <w:p w:rsidR="004A7196" w:rsidRPr="00A34764" w:rsidRDefault="004A7196" w:rsidP="00D55950">
            <w:pPr>
              <w:pStyle w:val="Odstavecseseznamem"/>
              <w:numPr>
                <w:ilvl w:val="0"/>
                <w:numId w:val="124"/>
              </w:numPr>
              <w:spacing w:before="0" w:line="240" w:lineRule="auto"/>
            </w:pPr>
            <w:r w:rsidRPr="00A34764">
              <w:t>Projednání předloženého záměru poskytovatele sociálních služeb v</w:t>
            </w:r>
            <w:r w:rsidR="00A70AA3">
              <w:t> </w:t>
            </w:r>
            <w:r w:rsidRPr="00A34764">
              <w:t>souladu se schválenými postupy pro aktualizaci sítě sociálních služeb OK</w:t>
            </w:r>
          </w:p>
          <w:p w:rsidR="004A7196" w:rsidRPr="00A34764" w:rsidRDefault="004A7196" w:rsidP="00D55950">
            <w:pPr>
              <w:pStyle w:val="Odstavecseseznamem"/>
              <w:numPr>
                <w:ilvl w:val="0"/>
                <w:numId w:val="124"/>
              </w:numPr>
              <w:spacing w:before="0" w:line="240" w:lineRule="auto"/>
            </w:pPr>
            <w:r w:rsidRPr="00A34764">
              <w:t>Při vyjádření pozitivního stanoviska OK aktualizace sítě sociálních služeb dle schválených změn</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Rizika a ohrožení naplnění opatření</w:t>
            </w:r>
          </w:p>
        </w:tc>
        <w:tc>
          <w:tcPr>
            <w:tcW w:w="3751" w:type="pct"/>
            <w:tcBorders>
              <w:top w:val="single" w:sz="4" w:space="0" w:color="auto"/>
              <w:left w:val="single" w:sz="4" w:space="0" w:color="auto"/>
              <w:bottom w:val="single" w:sz="4" w:space="0" w:color="auto"/>
              <w:right w:val="single" w:sz="4" w:space="0" w:color="auto"/>
            </w:tcBorders>
          </w:tcPr>
          <w:p w:rsidR="004A7196" w:rsidRPr="00A34764" w:rsidRDefault="004A7196" w:rsidP="00D55950">
            <w:pPr>
              <w:pStyle w:val="Odstavecseseznamem"/>
              <w:numPr>
                <w:ilvl w:val="0"/>
                <w:numId w:val="125"/>
              </w:numPr>
              <w:spacing w:before="0" w:line="240" w:lineRule="auto"/>
            </w:pPr>
            <w:r w:rsidRPr="00A34764">
              <w:t>Neprojevení zájmu poskytovatelů služeb o plnění cíle a opatření</w:t>
            </w:r>
          </w:p>
          <w:p w:rsidR="004A7196" w:rsidRPr="00A34764" w:rsidRDefault="004A7196" w:rsidP="00D55950">
            <w:pPr>
              <w:pStyle w:val="Odstavecseseznamem"/>
              <w:numPr>
                <w:ilvl w:val="0"/>
                <w:numId w:val="125"/>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25"/>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25"/>
              </w:numPr>
              <w:spacing w:before="0" w:line="240" w:lineRule="auto"/>
            </w:pPr>
            <w:r w:rsidRPr="00A34764">
              <w:t>Nedostatek lidských zdrojů</w:t>
            </w:r>
          </w:p>
          <w:p w:rsidR="004A7196" w:rsidRPr="00A34764" w:rsidRDefault="004A7196" w:rsidP="00D55950">
            <w:pPr>
              <w:pStyle w:val="Odstavecseseznamem"/>
              <w:numPr>
                <w:ilvl w:val="0"/>
                <w:numId w:val="125"/>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25"/>
              </w:numPr>
              <w:spacing w:before="0" w:line="240" w:lineRule="auto"/>
            </w:pPr>
            <w:r w:rsidRPr="00A34764">
              <w:t>Legislativní změny</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Borders>
              <w:top w:val="single" w:sz="4" w:space="0" w:color="auto"/>
              <w:left w:val="single" w:sz="4" w:space="0" w:color="auto"/>
              <w:bottom w:val="single" w:sz="4" w:space="0" w:color="auto"/>
              <w:right w:val="single" w:sz="4" w:space="0" w:color="auto"/>
            </w:tcBorders>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2.4.7</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Název opatření</w:t>
            </w:r>
          </w:p>
        </w:tc>
        <w:tc>
          <w:tcPr>
            <w:tcW w:w="375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Zajištění ambulantní formy odlehčovací služby pro osoby s mentáln</w:t>
            </w:r>
            <w:r w:rsidR="00C64B77">
              <w:rPr>
                <w:rFonts w:eastAsia="Arial Unicode MS"/>
                <w:b/>
                <w:lang w:eastAsia="cs-CZ"/>
              </w:rPr>
              <w:t>ím a kombinovaným postižením 1</w:t>
            </w:r>
            <w:r w:rsidRPr="00D55950">
              <w:rPr>
                <w:rFonts w:eastAsia="Arial Unicode MS"/>
                <w:b/>
                <w:lang w:eastAsia="cs-CZ"/>
              </w:rPr>
              <w:t xml:space="preserve"> pracovním úvazkem pracovníků v přímé péči v ORP Olomouc </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zajištění ambulantní formy odlehčovací služby pro osoby s mentálním a kombinovaným postižením (vždy je primární mentální postižení v kombinaci s PAS či tělesným postižením) v ORP Olomouc.</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Osoby s mentálním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Odlehčovací služba (§ 44)</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Ambulantní</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ORP Olomouc</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Opatření má dopad na zajištění poptávky po ambulantní formě odlehčovací služby pro osoby s mentálním a kombinovaným postižením v rozsahu základních činností daných její registrací na základě zjištěné potřebnosti v ORP Olomouc.</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Borders>
              <w:top w:val="single" w:sz="4" w:space="0" w:color="auto"/>
              <w:left w:val="single" w:sz="4" w:space="0" w:color="auto"/>
              <w:bottom w:val="single" w:sz="4" w:space="0" w:color="auto"/>
              <w:right w:val="single" w:sz="4" w:space="0" w:color="auto"/>
            </w:tcBorders>
          </w:tcPr>
          <w:p w:rsidR="004A7196" w:rsidRPr="00A34764" w:rsidRDefault="004A7196" w:rsidP="00D55950">
            <w:pPr>
              <w:pStyle w:val="Odstavecseseznamem"/>
              <w:numPr>
                <w:ilvl w:val="0"/>
                <w:numId w:val="134"/>
              </w:numPr>
              <w:spacing w:before="0" w:line="240" w:lineRule="auto"/>
            </w:pPr>
            <w:r w:rsidRPr="00A34764">
              <w:t>Projednání předloženého záměru poskytovatele sociálních služeb v</w:t>
            </w:r>
            <w:r w:rsidR="00A70AA3">
              <w:t> </w:t>
            </w:r>
            <w:r w:rsidRPr="00A34764">
              <w:t>souladu se schválenými postupy pro aktualizaci sítě sociálních služeb OK</w:t>
            </w:r>
          </w:p>
          <w:p w:rsidR="004A7196" w:rsidRPr="00A34764" w:rsidRDefault="004A7196" w:rsidP="00D55950">
            <w:pPr>
              <w:pStyle w:val="Odstavecseseznamem"/>
              <w:numPr>
                <w:ilvl w:val="0"/>
                <w:numId w:val="134"/>
              </w:numPr>
              <w:spacing w:before="0" w:line="240" w:lineRule="auto"/>
            </w:pPr>
            <w:r w:rsidRPr="00A34764">
              <w:t>Při vyjádření pozitivního stanoviska OK aktualizace sítě sociálních služeb dle schválených změn</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Rizika a ohrožení naplnění opatření</w:t>
            </w:r>
          </w:p>
        </w:tc>
        <w:tc>
          <w:tcPr>
            <w:tcW w:w="3751" w:type="pct"/>
            <w:tcBorders>
              <w:top w:val="single" w:sz="4" w:space="0" w:color="auto"/>
              <w:left w:val="single" w:sz="4" w:space="0" w:color="auto"/>
              <w:bottom w:val="single" w:sz="4" w:space="0" w:color="auto"/>
              <w:right w:val="single" w:sz="4" w:space="0" w:color="auto"/>
            </w:tcBorders>
          </w:tcPr>
          <w:p w:rsidR="004A7196" w:rsidRPr="00A34764" w:rsidRDefault="004A7196" w:rsidP="00D55950">
            <w:pPr>
              <w:pStyle w:val="Odstavecseseznamem"/>
              <w:numPr>
                <w:ilvl w:val="0"/>
                <w:numId w:val="135"/>
              </w:numPr>
              <w:spacing w:before="0" w:line="240" w:lineRule="auto"/>
            </w:pPr>
            <w:r w:rsidRPr="00A34764">
              <w:t>Neprojevení zájmu poskytovatelů sociálních služeb o plnění cíle a</w:t>
            </w:r>
            <w:r w:rsidR="00A70AA3">
              <w:t> </w:t>
            </w:r>
            <w:r w:rsidRPr="00A34764">
              <w:t>opatření</w:t>
            </w:r>
          </w:p>
          <w:p w:rsidR="004A7196" w:rsidRPr="00A34764" w:rsidRDefault="004A7196" w:rsidP="00D55950">
            <w:pPr>
              <w:pStyle w:val="Odstavecseseznamem"/>
              <w:numPr>
                <w:ilvl w:val="0"/>
                <w:numId w:val="135"/>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35"/>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35"/>
              </w:numPr>
              <w:spacing w:before="0" w:line="240" w:lineRule="auto"/>
            </w:pPr>
            <w:r w:rsidRPr="00A34764">
              <w:t>Nedostatek lidských zdrojů</w:t>
            </w:r>
          </w:p>
          <w:p w:rsidR="004A7196" w:rsidRPr="00A34764" w:rsidRDefault="004A7196" w:rsidP="00D55950">
            <w:pPr>
              <w:pStyle w:val="Odstavecseseznamem"/>
              <w:numPr>
                <w:ilvl w:val="0"/>
                <w:numId w:val="135"/>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35"/>
              </w:numPr>
              <w:spacing w:before="0" w:line="240" w:lineRule="auto"/>
            </w:pPr>
            <w:r w:rsidRPr="00A34764">
              <w:lastRenderedPageBreak/>
              <w:t>Legislativní změny</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lastRenderedPageBreak/>
              <w:t xml:space="preserve">Předpokládaní realizátoři </w:t>
            </w:r>
            <w:r w:rsidRPr="00D55950">
              <w:rPr>
                <w:rFonts w:eastAsia="Arial Unicode MS"/>
                <w:b/>
                <w:lang w:eastAsia="cs-CZ"/>
              </w:rPr>
              <w:br/>
              <w:t>a partneři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Borders>
              <w:top w:val="single" w:sz="4" w:space="0" w:color="auto"/>
              <w:left w:val="single" w:sz="4" w:space="0" w:color="auto"/>
              <w:bottom w:val="single" w:sz="4" w:space="0" w:color="auto"/>
              <w:right w:val="single" w:sz="4" w:space="0" w:color="auto"/>
            </w:tcBorders>
          </w:tcPr>
          <w:p w:rsidR="00CC66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2.4.8</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Zajištění ambulantní formy odlehčovací služby pro oso</w:t>
            </w:r>
            <w:r w:rsidR="00C64B77">
              <w:rPr>
                <w:rFonts w:eastAsia="Arial Unicode MS"/>
                <w:b/>
                <w:lang w:eastAsia="cs-CZ"/>
              </w:rPr>
              <w:t>by s kombinovaným postižením 4</w:t>
            </w:r>
            <w:r w:rsidRPr="00D55950">
              <w:rPr>
                <w:rFonts w:eastAsia="Arial Unicode MS"/>
                <w:b/>
                <w:lang w:eastAsia="cs-CZ"/>
              </w:rPr>
              <w:t xml:space="preserve"> pracovními úvazky pracovníků v přímé péči v ORP Olomouc a ORP Šumperk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zajištění ambulantní formy odlehčovací služby pro osoby s kombinovaným postižením (jedná se o osoby s vícenásobným postižením vyžadující při</w:t>
            </w:r>
            <w:r w:rsidR="00CC6696">
              <w:rPr>
                <w:rFonts w:eastAsia="Arial Unicode MS"/>
                <w:lang w:eastAsia="cs-CZ"/>
              </w:rPr>
              <w:t xml:space="preserve"> </w:t>
            </w:r>
            <w:r w:rsidRPr="004A7196">
              <w:rPr>
                <w:rFonts w:eastAsia="Arial Unicode MS"/>
                <w:lang w:eastAsia="cs-CZ"/>
              </w:rPr>
              <w:t>péči i specializované zdravotní výkony, včetně osob s PAS ve věku 0</w:t>
            </w:r>
            <w:r w:rsidR="00CC6696">
              <w:rPr>
                <w:rFonts w:eastAsia="Arial Unicode MS"/>
                <w:lang w:eastAsia="cs-CZ"/>
              </w:rPr>
              <w:t>–</w:t>
            </w:r>
            <w:r w:rsidRPr="004A7196">
              <w:rPr>
                <w:rFonts w:eastAsia="Arial Unicode MS"/>
                <w:lang w:eastAsia="cs-CZ"/>
              </w:rPr>
              <w:t>18 let) na základě zjištěné potřebnosti v ORP Olomouc a ORP Šumperk.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Odlehčovací služba (§ 44)</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Ambulantní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ORP Olomouc</w:t>
            </w:r>
          </w:p>
          <w:p w:rsidR="004A7196" w:rsidRPr="004A7196" w:rsidRDefault="004A7196" w:rsidP="00D55950">
            <w:pPr>
              <w:spacing w:before="0"/>
              <w:rPr>
                <w:rFonts w:eastAsia="Arial Unicode MS"/>
                <w:lang w:eastAsia="cs-CZ"/>
              </w:rPr>
            </w:pPr>
            <w:r w:rsidRPr="004A7196">
              <w:rPr>
                <w:rFonts w:eastAsia="Arial Unicode MS"/>
                <w:lang w:eastAsia="cs-CZ"/>
              </w:rPr>
              <w:t>ORP Šumperk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na zajištění poptávky po ambulantní formě odlehčovací služby pro osoby kombinovaným postižením v ORP Olomouc a ORP Šumperk v rozsahu základních činností daných její registrací.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4A7196" w:rsidRDefault="004A7196" w:rsidP="00D55950">
            <w:pPr>
              <w:pStyle w:val="Odstavecseseznamem"/>
              <w:numPr>
                <w:ilvl w:val="0"/>
                <w:numId w:val="126"/>
              </w:numPr>
              <w:spacing w:before="0" w:line="240" w:lineRule="auto"/>
            </w:pPr>
            <w:r w:rsidRPr="004A7196">
              <w:t>Projednání předloženého záměru poskytovatele sociálních služeb v</w:t>
            </w:r>
            <w:r w:rsidR="00A70AA3">
              <w:t> </w:t>
            </w:r>
            <w:r w:rsidRPr="004A7196">
              <w:t>souladu se schválenými postupy pro aktualizaci sítě sociálních služeb OK</w:t>
            </w:r>
          </w:p>
          <w:p w:rsidR="004A7196" w:rsidRPr="004A7196" w:rsidRDefault="004A7196" w:rsidP="00D55950">
            <w:pPr>
              <w:pStyle w:val="Odstavecseseznamem"/>
              <w:numPr>
                <w:ilvl w:val="0"/>
                <w:numId w:val="126"/>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27"/>
              </w:numPr>
              <w:spacing w:before="0" w:line="240" w:lineRule="auto"/>
            </w:pPr>
            <w:r w:rsidRPr="00A34764">
              <w:t>Neprojevení zájmu poskytovatelů sociálních služeb o plnění cíle a</w:t>
            </w:r>
            <w:r w:rsidR="00A70AA3">
              <w:t> </w:t>
            </w:r>
            <w:r w:rsidRPr="00A34764">
              <w:t>opatření</w:t>
            </w:r>
          </w:p>
          <w:p w:rsidR="004A7196" w:rsidRPr="00A34764" w:rsidRDefault="004A7196" w:rsidP="00D55950">
            <w:pPr>
              <w:pStyle w:val="Odstavecseseznamem"/>
              <w:numPr>
                <w:ilvl w:val="0"/>
                <w:numId w:val="127"/>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27"/>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27"/>
              </w:numPr>
              <w:spacing w:before="0" w:line="240" w:lineRule="auto"/>
            </w:pPr>
            <w:r w:rsidRPr="00A34764">
              <w:t>Nedostatek lidských zdrojů</w:t>
            </w:r>
          </w:p>
          <w:p w:rsidR="004A7196" w:rsidRPr="00A34764" w:rsidRDefault="004A7196" w:rsidP="00D55950">
            <w:pPr>
              <w:pStyle w:val="Odstavecseseznamem"/>
              <w:numPr>
                <w:ilvl w:val="0"/>
                <w:numId w:val="127"/>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27"/>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bl>
    <w:p w:rsidR="004A7196" w:rsidRPr="004A7196" w:rsidRDefault="004A7196" w:rsidP="00A3476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tcBorders>
              <w:bottom w:val="single" w:sz="4" w:space="0" w:color="auto"/>
            </w:tcBorders>
            <w:shd w:val="clear" w:color="auto" w:fill="FABF8F"/>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Cíl 2.5</w:t>
            </w:r>
          </w:p>
        </w:tc>
        <w:tc>
          <w:tcPr>
            <w:tcW w:w="3751" w:type="pct"/>
            <w:tcBorders>
              <w:bottom w:val="single" w:sz="4" w:space="0" w:color="auto"/>
            </w:tcBorders>
            <w:shd w:val="clear" w:color="auto" w:fill="FABF8F"/>
          </w:tcPr>
          <w:p w:rsidR="004A7196" w:rsidRPr="00D55950" w:rsidRDefault="004A7196" w:rsidP="00806448">
            <w:pPr>
              <w:keepNext/>
              <w:spacing w:before="0"/>
              <w:rPr>
                <w:rFonts w:eastAsia="Arial Unicode MS"/>
                <w:b/>
                <w:lang w:eastAsia="cs-CZ"/>
              </w:rPr>
            </w:pPr>
            <w:r w:rsidRPr="00D55950">
              <w:rPr>
                <w:rFonts w:eastAsia="Arial Unicode MS"/>
                <w:b/>
                <w:lang w:eastAsia="cs-CZ"/>
              </w:rPr>
              <w:t>Zajištění potřebného rozsahu služby centrum denních služeb v OK</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2.5.1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Zajištění služby centrum denních služeb pro oso</w:t>
            </w:r>
            <w:r w:rsidR="00C64B77">
              <w:rPr>
                <w:rFonts w:eastAsia="Arial Unicode MS"/>
                <w:b/>
                <w:lang w:eastAsia="cs-CZ"/>
              </w:rPr>
              <w:t>by s kombinovaným postižením 3</w:t>
            </w:r>
            <w:r w:rsidRPr="00D55950">
              <w:rPr>
                <w:rFonts w:eastAsia="Arial Unicode MS"/>
                <w:b/>
                <w:lang w:eastAsia="cs-CZ"/>
              </w:rPr>
              <w:t xml:space="preserve"> pracovními úvazky pracovníků v přímé péči v ORP Šumperk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zajištění služby centra denních služeb pro osoby s kombinovaným postižením (jedná se o osoby s PAS – všechny typy porušení funkčnosti) na základě zjištěné potřebnosti v ORP Šumperk.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Centrum denních služeb (§ 45)</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Ambulantní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ORP Šumperk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má dopad na zajištění poptávky po službě centra denních služeb pro osoby s kombinovaným postižením v rozsahu základních činností daných registrací v ORP Šumperk.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4A7196" w:rsidRDefault="004A7196" w:rsidP="00D55950">
            <w:pPr>
              <w:pStyle w:val="Odstavecseseznamem"/>
              <w:numPr>
                <w:ilvl w:val="0"/>
                <w:numId w:val="128"/>
              </w:numPr>
              <w:spacing w:before="0" w:line="240" w:lineRule="auto"/>
            </w:pPr>
            <w:r w:rsidRPr="004A7196">
              <w:t>Projednání předloženého záměru poskytovatele sociálních služeb v</w:t>
            </w:r>
            <w:r w:rsidR="00A70AA3">
              <w:t> </w:t>
            </w:r>
            <w:r w:rsidRPr="004A7196">
              <w:t>souladu se schválenými postupy pro aktualizaci sítě sociálních služeb OK</w:t>
            </w:r>
          </w:p>
          <w:p w:rsidR="004A7196" w:rsidRPr="004A7196" w:rsidRDefault="004A7196" w:rsidP="00D55950">
            <w:pPr>
              <w:pStyle w:val="Odstavecseseznamem"/>
              <w:numPr>
                <w:ilvl w:val="0"/>
                <w:numId w:val="128"/>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29"/>
              </w:numPr>
              <w:spacing w:before="0" w:line="240" w:lineRule="auto"/>
            </w:pPr>
            <w:r w:rsidRPr="00A34764">
              <w:t>Neprojevení zájmu poskytovatelů sociálních služeb o plnění cíle a</w:t>
            </w:r>
            <w:r w:rsidR="00A70AA3">
              <w:t> </w:t>
            </w:r>
            <w:r w:rsidRPr="00A34764">
              <w:t>opatření</w:t>
            </w:r>
          </w:p>
          <w:p w:rsidR="004A7196" w:rsidRPr="00A34764" w:rsidRDefault="004A7196" w:rsidP="00D55950">
            <w:pPr>
              <w:pStyle w:val="Odstavecseseznamem"/>
              <w:numPr>
                <w:ilvl w:val="0"/>
                <w:numId w:val="129"/>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29"/>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29"/>
              </w:numPr>
              <w:spacing w:before="0" w:line="240" w:lineRule="auto"/>
            </w:pPr>
            <w:r w:rsidRPr="00A34764">
              <w:t>Nedostatek lidských zdrojů</w:t>
            </w:r>
          </w:p>
          <w:p w:rsidR="004A7196" w:rsidRPr="00A34764" w:rsidRDefault="004A7196" w:rsidP="00D55950">
            <w:pPr>
              <w:pStyle w:val="Odstavecseseznamem"/>
              <w:numPr>
                <w:ilvl w:val="0"/>
                <w:numId w:val="129"/>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29"/>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bl>
    <w:p w:rsidR="004A7196" w:rsidRPr="004A7196" w:rsidRDefault="004A7196" w:rsidP="00A3476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tcBorders>
              <w:bottom w:val="single" w:sz="4" w:space="0" w:color="auto"/>
            </w:tcBorders>
            <w:shd w:val="clear" w:color="auto" w:fill="FABF8F"/>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Cíl 2.6</w:t>
            </w:r>
          </w:p>
        </w:tc>
        <w:tc>
          <w:tcPr>
            <w:tcW w:w="3751" w:type="pct"/>
            <w:tcBorders>
              <w:bottom w:val="single" w:sz="4" w:space="0" w:color="auto"/>
            </w:tcBorders>
            <w:shd w:val="clear" w:color="auto" w:fill="FABF8F"/>
          </w:tcPr>
          <w:p w:rsidR="004A7196" w:rsidRPr="00D55950" w:rsidRDefault="004A7196" w:rsidP="00806448">
            <w:pPr>
              <w:keepNext/>
              <w:spacing w:before="0"/>
              <w:rPr>
                <w:rFonts w:eastAsia="Arial Unicode MS"/>
                <w:b/>
                <w:lang w:eastAsia="cs-CZ"/>
              </w:rPr>
            </w:pPr>
            <w:r w:rsidRPr="00D55950">
              <w:rPr>
                <w:rFonts w:eastAsia="Arial Unicode MS"/>
                <w:b/>
                <w:lang w:eastAsia="cs-CZ"/>
              </w:rPr>
              <w:t>Zajištění potřebného rozsahu služby domovy pro osoby se zdravotním postižením v OK</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2.6.1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Zajištění služby domovy pro osoby se zdravotním postižením pro osoby s kombinovaným postižením 12 lůžky v ORP Olomouc a ORP Šumperk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směřuje k zajištění služby domovy pro osoby se zdravotním postižením pro osoby s kombinovaným postižením (jedná se o osoby </w:t>
            </w:r>
            <w:r w:rsidRPr="004A7196">
              <w:rPr>
                <w:rFonts w:eastAsia="Arial Unicode MS"/>
                <w:lang w:eastAsia="cs-CZ"/>
              </w:rPr>
              <w:lastRenderedPageBreak/>
              <w:t>s</w:t>
            </w:r>
            <w:r w:rsidR="00A70AA3">
              <w:rPr>
                <w:rFonts w:eastAsia="Arial Unicode MS"/>
                <w:lang w:eastAsia="cs-CZ"/>
              </w:rPr>
              <w:t> </w:t>
            </w:r>
            <w:r w:rsidRPr="004A7196">
              <w:rPr>
                <w:rFonts w:eastAsia="Arial Unicode MS"/>
                <w:lang w:eastAsia="cs-CZ"/>
              </w:rPr>
              <w:t>vícenásobným postižením vyžadující při zajištění péče i specializované zdravotní výkony, včetně osob s PAS ve věku 0</w:t>
            </w:r>
            <w:r w:rsidR="00FE6F92">
              <w:rPr>
                <w:rFonts w:eastAsia="Arial Unicode MS"/>
                <w:lang w:eastAsia="cs-CZ"/>
              </w:rPr>
              <w:t>–</w:t>
            </w:r>
            <w:r w:rsidRPr="004A7196">
              <w:rPr>
                <w:rFonts w:eastAsia="Arial Unicode MS"/>
                <w:lang w:eastAsia="cs-CZ"/>
              </w:rPr>
              <w:t>18 let) v ORP Olomouc a</w:t>
            </w:r>
            <w:r w:rsidR="00A70AA3">
              <w:rPr>
                <w:rFonts w:eastAsia="Arial Unicode MS"/>
                <w:lang w:eastAsia="cs-CZ"/>
              </w:rPr>
              <w:t> </w:t>
            </w:r>
            <w:r w:rsidRPr="004A7196">
              <w:rPr>
                <w:rFonts w:eastAsia="Arial Unicode MS"/>
                <w:lang w:eastAsia="cs-CZ"/>
              </w:rPr>
              <w:t>ORP Šumperk.</w:t>
            </w:r>
          </w:p>
          <w:p w:rsidR="004A7196" w:rsidRPr="004A7196" w:rsidRDefault="004A7196" w:rsidP="00D55950">
            <w:pPr>
              <w:spacing w:before="0"/>
              <w:rPr>
                <w:rFonts w:eastAsia="Arial Unicode MS"/>
                <w:lang w:eastAsia="cs-CZ"/>
              </w:rPr>
            </w:pPr>
            <w:r w:rsidRPr="004A7196">
              <w:t>Vznikne domácnost s 6 lůžky pro osoby ve věku 0</w:t>
            </w:r>
            <w:r w:rsidR="00FE6F92">
              <w:t>–</w:t>
            </w:r>
            <w:r w:rsidRPr="004A7196">
              <w:t>7 let a domácnost s 6 lůžky pro osoby ve věku 7</w:t>
            </w:r>
            <w:r w:rsidR="00FE6F92">
              <w:t>–</w:t>
            </w:r>
            <w:r w:rsidRPr="004A7196">
              <w:t>18 let.</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lastRenderedPageBreak/>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Domovy pro osoby se zdravotním postižením (§ 48)</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Pobytová</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ORP Olomouc</w:t>
            </w:r>
          </w:p>
          <w:p w:rsidR="004A7196" w:rsidRPr="004A7196" w:rsidRDefault="004A7196" w:rsidP="00D55950">
            <w:pPr>
              <w:spacing w:before="0"/>
              <w:rPr>
                <w:rFonts w:eastAsia="Arial Unicode MS"/>
                <w:lang w:eastAsia="cs-CZ"/>
              </w:rPr>
            </w:pPr>
            <w:r w:rsidRPr="004A7196">
              <w:rPr>
                <w:rFonts w:eastAsia="Arial Unicode MS"/>
                <w:lang w:eastAsia="cs-CZ"/>
              </w:rPr>
              <w:t>ORP Šumperk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na zajištění poptávky po službě domovy pro osoby se zdravotním postižením pro osoby s kombinovaným postižením v rozsahu základních činností daných registrací v ORP Olomouc a ORP Šumperk.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4A7196" w:rsidRDefault="004A7196" w:rsidP="00D55950">
            <w:pPr>
              <w:pStyle w:val="Odstavecseseznamem"/>
              <w:numPr>
                <w:ilvl w:val="0"/>
                <w:numId w:val="130"/>
              </w:numPr>
              <w:spacing w:before="0" w:line="240" w:lineRule="auto"/>
            </w:pPr>
            <w:r w:rsidRPr="004A7196">
              <w:t>Projednání předloženého záměru poskytovatele sociálních služeb v</w:t>
            </w:r>
            <w:r w:rsidR="00A70AA3">
              <w:t> </w:t>
            </w:r>
            <w:r w:rsidRPr="004A7196">
              <w:t>souladu se schválenými postupy pro aktualizaci sítě sociálních služeb OK</w:t>
            </w:r>
          </w:p>
          <w:p w:rsidR="004A7196" w:rsidRPr="004A7196" w:rsidRDefault="004A7196" w:rsidP="00D55950">
            <w:pPr>
              <w:pStyle w:val="Odstavecseseznamem"/>
              <w:numPr>
                <w:ilvl w:val="0"/>
                <w:numId w:val="130"/>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31"/>
              </w:numPr>
              <w:spacing w:before="0" w:line="240" w:lineRule="auto"/>
            </w:pPr>
            <w:r w:rsidRPr="00A34764">
              <w:t>Neprojevení zájmu poskytovatelů sociálních služeb o plnění cíle a</w:t>
            </w:r>
            <w:r w:rsidR="00A70AA3">
              <w:t> </w:t>
            </w:r>
            <w:r w:rsidRPr="00A34764">
              <w:t>opatření</w:t>
            </w:r>
          </w:p>
          <w:p w:rsidR="004A7196" w:rsidRPr="00A34764" w:rsidRDefault="004A7196" w:rsidP="00D55950">
            <w:pPr>
              <w:pStyle w:val="Odstavecseseznamem"/>
              <w:numPr>
                <w:ilvl w:val="0"/>
                <w:numId w:val="131"/>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31"/>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31"/>
              </w:numPr>
              <w:spacing w:before="0" w:line="240" w:lineRule="auto"/>
            </w:pPr>
            <w:r w:rsidRPr="00A34764">
              <w:t>Nedostatek lidských zdrojů</w:t>
            </w:r>
          </w:p>
          <w:p w:rsidR="004A7196" w:rsidRPr="00A34764" w:rsidRDefault="004A7196" w:rsidP="00D55950">
            <w:pPr>
              <w:pStyle w:val="Odstavecseseznamem"/>
              <w:numPr>
                <w:ilvl w:val="0"/>
                <w:numId w:val="131"/>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31"/>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bl>
    <w:p w:rsidR="004A7196" w:rsidRPr="004A7196" w:rsidRDefault="004A7196" w:rsidP="00A3476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shd w:val="clear" w:color="auto" w:fill="FABF8F"/>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Cíl 2.7</w:t>
            </w:r>
          </w:p>
        </w:tc>
        <w:tc>
          <w:tcPr>
            <w:tcW w:w="3751" w:type="pct"/>
            <w:shd w:val="clear" w:color="auto" w:fill="FABF8F"/>
          </w:tcPr>
          <w:p w:rsidR="004A7196" w:rsidRPr="00D55950" w:rsidRDefault="004A7196" w:rsidP="00806448">
            <w:pPr>
              <w:keepNext/>
              <w:spacing w:before="0"/>
              <w:rPr>
                <w:rFonts w:eastAsia="Arial Unicode MS"/>
                <w:b/>
                <w:color w:val="FF0000"/>
                <w:lang w:eastAsia="cs-CZ"/>
              </w:rPr>
            </w:pPr>
            <w:r w:rsidRPr="00D55950">
              <w:rPr>
                <w:rFonts w:eastAsia="Arial Unicode MS"/>
                <w:b/>
                <w:lang w:eastAsia="cs-CZ"/>
              </w:rPr>
              <w:t>Zajištění potřebného rozsahu služby domovy se zvláštním režimem v</w:t>
            </w:r>
            <w:r w:rsidR="00A70AA3">
              <w:rPr>
                <w:rFonts w:eastAsia="Arial Unicode MS"/>
                <w:b/>
                <w:lang w:eastAsia="cs-CZ"/>
              </w:rPr>
              <w:t> </w:t>
            </w:r>
            <w:r w:rsidRPr="00D55950">
              <w:rPr>
                <w:rFonts w:eastAsia="Arial Unicode MS"/>
                <w:b/>
                <w:lang w:eastAsia="cs-CZ"/>
              </w:rPr>
              <w:t>OK</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2.7.1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Zajištění služby domovy se zvláštním režimem pro osoby s chronickým duševním onemocněním 12 lůžky v 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zajištění služby domovy se zvláštním režimem (komunitního typu) pro osoby s chronickým duševním onemocněním (z</w:t>
            </w:r>
            <w:r w:rsidR="00A70AA3">
              <w:rPr>
                <w:rFonts w:eastAsia="Arial Unicode MS"/>
                <w:lang w:eastAsia="cs-CZ"/>
              </w:rPr>
              <w:t> </w:t>
            </w:r>
            <w:r w:rsidRPr="004A7196">
              <w:rPr>
                <w:rFonts w:eastAsia="Arial Unicode MS"/>
                <w:lang w:eastAsia="cs-CZ"/>
              </w:rPr>
              <w:t>okruhu psychóz) na základě zjištěné potřebnosti v OK.</w:t>
            </w:r>
          </w:p>
          <w:p w:rsidR="004A7196" w:rsidRPr="004A7196" w:rsidRDefault="004A7196" w:rsidP="00D55950">
            <w:pPr>
              <w:spacing w:before="0"/>
              <w:rPr>
                <w:rFonts w:eastAsia="Arial Unicode MS"/>
                <w:lang w:eastAsia="cs-CZ"/>
              </w:rPr>
            </w:pPr>
            <w:r w:rsidRPr="004A7196">
              <w:t xml:space="preserve">Vzniknou 2 domácnosti, každá </w:t>
            </w:r>
            <w:r w:rsidR="00FE6F92">
              <w:t>s</w:t>
            </w:r>
            <w:r w:rsidRPr="004A7196">
              <w:t> 6 lůžky.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chronickým duševním onemocněním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Domovy se zvláštním režimem (§ 50)</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lastRenderedPageBreak/>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Pobytová</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na zajištění poptávky po službě domovy se zvláštním režimem pro osoby s chronickým duševním onemocněním v rozsahu základních činností daných registrací služby v OK.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4A7196" w:rsidRDefault="004A7196" w:rsidP="00D55950">
            <w:pPr>
              <w:pStyle w:val="Odstavecseseznamem"/>
              <w:numPr>
                <w:ilvl w:val="0"/>
                <w:numId w:val="160"/>
              </w:numPr>
              <w:spacing w:before="0" w:line="240" w:lineRule="auto"/>
            </w:pPr>
            <w:r w:rsidRPr="004A7196">
              <w:t>Projednání předloženého záměru poskytovatele sociálních služeb v</w:t>
            </w:r>
            <w:r w:rsidR="00A70AA3">
              <w:t> </w:t>
            </w:r>
            <w:r w:rsidRPr="004A7196">
              <w:t>souladu se schválenými postupy pro aktualizaci sítě sociálních služeb OK</w:t>
            </w:r>
          </w:p>
          <w:p w:rsidR="004A7196" w:rsidRPr="004A7196" w:rsidRDefault="004A7196" w:rsidP="00D55950">
            <w:pPr>
              <w:pStyle w:val="Odstavecseseznamem"/>
              <w:numPr>
                <w:ilvl w:val="0"/>
                <w:numId w:val="160"/>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61"/>
              </w:numPr>
              <w:spacing w:before="0" w:line="240" w:lineRule="auto"/>
            </w:pPr>
            <w:r w:rsidRPr="00A34764">
              <w:t>Neprojevení zájmu poskytovatelů služeb o plnění cíle a opatření</w:t>
            </w:r>
          </w:p>
          <w:p w:rsidR="004A7196" w:rsidRPr="00A34764" w:rsidRDefault="004A7196" w:rsidP="00D55950">
            <w:pPr>
              <w:pStyle w:val="Odstavecseseznamem"/>
              <w:numPr>
                <w:ilvl w:val="0"/>
                <w:numId w:val="161"/>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61"/>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61"/>
              </w:numPr>
              <w:spacing w:before="0" w:line="240" w:lineRule="auto"/>
            </w:pPr>
            <w:r w:rsidRPr="00A34764">
              <w:t>Nedostatek lidských zdrojů</w:t>
            </w:r>
          </w:p>
          <w:p w:rsidR="004A7196" w:rsidRPr="00A34764" w:rsidRDefault="004A7196" w:rsidP="00D55950">
            <w:pPr>
              <w:pStyle w:val="Odstavecseseznamem"/>
              <w:numPr>
                <w:ilvl w:val="0"/>
                <w:numId w:val="161"/>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61"/>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bl>
    <w:p w:rsidR="004A7196" w:rsidRPr="004A7196" w:rsidRDefault="004A7196" w:rsidP="00A3476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tcBorders>
              <w:bottom w:val="single" w:sz="4" w:space="0" w:color="auto"/>
            </w:tcBorders>
            <w:shd w:val="clear" w:color="auto" w:fill="FABF8F"/>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Cíl 2.8</w:t>
            </w:r>
          </w:p>
        </w:tc>
        <w:tc>
          <w:tcPr>
            <w:tcW w:w="3751" w:type="pct"/>
            <w:tcBorders>
              <w:bottom w:val="single" w:sz="4" w:space="0" w:color="auto"/>
            </w:tcBorders>
            <w:shd w:val="clear" w:color="auto" w:fill="FABF8F"/>
          </w:tcPr>
          <w:p w:rsidR="004A7196" w:rsidRPr="00D55950" w:rsidRDefault="004A7196" w:rsidP="00506AF9">
            <w:pPr>
              <w:keepNext/>
              <w:spacing w:before="0"/>
              <w:rPr>
                <w:rFonts w:eastAsia="Arial Unicode MS"/>
                <w:b/>
                <w:lang w:eastAsia="cs-CZ"/>
              </w:rPr>
            </w:pPr>
            <w:r w:rsidRPr="00D55950">
              <w:rPr>
                <w:rFonts w:eastAsia="Arial Unicode MS"/>
                <w:b/>
                <w:lang w:eastAsia="cs-CZ"/>
              </w:rPr>
              <w:t>Zajištění potřebného rozsahu služby chráněné bydlení v OK</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2.8.1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D55950">
            <w:pPr>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D55950">
            <w:pPr>
              <w:spacing w:before="0"/>
              <w:rPr>
                <w:rFonts w:eastAsia="Arial Unicode MS"/>
                <w:b/>
                <w:lang w:eastAsia="cs-CZ"/>
              </w:rPr>
            </w:pPr>
            <w:r w:rsidRPr="00D55950">
              <w:rPr>
                <w:rFonts w:eastAsia="Arial Unicode MS"/>
                <w:b/>
                <w:lang w:eastAsia="cs-CZ"/>
              </w:rPr>
              <w:t>Zajištění služby chráněné bydlení pro osoby s chronickým duševním onemocněním 6 lůžky v 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směřuje k zajištění služby chráněné bydlení (komunitního typu) pro osoby s chronickým duševním onemocněním </w:t>
            </w:r>
            <w:r w:rsidRPr="004A7196">
              <w:t>(z okruhu psychóz) na základě zjištěné potřebnosti v O</w:t>
            </w:r>
            <w:r w:rsidRPr="004A7196">
              <w:rPr>
                <w:rFonts w:eastAsia="Arial Unicode MS"/>
                <w:lang w:eastAsia="cs-CZ"/>
              </w:rPr>
              <w:t>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chronickým duševním onemocněním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Chráněné bydlení (§ 51)</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Pobytová</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na zajištění poptávky po službě chráněné bydlení pro osoby s chronickým duševním onemocněním v rozsahu základních činností daných registrací v OK.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4A7196" w:rsidRDefault="004A7196" w:rsidP="00D55950">
            <w:pPr>
              <w:pStyle w:val="Odstavecseseznamem"/>
              <w:numPr>
                <w:ilvl w:val="0"/>
                <w:numId w:val="150"/>
              </w:numPr>
              <w:spacing w:before="0" w:line="240" w:lineRule="auto"/>
            </w:pPr>
            <w:r w:rsidRPr="004A7196">
              <w:t>Projednání předloženého záměru poskytovatele sociálních služeb v souladu se schválenými postupy pro aktualizaci sítě sociálních služeb OK</w:t>
            </w:r>
          </w:p>
          <w:p w:rsidR="004A7196" w:rsidRPr="004A7196" w:rsidRDefault="004A7196" w:rsidP="00D55950">
            <w:pPr>
              <w:pStyle w:val="Odstavecseseznamem"/>
              <w:numPr>
                <w:ilvl w:val="0"/>
                <w:numId w:val="150"/>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lastRenderedPageBreak/>
              <w:t>Rizika a ohrožení naplnění opatření</w:t>
            </w:r>
          </w:p>
        </w:tc>
        <w:tc>
          <w:tcPr>
            <w:tcW w:w="3751" w:type="pct"/>
          </w:tcPr>
          <w:p w:rsidR="004A7196" w:rsidRPr="00A34764" w:rsidRDefault="004A7196" w:rsidP="00D55950">
            <w:pPr>
              <w:pStyle w:val="Odstavecseseznamem"/>
              <w:numPr>
                <w:ilvl w:val="0"/>
                <w:numId w:val="151"/>
              </w:numPr>
              <w:spacing w:before="0" w:line="240" w:lineRule="auto"/>
            </w:pPr>
            <w:r w:rsidRPr="00A34764">
              <w:t>Neprojevení zájmu poskytovatelů sociálních služeb o plnění cíle a</w:t>
            </w:r>
            <w:r w:rsidR="00A70AA3">
              <w:t> </w:t>
            </w:r>
            <w:r w:rsidRPr="00A34764">
              <w:t>opatření</w:t>
            </w:r>
          </w:p>
          <w:p w:rsidR="004A7196" w:rsidRPr="00A34764" w:rsidRDefault="004A7196" w:rsidP="00D55950">
            <w:pPr>
              <w:pStyle w:val="Odstavecseseznamem"/>
              <w:numPr>
                <w:ilvl w:val="0"/>
                <w:numId w:val="151"/>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51"/>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51"/>
              </w:numPr>
              <w:spacing w:before="0" w:line="240" w:lineRule="auto"/>
            </w:pPr>
            <w:r w:rsidRPr="00A34764">
              <w:t>Nedostatek lidských zdrojů</w:t>
            </w:r>
          </w:p>
          <w:p w:rsidR="004A7196" w:rsidRPr="00A34764" w:rsidRDefault="004A7196" w:rsidP="00D55950">
            <w:pPr>
              <w:pStyle w:val="Odstavecseseznamem"/>
              <w:numPr>
                <w:ilvl w:val="0"/>
                <w:numId w:val="151"/>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51"/>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2.8.2</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Název opatření</w:t>
            </w:r>
          </w:p>
        </w:tc>
        <w:tc>
          <w:tcPr>
            <w:tcW w:w="375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Zajištění služby chráněné bydlení pro osoby s mentálním a kombinovaným postižením 6 lůžky v ORP Jeseník</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zajištění služby chráněného bydlení pro osoby s mentálním a kombinovaným postižením (včetně osob s PAS) na základě zjištěné potřebnosti v ORP Jeseník.</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Osoby s mentálním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Chráněné bydlení (§ 51)</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Pobytová</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ORP Jeseník</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na zajištění poptávky po službě chráněné bydlení pro osoby s mentálním a kombinovaným postižením v rozsahu základních činností daných registrací v ORP Jeseník. </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Borders>
              <w:top w:val="single" w:sz="4" w:space="0" w:color="auto"/>
              <w:left w:val="single" w:sz="4" w:space="0" w:color="auto"/>
              <w:bottom w:val="single" w:sz="4" w:space="0" w:color="auto"/>
              <w:right w:val="single" w:sz="4" w:space="0" w:color="auto"/>
            </w:tcBorders>
          </w:tcPr>
          <w:p w:rsidR="004A7196" w:rsidRPr="00A34764" w:rsidRDefault="004A7196" w:rsidP="00D55950">
            <w:pPr>
              <w:pStyle w:val="Odstavecseseznamem"/>
              <w:numPr>
                <w:ilvl w:val="0"/>
                <w:numId w:val="132"/>
              </w:numPr>
              <w:spacing w:before="0" w:line="240" w:lineRule="auto"/>
            </w:pPr>
            <w:r w:rsidRPr="00A34764">
              <w:t>Projednání předloženého záměru poskytovatele sociálních služeb v</w:t>
            </w:r>
            <w:r w:rsidR="00A70AA3">
              <w:t> </w:t>
            </w:r>
            <w:r w:rsidRPr="00A34764">
              <w:t>souladu se schválenými postupy pro aktualizaci sítě sociálních služeb OK</w:t>
            </w:r>
          </w:p>
          <w:p w:rsidR="004A7196" w:rsidRPr="00A34764" w:rsidRDefault="004A7196" w:rsidP="00D55950">
            <w:pPr>
              <w:pStyle w:val="Odstavecseseznamem"/>
              <w:numPr>
                <w:ilvl w:val="0"/>
                <w:numId w:val="132"/>
              </w:numPr>
              <w:spacing w:before="0" w:line="240" w:lineRule="auto"/>
            </w:pPr>
            <w:r w:rsidRPr="00A34764">
              <w:t>Při vyjádření pozitivního stanoviska OK aktualizace sítě sociálních služeb dle schválených změn</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Rizika a ohrožení naplnění opatření</w:t>
            </w:r>
          </w:p>
        </w:tc>
        <w:tc>
          <w:tcPr>
            <w:tcW w:w="3751" w:type="pct"/>
            <w:tcBorders>
              <w:top w:val="single" w:sz="4" w:space="0" w:color="auto"/>
              <w:left w:val="single" w:sz="4" w:space="0" w:color="auto"/>
              <w:bottom w:val="single" w:sz="4" w:space="0" w:color="auto"/>
              <w:right w:val="single" w:sz="4" w:space="0" w:color="auto"/>
            </w:tcBorders>
          </w:tcPr>
          <w:p w:rsidR="004A7196" w:rsidRPr="00A34764" w:rsidRDefault="004A7196" w:rsidP="00D55950">
            <w:pPr>
              <w:pStyle w:val="Odstavecseseznamem"/>
              <w:numPr>
                <w:ilvl w:val="0"/>
                <w:numId w:val="133"/>
              </w:numPr>
              <w:spacing w:before="0" w:line="240" w:lineRule="auto"/>
            </w:pPr>
            <w:r w:rsidRPr="00A34764">
              <w:t>Neprojevení zájmu poskytovatelů sociálních služeb o plnění cíle a</w:t>
            </w:r>
            <w:r w:rsidR="00A70AA3">
              <w:t> </w:t>
            </w:r>
            <w:r w:rsidRPr="00A34764">
              <w:t>opatření</w:t>
            </w:r>
          </w:p>
          <w:p w:rsidR="004A7196" w:rsidRPr="00A34764" w:rsidRDefault="004A7196" w:rsidP="00D55950">
            <w:pPr>
              <w:pStyle w:val="Odstavecseseznamem"/>
              <w:numPr>
                <w:ilvl w:val="0"/>
                <w:numId w:val="133"/>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33"/>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33"/>
              </w:numPr>
              <w:spacing w:before="0" w:line="240" w:lineRule="auto"/>
            </w:pPr>
            <w:r w:rsidRPr="00A34764">
              <w:t>Nedostatek lidských zdrojů</w:t>
            </w:r>
          </w:p>
          <w:p w:rsidR="004A7196" w:rsidRPr="00A34764" w:rsidRDefault="004A7196" w:rsidP="00D55950">
            <w:pPr>
              <w:pStyle w:val="Odstavecseseznamem"/>
              <w:numPr>
                <w:ilvl w:val="0"/>
                <w:numId w:val="133"/>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33"/>
              </w:numPr>
              <w:spacing w:before="0" w:line="240" w:lineRule="auto"/>
            </w:pPr>
            <w:r w:rsidRPr="00A34764">
              <w:t>Legislativní změny</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lastRenderedPageBreak/>
              <w:t>Předpokládané finanční zdroje</w:t>
            </w:r>
          </w:p>
        </w:tc>
        <w:tc>
          <w:tcPr>
            <w:tcW w:w="3751" w:type="pct"/>
            <w:tcBorders>
              <w:top w:val="single" w:sz="4" w:space="0" w:color="auto"/>
              <w:left w:val="single" w:sz="4" w:space="0" w:color="auto"/>
              <w:bottom w:val="single" w:sz="4" w:space="0" w:color="auto"/>
              <w:right w:val="single" w:sz="4" w:space="0" w:color="auto"/>
            </w:tcBorders>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Borders>
              <w:top w:val="single" w:sz="4" w:space="0" w:color="auto"/>
              <w:left w:val="single" w:sz="4" w:space="0" w:color="auto"/>
              <w:bottom w:val="single" w:sz="4" w:space="0" w:color="auto"/>
              <w:right w:val="single" w:sz="4" w:space="0" w:color="auto"/>
            </w:tcBorders>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bl>
    <w:p w:rsidR="004A7196" w:rsidRPr="004A7196" w:rsidRDefault="004A7196" w:rsidP="00D55950">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shd w:val="clear" w:color="auto" w:fill="FABF8F"/>
          </w:tcPr>
          <w:p w:rsidR="004A7196" w:rsidRPr="00D55950" w:rsidRDefault="004A7196" w:rsidP="00506AF9">
            <w:pPr>
              <w:keepNext/>
              <w:spacing w:before="0"/>
              <w:jc w:val="left"/>
              <w:rPr>
                <w:rFonts w:eastAsia="Arial Unicode MS"/>
                <w:b/>
                <w:highlight w:val="darkCyan"/>
                <w:lang w:eastAsia="cs-CZ"/>
              </w:rPr>
            </w:pPr>
            <w:r w:rsidRPr="00D55950">
              <w:rPr>
                <w:rFonts w:eastAsia="Arial Unicode MS"/>
                <w:b/>
                <w:lang w:eastAsia="cs-CZ"/>
              </w:rPr>
              <w:t>Cíl 2.9</w:t>
            </w:r>
          </w:p>
        </w:tc>
        <w:tc>
          <w:tcPr>
            <w:tcW w:w="3751" w:type="pct"/>
            <w:shd w:val="clear" w:color="auto" w:fill="FABF8F"/>
          </w:tcPr>
          <w:p w:rsidR="004A7196" w:rsidRPr="00D55950" w:rsidRDefault="004A7196" w:rsidP="00506AF9">
            <w:pPr>
              <w:keepNext/>
              <w:spacing w:before="0"/>
              <w:rPr>
                <w:rFonts w:eastAsia="Arial Unicode MS"/>
                <w:b/>
                <w:highlight w:val="darkCyan"/>
                <w:lang w:eastAsia="cs-CZ"/>
              </w:rPr>
            </w:pPr>
            <w:r w:rsidRPr="00D55950">
              <w:rPr>
                <w:rFonts w:eastAsia="Arial Unicode MS"/>
                <w:b/>
                <w:lang w:eastAsia="cs-CZ"/>
              </w:rPr>
              <w:t xml:space="preserve">Zajištění potřebného rozsahu služby rané péče zaměřené na potřeby osob se zdravotním postižením v OK </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2.9.1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Zajištění terénní formy služby rané péče pro osoby s mentálním a</w:t>
            </w:r>
            <w:r w:rsidR="00A70AA3">
              <w:rPr>
                <w:rFonts w:eastAsia="Arial Unicode MS"/>
                <w:b/>
                <w:lang w:eastAsia="cs-CZ"/>
              </w:rPr>
              <w:t> </w:t>
            </w:r>
            <w:r w:rsidRPr="00D55950">
              <w:rPr>
                <w:rFonts w:eastAsia="Arial Unicode MS"/>
                <w:b/>
                <w:lang w:eastAsia="cs-CZ"/>
              </w:rPr>
              <w:t>kombinovaným postižením, osoby s tělesným postižení</w:t>
            </w:r>
            <w:r w:rsidR="00102318" w:rsidRPr="00D55950">
              <w:rPr>
                <w:rFonts w:eastAsia="Arial Unicode MS"/>
                <w:b/>
                <w:lang w:eastAsia="cs-CZ"/>
              </w:rPr>
              <w:t>m</w:t>
            </w:r>
            <w:r w:rsidRPr="00D55950">
              <w:rPr>
                <w:rFonts w:eastAsia="Arial Unicode MS"/>
                <w:b/>
                <w:lang w:eastAsia="cs-CZ"/>
              </w:rPr>
              <w:t>, osoby se zrakovým postižením</w:t>
            </w:r>
            <w:r w:rsidR="00A70AA3">
              <w:rPr>
                <w:rFonts w:eastAsia="Arial Unicode MS"/>
                <w:b/>
                <w:lang w:eastAsia="cs-CZ"/>
              </w:rPr>
              <w:t xml:space="preserve"> 3</w:t>
            </w:r>
            <w:r w:rsidRPr="00D55950">
              <w:rPr>
                <w:rFonts w:eastAsia="Arial Unicode MS"/>
                <w:b/>
                <w:lang w:eastAsia="cs-CZ"/>
              </w:rPr>
              <w:t xml:space="preserve"> pracovními úvazky pracovníků v přímé péči v</w:t>
            </w:r>
            <w:r w:rsidR="00A70AA3">
              <w:rPr>
                <w:rFonts w:eastAsia="Arial Unicode MS"/>
                <w:b/>
                <w:lang w:eastAsia="cs-CZ"/>
              </w:rPr>
              <w:t> </w:t>
            </w:r>
            <w:r w:rsidRPr="00D55950">
              <w:rPr>
                <w:rFonts w:eastAsia="Arial Unicode MS"/>
                <w:b/>
                <w:lang w:eastAsia="cs-CZ"/>
              </w:rPr>
              <w:t>OK</w:t>
            </w:r>
            <w:r w:rsidRPr="00D55950">
              <w:rPr>
                <w:rFonts w:eastAsia="Arial Unicode MS"/>
                <w:b/>
                <w:color w:val="FF0000"/>
                <w:lang w:eastAsia="cs-CZ"/>
              </w:rPr>
              <w:t xml:space="preserve">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optimalizaci (pozn. k přesunu nevyužitých kapacit stávající služby do území, kde se vyskytla poptávka po službě) a k případnému rozvoji terénní formy služby rané péče pro osoby s mentálním a kombinovaným postižením (včetně osob s PAS), osoby s tělesným postižením, osoby se zrakovým postižením na základě zjištěné potřebnosti v 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mentálním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tělesným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se zrakovým postižením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Raná péče (§ 54)</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Terénní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má dopad na zajištění poptávky po terénní formě služeb rané péče pro osoby s mentálním a kombinovaným postižením, osoby s tělesným postižením, osoby se zrakovým postižením v rozsahu základních činností daných registrací služby v 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A34764" w:rsidRDefault="004A7196" w:rsidP="00D55950">
            <w:pPr>
              <w:pStyle w:val="Odstavecseseznamem"/>
              <w:numPr>
                <w:ilvl w:val="0"/>
                <w:numId w:val="152"/>
              </w:numPr>
              <w:spacing w:before="0" w:line="240" w:lineRule="auto"/>
            </w:pPr>
            <w:r w:rsidRPr="00A34764">
              <w:t>Monitoring jednotek zařazených v síti sociálních služeb</w:t>
            </w:r>
          </w:p>
          <w:p w:rsidR="004A7196" w:rsidRPr="004A7196" w:rsidRDefault="004A7196" w:rsidP="00D55950">
            <w:pPr>
              <w:pStyle w:val="Odstavecseseznamem"/>
              <w:numPr>
                <w:ilvl w:val="0"/>
                <w:numId w:val="152"/>
              </w:numPr>
              <w:spacing w:before="0" w:line="240" w:lineRule="auto"/>
            </w:pPr>
            <w:r w:rsidRPr="004A7196">
              <w:t>Projednání předloženého záměru poskytovatele sociálních služeb v</w:t>
            </w:r>
            <w:r w:rsidR="00C513CF">
              <w:t> </w:t>
            </w:r>
            <w:r w:rsidRPr="004A7196">
              <w:t>souladu se schválenými postupy pro aktualizaci sítě sociálních služeb OK</w:t>
            </w:r>
          </w:p>
          <w:p w:rsidR="004A7196" w:rsidRPr="004A7196" w:rsidRDefault="004A7196" w:rsidP="00D55950">
            <w:pPr>
              <w:pStyle w:val="Odstavecseseznamem"/>
              <w:numPr>
                <w:ilvl w:val="0"/>
                <w:numId w:val="152"/>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53"/>
              </w:numPr>
              <w:spacing w:before="0" w:line="240" w:lineRule="auto"/>
            </w:pPr>
            <w:r w:rsidRPr="00A34764">
              <w:t>Neprojevení zájmu poskytovatelů služeb o plnění cíle a opatření</w:t>
            </w:r>
          </w:p>
          <w:p w:rsidR="004A7196" w:rsidRPr="00A34764" w:rsidRDefault="004A7196" w:rsidP="00D55950">
            <w:pPr>
              <w:pStyle w:val="Odstavecseseznamem"/>
              <w:numPr>
                <w:ilvl w:val="0"/>
                <w:numId w:val="153"/>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53"/>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53"/>
              </w:numPr>
              <w:spacing w:before="0" w:line="240" w:lineRule="auto"/>
            </w:pPr>
            <w:r w:rsidRPr="00A34764">
              <w:t>Nedostatek lidských zdrojů</w:t>
            </w:r>
          </w:p>
          <w:p w:rsidR="004A7196" w:rsidRPr="00A34764" w:rsidRDefault="004A7196" w:rsidP="00D55950">
            <w:pPr>
              <w:pStyle w:val="Odstavecseseznamem"/>
              <w:numPr>
                <w:ilvl w:val="0"/>
                <w:numId w:val="153"/>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53"/>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E213F4" w:rsidP="00D55950">
            <w:pPr>
              <w:spacing w:before="0"/>
              <w:rPr>
                <w:rFonts w:eastAsia="Arial Unicode MS"/>
                <w:lang w:eastAsia="cs-CZ"/>
              </w:rPr>
            </w:pPr>
            <w:r>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lastRenderedPageBreak/>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bl>
    <w:p w:rsidR="004A7196" w:rsidRPr="004A7196" w:rsidRDefault="004A7196" w:rsidP="00D55950">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shd w:val="clear" w:color="auto" w:fill="FABF8F"/>
          </w:tcPr>
          <w:p w:rsidR="004A7196" w:rsidRPr="00D55950" w:rsidRDefault="004A7196" w:rsidP="00D55950">
            <w:pPr>
              <w:keepNext/>
              <w:spacing w:before="0"/>
              <w:jc w:val="left"/>
              <w:rPr>
                <w:rFonts w:eastAsia="Arial Unicode MS"/>
                <w:b/>
                <w:lang w:eastAsia="cs-CZ"/>
              </w:rPr>
            </w:pPr>
            <w:r w:rsidRPr="00D55950">
              <w:rPr>
                <w:rFonts w:eastAsia="Arial Unicode MS"/>
                <w:b/>
                <w:lang w:eastAsia="cs-CZ"/>
              </w:rPr>
              <w:t>Cíl 2.10</w:t>
            </w:r>
          </w:p>
        </w:tc>
        <w:tc>
          <w:tcPr>
            <w:tcW w:w="3751" w:type="pct"/>
            <w:shd w:val="clear" w:color="auto" w:fill="FABF8F"/>
          </w:tcPr>
          <w:p w:rsidR="004A7196" w:rsidRPr="00D55950" w:rsidRDefault="004A7196" w:rsidP="00D55950">
            <w:pPr>
              <w:keepNext/>
              <w:spacing w:before="0"/>
              <w:rPr>
                <w:rFonts w:eastAsia="Arial Unicode MS"/>
                <w:b/>
                <w:color w:val="FF0000"/>
                <w:lang w:eastAsia="cs-CZ"/>
              </w:rPr>
            </w:pPr>
            <w:r w:rsidRPr="00D55950">
              <w:rPr>
                <w:rFonts w:eastAsia="Arial Unicode MS"/>
                <w:b/>
                <w:lang w:eastAsia="cs-CZ"/>
              </w:rPr>
              <w:t>Zajištění potřebného rozsahu služby sociálně terapeutické dílny v OK</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D55950">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D55950">
            <w:pPr>
              <w:keepNext/>
              <w:spacing w:before="0"/>
              <w:rPr>
                <w:rFonts w:eastAsia="Arial Unicode MS"/>
                <w:b/>
                <w:lang w:eastAsia="cs-CZ"/>
              </w:rPr>
            </w:pPr>
            <w:r w:rsidRPr="00D55950">
              <w:rPr>
                <w:rFonts w:eastAsia="Arial Unicode MS"/>
                <w:b/>
                <w:lang w:eastAsia="cs-CZ"/>
              </w:rPr>
              <w:t>2.10.1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D55950">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D55950">
            <w:pPr>
              <w:keepNext/>
              <w:spacing w:before="0"/>
              <w:rPr>
                <w:rFonts w:eastAsia="Arial Unicode MS"/>
                <w:b/>
                <w:lang w:eastAsia="cs-CZ"/>
              </w:rPr>
            </w:pPr>
            <w:r w:rsidRPr="00D55950">
              <w:rPr>
                <w:rFonts w:eastAsia="Arial Unicode MS"/>
                <w:b/>
                <w:lang w:eastAsia="cs-CZ"/>
              </w:rPr>
              <w:t>Zajištění služby sociálně terapeutické dílny pro osoby s tělesným a</w:t>
            </w:r>
            <w:r w:rsidR="00C513CF">
              <w:rPr>
                <w:rFonts w:eastAsia="Arial Unicode MS"/>
                <w:b/>
                <w:lang w:eastAsia="cs-CZ"/>
              </w:rPr>
              <w:t> </w:t>
            </w:r>
            <w:r w:rsidRPr="00D55950">
              <w:rPr>
                <w:rFonts w:eastAsia="Arial Unicode MS"/>
                <w:b/>
                <w:lang w:eastAsia="cs-CZ"/>
              </w:rPr>
              <w:t>mentálním postižením 3,5 pracovními úvazky pracovníků v přímé péči v ORP Olomouc</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zajištění služby sociálně terapeutické dílny pro osoby s mentálním a tělesným postižením na základě zjištěné potřebnosti v ORP Olomouc.</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mentálním postižením</w:t>
            </w:r>
          </w:p>
          <w:p w:rsidR="004A7196" w:rsidRPr="004A7196" w:rsidRDefault="004A7196" w:rsidP="00D55950">
            <w:pPr>
              <w:spacing w:before="0"/>
              <w:rPr>
                <w:rFonts w:eastAsia="Arial Unicode MS"/>
                <w:lang w:eastAsia="cs-CZ"/>
              </w:rPr>
            </w:pPr>
            <w:r w:rsidRPr="004A7196">
              <w:rPr>
                <w:rFonts w:eastAsia="Arial Unicode MS"/>
                <w:lang w:eastAsia="cs-CZ"/>
              </w:rPr>
              <w:t>Osoby s tělesným postižením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Sociálně terapeutické dílny (§ 56)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Ambulantní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ORP Olomouc</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má dopad zajištění poptávky po službě sociálně terapeutické dílny pro osoby s mentálním a tělesným postižením v rozsahu základních činností daných registrací služby v ORP Olomouc.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4A7196" w:rsidRDefault="004A7196" w:rsidP="00D55950">
            <w:pPr>
              <w:pStyle w:val="Odstavecseseznamem"/>
              <w:numPr>
                <w:ilvl w:val="0"/>
                <w:numId w:val="155"/>
              </w:numPr>
              <w:spacing w:before="0" w:line="240" w:lineRule="auto"/>
            </w:pPr>
            <w:r w:rsidRPr="004A7196">
              <w:t>Projednání předloženého záměru poskytovatele sociálních služeb v</w:t>
            </w:r>
            <w:r w:rsidR="000B266F">
              <w:t> </w:t>
            </w:r>
            <w:r w:rsidRPr="004A7196">
              <w:t>souladu se schválenými postupy pro aktualizaci sítě sociálních služeb OK</w:t>
            </w:r>
          </w:p>
          <w:p w:rsidR="004A7196" w:rsidRPr="004A7196" w:rsidRDefault="004A7196" w:rsidP="00D55950">
            <w:pPr>
              <w:pStyle w:val="Odstavecseseznamem"/>
              <w:numPr>
                <w:ilvl w:val="0"/>
                <w:numId w:val="155"/>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54"/>
              </w:numPr>
              <w:spacing w:before="0" w:line="240" w:lineRule="auto"/>
            </w:pPr>
            <w:r w:rsidRPr="00A34764">
              <w:t>Neprojevení zájmu poskytovatelů sociálních služeb o plnění cíle a</w:t>
            </w:r>
            <w:r w:rsidR="000B266F">
              <w:t> </w:t>
            </w:r>
            <w:r w:rsidRPr="00A34764">
              <w:t>opatření</w:t>
            </w:r>
          </w:p>
          <w:p w:rsidR="004A7196" w:rsidRPr="00A34764" w:rsidRDefault="004A7196" w:rsidP="00D55950">
            <w:pPr>
              <w:pStyle w:val="Odstavecseseznamem"/>
              <w:numPr>
                <w:ilvl w:val="0"/>
                <w:numId w:val="154"/>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54"/>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54"/>
              </w:numPr>
              <w:spacing w:before="0" w:line="240" w:lineRule="auto"/>
            </w:pPr>
            <w:r w:rsidRPr="00A34764">
              <w:t>Nedostatek lidských zdrojů</w:t>
            </w:r>
          </w:p>
          <w:p w:rsidR="004A7196" w:rsidRPr="00A34764" w:rsidRDefault="004A7196" w:rsidP="00D55950">
            <w:pPr>
              <w:pStyle w:val="Odstavecseseznamem"/>
              <w:numPr>
                <w:ilvl w:val="0"/>
                <w:numId w:val="154"/>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54"/>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E213F4" w:rsidP="00D55950">
            <w:pPr>
              <w:spacing w:before="0"/>
              <w:rPr>
                <w:rFonts w:eastAsia="Arial Unicode MS"/>
                <w:lang w:eastAsia="cs-CZ"/>
              </w:rPr>
            </w:pPr>
            <w:r>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bl>
    <w:p w:rsidR="004A7196" w:rsidRPr="004A7196" w:rsidRDefault="004A7196" w:rsidP="00D55950">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shd w:val="clear" w:color="auto" w:fill="FABF8F"/>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lastRenderedPageBreak/>
              <w:t>Cíl 2.11</w:t>
            </w:r>
          </w:p>
        </w:tc>
        <w:tc>
          <w:tcPr>
            <w:tcW w:w="3751" w:type="pct"/>
            <w:shd w:val="clear" w:color="auto" w:fill="FABF8F"/>
          </w:tcPr>
          <w:p w:rsidR="004A7196" w:rsidRPr="00D55950" w:rsidRDefault="004A7196" w:rsidP="00806448">
            <w:pPr>
              <w:keepNext/>
              <w:spacing w:before="0"/>
              <w:rPr>
                <w:rFonts w:eastAsia="Arial Unicode MS"/>
                <w:b/>
                <w:color w:val="FF0000"/>
                <w:lang w:eastAsia="cs-CZ"/>
              </w:rPr>
            </w:pPr>
            <w:r w:rsidRPr="00D55950">
              <w:rPr>
                <w:rFonts w:eastAsia="Arial Unicode MS"/>
                <w:b/>
                <w:lang w:eastAsia="cs-CZ"/>
              </w:rPr>
              <w:t>Zajištění potřebného rozsahu služby sociální rehabilitace v OK</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2.11.1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Zajištění terénní formy služby sociální rehabilitace pro oso</w:t>
            </w:r>
            <w:r w:rsidR="00C64B77">
              <w:rPr>
                <w:rFonts w:eastAsia="Arial Unicode MS"/>
                <w:b/>
                <w:lang w:eastAsia="cs-CZ"/>
              </w:rPr>
              <w:t>by s kombinovaným postižením 3</w:t>
            </w:r>
            <w:r w:rsidRPr="00D55950">
              <w:rPr>
                <w:rFonts w:eastAsia="Arial Unicode MS"/>
                <w:b/>
                <w:lang w:eastAsia="cs-CZ"/>
              </w:rPr>
              <w:t xml:space="preserve"> pracovními úvazk</w:t>
            </w:r>
            <w:r w:rsidR="00102318" w:rsidRPr="00D55950">
              <w:rPr>
                <w:rFonts w:eastAsia="Arial Unicode MS"/>
                <w:b/>
                <w:lang w:eastAsia="cs-CZ"/>
              </w:rPr>
              <w:t>y</w:t>
            </w:r>
            <w:r w:rsidRPr="00D55950">
              <w:rPr>
                <w:rFonts w:eastAsia="Arial Unicode MS"/>
                <w:b/>
                <w:lang w:eastAsia="cs-CZ"/>
              </w:rPr>
              <w:t xml:space="preserve"> pracovníků v přímé péči v OK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Opatření směřuje k optimalizaci (pozn. k přesunu nevyužitých kapacit stávající služby do území, kde se vyskytla poptávka po službě) a k případnému rozvoji terénní formy služby sociální rehabilitace pro osoby s kombinovaným postižením (osoby s PAS </w:t>
            </w:r>
            <w:r w:rsidR="00FE6F92">
              <w:rPr>
                <w:rFonts w:eastAsia="Arial Unicode MS"/>
                <w:lang w:eastAsia="cs-CZ"/>
              </w:rPr>
              <w:t>–</w:t>
            </w:r>
            <w:r w:rsidRPr="004A7196">
              <w:rPr>
                <w:rFonts w:eastAsia="Arial Unicode MS"/>
                <w:lang w:eastAsia="cs-CZ"/>
              </w:rPr>
              <w:t xml:space="preserve"> nízko, středně i vysoce funkční formou) na základě zjištěné potřebnosti v OK.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Sociální rehabilitace (§ 70)</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Terénní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má dopad na zajištění poptávky po terénní formě služby sociální rehabilitace pro osoby s kombinovaným postižením v</w:t>
            </w:r>
            <w:r w:rsidR="00FE6F92">
              <w:rPr>
                <w:rFonts w:eastAsia="Arial Unicode MS"/>
                <w:lang w:eastAsia="cs-CZ"/>
              </w:rPr>
              <w:t> </w:t>
            </w:r>
            <w:r w:rsidRPr="004A7196">
              <w:rPr>
                <w:rFonts w:eastAsia="Arial Unicode MS"/>
                <w:lang w:eastAsia="cs-CZ"/>
              </w:rPr>
              <w:t>rozsahu základních činností daných registrací služby v 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A34764" w:rsidRDefault="004A7196" w:rsidP="00D55950">
            <w:pPr>
              <w:pStyle w:val="Odstavecseseznamem"/>
              <w:numPr>
                <w:ilvl w:val="0"/>
                <w:numId w:val="136"/>
              </w:numPr>
              <w:spacing w:before="0" w:line="240" w:lineRule="auto"/>
            </w:pPr>
            <w:r w:rsidRPr="00A34764">
              <w:t>Monitoring jednotek zařazených v síti sociálních služeb</w:t>
            </w:r>
          </w:p>
          <w:p w:rsidR="004A7196" w:rsidRPr="004A7196" w:rsidRDefault="004A7196" w:rsidP="00D55950">
            <w:pPr>
              <w:pStyle w:val="Odstavecseseznamem"/>
              <w:numPr>
                <w:ilvl w:val="0"/>
                <w:numId w:val="136"/>
              </w:numPr>
              <w:spacing w:before="0" w:line="240" w:lineRule="auto"/>
            </w:pPr>
            <w:r w:rsidRPr="004A7196">
              <w:t>Projednání předloženého záměru poskytovatele sociálních služeb v</w:t>
            </w:r>
            <w:r w:rsidR="000B266F">
              <w:t> </w:t>
            </w:r>
            <w:r w:rsidRPr="004A7196">
              <w:t>souladu se schválenými postupy pro aktualizaci sítě sociálních služeb OK</w:t>
            </w:r>
          </w:p>
          <w:p w:rsidR="004A7196" w:rsidRPr="004A7196" w:rsidRDefault="004A7196" w:rsidP="00D55950">
            <w:pPr>
              <w:pStyle w:val="Odstavecseseznamem"/>
              <w:numPr>
                <w:ilvl w:val="0"/>
                <w:numId w:val="136"/>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37"/>
              </w:numPr>
              <w:spacing w:before="0" w:line="240" w:lineRule="auto"/>
            </w:pPr>
            <w:r w:rsidRPr="00A34764">
              <w:t>Neprojevení zájmu poskytovatelů služeb o plnění cíle a opatření</w:t>
            </w:r>
          </w:p>
          <w:p w:rsidR="004A7196" w:rsidRPr="00A34764" w:rsidRDefault="004A7196" w:rsidP="00D55950">
            <w:pPr>
              <w:pStyle w:val="Odstavecseseznamem"/>
              <w:numPr>
                <w:ilvl w:val="0"/>
                <w:numId w:val="137"/>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37"/>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37"/>
              </w:numPr>
              <w:spacing w:before="0" w:line="240" w:lineRule="auto"/>
            </w:pPr>
            <w:r w:rsidRPr="00A34764">
              <w:t>Nedostatek lidských zdrojů</w:t>
            </w:r>
          </w:p>
          <w:p w:rsidR="004A7196" w:rsidRPr="00A34764" w:rsidRDefault="004A7196" w:rsidP="00D55950">
            <w:pPr>
              <w:pStyle w:val="Odstavecseseznamem"/>
              <w:numPr>
                <w:ilvl w:val="0"/>
                <w:numId w:val="137"/>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37"/>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E213F4" w:rsidP="00D55950">
            <w:pPr>
              <w:spacing w:before="0"/>
              <w:rPr>
                <w:rFonts w:eastAsia="Arial Unicode MS"/>
                <w:lang w:eastAsia="cs-CZ"/>
              </w:rPr>
            </w:pPr>
            <w:r>
              <w:rPr>
                <w:rFonts w:eastAsia="Arial Unicode MS"/>
                <w:lang w:eastAsia="cs-CZ"/>
              </w:rPr>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A34764">
              <w:t>Aktualizace sítě sociálních služeb dle schválených změn</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 xml:space="preserve">Kód opatření </w:t>
            </w:r>
          </w:p>
        </w:tc>
        <w:tc>
          <w:tcPr>
            <w:tcW w:w="3751" w:type="pct"/>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2.11.2</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Zajištění ambulantní formy služby sociální rehabilitace pro oso</w:t>
            </w:r>
            <w:r w:rsidR="00C64B77">
              <w:rPr>
                <w:rFonts w:eastAsia="Arial Unicode MS"/>
                <w:b/>
                <w:lang w:eastAsia="cs-CZ"/>
              </w:rPr>
              <w:t>by s kombinovaným postižením 2</w:t>
            </w:r>
            <w:r w:rsidRPr="00D55950">
              <w:rPr>
                <w:rFonts w:eastAsia="Arial Unicode MS"/>
                <w:b/>
                <w:lang w:eastAsia="cs-CZ"/>
              </w:rPr>
              <w:t xml:space="preserve"> pracovními úvazky pracovníků v přímé péči v OK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b/>
                <w:lang w:eastAsia="cs-CZ"/>
              </w:rPr>
            </w:pPr>
            <w:r w:rsidRPr="004A7196">
              <w:rPr>
                <w:rFonts w:eastAsia="Arial Unicode MS"/>
                <w:lang w:eastAsia="cs-CZ"/>
              </w:rPr>
              <w:t xml:space="preserve">Opatření směřuje k optimalizaci (pozn. k přesunu nevyužitých kapacit stávající služby do území, kde se vyskytla poptávka po službě) a k případnému rozvoji ambulantní formy služby sociální rehabilitace pro </w:t>
            </w:r>
            <w:r w:rsidRPr="004A7196">
              <w:rPr>
                <w:rFonts w:eastAsia="Arial Unicode MS"/>
                <w:lang w:eastAsia="cs-CZ"/>
              </w:rPr>
              <w:lastRenderedPageBreak/>
              <w:t xml:space="preserve">osoby s kombinovaným postižením (osoby s PAS </w:t>
            </w:r>
            <w:r w:rsidR="00FE6F92">
              <w:rPr>
                <w:rFonts w:eastAsia="Arial Unicode MS"/>
                <w:lang w:eastAsia="cs-CZ"/>
              </w:rPr>
              <w:t>–</w:t>
            </w:r>
            <w:r w:rsidRPr="004A7196">
              <w:rPr>
                <w:rFonts w:eastAsia="Arial Unicode MS"/>
                <w:lang w:eastAsia="cs-CZ"/>
              </w:rPr>
              <w:t xml:space="preserve"> nízko, středně i vysoce funkční formou) na základě zjištěné potřebnosti v OK.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lastRenderedPageBreak/>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kombinovaným postižením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Sociální rehabilitace (§ 70)</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highlight w:val="yellow"/>
                <w:lang w:eastAsia="cs-CZ"/>
              </w:rPr>
            </w:pPr>
            <w:r w:rsidRPr="004A7196">
              <w:rPr>
                <w:rFonts w:eastAsia="Arial Unicode MS"/>
                <w:lang w:eastAsia="cs-CZ"/>
              </w:rPr>
              <w:t>Terénní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má dopad na zajištění poptávky po ambulantní formě služby sociální rehabilitace osoby s kombinovaným postižením v</w:t>
            </w:r>
            <w:r w:rsidR="00FE6F92">
              <w:rPr>
                <w:rFonts w:eastAsia="Arial Unicode MS"/>
                <w:lang w:eastAsia="cs-CZ"/>
              </w:rPr>
              <w:t> </w:t>
            </w:r>
            <w:r w:rsidRPr="004A7196">
              <w:rPr>
                <w:rFonts w:eastAsia="Arial Unicode MS"/>
                <w:lang w:eastAsia="cs-CZ"/>
              </w:rPr>
              <w:t>rozsahu základních činností daných registrací služby v 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Aktivity vedoucí k naplnění opatření </w:t>
            </w:r>
          </w:p>
        </w:tc>
        <w:tc>
          <w:tcPr>
            <w:tcW w:w="3751" w:type="pct"/>
          </w:tcPr>
          <w:p w:rsidR="004A7196" w:rsidRPr="00A34764" w:rsidRDefault="004A7196" w:rsidP="00D55950">
            <w:pPr>
              <w:pStyle w:val="Odstavecseseznamem"/>
              <w:numPr>
                <w:ilvl w:val="0"/>
                <w:numId w:val="138"/>
              </w:numPr>
              <w:spacing w:before="0" w:line="240" w:lineRule="auto"/>
            </w:pPr>
            <w:r w:rsidRPr="00A34764">
              <w:t>Monitoring jednotek zařazených v síti sociálních služeb</w:t>
            </w:r>
          </w:p>
          <w:p w:rsidR="004A7196" w:rsidRPr="004A7196" w:rsidRDefault="004A7196" w:rsidP="00D55950">
            <w:pPr>
              <w:pStyle w:val="Odstavecseseznamem"/>
              <w:numPr>
                <w:ilvl w:val="0"/>
                <w:numId w:val="138"/>
              </w:numPr>
              <w:spacing w:before="0" w:line="240" w:lineRule="auto"/>
            </w:pPr>
            <w:r w:rsidRPr="004A7196">
              <w:t>Projednání předloženého záměru poskytovatele sociálních služeb v</w:t>
            </w:r>
            <w:r w:rsidR="000B266F">
              <w:t> </w:t>
            </w:r>
            <w:r w:rsidRPr="004A7196">
              <w:t>souladu se schválenými postupy pro aktualizaci sítě sociálních služeb OK</w:t>
            </w:r>
          </w:p>
          <w:p w:rsidR="004A7196" w:rsidRPr="00A34764" w:rsidRDefault="004A7196" w:rsidP="00D55950">
            <w:pPr>
              <w:pStyle w:val="Odstavecseseznamem"/>
              <w:numPr>
                <w:ilvl w:val="0"/>
                <w:numId w:val="138"/>
              </w:numPr>
              <w:spacing w:before="0" w:line="240" w:lineRule="auto"/>
            </w:pPr>
            <w:r w:rsidRPr="00A34764">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39"/>
              </w:numPr>
              <w:spacing w:before="0" w:line="240" w:lineRule="auto"/>
            </w:pPr>
            <w:r w:rsidRPr="00A34764">
              <w:t>Neprojevení zájmu poskytovatelů služeb o plnění cíle a opatření</w:t>
            </w:r>
          </w:p>
          <w:p w:rsidR="004A7196" w:rsidRPr="00A34764" w:rsidRDefault="004A7196" w:rsidP="00D55950">
            <w:pPr>
              <w:pStyle w:val="Odstavecseseznamem"/>
              <w:numPr>
                <w:ilvl w:val="0"/>
                <w:numId w:val="139"/>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39"/>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39"/>
              </w:numPr>
              <w:spacing w:before="0" w:line="240" w:lineRule="auto"/>
            </w:pPr>
            <w:r w:rsidRPr="00A34764">
              <w:t>Nedostatek lidských zdrojů</w:t>
            </w:r>
          </w:p>
          <w:p w:rsidR="004A7196" w:rsidRPr="00A34764" w:rsidRDefault="004A7196" w:rsidP="00D55950">
            <w:pPr>
              <w:pStyle w:val="Odstavecseseznamem"/>
              <w:numPr>
                <w:ilvl w:val="0"/>
                <w:numId w:val="139"/>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39"/>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b/>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pPr>
            <w:r w:rsidRPr="004A7196">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pPr>
            <w:r w:rsidRPr="004A7196">
              <w:t>2024–2026</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4A7196" w:rsidRPr="004A7196" w:rsidRDefault="004A7196" w:rsidP="00D55950">
            <w:pPr>
              <w:spacing w:before="0"/>
            </w:pPr>
            <w:r w:rsidRPr="004A7196">
              <w:t>Veřejné zdroje, evropské zdroje a ostatní zdroje financování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4A7196" w:rsidRPr="00A34764" w:rsidRDefault="004A7196" w:rsidP="00D55950">
            <w:pPr>
              <w:pStyle w:val="Odstavecseseznamem"/>
              <w:numPr>
                <w:ilvl w:val="0"/>
                <w:numId w:val="15"/>
              </w:numPr>
              <w:spacing w:before="0" w:line="240" w:lineRule="auto"/>
            </w:pPr>
            <w:r w:rsidRPr="00A34764">
              <w:t>Zajištění rozvoje sociální služby v daném regionu</w:t>
            </w:r>
          </w:p>
          <w:p w:rsidR="004A7196" w:rsidRPr="00A34764" w:rsidRDefault="004A7196" w:rsidP="00D55950">
            <w:pPr>
              <w:pStyle w:val="Odstavecseseznamem"/>
              <w:numPr>
                <w:ilvl w:val="0"/>
                <w:numId w:val="15"/>
              </w:numPr>
              <w:spacing w:before="0" w:line="240" w:lineRule="auto"/>
            </w:pPr>
            <w:r w:rsidRPr="004A7196">
              <w:t>Aktualizace sítě sociálních služeb dle schválených změn</w:t>
            </w:r>
          </w:p>
        </w:tc>
      </w:tr>
    </w:tbl>
    <w:p w:rsidR="004A7196" w:rsidRPr="004A7196" w:rsidRDefault="004A7196" w:rsidP="00D55950">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shd w:val="clear" w:color="auto" w:fill="FABF8F"/>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Cíl 2.12</w:t>
            </w:r>
          </w:p>
        </w:tc>
        <w:tc>
          <w:tcPr>
            <w:tcW w:w="3751" w:type="pct"/>
            <w:shd w:val="clear" w:color="auto" w:fill="FABF8F"/>
          </w:tcPr>
          <w:p w:rsidR="004A7196" w:rsidRPr="00D55950" w:rsidRDefault="004A7196" w:rsidP="00806448">
            <w:pPr>
              <w:keepNext/>
              <w:spacing w:before="0"/>
              <w:rPr>
                <w:rFonts w:eastAsia="Arial Unicode MS"/>
                <w:b/>
                <w:lang w:eastAsia="cs-CZ"/>
              </w:rPr>
            </w:pPr>
            <w:r w:rsidRPr="00D55950">
              <w:rPr>
                <w:rFonts w:eastAsia="Arial Unicode MS"/>
                <w:b/>
                <w:lang w:eastAsia="cs-CZ"/>
              </w:rPr>
              <w:t xml:space="preserve">Podpora rozvoje služeb vedoucích k transformaci, </w:t>
            </w:r>
            <w:proofErr w:type="spellStart"/>
            <w:r w:rsidRPr="00D55950">
              <w:rPr>
                <w:rFonts w:eastAsia="Arial Unicode MS"/>
                <w:b/>
                <w:lang w:eastAsia="cs-CZ"/>
              </w:rPr>
              <w:t>deinstitucionalizaci</w:t>
            </w:r>
            <w:proofErr w:type="spellEnd"/>
            <w:r w:rsidRPr="00D55950">
              <w:rPr>
                <w:rFonts w:eastAsia="Arial Unicode MS"/>
                <w:b/>
                <w:lang w:eastAsia="cs-CZ"/>
              </w:rPr>
              <w:t xml:space="preserve"> a humanizaci služeb sociální péče pro osoby se zdravotním postižením</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Kód opatření</w:t>
            </w:r>
          </w:p>
        </w:tc>
        <w:tc>
          <w:tcPr>
            <w:tcW w:w="3751" w:type="pct"/>
            <w:shd w:val="clear" w:color="auto" w:fill="E2EFD9" w:themeFill="accent6" w:themeFillTint="33"/>
          </w:tcPr>
          <w:p w:rsidR="004A7196" w:rsidRPr="00D55950" w:rsidRDefault="004A7196" w:rsidP="00806448">
            <w:pPr>
              <w:keepNext/>
              <w:spacing w:before="0"/>
              <w:rPr>
                <w:rFonts w:eastAsia="Arial Unicode MS"/>
                <w:b/>
                <w:lang w:eastAsia="cs-CZ"/>
              </w:rPr>
            </w:pPr>
            <w:r w:rsidRPr="00D55950">
              <w:rPr>
                <w:rFonts w:eastAsia="Arial Unicode MS"/>
                <w:b/>
                <w:lang w:eastAsia="cs-CZ"/>
              </w:rPr>
              <w:t>2.12.1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806448">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806448">
            <w:pPr>
              <w:keepNext/>
              <w:spacing w:before="0"/>
              <w:rPr>
                <w:rFonts w:eastAsia="Arial Unicode MS"/>
                <w:b/>
                <w:color w:val="FF0000"/>
                <w:lang w:eastAsia="cs-CZ"/>
              </w:rPr>
            </w:pPr>
            <w:r w:rsidRPr="00D55950">
              <w:rPr>
                <w:rFonts w:eastAsia="Arial Unicode MS"/>
                <w:b/>
                <w:lang w:eastAsia="cs-CZ"/>
              </w:rPr>
              <w:t xml:space="preserve">Transformace, </w:t>
            </w:r>
            <w:proofErr w:type="spellStart"/>
            <w:r w:rsidRPr="00D55950">
              <w:rPr>
                <w:rFonts w:eastAsia="Arial Unicode MS"/>
                <w:b/>
                <w:lang w:eastAsia="cs-CZ"/>
              </w:rPr>
              <w:t>deinstitucionalizace</w:t>
            </w:r>
            <w:proofErr w:type="spellEnd"/>
            <w:r w:rsidRPr="00D55950">
              <w:rPr>
                <w:rFonts w:eastAsia="Arial Unicode MS"/>
                <w:b/>
                <w:lang w:eastAsia="cs-CZ"/>
              </w:rPr>
              <w:t xml:space="preserve"> a humanizace pobytových sociálních služeb u poskytovatelů vybraných domovů pro osoby se zdravotním postižením, jej</w:t>
            </w:r>
            <w:r w:rsidR="00102318" w:rsidRPr="00D55950">
              <w:rPr>
                <w:rFonts w:eastAsia="Arial Unicode MS"/>
                <w:b/>
                <w:lang w:eastAsia="cs-CZ"/>
              </w:rPr>
              <w:t>ich</w:t>
            </w:r>
            <w:r w:rsidRPr="00D55950">
              <w:rPr>
                <w:rFonts w:eastAsia="Arial Unicode MS"/>
                <w:b/>
                <w:lang w:eastAsia="cs-CZ"/>
              </w:rPr>
              <w:t>ž zřizovatelem je Olomoucký kraj, jež transformují své kapacity do stejných či odlišných druhů sociálních služeb komunitního typu</w:t>
            </w:r>
          </w:p>
        </w:tc>
      </w:tr>
      <w:tr w:rsidR="004A7196" w:rsidRPr="004A7196" w:rsidTr="00506AF9">
        <w:trPr>
          <w:trHeight w:val="596"/>
          <w:jc w:val="center"/>
        </w:trPr>
        <w:tc>
          <w:tcPr>
            <w:tcW w:w="1249" w:type="pct"/>
            <w:shd w:val="clear" w:color="auto" w:fill="CCECFF"/>
          </w:tcPr>
          <w:p w:rsidR="004A7196" w:rsidRPr="00D55950" w:rsidRDefault="004A7196" w:rsidP="00506AF9">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506AF9">
            <w:pPr>
              <w:spacing w:before="0"/>
              <w:rPr>
                <w:rFonts w:eastAsia="Arial Unicode MS"/>
                <w:lang w:eastAsia="cs-CZ"/>
              </w:rPr>
            </w:pPr>
            <w:r w:rsidRPr="004A7196">
              <w:rPr>
                <w:rFonts w:eastAsia="Arial Unicode MS"/>
                <w:lang w:eastAsia="cs-CZ"/>
              </w:rPr>
              <w:t xml:space="preserve">Opatření směřuje k transformaci, </w:t>
            </w:r>
            <w:proofErr w:type="spellStart"/>
            <w:r w:rsidRPr="004A7196">
              <w:rPr>
                <w:rFonts w:eastAsia="Arial Unicode MS"/>
                <w:lang w:eastAsia="cs-CZ"/>
              </w:rPr>
              <w:t>deinstitucionalizaci</w:t>
            </w:r>
            <w:proofErr w:type="spellEnd"/>
            <w:r w:rsidRPr="004A7196">
              <w:rPr>
                <w:rFonts w:eastAsia="Arial Unicode MS"/>
                <w:lang w:eastAsia="cs-CZ"/>
              </w:rPr>
              <w:t xml:space="preserve"> a humanizaci vybraných poskytovatelů služby domovy pro osoby se zdravotním postižením, a to:</w:t>
            </w:r>
          </w:p>
          <w:p w:rsidR="004A7196" w:rsidRPr="00A34764" w:rsidRDefault="004A7196" w:rsidP="00506AF9">
            <w:pPr>
              <w:pStyle w:val="Odstavecseseznamem"/>
              <w:numPr>
                <w:ilvl w:val="0"/>
                <w:numId w:val="144"/>
              </w:numPr>
              <w:spacing w:before="0" w:line="240" w:lineRule="auto"/>
            </w:pPr>
            <w:r w:rsidRPr="00A34764">
              <w:t xml:space="preserve">Nové Zámky – poskytovatel sociálních služeb, </w:t>
            </w:r>
            <w:proofErr w:type="spellStart"/>
            <w:proofErr w:type="gramStart"/>
            <w:r w:rsidRPr="00A34764">
              <w:t>p.o</w:t>
            </w:r>
            <w:proofErr w:type="spellEnd"/>
            <w:r w:rsidRPr="00A34764">
              <w:t>.</w:t>
            </w:r>
            <w:proofErr w:type="gramEnd"/>
            <w:r w:rsidRPr="00A34764">
              <w:t>;</w:t>
            </w:r>
          </w:p>
          <w:p w:rsidR="004A7196" w:rsidRPr="00A34764" w:rsidRDefault="004A7196" w:rsidP="00506AF9">
            <w:pPr>
              <w:pStyle w:val="Odstavecseseznamem"/>
              <w:numPr>
                <w:ilvl w:val="0"/>
                <w:numId w:val="144"/>
              </w:numPr>
              <w:spacing w:before="0" w:line="240" w:lineRule="auto"/>
            </w:pPr>
            <w:proofErr w:type="spellStart"/>
            <w:r w:rsidRPr="00A34764">
              <w:t>Vincentinum</w:t>
            </w:r>
            <w:proofErr w:type="spellEnd"/>
            <w:r w:rsidRPr="00A34764">
              <w:t xml:space="preserve"> – poskytovatel sociálních služeb Šternberk, </w:t>
            </w:r>
            <w:proofErr w:type="spellStart"/>
            <w:proofErr w:type="gramStart"/>
            <w:r w:rsidRPr="00A34764">
              <w:t>p.o</w:t>
            </w:r>
            <w:proofErr w:type="spellEnd"/>
            <w:r w:rsidRPr="00A34764">
              <w:t>.</w:t>
            </w:r>
            <w:proofErr w:type="gramEnd"/>
            <w:r w:rsidRPr="00A34764">
              <w:t>;</w:t>
            </w:r>
          </w:p>
          <w:p w:rsidR="004A7196" w:rsidRPr="00A34764" w:rsidRDefault="004A7196" w:rsidP="00506AF9">
            <w:pPr>
              <w:pStyle w:val="Odstavecseseznamem"/>
              <w:numPr>
                <w:ilvl w:val="0"/>
                <w:numId w:val="144"/>
              </w:numPr>
              <w:spacing w:before="0" w:line="240" w:lineRule="auto"/>
            </w:pPr>
            <w:r w:rsidRPr="00A34764">
              <w:t xml:space="preserve">Centrum Dominika Kokory, </w:t>
            </w:r>
            <w:proofErr w:type="spellStart"/>
            <w:proofErr w:type="gramStart"/>
            <w:r w:rsidRPr="00A34764">
              <w:t>p.o</w:t>
            </w:r>
            <w:proofErr w:type="spellEnd"/>
            <w:r w:rsidRPr="00A34764">
              <w:t>.</w:t>
            </w:r>
            <w:proofErr w:type="gramEnd"/>
            <w:r w:rsidRPr="00A34764">
              <w:t>;</w:t>
            </w:r>
          </w:p>
          <w:p w:rsidR="004A7196" w:rsidRPr="00A34764" w:rsidRDefault="004A7196" w:rsidP="00506AF9">
            <w:pPr>
              <w:pStyle w:val="Odstavecseseznamem"/>
              <w:numPr>
                <w:ilvl w:val="0"/>
                <w:numId w:val="144"/>
              </w:numPr>
              <w:spacing w:before="0" w:line="240" w:lineRule="auto"/>
            </w:pPr>
            <w:r w:rsidRPr="00A34764">
              <w:t xml:space="preserve">Domov Na Zámečku Rokytnice, </w:t>
            </w:r>
            <w:proofErr w:type="spellStart"/>
            <w:proofErr w:type="gramStart"/>
            <w:r w:rsidRPr="00A34764">
              <w:t>p.o</w:t>
            </w:r>
            <w:proofErr w:type="spellEnd"/>
            <w:r w:rsidRPr="00A34764">
              <w:t>.</w:t>
            </w:r>
            <w:proofErr w:type="gramEnd"/>
            <w:r w:rsidRPr="00A34764">
              <w:t>;</w:t>
            </w:r>
          </w:p>
          <w:p w:rsidR="004A7196" w:rsidRPr="00A34764" w:rsidRDefault="004A7196" w:rsidP="00506AF9">
            <w:pPr>
              <w:pStyle w:val="Odstavecseseznamem"/>
              <w:numPr>
                <w:ilvl w:val="0"/>
                <w:numId w:val="144"/>
              </w:numPr>
              <w:spacing w:before="0" w:line="240" w:lineRule="auto"/>
            </w:pPr>
            <w:r w:rsidRPr="00A34764">
              <w:t xml:space="preserve">Domov „Na Zámku“, </w:t>
            </w:r>
            <w:proofErr w:type="spellStart"/>
            <w:proofErr w:type="gramStart"/>
            <w:r w:rsidRPr="00A34764">
              <w:t>p.o</w:t>
            </w:r>
            <w:proofErr w:type="spellEnd"/>
            <w:r w:rsidRPr="00A34764">
              <w:t>.</w:t>
            </w:r>
            <w:proofErr w:type="gramEnd"/>
          </w:p>
          <w:p w:rsidR="004A7196" w:rsidRPr="00A34764" w:rsidRDefault="004A7196" w:rsidP="00506AF9">
            <w:pPr>
              <w:pStyle w:val="Odstavecseseznamem"/>
              <w:numPr>
                <w:ilvl w:val="0"/>
                <w:numId w:val="144"/>
              </w:numPr>
              <w:spacing w:before="0" w:line="240" w:lineRule="auto"/>
            </w:pPr>
            <w:r w:rsidRPr="00A34764">
              <w:lastRenderedPageBreak/>
              <w:t xml:space="preserve">Domov Paprsek Olšany, </w:t>
            </w:r>
            <w:proofErr w:type="spellStart"/>
            <w:proofErr w:type="gramStart"/>
            <w:r w:rsidRPr="00A34764">
              <w:t>p.o</w:t>
            </w:r>
            <w:proofErr w:type="spellEnd"/>
            <w:r w:rsidRPr="00A34764">
              <w:t>.</w:t>
            </w:r>
            <w:proofErr w:type="gramEnd"/>
            <w:r w:rsidRPr="00A34764">
              <w:t>;</w:t>
            </w:r>
          </w:p>
          <w:p w:rsidR="004A7196" w:rsidRPr="00A34764" w:rsidRDefault="004A7196" w:rsidP="00506AF9">
            <w:pPr>
              <w:pStyle w:val="Odstavecseseznamem"/>
              <w:numPr>
                <w:ilvl w:val="0"/>
                <w:numId w:val="144"/>
              </w:numPr>
              <w:spacing w:before="0" w:line="240" w:lineRule="auto"/>
            </w:pPr>
            <w:r w:rsidRPr="00A34764">
              <w:t xml:space="preserve">Domov Větrný mlýn Skalička, </w:t>
            </w:r>
            <w:proofErr w:type="spellStart"/>
            <w:proofErr w:type="gramStart"/>
            <w:r w:rsidRPr="00A34764">
              <w:t>p.o</w:t>
            </w:r>
            <w:proofErr w:type="spellEnd"/>
            <w:r w:rsidRPr="00A34764">
              <w:t>.</w:t>
            </w:r>
            <w:proofErr w:type="gramEnd"/>
            <w:r w:rsidRPr="00A34764">
              <w:t>;</w:t>
            </w:r>
          </w:p>
          <w:p w:rsidR="004A7196" w:rsidRPr="004A7196" w:rsidRDefault="004A7196" w:rsidP="00506AF9">
            <w:pPr>
              <w:spacing w:before="0"/>
            </w:pPr>
            <w:r w:rsidRPr="004A7196">
              <w:t>jež transformují své stávající kapacity (počty lůžek) do služeb:</w:t>
            </w:r>
          </w:p>
          <w:p w:rsidR="004A7196" w:rsidRPr="00A34764" w:rsidRDefault="004A7196" w:rsidP="00506AF9">
            <w:pPr>
              <w:pStyle w:val="Odstavecseseznamem"/>
              <w:numPr>
                <w:ilvl w:val="0"/>
                <w:numId w:val="145"/>
              </w:numPr>
              <w:spacing w:before="0" w:line="240" w:lineRule="auto"/>
            </w:pPr>
            <w:r w:rsidRPr="00A34764">
              <w:t>Domovy pro osoby se zdravotním postižením;</w:t>
            </w:r>
          </w:p>
          <w:p w:rsidR="004A7196" w:rsidRPr="00A34764" w:rsidRDefault="004A7196" w:rsidP="00506AF9">
            <w:pPr>
              <w:pStyle w:val="Odstavecseseznamem"/>
              <w:numPr>
                <w:ilvl w:val="0"/>
                <w:numId w:val="145"/>
              </w:numPr>
              <w:spacing w:before="0" w:line="240" w:lineRule="auto"/>
            </w:pPr>
            <w:r w:rsidRPr="00A34764">
              <w:t>Domovy se zvláštním režimem;</w:t>
            </w:r>
          </w:p>
          <w:p w:rsidR="004A7196" w:rsidRPr="00A34764" w:rsidRDefault="004A7196" w:rsidP="00506AF9">
            <w:pPr>
              <w:pStyle w:val="Odstavecseseznamem"/>
              <w:numPr>
                <w:ilvl w:val="0"/>
                <w:numId w:val="145"/>
              </w:numPr>
              <w:spacing w:before="0" w:line="240" w:lineRule="auto"/>
            </w:pPr>
            <w:r w:rsidRPr="00A34764">
              <w:t>Chráněné bydlení;</w:t>
            </w:r>
          </w:p>
          <w:p w:rsidR="004A7196" w:rsidRPr="004A7196" w:rsidRDefault="004A7196" w:rsidP="00506AF9">
            <w:pPr>
              <w:spacing w:before="0"/>
              <w:rPr>
                <w:rFonts w:eastAsia="Arial Unicode MS"/>
                <w:lang w:eastAsia="cs-CZ"/>
              </w:rPr>
            </w:pPr>
            <w:r w:rsidRPr="004A7196">
              <w:t>a to komunitního typu.</w:t>
            </w:r>
          </w:p>
        </w:tc>
      </w:tr>
      <w:tr w:rsidR="004A7196" w:rsidRPr="004A7196" w:rsidTr="00506AF9">
        <w:trPr>
          <w:trHeight w:val="397"/>
          <w:jc w:val="center"/>
        </w:trPr>
        <w:tc>
          <w:tcPr>
            <w:tcW w:w="1249" w:type="pct"/>
            <w:shd w:val="clear" w:color="auto" w:fill="CCECFF"/>
          </w:tcPr>
          <w:p w:rsidR="004A7196" w:rsidRPr="00D55950" w:rsidRDefault="004A7196" w:rsidP="00506AF9">
            <w:pPr>
              <w:spacing w:before="0"/>
              <w:jc w:val="left"/>
              <w:rPr>
                <w:rFonts w:eastAsia="Arial Unicode MS"/>
                <w:b/>
                <w:lang w:eastAsia="cs-CZ"/>
              </w:rPr>
            </w:pPr>
            <w:r w:rsidRPr="00D55950">
              <w:rPr>
                <w:rFonts w:eastAsia="Arial Unicode MS"/>
                <w:b/>
                <w:lang w:eastAsia="cs-CZ"/>
              </w:rPr>
              <w:lastRenderedPageBreak/>
              <w:t>Cílová skupina</w:t>
            </w:r>
          </w:p>
        </w:tc>
        <w:tc>
          <w:tcPr>
            <w:tcW w:w="3751" w:type="pct"/>
          </w:tcPr>
          <w:p w:rsidR="004A7196" w:rsidRPr="004A7196" w:rsidRDefault="004A7196" w:rsidP="00506AF9">
            <w:pPr>
              <w:spacing w:before="0"/>
              <w:rPr>
                <w:rFonts w:eastAsia="Arial Unicode MS"/>
                <w:lang w:eastAsia="cs-CZ"/>
              </w:rPr>
            </w:pPr>
            <w:r w:rsidRPr="004A7196">
              <w:rPr>
                <w:rFonts w:eastAsia="Arial Unicode MS"/>
                <w:lang w:eastAsia="cs-CZ"/>
              </w:rPr>
              <w:t>Osoby s mentálním postižením</w:t>
            </w:r>
          </w:p>
          <w:p w:rsidR="004A7196" w:rsidRPr="004A7196" w:rsidRDefault="004A7196" w:rsidP="00506AF9">
            <w:pPr>
              <w:spacing w:before="0"/>
              <w:rPr>
                <w:rFonts w:eastAsia="Arial Unicode MS"/>
                <w:lang w:eastAsia="cs-CZ"/>
              </w:rPr>
            </w:pPr>
            <w:r w:rsidRPr="004A7196">
              <w:rPr>
                <w:rFonts w:eastAsia="Arial Unicode MS"/>
                <w:lang w:eastAsia="cs-CZ"/>
              </w:rPr>
              <w:t>Osoby s kombinovaným postižením</w:t>
            </w:r>
          </w:p>
        </w:tc>
      </w:tr>
      <w:tr w:rsidR="004A7196" w:rsidRPr="004A7196" w:rsidTr="00506AF9">
        <w:trPr>
          <w:trHeight w:val="397"/>
          <w:jc w:val="center"/>
        </w:trPr>
        <w:tc>
          <w:tcPr>
            <w:tcW w:w="1249" w:type="pct"/>
            <w:shd w:val="clear" w:color="auto" w:fill="CCECFF"/>
          </w:tcPr>
          <w:p w:rsidR="004A7196" w:rsidRPr="00D55950" w:rsidRDefault="004A7196" w:rsidP="00506AF9">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506AF9">
            <w:pPr>
              <w:spacing w:before="0"/>
              <w:rPr>
                <w:rFonts w:eastAsia="Arial Unicode MS"/>
                <w:lang w:eastAsia="cs-CZ"/>
              </w:rPr>
            </w:pPr>
            <w:r w:rsidRPr="004A7196">
              <w:rPr>
                <w:rFonts w:eastAsia="Arial Unicode MS"/>
                <w:lang w:eastAsia="cs-CZ"/>
              </w:rPr>
              <w:t>Domovy pro osoby se zdravotním postižením (§ 48)</w:t>
            </w:r>
          </w:p>
          <w:p w:rsidR="004A7196" w:rsidRPr="004A7196" w:rsidRDefault="004A7196" w:rsidP="00506AF9">
            <w:pPr>
              <w:spacing w:before="0"/>
              <w:rPr>
                <w:rFonts w:eastAsia="Arial Unicode MS"/>
                <w:lang w:eastAsia="cs-CZ"/>
              </w:rPr>
            </w:pPr>
            <w:r w:rsidRPr="004A7196">
              <w:rPr>
                <w:rFonts w:eastAsia="Arial Unicode MS"/>
                <w:lang w:eastAsia="cs-CZ"/>
              </w:rPr>
              <w:t xml:space="preserve">Domovy se zvláštním režimem (§ 51) </w:t>
            </w:r>
          </w:p>
          <w:p w:rsidR="004A7196" w:rsidRPr="004A7196" w:rsidRDefault="004A7196" w:rsidP="00506AF9">
            <w:pPr>
              <w:spacing w:before="0"/>
              <w:rPr>
                <w:rFonts w:eastAsia="Arial Unicode MS"/>
                <w:lang w:eastAsia="cs-CZ"/>
              </w:rPr>
            </w:pPr>
            <w:r w:rsidRPr="004A7196">
              <w:rPr>
                <w:rFonts w:eastAsia="Arial Unicode MS"/>
                <w:lang w:eastAsia="cs-CZ"/>
              </w:rPr>
              <w:t>Chráněné bydlení (§ 51)</w:t>
            </w:r>
          </w:p>
        </w:tc>
      </w:tr>
      <w:tr w:rsidR="004A7196" w:rsidRPr="004A7196" w:rsidTr="00506AF9">
        <w:trPr>
          <w:trHeight w:val="397"/>
          <w:jc w:val="center"/>
        </w:trPr>
        <w:tc>
          <w:tcPr>
            <w:tcW w:w="1249" w:type="pct"/>
            <w:shd w:val="clear" w:color="auto" w:fill="CCECFF"/>
          </w:tcPr>
          <w:p w:rsidR="004A7196" w:rsidRPr="00D55950" w:rsidRDefault="004A7196" w:rsidP="00506AF9">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506AF9">
            <w:pPr>
              <w:spacing w:before="0"/>
              <w:rPr>
                <w:rFonts w:eastAsia="Arial Unicode MS"/>
                <w:lang w:eastAsia="cs-CZ"/>
              </w:rPr>
            </w:pPr>
            <w:r w:rsidRPr="004A7196">
              <w:rPr>
                <w:rFonts w:eastAsia="Arial Unicode MS"/>
                <w:lang w:eastAsia="cs-CZ"/>
              </w:rPr>
              <w:t>Pobytová</w:t>
            </w:r>
          </w:p>
        </w:tc>
      </w:tr>
      <w:tr w:rsidR="004A7196" w:rsidRPr="004A7196" w:rsidTr="00506AF9">
        <w:trPr>
          <w:trHeight w:val="397"/>
          <w:jc w:val="center"/>
        </w:trPr>
        <w:tc>
          <w:tcPr>
            <w:tcW w:w="1249" w:type="pct"/>
            <w:shd w:val="clear" w:color="auto" w:fill="CCECFF"/>
          </w:tcPr>
          <w:p w:rsidR="004A7196" w:rsidRPr="00D55950" w:rsidRDefault="004A7196" w:rsidP="00506AF9">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506AF9">
            <w:pPr>
              <w:spacing w:before="0"/>
              <w:rPr>
                <w:rFonts w:eastAsia="Arial Unicode MS"/>
                <w:lang w:eastAsia="cs-CZ"/>
              </w:rPr>
            </w:pPr>
            <w:r w:rsidRPr="004A7196">
              <w:rPr>
                <w:rFonts w:eastAsia="Arial Unicode MS"/>
                <w:lang w:eastAsia="cs-CZ"/>
              </w:rPr>
              <w:t xml:space="preserve">OK </w:t>
            </w:r>
          </w:p>
        </w:tc>
      </w:tr>
      <w:tr w:rsidR="004A7196" w:rsidRPr="004A7196" w:rsidTr="00506AF9">
        <w:trPr>
          <w:trHeight w:val="397"/>
          <w:jc w:val="center"/>
        </w:trPr>
        <w:tc>
          <w:tcPr>
            <w:tcW w:w="1249" w:type="pct"/>
            <w:shd w:val="clear" w:color="auto" w:fill="CCECFF"/>
          </w:tcPr>
          <w:p w:rsidR="004A7196" w:rsidRPr="00D55950" w:rsidRDefault="004A7196" w:rsidP="00506AF9">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506AF9">
            <w:pPr>
              <w:spacing w:before="0"/>
              <w:rPr>
                <w:rFonts w:eastAsia="Arial Unicode MS"/>
                <w:lang w:eastAsia="cs-CZ"/>
              </w:rPr>
            </w:pPr>
            <w:r w:rsidRPr="004A7196">
              <w:rPr>
                <w:rFonts w:eastAsia="Arial Unicode MS"/>
                <w:lang w:eastAsia="cs-CZ"/>
              </w:rPr>
              <w:t>Opatření má dopad na osoby s mentálním a kombinovaným postižením, které jsou uživateli výše uvedených poskytovatelů sociálních služeb.</w:t>
            </w:r>
          </w:p>
          <w:p w:rsidR="004A7196" w:rsidRPr="004A7196" w:rsidRDefault="004A7196" w:rsidP="00506AF9">
            <w:pPr>
              <w:spacing w:before="0"/>
              <w:rPr>
                <w:rFonts w:eastAsia="Arial Unicode MS"/>
                <w:color w:val="FF0000"/>
                <w:lang w:eastAsia="cs-CZ"/>
              </w:rPr>
            </w:pPr>
            <w:r w:rsidRPr="004A7196">
              <w:rPr>
                <w:rFonts w:eastAsia="Arial Unicode MS"/>
                <w:lang w:eastAsia="cs-CZ"/>
              </w:rPr>
              <w:t>Po přehodnocení nepříznivé sociální situace každého uživatele dojde ke koordinaci sítě sociálních služeb tak, aby jim byly zajištěny odpovídající služby komunitního typu dle nezbytné míry podpory v přirozené komunitě tak, aby se jejich život podobal běžnému způsobu života jejich vrstevníků.</w:t>
            </w:r>
          </w:p>
        </w:tc>
      </w:tr>
      <w:tr w:rsidR="004A7196" w:rsidRPr="004A7196" w:rsidTr="00506AF9">
        <w:trPr>
          <w:trHeight w:val="397"/>
          <w:jc w:val="center"/>
        </w:trPr>
        <w:tc>
          <w:tcPr>
            <w:tcW w:w="1249" w:type="pct"/>
            <w:shd w:val="clear" w:color="auto" w:fill="CCECFF"/>
          </w:tcPr>
          <w:p w:rsidR="004A7196" w:rsidRPr="00D55950" w:rsidRDefault="004A7196" w:rsidP="00506AF9">
            <w:pPr>
              <w:spacing w:before="0"/>
              <w:jc w:val="left"/>
              <w:rPr>
                <w:rFonts w:eastAsia="Arial Unicode MS"/>
                <w:b/>
                <w:lang w:eastAsia="cs-CZ"/>
              </w:rPr>
            </w:pPr>
            <w:r w:rsidRPr="00D55950">
              <w:rPr>
                <w:rFonts w:eastAsia="Arial Unicode MS"/>
                <w:b/>
                <w:lang w:eastAsia="cs-CZ"/>
              </w:rPr>
              <w:t>Aktivity vedoucí k naplnění opatření</w:t>
            </w:r>
          </w:p>
        </w:tc>
        <w:tc>
          <w:tcPr>
            <w:tcW w:w="3751" w:type="pct"/>
          </w:tcPr>
          <w:p w:rsidR="004A7196" w:rsidRPr="004A7196" w:rsidRDefault="004A7196" w:rsidP="00506AF9">
            <w:pPr>
              <w:pStyle w:val="Odstavecseseznamem"/>
              <w:numPr>
                <w:ilvl w:val="0"/>
                <w:numId w:val="142"/>
              </w:numPr>
              <w:spacing w:before="0" w:line="240" w:lineRule="auto"/>
            </w:pPr>
            <w:r w:rsidRPr="004A7196">
              <w:t>Projednání předloženého záměru poskytovatele sociálních služeb v</w:t>
            </w:r>
            <w:r w:rsidR="000B266F">
              <w:t> </w:t>
            </w:r>
            <w:r w:rsidRPr="004A7196">
              <w:t>souladu se schválenými postupy pro aktualizaci sítě sociálních služeb OK</w:t>
            </w:r>
          </w:p>
          <w:p w:rsidR="004A7196" w:rsidRPr="004A7196" w:rsidRDefault="004A7196" w:rsidP="00506AF9">
            <w:pPr>
              <w:pStyle w:val="Odstavecseseznamem"/>
              <w:numPr>
                <w:ilvl w:val="0"/>
                <w:numId w:val="142"/>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506AF9">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506AF9">
            <w:pPr>
              <w:pStyle w:val="Odstavecseseznamem"/>
              <w:numPr>
                <w:ilvl w:val="0"/>
                <w:numId w:val="143"/>
              </w:numPr>
              <w:spacing w:before="0" w:line="240" w:lineRule="auto"/>
            </w:pPr>
            <w:r w:rsidRPr="00A34764">
              <w:t>Neprojevení zájmu poskytovatelů služeb o plnění cíle a</w:t>
            </w:r>
            <w:r w:rsidR="00765E51" w:rsidRPr="00A34764">
              <w:t> </w:t>
            </w:r>
            <w:r w:rsidRPr="00A34764">
              <w:t>opatření</w:t>
            </w:r>
          </w:p>
          <w:p w:rsidR="004A7196" w:rsidRPr="00A34764" w:rsidRDefault="004A7196" w:rsidP="00506AF9">
            <w:pPr>
              <w:pStyle w:val="Odstavecseseznamem"/>
              <w:numPr>
                <w:ilvl w:val="0"/>
                <w:numId w:val="143"/>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506AF9">
            <w:pPr>
              <w:pStyle w:val="Odstavecseseznamem"/>
              <w:numPr>
                <w:ilvl w:val="0"/>
                <w:numId w:val="143"/>
              </w:numPr>
              <w:spacing w:before="0" w:line="240" w:lineRule="auto"/>
            </w:pPr>
            <w:r w:rsidRPr="00A34764">
              <w:t>Nesplnění podmínek registrace poskytovaných sociálních služeb</w:t>
            </w:r>
          </w:p>
          <w:p w:rsidR="004A7196" w:rsidRPr="00A34764" w:rsidRDefault="004A7196" w:rsidP="00506AF9">
            <w:pPr>
              <w:pStyle w:val="Odstavecseseznamem"/>
              <w:numPr>
                <w:ilvl w:val="0"/>
                <w:numId w:val="143"/>
              </w:numPr>
              <w:spacing w:before="0" w:line="240" w:lineRule="auto"/>
            </w:pPr>
            <w:r w:rsidRPr="00A34764">
              <w:t>Nedostatek lidských zdrojů</w:t>
            </w:r>
          </w:p>
          <w:p w:rsidR="004A7196" w:rsidRPr="00A34764" w:rsidRDefault="004A7196" w:rsidP="00506AF9">
            <w:pPr>
              <w:pStyle w:val="Odstavecseseznamem"/>
              <w:numPr>
                <w:ilvl w:val="0"/>
                <w:numId w:val="143"/>
              </w:numPr>
              <w:spacing w:before="0" w:line="240" w:lineRule="auto"/>
            </w:pPr>
            <w:r w:rsidRPr="00A34764">
              <w:t>Nedostatek finančních prostředků z veřejných zdrojů</w:t>
            </w:r>
          </w:p>
          <w:p w:rsidR="004A7196" w:rsidRPr="00A34764" w:rsidRDefault="004A7196" w:rsidP="00506AF9">
            <w:pPr>
              <w:pStyle w:val="Odstavecseseznamem"/>
              <w:numPr>
                <w:ilvl w:val="0"/>
                <w:numId w:val="143"/>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506AF9">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506AF9">
            <w:pPr>
              <w:spacing w:before="0"/>
              <w:rPr>
                <w:rFonts w:eastAsia="Arial Unicode MS"/>
                <w:lang w:eastAsia="cs-CZ"/>
              </w:rPr>
            </w:pPr>
            <w:r w:rsidRPr="004A7196">
              <w:rPr>
                <w:rFonts w:eastAsia="Arial Unicode MS"/>
                <w:lang w:eastAsia="cs-CZ"/>
              </w:rPr>
              <w:t xml:space="preserve">Nové Zámky – poskytovatel sociálních služeb, </w:t>
            </w:r>
            <w:proofErr w:type="spellStart"/>
            <w:proofErr w:type="gramStart"/>
            <w:r w:rsidRPr="004A7196">
              <w:rPr>
                <w:rFonts w:eastAsia="Arial Unicode MS"/>
                <w:lang w:eastAsia="cs-CZ"/>
              </w:rPr>
              <w:t>p.o</w:t>
            </w:r>
            <w:proofErr w:type="spellEnd"/>
            <w:r w:rsidRPr="004A7196">
              <w:rPr>
                <w:rFonts w:eastAsia="Arial Unicode MS"/>
                <w:lang w:eastAsia="cs-CZ"/>
              </w:rPr>
              <w:t>.</w:t>
            </w:r>
            <w:proofErr w:type="gramEnd"/>
            <w:r w:rsidRPr="004A7196">
              <w:rPr>
                <w:rFonts w:eastAsia="Arial Unicode MS"/>
                <w:lang w:eastAsia="cs-CZ"/>
              </w:rPr>
              <w:t>;</w:t>
            </w:r>
          </w:p>
          <w:p w:rsidR="004A7196" w:rsidRPr="004A7196" w:rsidRDefault="004A7196" w:rsidP="00506AF9">
            <w:pPr>
              <w:spacing w:before="0"/>
              <w:rPr>
                <w:rFonts w:eastAsia="Arial Unicode MS"/>
                <w:lang w:eastAsia="cs-CZ"/>
              </w:rPr>
            </w:pPr>
            <w:proofErr w:type="spellStart"/>
            <w:r w:rsidRPr="004A7196">
              <w:rPr>
                <w:rFonts w:eastAsia="Arial Unicode MS"/>
                <w:lang w:eastAsia="cs-CZ"/>
              </w:rPr>
              <w:t>Vincentinum</w:t>
            </w:r>
            <w:proofErr w:type="spellEnd"/>
            <w:r w:rsidRPr="004A7196">
              <w:rPr>
                <w:rFonts w:eastAsia="Arial Unicode MS"/>
                <w:lang w:eastAsia="cs-CZ"/>
              </w:rPr>
              <w:t xml:space="preserve"> – poskytovatel sociálních služeb Šternberk, </w:t>
            </w:r>
            <w:proofErr w:type="spellStart"/>
            <w:proofErr w:type="gramStart"/>
            <w:r w:rsidRPr="004A7196">
              <w:rPr>
                <w:rFonts w:eastAsia="Arial Unicode MS"/>
                <w:lang w:eastAsia="cs-CZ"/>
              </w:rPr>
              <w:t>p.o</w:t>
            </w:r>
            <w:proofErr w:type="spellEnd"/>
            <w:r w:rsidRPr="004A7196">
              <w:rPr>
                <w:rFonts w:eastAsia="Arial Unicode MS"/>
                <w:lang w:eastAsia="cs-CZ"/>
              </w:rPr>
              <w:t>.</w:t>
            </w:r>
            <w:proofErr w:type="gramEnd"/>
            <w:r w:rsidRPr="004A7196">
              <w:rPr>
                <w:rFonts w:eastAsia="Arial Unicode MS"/>
                <w:lang w:eastAsia="cs-CZ"/>
              </w:rPr>
              <w:t>;</w:t>
            </w:r>
          </w:p>
          <w:p w:rsidR="004A7196" w:rsidRPr="004A7196" w:rsidRDefault="004A7196" w:rsidP="00506AF9">
            <w:pPr>
              <w:spacing w:before="0"/>
              <w:rPr>
                <w:rFonts w:eastAsia="Arial Unicode MS"/>
                <w:lang w:eastAsia="cs-CZ"/>
              </w:rPr>
            </w:pPr>
            <w:r w:rsidRPr="004A7196">
              <w:rPr>
                <w:rFonts w:eastAsia="Arial Unicode MS"/>
                <w:lang w:eastAsia="cs-CZ"/>
              </w:rPr>
              <w:t xml:space="preserve">Centrum Dominika Kokory, </w:t>
            </w:r>
            <w:proofErr w:type="spellStart"/>
            <w:proofErr w:type="gramStart"/>
            <w:r w:rsidRPr="004A7196">
              <w:rPr>
                <w:rFonts w:eastAsia="Arial Unicode MS"/>
                <w:lang w:eastAsia="cs-CZ"/>
              </w:rPr>
              <w:t>p.o</w:t>
            </w:r>
            <w:proofErr w:type="spellEnd"/>
            <w:r w:rsidRPr="004A7196">
              <w:rPr>
                <w:rFonts w:eastAsia="Arial Unicode MS"/>
                <w:lang w:eastAsia="cs-CZ"/>
              </w:rPr>
              <w:t>.</w:t>
            </w:r>
            <w:proofErr w:type="gramEnd"/>
            <w:r w:rsidRPr="004A7196">
              <w:rPr>
                <w:rFonts w:eastAsia="Arial Unicode MS"/>
                <w:lang w:eastAsia="cs-CZ"/>
              </w:rPr>
              <w:t>;</w:t>
            </w:r>
          </w:p>
          <w:p w:rsidR="004A7196" w:rsidRPr="004A7196" w:rsidRDefault="004A7196" w:rsidP="00506AF9">
            <w:pPr>
              <w:spacing w:before="0"/>
              <w:rPr>
                <w:rFonts w:eastAsia="Arial Unicode MS"/>
                <w:lang w:eastAsia="cs-CZ"/>
              </w:rPr>
            </w:pPr>
            <w:r w:rsidRPr="004A7196">
              <w:rPr>
                <w:rFonts w:eastAsia="Arial Unicode MS"/>
                <w:lang w:eastAsia="cs-CZ"/>
              </w:rPr>
              <w:t xml:space="preserve">Domov Na zámečku Rokytnice, </w:t>
            </w:r>
            <w:proofErr w:type="spellStart"/>
            <w:proofErr w:type="gramStart"/>
            <w:r w:rsidRPr="004A7196">
              <w:rPr>
                <w:rFonts w:eastAsia="Arial Unicode MS"/>
                <w:lang w:eastAsia="cs-CZ"/>
              </w:rPr>
              <w:t>p.o</w:t>
            </w:r>
            <w:proofErr w:type="spellEnd"/>
            <w:r w:rsidRPr="004A7196">
              <w:rPr>
                <w:rFonts w:eastAsia="Arial Unicode MS"/>
                <w:lang w:eastAsia="cs-CZ"/>
              </w:rPr>
              <w:t>.</w:t>
            </w:r>
            <w:proofErr w:type="gramEnd"/>
            <w:r w:rsidRPr="004A7196">
              <w:rPr>
                <w:rFonts w:eastAsia="Arial Unicode MS"/>
                <w:lang w:eastAsia="cs-CZ"/>
              </w:rPr>
              <w:t>;</w:t>
            </w:r>
          </w:p>
          <w:p w:rsidR="004A7196" w:rsidRPr="004A7196" w:rsidRDefault="004A7196" w:rsidP="00506AF9">
            <w:pPr>
              <w:spacing w:before="0"/>
              <w:rPr>
                <w:rFonts w:eastAsia="Arial Unicode MS"/>
                <w:lang w:eastAsia="cs-CZ"/>
              </w:rPr>
            </w:pPr>
            <w:r w:rsidRPr="004A7196">
              <w:rPr>
                <w:rFonts w:eastAsia="Arial Unicode MS"/>
                <w:lang w:eastAsia="cs-CZ"/>
              </w:rPr>
              <w:t xml:space="preserve">Domov „Na Zámku“, </w:t>
            </w:r>
            <w:proofErr w:type="spellStart"/>
            <w:proofErr w:type="gramStart"/>
            <w:r w:rsidRPr="004A7196">
              <w:rPr>
                <w:rFonts w:eastAsia="Arial Unicode MS"/>
                <w:lang w:eastAsia="cs-CZ"/>
              </w:rPr>
              <w:t>p.o</w:t>
            </w:r>
            <w:proofErr w:type="spellEnd"/>
            <w:r w:rsidRPr="004A7196">
              <w:rPr>
                <w:rFonts w:eastAsia="Arial Unicode MS"/>
                <w:lang w:eastAsia="cs-CZ"/>
              </w:rPr>
              <w:t>.</w:t>
            </w:r>
            <w:proofErr w:type="gramEnd"/>
          </w:p>
          <w:p w:rsidR="004A7196" w:rsidRPr="004A7196" w:rsidRDefault="004A7196" w:rsidP="00506AF9">
            <w:pPr>
              <w:spacing w:before="0"/>
              <w:rPr>
                <w:rFonts w:eastAsia="Arial Unicode MS"/>
                <w:lang w:eastAsia="cs-CZ"/>
              </w:rPr>
            </w:pPr>
            <w:r w:rsidRPr="004A7196">
              <w:rPr>
                <w:rFonts w:eastAsia="Arial Unicode MS"/>
                <w:lang w:eastAsia="cs-CZ"/>
              </w:rPr>
              <w:t xml:space="preserve">Domov Paprsek Olšany, </w:t>
            </w:r>
            <w:proofErr w:type="spellStart"/>
            <w:proofErr w:type="gramStart"/>
            <w:r w:rsidRPr="004A7196">
              <w:rPr>
                <w:rFonts w:eastAsia="Arial Unicode MS"/>
                <w:lang w:eastAsia="cs-CZ"/>
              </w:rPr>
              <w:t>p.o</w:t>
            </w:r>
            <w:proofErr w:type="spellEnd"/>
            <w:r w:rsidRPr="004A7196">
              <w:rPr>
                <w:rFonts w:eastAsia="Arial Unicode MS"/>
                <w:lang w:eastAsia="cs-CZ"/>
              </w:rPr>
              <w:t>.</w:t>
            </w:r>
            <w:proofErr w:type="gramEnd"/>
            <w:r w:rsidRPr="004A7196">
              <w:rPr>
                <w:rFonts w:eastAsia="Arial Unicode MS"/>
                <w:lang w:eastAsia="cs-CZ"/>
              </w:rPr>
              <w:t>;</w:t>
            </w:r>
          </w:p>
          <w:p w:rsidR="004A7196" w:rsidRPr="004A7196" w:rsidRDefault="004A7196" w:rsidP="00506AF9">
            <w:pPr>
              <w:spacing w:before="0"/>
              <w:rPr>
                <w:rFonts w:eastAsia="Arial Unicode MS"/>
                <w:lang w:eastAsia="cs-CZ"/>
              </w:rPr>
            </w:pPr>
            <w:r w:rsidRPr="004A7196">
              <w:rPr>
                <w:rFonts w:eastAsia="Arial Unicode MS"/>
                <w:lang w:eastAsia="cs-CZ"/>
              </w:rPr>
              <w:t xml:space="preserve">Domov Větrný mlýn Skalička, </w:t>
            </w:r>
            <w:proofErr w:type="spellStart"/>
            <w:proofErr w:type="gramStart"/>
            <w:r w:rsidRPr="004A7196">
              <w:rPr>
                <w:rFonts w:eastAsia="Arial Unicode MS"/>
                <w:lang w:eastAsia="cs-CZ"/>
              </w:rPr>
              <w:t>p.o</w:t>
            </w:r>
            <w:proofErr w:type="spellEnd"/>
            <w:r w:rsidRPr="004A7196">
              <w:rPr>
                <w:rFonts w:eastAsia="Arial Unicode MS"/>
                <w:lang w:eastAsia="cs-CZ"/>
              </w:rPr>
              <w:t>.</w:t>
            </w:r>
            <w:proofErr w:type="gramEnd"/>
            <w:r w:rsidRPr="004A7196">
              <w:rPr>
                <w:rFonts w:eastAsia="Arial Unicode MS"/>
                <w:lang w:eastAsia="cs-CZ"/>
              </w:rPr>
              <w:t>;</w:t>
            </w:r>
          </w:p>
        </w:tc>
      </w:tr>
      <w:tr w:rsidR="004A7196" w:rsidRPr="004A7196" w:rsidTr="00506AF9">
        <w:trPr>
          <w:trHeight w:val="397"/>
          <w:jc w:val="center"/>
        </w:trPr>
        <w:tc>
          <w:tcPr>
            <w:tcW w:w="1249" w:type="pct"/>
            <w:shd w:val="clear" w:color="auto" w:fill="CCECFF"/>
          </w:tcPr>
          <w:p w:rsidR="004A7196" w:rsidRPr="00D55950" w:rsidRDefault="004A7196" w:rsidP="00506AF9">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506AF9">
            <w:pPr>
              <w:spacing w:before="0"/>
              <w:rPr>
                <w:rFonts w:eastAsia="Arial Unicode MS"/>
                <w:lang w:eastAsia="cs-CZ"/>
              </w:rPr>
            </w:pPr>
            <w:r w:rsidRPr="004A7196">
              <w:rPr>
                <w:rFonts w:eastAsia="Arial Unicode MS"/>
                <w:lang w:eastAsia="cs-CZ"/>
              </w:rPr>
              <w:t>2024–2026</w:t>
            </w:r>
          </w:p>
        </w:tc>
      </w:tr>
      <w:tr w:rsidR="00C5783C" w:rsidRPr="004A7196" w:rsidTr="00506AF9">
        <w:trPr>
          <w:trHeight w:val="397"/>
          <w:jc w:val="center"/>
        </w:trPr>
        <w:tc>
          <w:tcPr>
            <w:tcW w:w="1249" w:type="pct"/>
            <w:shd w:val="clear" w:color="auto" w:fill="CCECFF"/>
          </w:tcPr>
          <w:p w:rsidR="00C5783C" w:rsidRPr="00D55950" w:rsidRDefault="00C5783C" w:rsidP="00506AF9">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C5783C" w:rsidRPr="004A7196" w:rsidRDefault="00C5783C" w:rsidP="00506AF9">
            <w:pPr>
              <w:spacing w:before="0"/>
              <w:rPr>
                <w:rFonts w:eastAsia="Arial Unicode MS"/>
                <w:lang w:eastAsia="cs-CZ"/>
              </w:rPr>
            </w:pPr>
            <w:r w:rsidRPr="004A7196">
              <w:t>Veřejné zdroje, evropské zdroje a ostatní zdroje financování</w:t>
            </w:r>
          </w:p>
        </w:tc>
      </w:tr>
      <w:tr w:rsidR="00C5783C" w:rsidRPr="004A7196" w:rsidTr="00506AF9">
        <w:trPr>
          <w:trHeight w:val="397"/>
          <w:jc w:val="center"/>
        </w:trPr>
        <w:tc>
          <w:tcPr>
            <w:tcW w:w="1249" w:type="pct"/>
            <w:shd w:val="clear" w:color="auto" w:fill="CCECFF"/>
          </w:tcPr>
          <w:p w:rsidR="00C5783C" w:rsidRPr="00D55950" w:rsidRDefault="00C5783C" w:rsidP="00506AF9">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C5783C" w:rsidRPr="00A34764" w:rsidRDefault="00C5783C" w:rsidP="00506AF9">
            <w:pPr>
              <w:pStyle w:val="Odstavecseseznamem"/>
              <w:numPr>
                <w:ilvl w:val="0"/>
                <w:numId w:val="15"/>
              </w:numPr>
              <w:spacing w:before="0" w:line="240" w:lineRule="auto"/>
            </w:pPr>
            <w:r w:rsidRPr="00A34764">
              <w:t>Zajištění rozvoje sociální služby v daném regionu</w:t>
            </w:r>
          </w:p>
          <w:p w:rsidR="00C5783C" w:rsidRPr="00A34764" w:rsidRDefault="00C5783C" w:rsidP="00506AF9">
            <w:pPr>
              <w:pStyle w:val="Odstavecseseznamem"/>
              <w:numPr>
                <w:ilvl w:val="0"/>
                <w:numId w:val="15"/>
              </w:numPr>
              <w:spacing w:before="0" w:line="240" w:lineRule="auto"/>
            </w:pPr>
            <w:r w:rsidRPr="00A34764">
              <w:t>Aktualizace sítě sociálních služeb dle schválených změn</w:t>
            </w:r>
          </w:p>
        </w:tc>
      </w:tr>
    </w:tbl>
    <w:p w:rsidR="004A7196" w:rsidRPr="004A7196" w:rsidRDefault="004A7196" w:rsidP="00D55950">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4A7196" w:rsidRPr="004A7196" w:rsidTr="00506AF9">
        <w:trPr>
          <w:trHeight w:val="397"/>
          <w:jc w:val="center"/>
        </w:trPr>
        <w:tc>
          <w:tcPr>
            <w:tcW w:w="1249" w:type="pct"/>
            <w:shd w:val="clear" w:color="auto" w:fill="FABF8F"/>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lastRenderedPageBreak/>
              <w:t>Cíl 2.13</w:t>
            </w:r>
          </w:p>
        </w:tc>
        <w:tc>
          <w:tcPr>
            <w:tcW w:w="3751" w:type="pct"/>
            <w:shd w:val="clear" w:color="auto" w:fill="FABF8F"/>
          </w:tcPr>
          <w:p w:rsidR="004A7196" w:rsidRPr="00D55950" w:rsidRDefault="004A7196" w:rsidP="00506AF9">
            <w:pPr>
              <w:keepNext/>
              <w:spacing w:before="0"/>
              <w:rPr>
                <w:rFonts w:eastAsia="Arial Unicode MS"/>
                <w:b/>
                <w:lang w:eastAsia="cs-CZ"/>
              </w:rPr>
            </w:pPr>
            <w:r w:rsidRPr="00D55950">
              <w:rPr>
                <w:rFonts w:eastAsia="Arial Unicode MS"/>
                <w:b/>
                <w:lang w:eastAsia="cs-CZ"/>
              </w:rPr>
              <w:t>Podpora rozvoje služeb související s procesy Reformy psychiatrické péče pro osoby se zdravotním postižením</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Kód opatření</w:t>
            </w:r>
          </w:p>
        </w:tc>
        <w:tc>
          <w:tcPr>
            <w:tcW w:w="3751" w:type="pct"/>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2.13.1</w:t>
            </w:r>
          </w:p>
        </w:tc>
      </w:tr>
      <w:tr w:rsidR="004A7196" w:rsidRPr="004A7196" w:rsidTr="00506AF9">
        <w:trPr>
          <w:trHeight w:val="397"/>
          <w:jc w:val="center"/>
        </w:trPr>
        <w:tc>
          <w:tcPr>
            <w:tcW w:w="1249" w:type="pct"/>
            <w:shd w:val="clear" w:color="auto" w:fill="E2EFD9" w:themeFill="accent6" w:themeFillTint="33"/>
          </w:tcPr>
          <w:p w:rsidR="004A7196" w:rsidRPr="00D55950" w:rsidRDefault="004A7196" w:rsidP="00506AF9">
            <w:pPr>
              <w:keepNext/>
              <w:spacing w:before="0"/>
              <w:jc w:val="left"/>
              <w:rPr>
                <w:rFonts w:eastAsia="Arial Unicode MS"/>
                <w:b/>
                <w:lang w:eastAsia="cs-CZ"/>
              </w:rPr>
            </w:pPr>
            <w:r w:rsidRPr="00D55950">
              <w:rPr>
                <w:rFonts w:eastAsia="Arial Unicode MS"/>
                <w:b/>
                <w:lang w:eastAsia="cs-CZ"/>
              </w:rPr>
              <w:t>Název opatření</w:t>
            </w:r>
          </w:p>
        </w:tc>
        <w:tc>
          <w:tcPr>
            <w:tcW w:w="3751" w:type="pct"/>
            <w:shd w:val="clear" w:color="auto" w:fill="E2EFD9" w:themeFill="accent6" w:themeFillTint="33"/>
          </w:tcPr>
          <w:p w:rsidR="004A7196" w:rsidRPr="00D55950" w:rsidRDefault="004A7196" w:rsidP="00506AF9">
            <w:pPr>
              <w:keepNext/>
              <w:spacing w:before="0"/>
              <w:rPr>
                <w:rFonts w:eastAsia="Arial Unicode MS"/>
                <w:b/>
                <w:lang w:eastAsia="cs-CZ"/>
              </w:rPr>
            </w:pPr>
            <w:r w:rsidRPr="00D55950">
              <w:rPr>
                <w:rFonts w:eastAsia="Arial Unicode MS"/>
                <w:b/>
                <w:lang w:eastAsia="cs-CZ"/>
              </w:rPr>
              <w:t>Zajištění vybraných druhů sociálních služeb pro osoby s chronickým duševním onemocněním odpovídající nedostupným kapacitám služeb v OK</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Charakteristika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směřuje k zajištění dostupných kapacit níže uvedených druhů sociálních služeb osobám s chronickým duševním onemocněním (z okruhu psychóz) souvisejících s ukončováním jejich zdravotní složky péče a</w:t>
            </w:r>
            <w:r w:rsidR="000B266F">
              <w:rPr>
                <w:rFonts w:eastAsia="Arial Unicode MS"/>
                <w:lang w:eastAsia="cs-CZ"/>
              </w:rPr>
              <w:t> </w:t>
            </w:r>
            <w:r w:rsidRPr="004A7196">
              <w:rPr>
                <w:rFonts w:eastAsia="Arial Unicode MS"/>
                <w:lang w:eastAsia="cs-CZ"/>
              </w:rPr>
              <w:t>přechodem do přirozeného prostředí za podpory odpovídajících druhů sociálních služeb, jež zabezpečí potřeby těchto osob při pobytu v komunitě a při jejich sociálním začleňování.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Cílová skupina</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Osoby s chronickým duševním onemocněním</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Druh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Podpora samostatného bydlení (§ 43)</w:t>
            </w:r>
          </w:p>
          <w:p w:rsidR="004A7196" w:rsidRPr="004A7196" w:rsidRDefault="004A7196" w:rsidP="00D55950">
            <w:pPr>
              <w:spacing w:before="0"/>
              <w:rPr>
                <w:rFonts w:eastAsia="Arial Unicode MS"/>
                <w:lang w:eastAsia="cs-CZ"/>
              </w:rPr>
            </w:pPr>
            <w:r w:rsidRPr="004A7196">
              <w:rPr>
                <w:rFonts w:eastAsia="Arial Unicode MS"/>
                <w:lang w:eastAsia="cs-CZ"/>
              </w:rPr>
              <w:t>Domovy se zvláštním režimem (§ 49)</w:t>
            </w:r>
          </w:p>
          <w:p w:rsidR="004A7196" w:rsidRPr="004A7196" w:rsidRDefault="004A7196" w:rsidP="00D55950">
            <w:pPr>
              <w:spacing w:before="0"/>
              <w:rPr>
                <w:rFonts w:eastAsia="Arial Unicode MS"/>
                <w:lang w:eastAsia="cs-CZ"/>
              </w:rPr>
            </w:pPr>
            <w:r w:rsidRPr="004A7196">
              <w:rPr>
                <w:rFonts w:eastAsia="Arial Unicode MS"/>
                <w:lang w:eastAsia="cs-CZ"/>
              </w:rPr>
              <w:t>Chráněné bydlení (§ 51)</w:t>
            </w:r>
          </w:p>
          <w:p w:rsidR="004A7196" w:rsidRPr="004A7196" w:rsidRDefault="004A7196" w:rsidP="00D55950">
            <w:pPr>
              <w:spacing w:before="0"/>
              <w:rPr>
                <w:rFonts w:eastAsia="Arial Unicode MS"/>
                <w:lang w:eastAsia="cs-CZ"/>
              </w:rPr>
            </w:pPr>
            <w:r w:rsidRPr="004A7196">
              <w:rPr>
                <w:rFonts w:eastAsia="Arial Unicode MS"/>
                <w:lang w:eastAsia="cs-CZ"/>
              </w:rPr>
              <w:t>Sociálně aktivizační služby pro seniory a osoby se zdravotním postižením (§</w:t>
            </w:r>
            <w:r w:rsidR="000B266F">
              <w:rPr>
                <w:rFonts w:eastAsia="Arial Unicode MS"/>
                <w:lang w:eastAsia="cs-CZ"/>
              </w:rPr>
              <w:t> </w:t>
            </w:r>
            <w:r w:rsidRPr="004A7196">
              <w:rPr>
                <w:rFonts w:eastAsia="Arial Unicode MS"/>
                <w:lang w:eastAsia="cs-CZ"/>
              </w:rPr>
              <w:t>66)</w:t>
            </w:r>
          </w:p>
          <w:p w:rsidR="004A7196" w:rsidRPr="004A7196" w:rsidRDefault="004A7196" w:rsidP="00D55950">
            <w:pPr>
              <w:spacing w:before="0"/>
              <w:rPr>
                <w:rFonts w:eastAsia="Arial Unicode MS"/>
                <w:lang w:eastAsia="cs-CZ"/>
              </w:rPr>
            </w:pPr>
            <w:r w:rsidRPr="004A7196">
              <w:rPr>
                <w:rFonts w:eastAsia="Arial Unicode MS"/>
                <w:lang w:eastAsia="cs-CZ"/>
              </w:rPr>
              <w:t>Sociální rehabilitace (§ 70)</w:t>
            </w:r>
          </w:p>
          <w:p w:rsidR="004A7196" w:rsidRPr="004A7196" w:rsidRDefault="004A7196" w:rsidP="00D55950">
            <w:pPr>
              <w:spacing w:before="0"/>
              <w:rPr>
                <w:rFonts w:eastAsia="Arial Unicode MS"/>
                <w:lang w:eastAsia="cs-CZ"/>
              </w:rPr>
            </w:pPr>
            <w:r w:rsidRPr="004A7196">
              <w:rPr>
                <w:rFonts w:eastAsia="Arial Unicode MS"/>
                <w:lang w:eastAsia="cs-CZ"/>
              </w:rPr>
              <w:t>Centrum duševního zdraví</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Forma služby</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Ambulantní</w:t>
            </w:r>
          </w:p>
          <w:p w:rsidR="004A7196" w:rsidRPr="004A7196" w:rsidRDefault="004A7196" w:rsidP="00D55950">
            <w:pPr>
              <w:spacing w:before="0"/>
              <w:rPr>
                <w:rFonts w:eastAsia="Arial Unicode MS"/>
                <w:lang w:eastAsia="cs-CZ"/>
              </w:rPr>
            </w:pPr>
            <w:r w:rsidRPr="004A7196">
              <w:rPr>
                <w:rFonts w:eastAsia="Arial Unicode MS"/>
                <w:lang w:eastAsia="cs-CZ"/>
              </w:rPr>
              <w:t>Terénní</w:t>
            </w:r>
          </w:p>
          <w:p w:rsidR="004A7196" w:rsidRPr="004A7196" w:rsidRDefault="004A7196" w:rsidP="00D55950">
            <w:pPr>
              <w:spacing w:before="0"/>
              <w:rPr>
                <w:rFonts w:eastAsia="Arial Unicode MS"/>
                <w:lang w:eastAsia="cs-CZ"/>
              </w:rPr>
            </w:pPr>
            <w:r w:rsidRPr="004A7196">
              <w:rPr>
                <w:rFonts w:eastAsia="Arial Unicode MS"/>
                <w:lang w:eastAsia="cs-CZ"/>
              </w:rPr>
              <w:t>Pobytová</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Vymezení územního dopadu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 xml:space="preserve">OK </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Předpokládaný dopad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Opatření má dopad na osoby s chronickým duševním onemocněním, které budou přecházet ze zdravotní služby do přirozeného prostředí za podpory a pomoci vybraných druhů sociálních služeb.</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Aktivity vedoucí k naplnění opatření</w:t>
            </w:r>
          </w:p>
        </w:tc>
        <w:tc>
          <w:tcPr>
            <w:tcW w:w="3751" w:type="pct"/>
          </w:tcPr>
          <w:p w:rsidR="004A7196" w:rsidRPr="004A7196" w:rsidRDefault="004A7196" w:rsidP="00D55950">
            <w:pPr>
              <w:pStyle w:val="Odstavecseseznamem"/>
              <w:numPr>
                <w:ilvl w:val="0"/>
                <w:numId w:val="146"/>
              </w:numPr>
              <w:spacing w:before="0" w:line="240" w:lineRule="auto"/>
            </w:pPr>
            <w:r w:rsidRPr="004A7196">
              <w:t>Projednání předloženého záměru poskytovatele sociálních služeb v souladu se schválenými postupy pro aktualizaci sítě sociálních služeb OK</w:t>
            </w:r>
          </w:p>
          <w:p w:rsidR="004A7196" w:rsidRPr="004A7196" w:rsidRDefault="004A7196" w:rsidP="00D55950">
            <w:pPr>
              <w:pStyle w:val="Odstavecseseznamem"/>
              <w:numPr>
                <w:ilvl w:val="0"/>
                <w:numId w:val="146"/>
              </w:numPr>
              <w:spacing w:before="0" w:line="240" w:lineRule="auto"/>
            </w:pPr>
            <w:r w:rsidRPr="004A7196">
              <w:t>Při vyjádření pozitivního stanoviska OK aktualizace sítě sociálních služeb dle schválených změn</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b/>
              </w:rPr>
              <w:t>Rizika a ohrožení naplnění opatření</w:t>
            </w:r>
          </w:p>
        </w:tc>
        <w:tc>
          <w:tcPr>
            <w:tcW w:w="3751" w:type="pct"/>
          </w:tcPr>
          <w:p w:rsidR="004A7196" w:rsidRPr="00A34764" w:rsidRDefault="004A7196" w:rsidP="00D55950">
            <w:pPr>
              <w:pStyle w:val="Odstavecseseznamem"/>
              <w:numPr>
                <w:ilvl w:val="0"/>
                <w:numId w:val="147"/>
              </w:numPr>
              <w:spacing w:before="0" w:line="240" w:lineRule="auto"/>
            </w:pPr>
            <w:r w:rsidRPr="00A34764">
              <w:t>Neprojevení zájmu poskytovatelů služeb o plnění cíle a</w:t>
            </w:r>
            <w:r w:rsidR="00765E51" w:rsidRPr="00A34764">
              <w:t> </w:t>
            </w:r>
            <w:r w:rsidRPr="00A34764">
              <w:t>opatření</w:t>
            </w:r>
          </w:p>
          <w:p w:rsidR="004A7196" w:rsidRPr="00A34764" w:rsidRDefault="004A7196" w:rsidP="00D55950">
            <w:pPr>
              <w:pStyle w:val="Odstavecseseznamem"/>
              <w:numPr>
                <w:ilvl w:val="0"/>
                <w:numId w:val="147"/>
              </w:numPr>
              <w:spacing w:before="0" w:line="240" w:lineRule="auto"/>
            </w:pPr>
            <w:r w:rsidRPr="00A34764">
              <w:t>Nesplnění kritérií dle Postupu pro aktualizaci sítě sociálních služeb OK vedoucí k neschválení žádosti poskytovatele</w:t>
            </w:r>
          </w:p>
          <w:p w:rsidR="004A7196" w:rsidRPr="00A34764" w:rsidRDefault="004A7196" w:rsidP="00D55950">
            <w:pPr>
              <w:pStyle w:val="Odstavecseseznamem"/>
              <w:numPr>
                <w:ilvl w:val="0"/>
                <w:numId w:val="147"/>
              </w:numPr>
              <w:spacing w:before="0" w:line="240" w:lineRule="auto"/>
            </w:pPr>
            <w:r w:rsidRPr="00A34764">
              <w:t>Nesplnění podmínek registrace poskytovaných sociálních služeb</w:t>
            </w:r>
          </w:p>
          <w:p w:rsidR="004A7196" w:rsidRPr="00A34764" w:rsidRDefault="004A7196" w:rsidP="00D55950">
            <w:pPr>
              <w:pStyle w:val="Odstavecseseznamem"/>
              <w:numPr>
                <w:ilvl w:val="0"/>
                <w:numId w:val="147"/>
              </w:numPr>
              <w:spacing w:before="0" w:line="240" w:lineRule="auto"/>
            </w:pPr>
            <w:r w:rsidRPr="00A34764">
              <w:t>Nedostatek lidských zdrojů</w:t>
            </w:r>
          </w:p>
          <w:p w:rsidR="004A7196" w:rsidRPr="00A34764" w:rsidRDefault="004A7196" w:rsidP="00D55950">
            <w:pPr>
              <w:pStyle w:val="Odstavecseseznamem"/>
              <w:numPr>
                <w:ilvl w:val="0"/>
                <w:numId w:val="147"/>
              </w:numPr>
              <w:spacing w:before="0" w:line="240" w:lineRule="auto"/>
            </w:pPr>
            <w:r w:rsidRPr="00A34764">
              <w:t>Nedostatek finančních prostředků z veřejných zdrojů</w:t>
            </w:r>
          </w:p>
          <w:p w:rsidR="004A7196" w:rsidRPr="00A34764" w:rsidRDefault="004A7196" w:rsidP="00D55950">
            <w:pPr>
              <w:pStyle w:val="Odstavecseseznamem"/>
              <w:numPr>
                <w:ilvl w:val="0"/>
                <w:numId w:val="147"/>
              </w:numPr>
              <w:spacing w:before="0" w:line="240" w:lineRule="auto"/>
            </w:pPr>
            <w:r w:rsidRPr="00A34764">
              <w:t>Legislativní změny</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 xml:space="preserve">Předpokládaní realizátoři </w:t>
            </w:r>
            <w:r w:rsidRPr="00D55950">
              <w:rPr>
                <w:rFonts w:eastAsia="Arial Unicode MS"/>
                <w:b/>
                <w:lang w:eastAsia="cs-CZ"/>
              </w:rPr>
              <w:br/>
              <w:t>a partneři opatření</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4A7196" w:rsidRPr="004A7196" w:rsidTr="00506AF9">
        <w:trPr>
          <w:trHeight w:val="397"/>
          <w:jc w:val="center"/>
        </w:trPr>
        <w:tc>
          <w:tcPr>
            <w:tcW w:w="1249" w:type="pct"/>
            <w:shd w:val="clear" w:color="auto" w:fill="CCECFF"/>
          </w:tcPr>
          <w:p w:rsidR="004A7196" w:rsidRPr="00D55950" w:rsidRDefault="004A7196" w:rsidP="00D55950">
            <w:pPr>
              <w:spacing w:before="0"/>
              <w:jc w:val="left"/>
              <w:rPr>
                <w:rFonts w:eastAsia="Arial Unicode MS"/>
                <w:b/>
                <w:lang w:eastAsia="cs-CZ"/>
              </w:rPr>
            </w:pPr>
            <w:r w:rsidRPr="00D55950">
              <w:rPr>
                <w:rFonts w:eastAsia="Arial Unicode MS"/>
                <w:b/>
                <w:lang w:eastAsia="cs-CZ"/>
              </w:rPr>
              <w:t>Časový harmonogram</w:t>
            </w:r>
          </w:p>
        </w:tc>
        <w:tc>
          <w:tcPr>
            <w:tcW w:w="3751" w:type="pct"/>
          </w:tcPr>
          <w:p w:rsidR="004A7196" w:rsidRPr="004A7196" w:rsidRDefault="004A7196" w:rsidP="00D55950">
            <w:pPr>
              <w:spacing w:before="0"/>
              <w:rPr>
                <w:rFonts w:eastAsia="Arial Unicode MS"/>
                <w:lang w:eastAsia="cs-CZ"/>
              </w:rPr>
            </w:pPr>
            <w:r w:rsidRPr="004A7196">
              <w:rPr>
                <w:rFonts w:eastAsia="Arial Unicode MS"/>
                <w:lang w:eastAsia="cs-CZ"/>
              </w:rPr>
              <w:t>2024–2026</w:t>
            </w:r>
          </w:p>
        </w:tc>
      </w:tr>
      <w:tr w:rsidR="00C5783C" w:rsidRPr="004A7196" w:rsidTr="00506AF9">
        <w:trPr>
          <w:trHeight w:val="397"/>
          <w:jc w:val="center"/>
        </w:trPr>
        <w:tc>
          <w:tcPr>
            <w:tcW w:w="1249" w:type="pct"/>
            <w:shd w:val="clear" w:color="auto" w:fill="CCECFF"/>
          </w:tcPr>
          <w:p w:rsidR="00C5783C" w:rsidRPr="00D55950" w:rsidRDefault="00C5783C" w:rsidP="00D55950">
            <w:pPr>
              <w:spacing w:before="0"/>
              <w:jc w:val="left"/>
              <w:rPr>
                <w:rFonts w:eastAsia="Arial Unicode MS"/>
                <w:b/>
                <w:lang w:eastAsia="cs-CZ"/>
              </w:rPr>
            </w:pPr>
            <w:r w:rsidRPr="00D55950">
              <w:rPr>
                <w:rFonts w:eastAsia="Arial Unicode MS"/>
                <w:b/>
                <w:lang w:eastAsia="cs-CZ"/>
              </w:rPr>
              <w:t>Předpokládané finanční zdroje</w:t>
            </w:r>
          </w:p>
        </w:tc>
        <w:tc>
          <w:tcPr>
            <w:tcW w:w="3751" w:type="pct"/>
          </w:tcPr>
          <w:p w:rsidR="00C5783C" w:rsidRPr="004A7196" w:rsidRDefault="00C5783C" w:rsidP="00D55950">
            <w:pPr>
              <w:spacing w:before="0"/>
              <w:rPr>
                <w:rFonts w:eastAsia="Arial Unicode MS"/>
                <w:lang w:eastAsia="cs-CZ"/>
              </w:rPr>
            </w:pPr>
            <w:r w:rsidRPr="004A7196">
              <w:t>Veřejné zdroje, evropské zdroje a ostatní zdroje financování</w:t>
            </w:r>
          </w:p>
        </w:tc>
      </w:tr>
      <w:tr w:rsidR="00C5783C" w:rsidRPr="004A7196" w:rsidTr="00506AF9">
        <w:trPr>
          <w:trHeight w:val="397"/>
          <w:jc w:val="center"/>
        </w:trPr>
        <w:tc>
          <w:tcPr>
            <w:tcW w:w="1249" w:type="pct"/>
            <w:shd w:val="clear" w:color="auto" w:fill="CCECFF"/>
          </w:tcPr>
          <w:p w:rsidR="00C5783C" w:rsidRPr="00D55950" w:rsidRDefault="00C5783C" w:rsidP="00D55950">
            <w:pPr>
              <w:spacing w:before="0"/>
              <w:jc w:val="left"/>
              <w:rPr>
                <w:rFonts w:eastAsia="Arial Unicode MS"/>
                <w:b/>
                <w:lang w:eastAsia="cs-CZ"/>
              </w:rPr>
            </w:pPr>
            <w:r w:rsidRPr="00D55950">
              <w:rPr>
                <w:rFonts w:eastAsia="Arial Unicode MS"/>
                <w:b/>
                <w:lang w:eastAsia="cs-CZ"/>
              </w:rPr>
              <w:t>Hodnotící indikátory výstupů a výsledků</w:t>
            </w:r>
          </w:p>
        </w:tc>
        <w:tc>
          <w:tcPr>
            <w:tcW w:w="3751" w:type="pct"/>
          </w:tcPr>
          <w:p w:rsidR="00C5783C" w:rsidRPr="00A34764" w:rsidRDefault="00C5783C" w:rsidP="00D55950">
            <w:pPr>
              <w:pStyle w:val="Odstavecseseznamem"/>
              <w:numPr>
                <w:ilvl w:val="0"/>
                <w:numId w:val="15"/>
              </w:numPr>
              <w:spacing w:before="0" w:line="240" w:lineRule="auto"/>
            </w:pPr>
            <w:r w:rsidRPr="00A34764">
              <w:t>Zajištění rozvoje sociální služby v daném regionu</w:t>
            </w:r>
          </w:p>
          <w:p w:rsidR="00C5783C" w:rsidRPr="00A34764" w:rsidRDefault="00C5783C" w:rsidP="00D55950">
            <w:pPr>
              <w:pStyle w:val="Odstavecseseznamem"/>
              <w:numPr>
                <w:ilvl w:val="0"/>
                <w:numId w:val="15"/>
              </w:numPr>
              <w:spacing w:before="0" w:line="240" w:lineRule="auto"/>
            </w:pPr>
            <w:r w:rsidRPr="00A34764">
              <w:t>Aktualizace sítě sociálních služeb dle schválených změn</w:t>
            </w:r>
          </w:p>
        </w:tc>
      </w:tr>
    </w:tbl>
    <w:p w:rsidR="00C5783C" w:rsidRDefault="00C5783C" w:rsidP="00A34764">
      <w:pPr>
        <w:rPr>
          <w:rFonts w:eastAsia="Arial Unicode MS" w:cs="Segoe UI"/>
          <w:color w:val="548DD4"/>
          <w:sz w:val="28"/>
          <w:szCs w:val="28"/>
          <w:lang w:eastAsia="cs-CZ"/>
          <w14:textFill>
            <w14:solidFill>
              <w14:srgbClr w14:val="548DD4">
                <w14:shade w14:val="30000"/>
                <w14:satMod w14:val="115000"/>
              </w14:srgbClr>
            </w14:solidFill>
          </w14:textFill>
        </w:rPr>
      </w:pPr>
      <w:bookmarkStart w:id="208" w:name="_Toc22896389"/>
      <w:bookmarkStart w:id="209" w:name="_Toc111537478"/>
      <w:bookmarkStart w:id="210" w:name="_Toc113622087"/>
      <w:r>
        <w:br w:type="page"/>
      </w:r>
    </w:p>
    <w:p w:rsidR="00FB1999" w:rsidRPr="007C2EB2" w:rsidRDefault="00FB1999" w:rsidP="00A34764">
      <w:pPr>
        <w:pStyle w:val="Nadpis2"/>
      </w:pPr>
      <w:bookmarkStart w:id="211" w:name="_Toc117606999"/>
      <w:r w:rsidRPr="007C2EB2">
        <w:lastRenderedPageBreak/>
        <w:t>Pracovní skupina č. 3: SENIOŘI</w:t>
      </w:r>
      <w:bookmarkEnd w:id="208"/>
      <w:bookmarkEnd w:id="209"/>
      <w:bookmarkEnd w:id="210"/>
      <w:bookmarkEnd w:id="211"/>
    </w:p>
    <w:p w:rsidR="00FB1999" w:rsidRPr="007C2EB2" w:rsidRDefault="00FB1999" w:rsidP="00EF7BE6">
      <w:pPr>
        <w:pStyle w:val="Tun"/>
      </w:pPr>
      <w:r w:rsidRPr="007C2EB2">
        <w:t>Popis cílové skupiny, vymezení okruhu osob</w:t>
      </w:r>
    </w:p>
    <w:p w:rsidR="00FB1999" w:rsidRPr="007C2EB2" w:rsidRDefault="00FB1999" w:rsidP="00A34764">
      <w:r w:rsidRPr="007C2EB2">
        <w:t xml:space="preserve">Cílovou skupinu senioři lze v kontextu poskytování sociálních služeb vymezit jako skupinu osob od určitého věku (od 65 let a výše), jež mají sníženou soběstačnost z důvodu věku a případně z důvodu chronického duševního onemocnění (různé typy demence) a chronickým onemocněním se sníženou soběstačností z důvodu patologických </w:t>
      </w:r>
      <w:proofErr w:type="spellStart"/>
      <w:r w:rsidRPr="007C2EB2">
        <w:t>neurodegenerativních</w:t>
      </w:r>
      <w:proofErr w:type="spellEnd"/>
      <w:r w:rsidRPr="007C2EB2">
        <w:t xml:space="preserve"> procesů </w:t>
      </w:r>
      <w:r w:rsidR="0052003B">
        <w:t>–</w:t>
      </w:r>
      <w:r w:rsidRPr="007C2EB2">
        <w:t xml:space="preserve"> osoby s chronickým onemocněním, např. osoby s Parkinsonovou chorobou, </w:t>
      </w:r>
      <w:proofErr w:type="spellStart"/>
      <w:r w:rsidRPr="007C2EB2">
        <w:t>Huntingtonovou</w:t>
      </w:r>
      <w:proofErr w:type="spellEnd"/>
      <w:r w:rsidRPr="007C2EB2">
        <w:t xml:space="preserve"> chorobou, osoby s roztroušenou sklerózou, jejichž situace vyžaduje pravidelnou pomoc jiné fyzické osoby, které mohou být ve věku blízkému věku seniorů (pozn. 50 let a výše). Zpravidla mají sníženou soběstačnost v úkonech péče o vlastní osobu, úkonech péče o domácnost nebo úkonech, kterými mohou uplatňovat své zájmy a uspokojovat své další potřeby. </w:t>
      </w:r>
    </w:p>
    <w:p w:rsidR="00FB1999" w:rsidRPr="007C2EB2" w:rsidRDefault="00FB1999" w:rsidP="00A34764">
      <w:r w:rsidRPr="007C2EB2">
        <w:t xml:space="preserve">S postupujícím demografickým stárnutím se senioři stávají stále více heterogenní skupinou, především s ohledem na funkční zdatnost a soběstačnost. Zajištění důstojné a odpovídající péče proto patří k povinnostem každé společnosti, která reprezentuje úroveň vyspělosti dané země a společenské odpovědnosti. Z postupujícího demografického stárnutí lze vyvodit předpoklad nárůstu počtu osob s tzv. geriatrickou křehkostí, které v důsledku chronického onemocnění nebo tělesného či duševního onemocnění budou při uspokojování základních životních potřeb dlouhodobě závislé na pomoci jiné osoby. </w:t>
      </w:r>
    </w:p>
    <w:p w:rsidR="00FB1999" w:rsidRPr="007C2EB2" w:rsidRDefault="00FB1999" w:rsidP="00A34764">
      <w:r w:rsidRPr="007C2EB2">
        <w:t>V oblasti zajištění sociálních služeb určených seniorům bude kladen důraz na ambulantní a terénní formy služeb, prostřednictvím jejichž pomoci budou senioři moci setrvat co nejdéle ve svém přirozeném prostředí. Dalším krokem je podpora pobytových sociálních služeb převážně komunitního typu určených seniorům se sníženou soběstačností respektující individuální potřeby a přibližující život jejich přirozenému sociálnímu prostředí. V návaznosti na zjištěné specifické potřeby některých osob ve věku blížícímu se věku seniorů budeme v tomto plánu hledat možnosti specifikace části kapacit některých stávajících pobytových sociálních služeb, ve kterých by vznikala oddělení specializovaná na potřeby určitých cílových skupin osob.</w:t>
      </w:r>
    </w:p>
    <w:p w:rsidR="00FB1999" w:rsidRPr="007C2EB2" w:rsidRDefault="00FB1999" w:rsidP="00A34764">
      <w:r w:rsidRPr="007C2EB2">
        <w:t>Významná část patří podpoře pečujících osob, tím</w:t>
      </w:r>
      <w:r w:rsidR="0052003B">
        <w:t>,</w:t>
      </w:r>
      <w:r w:rsidRPr="007C2EB2">
        <w:t xml:space="preserve"> že podporujeme rozvoj terénních a ambulantních služeb</w:t>
      </w:r>
      <w:r w:rsidR="0052003B">
        <w:t>,</w:t>
      </w:r>
      <w:r w:rsidRPr="007C2EB2">
        <w:t xml:space="preserve"> mají pečující osoby možnost sdílet péči a zvládnout tak péči o své blízké mnohem efektivněji</w:t>
      </w:r>
      <w:r w:rsidR="0052003B">
        <w:t>,</w:t>
      </w:r>
      <w:r w:rsidRPr="007C2EB2">
        <w:t xml:space="preserve"> rovněž se plně nevyčerpají a neizolují z pracovního, rodinného a společenského života. </w:t>
      </w:r>
    </w:p>
    <w:p w:rsidR="00FB1999" w:rsidRPr="007C2EB2" w:rsidRDefault="00FB1999" w:rsidP="00A34764">
      <w:r w:rsidRPr="007C2EB2">
        <w:t>V oblasti rozvoje kvality pobytových sociálních služeb pro seniory a osoby s chronickým duševním onemocněním (typu demence) a chronickým onemocněním se OK chce zaměřit na postupnou přeměnu stávajících služeb podle doporučeného materiálně technického standardu MPSV (maximálně dvoulůžkové pokoje s vlastním sociálním zařízením, respektování individuálních potřeb uživatelů, zachování jejich důstojnosti a práva na soukromí).</w:t>
      </w:r>
    </w:p>
    <w:p w:rsidR="00FB1999" w:rsidRPr="007C2EB2" w:rsidRDefault="00C513CF" w:rsidP="00A34764">
      <w:r>
        <w:t>Pracovní skupina S</w:t>
      </w:r>
      <w:r w:rsidR="00FB1999" w:rsidRPr="007C2EB2">
        <w:t xml:space="preserve">enioři se s ohledem na cílovou skupinu zabývá sociálními službami, které pomáhají řešit nepříznivou sociální situaci a pomáhají s uspokojováním základních životních potřeb seniorů a případně osob s chronickým duševním onemocněním v seniorském věku. </w:t>
      </w:r>
    </w:p>
    <w:p w:rsidR="00FB1999" w:rsidRPr="007C2EB2" w:rsidRDefault="00FB1999" w:rsidP="00A34764">
      <w:r w:rsidRPr="007C2EB2">
        <w:t>Mezi tyto služby dle zákona o sociálních službách patří:</w:t>
      </w:r>
    </w:p>
    <w:p w:rsidR="00FB1999" w:rsidRPr="00A34764" w:rsidRDefault="00FB1999" w:rsidP="00A34764">
      <w:pPr>
        <w:pStyle w:val="Odstavecseseznamem"/>
        <w:numPr>
          <w:ilvl w:val="0"/>
          <w:numId w:val="66"/>
        </w:numPr>
      </w:pPr>
      <w:r w:rsidRPr="00A34764">
        <w:t>domovy pro seniory (jsou zajištěny osobám, které mají sníženou soběstačnost zejména z důvodu věku – senioři</w:t>
      </w:r>
      <w:r w:rsidR="0052003B" w:rsidRPr="00A34764">
        <w:t>,</w:t>
      </w:r>
      <w:r w:rsidRPr="00A34764">
        <w:t xml:space="preserve"> nebo z důvodu chronického onemocnění – osoby s chronickým onemocněním, jejichž situace vyžaduje pravidelnou pomoc jiné fyzické osoby)</w:t>
      </w:r>
    </w:p>
    <w:p w:rsidR="00FB1999" w:rsidRPr="00A34764" w:rsidRDefault="00FB1999" w:rsidP="00A34764">
      <w:pPr>
        <w:pStyle w:val="Odstavecseseznamem"/>
        <w:numPr>
          <w:ilvl w:val="0"/>
          <w:numId w:val="66"/>
        </w:numPr>
      </w:pPr>
      <w:r w:rsidRPr="00A34764">
        <w:t xml:space="preserve">domovy se zvláštním režimem (jsou zajištěny osobám, které mají sníženou soběstačnost z důvodu chronického duševního onemocnění – osoby s chronickým duševním onemocněním typu demence </w:t>
      </w:r>
      <w:r w:rsidR="0052003B" w:rsidRPr="00A34764">
        <w:t>–</w:t>
      </w:r>
      <w:r w:rsidRPr="00A34764">
        <w:t xml:space="preserve"> stařeckou demencí, Alzheimerovou demencí nebo ostatními typy demencí, které mají sníženou soběstačnost z důvodu těchto onemocnění</w:t>
      </w:r>
      <w:r w:rsidR="0052003B" w:rsidRPr="00A34764">
        <w:t>)</w:t>
      </w:r>
    </w:p>
    <w:p w:rsidR="00FB1999" w:rsidRPr="00A34764" w:rsidRDefault="00FB1999" w:rsidP="00A34764">
      <w:pPr>
        <w:pStyle w:val="Odstavecseseznamem"/>
        <w:numPr>
          <w:ilvl w:val="0"/>
          <w:numId w:val="66"/>
        </w:numPr>
      </w:pPr>
      <w:r w:rsidRPr="00A34764">
        <w:t>odlehčovací služby</w:t>
      </w:r>
    </w:p>
    <w:p w:rsidR="00FB1999" w:rsidRPr="00A34764" w:rsidRDefault="00FB1999" w:rsidP="00A34764">
      <w:pPr>
        <w:pStyle w:val="Odstavecseseznamem"/>
        <w:numPr>
          <w:ilvl w:val="0"/>
          <w:numId w:val="66"/>
        </w:numPr>
      </w:pPr>
      <w:r w:rsidRPr="00A34764">
        <w:t>denní stacionáře</w:t>
      </w:r>
    </w:p>
    <w:p w:rsidR="00FB1999" w:rsidRPr="00A34764" w:rsidRDefault="00FB1999" w:rsidP="00A34764">
      <w:pPr>
        <w:pStyle w:val="Odstavecseseznamem"/>
        <w:numPr>
          <w:ilvl w:val="0"/>
          <w:numId w:val="66"/>
        </w:numPr>
      </w:pPr>
      <w:r w:rsidRPr="00A34764">
        <w:lastRenderedPageBreak/>
        <w:t>centra denních služeb</w:t>
      </w:r>
    </w:p>
    <w:p w:rsidR="00FB1999" w:rsidRPr="00A34764" w:rsidRDefault="00FB1999" w:rsidP="00A34764">
      <w:pPr>
        <w:pStyle w:val="Odstavecseseznamem"/>
        <w:numPr>
          <w:ilvl w:val="0"/>
          <w:numId w:val="66"/>
        </w:numPr>
      </w:pPr>
      <w:r w:rsidRPr="00A34764">
        <w:t>pečovatelská služba</w:t>
      </w:r>
    </w:p>
    <w:p w:rsidR="00FB1999" w:rsidRPr="00A34764" w:rsidRDefault="00FB1999" w:rsidP="00A34764">
      <w:pPr>
        <w:pStyle w:val="Odstavecseseznamem"/>
        <w:numPr>
          <w:ilvl w:val="0"/>
          <w:numId w:val="66"/>
        </w:numPr>
      </w:pPr>
      <w:r w:rsidRPr="00A34764">
        <w:t>osobní asistence</w:t>
      </w:r>
    </w:p>
    <w:p w:rsidR="00FB1999" w:rsidRPr="00A34764" w:rsidRDefault="00FB1999" w:rsidP="00A34764">
      <w:pPr>
        <w:pStyle w:val="Odstavecseseznamem"/>
        <w:numPr>
          <w:ilvl w:val="0"/>
          <w:numId w:val="66"/>
        </w:numPr>
      </w:pPr>
      <w:r w:rsidRPr="00A34764">
        <w:t>sociálně aktivizační služby pro seniory a osoby se zdravotním postižením</w:t>
      </w:r>
    </w:p>
    <w:p w:rsidR="00FB1999" w:rsidRPr="00A34764" w:rsidRDefault="00FB1999" w:rsidP="00A34764">
      <w:pPr>
        <w:pStyle w:val="Odstavecseseznamem"/>
        <w:numPr>
          <w:ilvl w:val="0"/>
          <w:numId w:val="66"/>
        </w:numPr>
      </w:pPr>
      <w:r w:rsidRPr="00A34764">
        <w:t>tísňová péče</w:t>
      </w:r>
    </w:p>
    <w:p w:rsidR="00FB1999" w:rsidRPr="00A34764" w:rsidRDefault="00FB1999" w:rsidP="00A34764">
      <w:pPr>
        <w:pStyle w:val="Odstavecseseznamem"/>
        <w:numPr>
          <w:ilvl w:val="0"/>
          <w:numId w:val="66"/>
        </w:numPr>
      </w:pPr>
      <w:r w:rsidRPr="00A34764">
        <w:t>chráněné bydlení</w:t>
      </w:r>
    </w:p>
    <w:p w:rsidR="00FB1999" w:rsidRPr="00A34764" w:rsidRDefault="00FB1999" w:rsidP="00A34764">
      <w:pPr>
        <w:pStyle w:val="Odstavecseseznamem"/>
        <w:numPr>
          <w:ilvl w:val="0"/>
          <w:numId w:val="66"/>
        </w:numPr>
      </w:pPr>
      <w:r w:rsidRPr="00A34764">
        <w:t>sociální služby poskytované ve zdravotnických zařízeních lůžkové péče</w:t>
      </w:r>
    </w:p>
    <w:p w:rsidR="00FB1999" w:rsidRPr="00A34764" w:rsidRDefault="00FB1999" w:rsidP="00A34764">
      <w:pPr>
        <w:pStyle w:val="Odstavecseseznamem"/>
        <w:numPr>
          <w:ilvl w:val="0"/>
          <w:numId w:val="66"/>
        </w:numPr>
      </w:pPr>
      <w:r w:rsidRPr="00A34764">
        <w:t>telefonická krizová pomoc</w:t>
      </w:r>
    </w:p>
    <w:p w:rsidR="00FB1999" w:rsidRPr="007C2EB2" w:rsidRDefault="00FB1999" w:rsidP="00A34764"/>
    <w:p w:rsidR="00FB1999" w:rsidRPr="007C2EB2" w:rsidRDefault="00FB1999" w:rsidP="00EF7BE6">
      <w:pPr>
        <w:pStyle w:val="Tun"/>
      </w:pPr>
      <w:r w:rsidRPr="007C2EB2">
        <w:t>SWOT analýza PS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634"/>
      </w:tblGrid>
      <w:tr w:rsidR="00EF7BE6" w:rsidRPr="00EF7BE6" w:rsidTr="00EF7BE6">
        <w:trPr>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EF7BE6" w:rsidRPr="00EF7BE6" w:rsidRDefault="00EF7BE6" w:rsidP="00EF7BE6">
            <w:pPr>
              <w:tabs>
                <w:tab w:val="left" w:pos="2520"/>
              </w:tabs>
              <w:spacing w:before="0"/>
              <w:jc w:val="center"/>
              <w:rPr>
                <w:rFonts w:cs="Segoe UI"/>
                <w:sz w:val="18"/>
                <w:szCs w:val="18"/>
              </w:rPr>
            </w:pPr>
            <w:r w:rsidRPr="00EF7BE6">
              <w:rPr>
                <w:rFonts w:cs="Segoe UI"/>
                <w:b/>
                <w:sz w:val="18"/>
                <w:szCs w:val="18"/>
              </w:rPr>
              <w:t>Silné stránky</w:t>
            </w:r>
            <w:r w:rsidRPr="00EF7BE6">
              <w:rPr>
                <w:rFonts w:cs="Segoe UI"/>
                <w:sz w:val="18"/>
                <w:szCs w:val="18"/>
              </w:rPr>
              <w:t xml:space="preserve"> </w:t>
            </w:r>
          </w:p>
        </w:tc>
        <w:tc>
          <w:tcPr>
            <w:tcW w:w="4634" w:type="dxa"/>
            <w:tcBorders>
              <w:top w:val="single" w:sz="4" w:space="0" w:color="auto"/>
              <w:left w:val="single" w:sz="4" w:space="0" w:color="auto"/>
              <w:bottom w:val="single" w:sz="4" w:space="0" w:color="auto"/>
              <w:right w:val="single" w:sz="4" w:space="0" w:color="auto"/>
            </w:tcBorders>
            <w:shd w:val="clear" w:color="auto" w:fill="auto"/>
            <w:hideMark/>
          </w:tcPr>
          <w:p w:rsidR="00EF7BE6" w:rsidRPr="00EF7BE6" w:rsidRDefault="00EF7BE6" w:rsidP="00EF7BE6">
            <w:pPr>
              <w:tabs>
                <w:tab w:val="left" w:pos="2520"/>
              </w:tabs>
              <w:spacing w:before="0"/>
              <w:jc w:val="center"/>
              <w:rPr>
                <w:rFonts w:cs="Segoe UI"/>
                <w:sz w:val="18"/>
                <w:szCs w:val="18"/>
              </w:rPr>
            </w:pPr>
            <w:r w:rsidRPr="00EF7BE6">
              <w:rPr>
                <w:rFonts w:cs="Segoe UI"/>
                <w:b/>
                <w:sz w:val="18"/>
                <w:szCs w:val="18"/>
              </w:rPr>
              <w:t>Slabé stránky</w:t>
            </w:r>
          </w:p>
        </w:tc>
      </w:tr>
      <w:tr w:rsidR="00EF7BE6" w:rsidRPr="00EF7BE6" w:rsidTr="00EF7BE6">
        <w:trPr>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EF7BE6" w:rsidRPr="00EF7BE6" w:rsidRDefault="00EF7BE6" w:rsidP="00F95646">
            <w:pPr>
              <w:pStyle w:val="odrkaSWOT"/>
              <w:jc w:val="both"/>
            </w:pPr>
            <w:r w:rsidRPr="00EF7BE6">
              <w:t>Existence stabilní sítě sociálních služeb pro seniory</w:t>
            </w:r>
          </w:p>
          <w:p w:rsidR="00EF7BE6" w:rsidRPr="00EF7BE6" w:rsidRDefault="00EF7BE6" w:rsidP="00F95646">
            <w:pPr>
              <w:pStyle w:val="odrkaSWOT"/>
              <w:jc w:val="both"/>
            </w:pPr>
            <w:r w:rsidRPr="00EF7BE6">
              <w:t>Zvyšující se kvalita a profesionalizace sociálních služeb</w:t>
            </w:r>
          </w:p>
          <w:p w:rsidR="00EF7BE6" w:rsidRPr="00EF7BE6" w:rsidRDefault="00EF7BE6" w:rsidP="00F95646">
            <w:pPr>
              <w:pStyle w:val="odrkaSWOT"/>
              <w:jc w:val="both"/>
            </w:pPr>
            <w:r w:rsidRPr="00EF7BE6">
              <w:t>Fungující systém spolupráce OK s poskytovateli sociálních služeb</w:t>
            </w:r>
          </w:p>
          <w:p w:rsidR="00EF7BE6" w:rsidRPr="00EF7BE6" w:rsidRDefault="00EF7BE6" w:rsidP="00F95646">
            <w:pPr>
              <w:pStyle w:val="odrkaSWOT"/>
              <w:jc w:val="both"/>
            </w:pPr>
            <w:r w:rsidRPr="00EF7BE6">
              <w:t>Jednotný přístup k informování občanů, poskytovatelů a obcí z krajské úrovně založený na on-</w:t>
            </w:r>
            <w:r w:rsidR="005A25A2">
              <w:t xml:space="preserve">line databázové aplikaci </w:t>
            </w:r>
            <w:proofErr w:type="spellStart"/>
            <w:r w:rsidR="005A25A2">
              <w:t>KISSoS</w:t>
            </w:r>
            <w:proofErr w:type="spellEnd"/>
            <w:r w:rsidRPr="00EF7BE6">
              <w:t xml:space="preserve"> včetně katalogu poskytovatelů sociálních služeb</w:t>
            </w:r>
          </w:p>
          <w:p w:rsidR="00EF7BE6" w:rsidRPr="00EF7BE6" w:rsidRDefault="00EF7BE6" w:rsidP="00F95646">
            <w:pPr>
              <w:pStyle w:val="odrkaSWOT"/>
              <w:jc w:val="both"/>
            </w:pPr>
            <w:r w:rsidRPr="00EF7BE6">
              <w:t xml:space="preserve">On-line databázové aplikace </w:t>
            </w:r>
            <w:proofErr w:type="spellStart"/>
            <w:r w:rsidRPr="00EF7BE6">
              <w:t>KISSoS</w:t>
            </w:r>
            <w:proofErr w:type="spellEnd"/>
            <w:r w:rsidRPr="00EF7BE6">
              <w:t xml:space="preserve"> jako nástroj pro řízení sociálních služeb</w:t>
            </w:r>
          </w:p>
          <w:p w:rsidR="00EF7BE6" w:rsidRPr="00EF7BE6" w:rsidRDefault="00EF7BE6" w:rsidP="00F95646">
            <w:pPr>
              <w:pStyle w:val="odrkaSWOT"/>
              <w:jc w:val="both"/>
            </w:pPr>
            <w:r w:rsidRPr="00EF7BE6">
              <w:t>Vzájemná spolupráce mezi poskytovateli sociálních služeb</w:t>
            </w:r>
          </w:p>
          <w:p w:rsidR="00EF7BE6" w:rsidRPr="00EF7BE6" w:rsidRDefault="00EF7BE6" w:rsidP="00F95646">
            <w:pPr>
              <w:pStyle w:val="odrkaSWOT"/>
              <w:jc w:val="both"/>
            </w:pPr>
            <w:r w:rsidRPr="00EF7BE6">
              <w:t>Členství poskytovatelů sociálních služeb v profesních asociacích</w:t>
            </w:r>
          </w:p>
          <w:p w:rsidR="00EF7BE6" w:rsidRPr="00EF7BE6" w:rsidRDefault="00EF7BE6" w:rsidP="00F95646">
            <w:pPr>
              <w:pStyle w:val="odrkaSWOT"/>
              <w:jc w:val="both"/>
            </w:pPr>
            <w:r w:rsidRPr="00EF7BE6">
              <w:t>Průběžné plnění a naplňování strategických cílů a opatření ze Střednědobého plánu 2021–2023</w:t>
            </w:r>
          </w:p>
          <w:p w:rsidR="00EF7BE6" w:rsidRPr="00EF7BE6" w:rsidRDefault="00EF7BE6" w:rsidP="00F95646">
            <w:pPr>
              <w:pStyle w:val="odrkaSWOT"/>
              <w:jc w:val="both"/>
            </w:pPr>
            <w:r w:rsidRPr="00EF7BE6">
              <w:t>Široká nabídka vzdělávacích programů prezenční i on-line formy určené pro sociální služby</w:t>
            </w:r>
          </w:p>
          <w:p w:rsidR="00EF7BE6" w:rsidRPr="00EF7BE6" w:rsidRDefault="00EF7BE6" w:rsidP="00F95646">
            <w:pPr>
              <w:pStyle w:val="odrkaSWOT"/>
              <w:jc w:val="both"/>
            </w:pPr>
            <w:r w:rsidRPr="00EF7BE6">
              <w:t>Podpora OK zaměřená na vzdělávání pracovníků včetně pořádání odborných konferencí a workshopů</w:t>
            </w:r>
          </w:p>
          <w:p w:rsidR="00EF7BE6" w:rsidRPr="00EF7BE6" w:rsidRDefault="00EF7BE6" w:rsidP="00F95646">
            <w:pPr>
              <w:pStyle w:val="odrkaSWOT"/>
              <w:jc w:val="both"/>
            </w:pPr>
            <w:r w:rsidRPr="00EF7BE6">
              <w:t xml:space="preserve">Podpora aktivních seniorů v OK </w:t>
            </w:r>
          </w:p>
          <w:p w:rsidR="00EF7BE6" w:rsidRPr="00EF7BE6" w:rsidRDefault="00EF7BE6" w:rsidP="00F95646">
            <w:pPr>
              <w:pStyle w:val="odrkaSWOT"/>
              <w:jc w:val="both"/>
            </w:pPr>
            <w:r w:rsidRPr="00EF7BE6">
              <w:t>Stabilita systému sociálních služeb i v době krizové situace</w:t>
            </w:r>
          </w:p>
          <w:p w:rsidR="00EF7BE6" w:rsidRPr="00EF7BE6" w:rsidRDefault="00EF7BE6" w:rsidP="00F95646">
            <w:pPr>
              <w:pStyle w:val="odrkaSWOT"/>
              <w:jc w:val="both"/>
            </w:pPr>
            <w:r w:rsidRPr="00EF7BE6">
              <w:t xml:space="preserve">Efektivní metodická podpora OK OSV při zvládání krizových situací v rámci pandemie </w:t>
            </w:r>
            <w:proofErr w:type="spellStart"/>
            <w:r w:rsidRPr="00EF7BE6">
              <w:t>Covid</w:t>
            </w:r>
            <w:proofErr w:type="spellEnd"/>
          </w:p>
          <w:p w:rsidR="00EF7BE6" w:rsidRPr="00EF7BE6" w:rsidRDefault="00EF7BE6" w:rsidP="00F95646">
            <w:pPr>
              <w:pStyle w:val="odrkaSWOT"/>
              <w:jc w:val="both"/>
            </w:pPr>
            <w:r w:rsidRPr="00EF7BE6">
              <w:t>Trvalá modernizace zařízení poskytujících sociální služby pro seniory</w:t>
            </w:r>
          </w:p>
          <w:p w:rsidR="00EF7BE6" w:rsidRPr="00EF7BE6" w:rsidRDefault="00EF7BE6" w:rsidP="00F95646">
            <w:pPr>
              <w:pStyle w:val="odrkaSWOT"/>
              <w:jc w:val="both"/>
            </w:pPr>
            <w:r w:rsidRPr="00EF7BE6">
              <w:t>Podpora seniorů umožňující setrvat v přirozeném domácím prostředí prostřednictvím terénních a ambulantních služeb</w:t>
            </w:r>
          </w:p>
          <w:p w:rsidR="00EF7BE6" w:rsidRPr="00EF7BE6" w:rsidRDefault="00EF7BE6" w:rsidP="00F95646">
            <w:pPr>
              <w:pStyle w:val="odrkaSWOT"/>
              <w:numPr>
                <w:ilvl w:val="0"/>
                <w:numId w:val="0"/>
              </w:numPr>
              <w:ind w:left="357"/>
            </w:pPr>
          </w:p>
        </w:tc>
        <w:tc>
          <w:tcPr>
            <w:tcW w:w="4634" w:type="dxa"/>
            <w:tcBorders>
              <w:top w:val="single" w:sz="4" w:space="0" w:color="auto"/>
              <w:left w:val="single" w:sz="4" w:space="0" w:color="auto"/>
              <w:bottom w:val="single" w:sz="4" w:space="0" w:color="auto"/>
              <w:right w:val="single" w:sz="4" w:space="0" w:color="auto"/>
            </w:tcBorders>
            <w:shd w:val="clear" w:color="auto" w:fill="auto"/>
          </w:tcPr>
          <w:p w:rsidR="00EF7BE6" w:rsidRPr="00EF7BE6" w:rsidRDefault="00EF7BE6" w:rsidP="00F95646">
            <w:pPr>
              <w:pStyle w:val="odrkaSWOT"/>
              <w:jc w:val="both"/>
            </w:pPr>
            <w:r w:rsidRPr="00EF7BE6">
              <w:t>Nedostatek personálu především v pobytových sociálních službách včetně kvalifikovaných osob např. zdravotní sestry, klesající počet odborníků, lékařů ve zdravotní péči o seniory</w:t>
            </w:r>
          </w:p>
          <w:p w:rsidR="00EF7BE6" w:rsidRPr="00EF7BE6" w:rsidRDefault="00EF7BE6" w:rsidP="00F95646">
            <w:pPr>
              <w:pStyle w:val="odrkaSWOT"/>
              <w:jc w:val="both"/>
            </w:pPr>
            <w:r w:rsidRPr="00EF7BE6">
              <w:t xml:space="preserve">Nedostatečná kapacita sociálních služeb pro specifické skupiny seniorů (pro osoby s demencí, </w:t>
            </w:r>
            <w:proofErr w:type="spellStart"/>
            <w:r w:rsidRPr="00EF7BE6">
              <w:t>neuro</w:t>
            </w:r>
            <w:r w:rsidR="005A25A2">
              <w:t>de</w:t>
            </w:r>
            <w:r w:rsidRPr="00EF7BE6">
              <w:t>generativní</w:t>
            </w:r>
            <w:proofErr w:type="spellEnd"/>
            <w:r w:rsidRPr="00EF7BE6">
              <w:t xml:space="preserve"> onemocnění, osoby bez přístřeší, závislé na alkoholu a jiných návykových látkách, osoby nepřizpůsobivé, psychiatrické diagnózy)</w:t>
            </w:r>
          </w:p>
          <w:p w:rsidR="00EF7BE6" w:rsidRPr="00EF7BE6" w:rsidRDefault="00EF7BE6" w:rsidP="00F95646">
            <w:pPr>
              <w:pStyle w:val="odrkaSWOT"/>
              <w:jc w:val="both"/>
            </w:pPr>
            <w:r w:rsidRPr="00EF7BE6">
              <w:t xml:space="preserve">Velmi vysoká administrativní zátěž poskytovatelů sociálních služeb </w:t>
            </w:r>
          </w:p>
          <w:p w:rsidR="00EF7BE6" w:rsidRPr="00EF7BE6" w:rsidRDefault="00EF7BE6" w:rsidP="00F95646">
            <w:pPr>
              <w:pStyle w:val="odrkaSWOT"/>
              <w:jc w:val="both"/>
            </w:pPr>
            <w:r w:rsidRPr="00EF7BE6">
              <w:t>Nedostatečně fungující systém meziresortní spolupráce, zejména systém zdravotní, sociální péče a školství</w:t>
            </w:r>
          </w:p>
          <w:p w:rsidR="00EF7BE6" w:rsidRPr="00EF7BE6" w:rsidRDefault="00EF7BE6" w:rsidP="00F95646">
            <w:pPr>
              <w:pStyle w:val="odrkaSWOT"/>
              <w:jc w:val="both"/>
            </w:pPr>
            <w:r w:rsidRPr="00EF7BE6">
              <w:t>Chybějící systém spolufinancování sociálních služeb z rozpočtu obcí</w:t>
            </w:r>
          </w:p>
          <w:p w:rsidR="00EF7BE6" w:rsidRPr="00EF7BE6" w:rsidRDefault="00EF7BE6" w:rsidP="00F95646">
            <w:pPr>
              <w:pStyle w:val="odrkaSWOT"/>
              <w:jc w:val="both"/>
            </w:pPr>
            <w:r w:rsidRPr="00EF7BE6">
              <w:t>Administrativně a časově náročný systém akceptace změn v poskytování sociálních služeb, který nereaguje na aktuální potřeby</w:t>
            </w:r>
          </w:p>
          <w:p w:rsidR="00EF7BE6" w:rsidRPr="00EF7BE6" w:rsidRDefault="00EF7BE6" w:rsidP="00F95646">
            <w:pPr>
              <w:pStyle w:val="odrkaSWOT"/>
              <w:jc w:val="both"/>
            </w:pPr>
            <w:r w:rsidRPr="00EF7BE6">
              <w:t>Nedostatek, nezájem a neinformovanost lékařů ve vztahu k seniorům a poskytovaným službám pro seniory</w:t>
            </w:r>
          </w:p>
          <w:p w:rsidR="00EF7BE6" w:rsidRPr="00EF7BE6" w:rsidRDefault="00EF7BE6" w:rsidP="00F95646">
            <w:pPr>
              <w:pStyle w:val="odrkaSWOT"/>
              <w:jc w:val="both"/>
            </w:pPr>
            <w:r w:rsidRPr="00EF7BE6">
              <w:t>Neexistující legislativní rámec pro spolufinancování sociálních služeb ze strany rodiny, příp. nezkoumání majetkových poměrů</w:t>
            </w:r>
          </w:p>
          <w:p w:rsidR="00EF7BE6" w:rsidRPr="00EF7BE6" w:rsidRDefault="00EF7BE6" w:rsidP="00F95646">
            <w:pPr>
              <w:pStyle w:val="odrkaSWOT"/>
              <w:jc w:val="both"/>
            </w:pPr>
            <w:r w:rsidRPr="00EF7BE6">
              <w:t xml:space="preserve">Slabé PR a </w:t>
            </w:r>
            <w:proofErr w:type="spellStart"/>
            <w:r w:rsidRPr="00EF7BE6">
              <w:t>fundraising</w:t>
            </w:r>
            <w:proofErr w:type="spellEnd"/>
            <w:r w:rsidRPr="00EF7BE6">
              <w:t xml:space="preserve"> sociálních služeb – chybí prestiž </w:t>
            </w:r>
          </w:p>
          <w:p w:rsidR="00EF7BE6" w:rsidRPr="00EF7BE6" w:rsidRDefault="00EF7BE6" w:rsidP="00F95646">
            <w:pPr>
              <w:pStyle w:val="odrkaSWOT"/>
              <w:jc w:val="both"/>
            </w:pPr>
            <w:r w:rsidRPr="00EF7BE6">
              <w:t xml:space="preserve">Nízká návratnost </w:t>
            </w:r>
            <w:proofErr w:type="spellStart"/>
            <w:r w:rsidRPr="00EF7BE6">
              <w:t>PnP</w:t>
            </w:r>
            <w:proofErr w:type="spellEnd"/>
            <w:r w:rsidRPr="00EF7BE6">
              <w:t xml:space="preserve"> do sociálního systému</w:t>
            </w:r>
          </w:p>
          <w:p w:rsidR="00EF7BE6" w:rsidRPr="00EF7BE6" w:rsidRDefault="00EF7BE6" w:rsidP="00F95646">
            <w:pPr>
              <w:pStyle w:val="odrkaSWOT"/>
              <w:jc w:val="both"/>
            </w:pPr>
            <w:r w:rsidRPr="00EF7BE6">
              <w:t>Nedostatečná kapacita pobytových sociálních služeb s ohledem na zvyšující se počet seniorů, kteří potřebují akutně řešit nepříznivou životní situaci sociální službou</w:t>
            </w:r>
          </w:p>
          <w:p w:rsidR="00EF7BE6" w:rsidRPr="00EF7BE6" w:rsidRDefault="00EF7BE6" w:rsidP="00F95646">
            <w:pPr>
              <w:pStyle w:val="odrkaSWOT"/>
              <w:jc w:val="both"/>
            </w:pPr>
            <w:r w:rsidRPr="00EF7BE6">
              <w:t>Nedostatečné finanční ohodnocení pracovníků odměňovaných podle nařízení vlády 341/2017, příloha č. 1 (ekonomické profese, pracovníci úklidu, kuchyně, prádelny apod.)</w:t>
            </w:r>
          </w:p>
        </w:tc>
      </w:tr>
      <w:tr w:rsidR="00EF7BE6" w:rsidRPr="00EF7BE6" w:rsidTr="00EF7BE6">
        <w:trPr>
          <w:tblHeader/>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EF7BE6" w:rsidRPr="00EF7BE6" w:rsidRDefault="00EF7BE6" w:rsidP="00EF7BE6">
            <w:pPr>
              <w:keepNext/>
              <w:tabs>
                <w:tab w:val="left" w:pos="2520"/>
              </w:tabs>
              <w:spacing w:before="0"/>
              <w:jc w:val="center"/>
              <w:rPr>
                <w:rFonts w:cs="Segoe UI"/>
                <w:b/>
                <w:sz w:val="18"/>
                <w:szCs w:val="18"/>
              </w:rPr>
            </w:pPr>
            <w:r w:rsidRPr="00EF7BE6">
              <w:rPr>
                <w:rFonts w:cs="Segoe UI"/>
                <w:b/>
                <w:sz w:val="18"/>
                <w:szCs w:val="18"/>
              </w:rPr>
              <w:t xml:space="preserve">Příležitosti </w:t>
            </w:r>
          </w:p>
        </w:tc>
        <w:tc>
          <w:tcPr>
            <w:tcW w:w="4634" w:type="dxa"/>
            <w:tcBorders>
              <w:top w:val="single" w:sz="4" w:space="0" w:color="auto"/>
              <w:left w:val="single" w:sz="4" w:space="0" w:color="auto"/>
              <w:bottom w:val="single" w:sz="4" w:space="0" w:color="auto"/>
              <w:right w:val="single" w:sz="4" w:space="0" w:color="auto"/>
            </w:tcBorders>
            <w:shd w:val="clear" w:color="auto" w:fill="auto"/>
            <w:hideMark/>
          </w:tcPr>
          <w:p w:rsidR="00EF7BE6" w:rsidRPr="00EF7BE6" w:rsidRDefault="00EF7BE6" w:rsidP="00EF7BE6">
            <w:pPr>
              <w:keepNext/>
              <w:tabs>
                <w:tab w:val="left" w:pos="2520"/>
              </w:tabs>
              <w:spacing w:before="0"/>
              <w:jc w:val="center"/>
              <w:rPr>
                <w:rFonts w:cs="Segoe UI"/>
                <w:b/>
                <w:sz w:val="18"/>
                <w:szCs w:val="18"/>
              </w:rPr>
            </w:pPr>
            <w:r w:rsidRPr="00EF7BE6">
              <w:rPr>
                <w:rFonts w:cs="Segoe UI"/>
                <w:b/>
                <w:sz w:val="18"/>
                <w:szCs w:val="18"/>
              </w:rPr>
              <w:t>Hrozby</w:t>
            </w:r>
          </w:p>
        </w:tc>
      </w:tr>
      <w:tr w:rsidR="00EF7BE6" w:rsidRPr="00EF7BE6" w:rsidTr="00EF7BE6">
        <w:trPr>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EF7BE6" w:rsidRPr="00EF7BE6" w:rsidRDefault="00EF7BE6" w:rsidP="00F95646">
            <w:pPr>
              <w:pStyle w:val="odrkaSWOT"/>
              <w:jc w:val="both"/>
            </w:pPr>
            <w:r w:rsidRPr="00EF7BE6">
              <w:t>Zvýšení zájmu obcí o aktivní zapojení do plánování sociálních služeb včetně jejich financování</w:t>
            </w:r>
          </w:p>
          <w:p w:rsidR="00EF7BE6" w:rsidRPr="00EF7BE6" w:rsidRDefault="00EF7BE6" w:rsidP="00F95646">
            <w:pPr>
              <w:pStyle w:val="odrkaSWOT"/>
              <w:jc w:val="both"/>
            </w:pPr>
            <w:r w:rsidRPr="00EF7BE6">
              <w:t>Zvýšení atraktivity a prestiže sociálních služeb pro veřejnost</w:t>
            </w:r>
          </w:p>
          <w:p w:rsidR="00EF7BE6" w:rsidRPr="00EF7BE6" w:rsidRDefault="00EF7BE6" w:rsidP="00F95646">
            <w:pPr>
              <w:pStyle w:val="odrkaSWOT"/>
              <w:jc w:val="both"/>
            </w:pPr>
            <w:r w:rsidRPr="00EF7BE6">
              <w:t>Zvýšení motivace pro práci v sociálních službách</w:t>
            </w:r>
          </w:p>
          <w:p w:rsidR="00EF7BE6" w:rsidRPr="00EF7BE6" w:rsidRDefault="00EF7BE6" w:rsidP="00F95646">
            <w:pPr>
              <w:pStyle w:val="odrkaSWOT"/>
              <w:jc w:val="both"/>
            </w:pPr>
            <w:r w:rsidRPr="00EF7BE6">
              <w:lastRenderedPageBreak/>
              <w:t>Rozvoj dobrovolnické činnosti, zkvalitnění podmínek pro dobrovolnictví, v neposlední řadě zapojení aktivních seniorů do dobrovolnických aktivit</w:t>
            </w:r>
          </w:p>
          <w:p w:rsidR="00EF7BE6" w:rsidRPr="00EF7BE6" w:rsidRDefault="00EF7BE6" w:rsidP="00F95646">
            <w:pPr>
              <w:pStyle w:val="odrkaSWOT"/>
              <w:jc w:val="both"/>
            </w:pPr>
            <w:r w:rsidRPr="00EF7BE6">
              <w:t>Podpora neformálních pečujících, komunitních vazeb a sousedské pomoci</w:t>
            </w:r>
          </w:p>
          <w:p w:rsidR="00EF7BE6" w:rsidRPr="00EF7BE6" w:rsidRDefault="00EF7BE6" w:rsidP="00F95646">
            <w:pPr>
              <w:pStyle w:val="odrkaSWOT"/>
              <w:jc w:val="both"/>
            </w:pPr>
            <w:r w:rsidRPr="00EF7BE6">
              <w:t xml:space="preserve">Podpora bezbariérového, dostupného a sociálního bydlení pro seniory ze strany obcí/měst a dalších subjektů </w:t>
            </w:r>
          </w:p>
          <w:p w:rsidR="00EF7BE6" w:rsidRPr="00EF7BE6" w:rsidRDefault="00EF7BE6" w:rsidP="00F95646">
            <w:pPr>
              <w:pStyle w:val="odrkaSWOT"/>
              <w:jc w:val="both"/>
            </w:pPr>
            <w:r w:rsidRPr="00EF7BE6">
              <w:t xml:space="preserve">Podpora </w:t>
            </w:r>
            <w:proofErr w:type="spellStart"/>
            <w:r w:rsidRPr="00EF7BE6">
              <w:t>Fundraisingu</w:t>
            </w:r>
            <w:proofErr w:type="spellEnd"/>
            <w:r w:rsidRPr="00EF7BE6">
              <w:t xml:space="preserve"> v organizacích zaměřená na získávání zdrojů od dárců (individuálních, firemních)</w:t>
            </w:r>
          </w:p>
          <w:p w:rsidR="00EF7BE6" w:rsidRPr="00EF7BE6" w:rsidRDefault="00EF7BE6" w:rsidP="00F95646">
            <w:pPr>
              <w:pStyle w:val="odrkaSWOT"/>
              <w:jc w:val="both"/>
            </w:pPr>
            <w:r w:rsidRPr="00EF7BE6">
              <w:t>Nastavení stabilního, dlouhodobého a udržitelného systému financování sociálních služeb</w:t>
            </w:r>
          </w:p>
          <w:p w:rsidR="00EF7BE6" w:rsidRPr="00EF7BE6" w:rsidRDefault="00EF7BE6" w:rsidP="00F95646">
            <w:pPr>
              <w:pStyle w:val="odrkaSWOT"/>
              <w:jc w:val="both"/>
            </w:pPr>
            <w:r w:rsidRPr="00EF7BE6">
              <w:t xml:space="preserve">Nastavení propojení zdravotních a sociálních služeb a zkvalitnění spolupráce s resortem zdravotnictví, nastavení elektronizace postupů </w:t>
            </w:r>
          </w:p>
          <w:p w:rsidR="00EF7BE6" w:rsidRPr="00EF7BE6" w:rsidRDefault="00EF7BE6" w:rsidP="00F95646">
            <w:pPr>
              <w:pStyle w:val="odrkaSWOT"/>
              <w:jc w:val="both"/>
            </w:pPr>
            <w:r w:rsidRPr="00EF7BE6">
              <w:t xml:space="preserve">Efektivní informovanost veřejnosti i navazujících oborů o dostupnosti a nabídce soc. služeb </w:t>
            </w:r>
          </w:p>
          <w:p w:rsidR="00EF7BE6" w:rsidRPr="00EF7BE6" w:rsidRDefault="00EF7BE6" w:rsidP="00F95646">
            <w:pPr>
              <w:pStyle w:val="odrkaSWOT"/>
              <w:jc w:val="both"/>
            </w:pPr>
            <w:r w:rsidRPr="00EF7BE6">
              <w:t xml:space="preserve">Aplikace </w:t>
            </w:r>
            <w:proofErr w:type="spellStart"/>
            <w:r w:rsidRPr="00EF7BE6">
              <w:t>asistivních</w:t>
            </w:r>
            <w:proofErr w:type="spellEnd"/>
            <w:r w:rsidRPr="00EF7BE6">
              <w:t xml:space="preserve"> a jiných technologií do poskytování soc. služeb a podpora alternativní a augmentativní komunikace, vzdělávání budoucích sociálních pracovníků v této oblasti</w:t>
            </w:r>
          </w:p>
          <w:p w:rsidR="00EF7BE6" w:rsidRPr="00EF7BE6" w:rsidRDefault="00EF7BE6" w:rsidP="00F95646">
            <w:pPr>
              <w:pStyle w:val="odrkaSWOT"/>
              <w:jc w:val="both"/>
            </w:pPr>
            <w:r w:rsidRPr="00EF7BE6">
              <w:t>Zlepšení plánování kapacity pobytových sociálních služeb z důvodu existence modulu evidence žadatelů</w:t>
            </w:r>
          </w:p>
        </w:tc>
        <w:tc>
          <w:tcPr>
            <w:tcW w:w="4634" w:type="dxa"/>
            <w:tcBorders>
              <w:top w:val="single" w:sz="4" w:space="0" w:color="auto"/>
              <w:left w:val="single" w:sz="4" w:space="0" w:color="auto"/>
              <w:bottom w:val="single" w:sz="4" w:space="0" w:color="auto"/>
              <w:right w:val="single" w:sz="4" w:space="0" w:color="auto"/>
            </w:tcBorders>
            <w:shd w:val="clear" w:color="auto" w:fill="auto"/>
            <w:hideMark/>
          </w:tcPr>
          <w:p w:rsidR="00EF7BE6" w:rsidRPr="00EF7BE6" w:rsidRDefault="00EF7BE6" w:rsidP="00F95646">
            <w:pPr>
              <w:pStyle w:val="odrkaSWOT"/>
              <w:jc w:val="both"/>
            </w:pPr>
            <w:r w:rsidRPr="00EF7BE6">
              <w:lastRenderedPageBreak/>
              <w:t>Financování sociálních služeb nereflektuje vývoj nákladů</w:t>
            </w:r>
          </w:p>
          <w:p w:rsidR="00EF7BE6" w:rsidRPr="00EF7BE6" w:rsidRDefault="00EF7BE6" w:rsidP="00F95646">
            <w:pPr>
              <w:pStyle w:val="odrkaSWOT"/>
              <w:jc w:val="both"/>
            </w:pPr>
            <w:r w:rsidRPr="00EF7BE6">
              <w:t>Neustále se měnící a nekoncepční legislativa</w:t>
            </w:r>
          </w:p>
          <w:p w:rsidR="00EF7BE6" w:rsidRPr="00EF7BE6" w:rsidRDefault="00EF7BE6" w:rsidP="00F95646">
            <w:pPr>
              <w:pStyle w:val="odrkaSWOT"/>
              <w:jc w:val="both"/>
            </w:pPr>
            <w:r w:rsidRPr="00EF7BE6">
              <w:t>Demografický vývoj – stárnutí populace – nutno vzít v potaz při plánování sociálních služeb pro seniory</w:t>
            </w:r>
          </w:p>
          <w:p w:rsidR="00EF7BE6" w:rsidRPr="00EF7BE6" w:rsidRDefault="00EF7BE6" w:rsidP="00F95646">
            <w:pPr>
              <w:pStyle w:val="odrkaSWOT"/>
              <w:jc w:val="both"/>
            </w:pPr>
            <w:r w:rsidRPr="00EF7BE6">
              <w:lastRenderedPageBreak/>
              <w:t xml:space="preserve">Nízká návratnost </w:t>
            </w:r>
            <w:proofErr w:type="spellStart"/>
            <w:r w:rsidRPr="00EF7BE6">
              <w:t>PnP</w:t>
            </w:r>
            <w:proofErr w:type="spellEnd"/>
            <w:r w:rsidRPr="00EF7BE6">
              <w:t xml:space="preserve"> do sociálního systému; zvyšuje nákladovost sociálního systému; </w:t>
            </w:r>
            <w:proofErr w:type="spellStart"/>
            <w:r w:rsidRPr="00EF7BE6">
              <w:t>PnP</w:t>
            </w:r>
            <w:proofErr w:type="spellEnd"/>
            <w:r w:rsidRPr="00EF7BE6">
              <w:t xml:space="preserve"> se používá k jiným účelům</w:t>
            </w:r>
          </w:p>
          <w:p w:rsidR="00EF7BE6" w:rsidRPr="00EF7BE6" w:rsidRDefault="00EF7BE6" w:rsidP="00F95646">
            <w:pPr>
              <w:pStyle w:val="odrkaSWOT"/>
              <w:jc w:val="both"/>
            </w:pPr>
            <w:r w:rsidRPr="00EF7BE6">
              <w:t>Malá nabídka dotačních titulů (jak investičních tak provozních) pro cílovou skupinu seniorů</w:t>
            </w:r>
          </w:p>
          <w:p w:rsidR="00EF7BE6" w:rsidRPr="00EF7BE6" w:rsidRDefault="00EF7BE6" w:rsidP="00F95646">
            <w:pPr>
              <w:pStyle w:val="odrkaSWOT"/>
              <w:jc w:val="both"/>
            </w:pPr>
            <w:r w:rsidRPr="00EF7BE6">
              <w:t>Nízké kvalifikační požadavky pro výkon pracovníků v přímé péči</w:t>
            </w:r>
          </w:p>
          <w:p w:rsidR="00EF7BE6" w:rsidRPr="00EF7BE6" w:rsidRDefault="00EF7BE6" w:rsidP="00F95646">
            <w:pPr>
              <w:pStyle w:val="odrkaSWOT"/>
              <w:jc w:val="both"/>
            </w:pPr>
            <w:r w:rsidRPr="00EF7BE6">
              <w:t>Nedostatečná úhrada zdravotních pojišťoven za poskytnutou péči, omezené spektrum ošetřovatelských úkonů</w:t>
            </w:r>
          </w:p>
          <w:p w:rsidR="00EF7BE6" w:rsidRPr="00EF7BE6" w:rsidRDefault="00EF7BE6" w:rsidP="00F95646">
            <w:pPr>
              <w:pStyle w:val="odrkaSWOT"/>
              <w:jc w:val="both"/>
            </w:pPr>
            <w:r w:rsidRPr="00EF7BE6">
              <w:t>Senioři jako předmět podnikání (neregistrované služby)</w:t>
            </w:r>
          </w:p>
          <w:p w:rsidR="00EF7BE6" w:rsidRPr="00EF7BE6" w:rsidRDefault="00EF7BE6" w:rsidP="00F95646">
            <w:pPr>
              <w:pStyle w:val="odrkaSWOT"/>
              <w:jc w:val="both"/>
            </w:pPr>
            <w:r w:rsidRPr="00EF7BE6">
              <w:t>Nedostatečné legislativní ukotvení podpory blízkých osob pečovat o své blízké v domácím prostředí</w:t>
            </w:r>
          </w:p>
          <w:p w:rsidR="00EF7BE6" w:rsidRPr="00EF7BE6" w:rsidRDefault="00EF7BE6" w:rsidP="00F95646">
            <w:pPr>
              <w:pStyle w:val="odrkaSWOT"/>
              <w:jc w:val="both"/>
            </w:pPr>
            <w:r w:rsidRPr="00EF7BE6">
              <w:t>Růst nových pobytových služeb nepřizpůsobených potřebám cílové skupiny (poloha, kapacita, dispozice)</w:t>
            </w:r>
          </w:p>
          <w:p w:rsidR="00EF7BE6" w:rsidRPr="00EF7BE6" w:rsidRDefault="00EF7BE6" w:rsidP="00F95646">
            <w:pPr>
              <w:pStyle w:val="odrkaSWOT"/>
              <w:jc w:val="both"/>
            </w:pPr>
            <w:r w:rsidRPr="00EF7BE6">
              <w:t>Neudržitelnost financování sítě sociálních služeb a jejich nízká efektivnost</w:t>
            </w:r>
          </w:p>
          <w:p w:rsidR="00EF7BE6" w:rsidRPr="00EF7BE6" w:rsidRDefault="00EF7BE6" w:rsidP="00F95646">
            <w:pPr>
              <w:pStyle w:val="odrkaSWOT"/>
              <w:jc w:val="both"/>
            </w:pPr>
            <w:r w:rsidRPr="00EF7BE6">
              <w:t>Nedostatek bezbariérového bydlení ze strany obcí</w:t>
            </w:r>
          </w:p>
          <w:p w:rsidR="00EF7BE6" w:rsidRPr="00EF7BE6" w:rsidRDefault="00EF7BE6" w:rsidP="00F95646">
            <w:pPr>
              <w:pStyle w:val="odrkaSWOT"/>
              <w:jc w:val="both"/>
            </w:pPr>
            <w:r w:rsidRPr="00EF7BE6">
              <w:t>Neefektivní spolupráce MPSV a MZ</w:t>
            </w:r>
          </w:p>
        </w:tc>
      </w:tr>
    </w:tbl>
    <w:p w:rsidR="00FB1999" w:rsidRPr="007C2EB2" w:rsidRDefault="00FB1999" w:rsidP="00A34764">
      <w:pPr>
        <w:rPr>
          <w:rFonts w:eastAsia="Arial Unicode MS"/>
          <w:lang w:eastAsia="cs-CZ"/>
        </w:rPr>
      </w:pPr>
    </w:p>
    <w:p w:rsidR="00FB1999" w:rsidRDefault="00FB1999" w:rsidP="00A34764">
      <w:pPr>
        <w:pStyle w:val="Nadpis3"/>
      </w:pPr>
      <w:bookmarkStart w:id="212" w:name="_Toc22896390"/>
      <w:bookmarkStart w:id="213" w:name="_Toc111537479"/>
      <w:bookmarkStart w:id="214" w:name="_Toc113622088"/>
      <w:bookmarkStart w:id="215" w:name="_Toc117607000"/>
      <w:r w:rsidRPr="007C2EB2">
        <w:t>Seznam cílů a opatření</w:t>
      </w:r>
      <w:bookmarkEnd w:id="212"/>
      <w:bookmarkEnd w:id="213"/>
      <w:bookmarkEnd w:id="214"/>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507"/>
      </w:tblGrid>
      <w:tr w:rsidR="00FB1999" w:rsidRPr="00D57778" w:rsidTr="00806448">
        <w:trPr>
          <w:cantSplit/>
          <w:trHeight w:val="397"/>
        </w:trPr>
        <w:tc>
          <w:tcPr>
            <w:tcW w:w="858" w:type="pct"/>
            <w:shd w:val="clear" w:color="auto" w:fill="FABF8F"/>
            <w:vAlign w:val="center"/>
          </w:tcPr>
          <w:p w:rsidR="00FB1999" w:rsidRPr="00EF7BE6" w:rsidRDefault="00FB1999" w:rsidP="00EF7BE6">
            <w:pPr>
              <w:spacing w:before="0"/>
              <w:rPr>
                <w:b/>
              </w:rPr>
            </w:pPr>
            <w:r w:rsidRPr="00EF7BE6">
              <w:rPr>
                <w:b/>
              </w:rPr>
              <w:t>Cíl 3.1</w:t>
            </w:r>
          </w:p>
        </w:tc>
        <w:tc>
          <w:tcPr>
            <w:tcW w:w="4142" w:type="pct"/>
            <w:shd w:val="clear" w:color="auto" w:fill="FABF8F"/>
            <w:vAlign w:val="center"/>
          </w:tcPr>
          <w:p w:rsidR="00FB1999" w:rsidRPr="00EF7BE6" w:rsidRDefault="00FB1999" w:rsidP="00EF7BE6">
            <w:pPr>
              <w:spacing w:before="0"/>
              <w:rPr>
                <w:b/>
              </w:rPr>
            </w:pPr>
            <w:r w:rsidRPr="00EF7BE6">
              <w:rPr>
                <w:b/>
              </w:rPr>
              <w:t>Zajištění potřebného rozsahu pečovatelské služby v OK</w:t>
            </w:r>
          </w:p>
        </w:tc>
      </w:tr>
      <w:tr w:rsidR="00FB1999" w:rsidRPr="00D57778" w:rsidTr="00806448">
        <w:trPr>
          <w:cantSplit/>
          <w:trHeight w:val="397"/>
        </w:trPr>
        <w:tc>
          <w:tcPr>
            <w:tcW w:w="858" w:type="pct"/>
            <w:shd w:val="clear" w:color="auto" w:fill="E2EFD9" w:themeFill="accent6" w:themeFillTint="33"/>
            <w:vAlign w:val="center"/>
          </w:tcPr>
          <w:p w:rsidR="00FB1999" w:rsidRPr="00EF7BE6" w:rsidRDefault="00FB1999" w:rsidP="00EF7BE6">
            <w:pPr>
              <w:spacing w:before="0"/>
              <w:rPr>
                <w:b/>
              </w:rPr>
            </w:pPr>
            <w:r w:rsidRPr="00EF7BE6">
              <w:rPr>
                <w:b/>
              </w:rPr>
              <w:t>Opatření 3.1.1</w:t>
            </w:r>
          </w:p>
        </w:tc>
        <w:tc>
          <w:tcPr>
            <w:tcW w:w="4142" w:type="pct"/>
            <w:shd w:val="clear" w:color="auto" w:fill="E2EFD9" w:themeFill="accent6" w:themeFillTint="33"/>
          </w:tcPr>
          <w:p w:rsidR="00FB1999" w:rsidRPr="00A41138" w:rsidRDefault="00FB1999" w:rsidP="00EF7BE6">
            <w:pPr>
              <w:spacing w:before="0"/>
            </w:pPr>
            <w:r w:rsidRPr="00DF4F96">
              <w:t>Zajištění pečovatelské služby pro seniory, osoby s chronickým onemocněním a</w:t>
            </w:r>
            <w:r w:rsidR="000B266F">
              <w:t> </w:t>
            </w:r>
            <w:r w:rsidRPr="00DF4F96">
              <w:t>osoby s c</w:t>
            </w:r>
            <w:r>
              <w:t>hronickým duševním onemocněním 20</w:t>
            </w:r>
            <w:r w:rsidR="001E14E8">
              <w:t> </w:t>
            </w:r>
            <w:r w:rsidRPr="00DF4F96">
              <w:t>pracovními úvazky pracovníků v</w:t>
            </w:r>
            <w:r w:rsidR="000B266F">
              <w:t> </w:t>
            </w:r>
            <w:r w:rsidRPr="00DF4F96">
              <w:t xml:space="preserve">přímé péči </w:t>
            </w:r>
            <w:r w:rsidR="00C5783C">
              <w:t>v</w:t>
            </w:r>
            <w:r w:rsidRPr="00DF4F96">
              <w:t xml:space="preserve"> OK</w:t>
            </w:r>
          </w:p>
        </w:tc>
      </w:tr>
      <w:tr w:rsidR="00FB1999" w:rsidRPr="006843BA" w:rsidTr="00806448">
        <w:tblPrEx>
          <w:jc w:val="center"/>
        </w:tblPrEx>
        <w:trPr>
          <w:cantSplit/>
          <w:trHeight w:val="397"/>
          <w:jc w:val="center"/>
        </w:trPr>
        <w:tc>
          <w:tcPr>
            <w:tcW w:w="858" w:type="pct"/>
            <w:shd w:val="clear" w:color="auto" w:fill="FABF8F"/>
            <w:vAlign w:val="center"/>
          </w:tcPr>
          <w:p w:rsidR="00FB1999" w:rsidRPr="00EF7BE6" w:rsidRDefault="00FB1999" w:rsidP="00EF7BE6">
            <w:pPr>
              <w:spacing w:before="0"/>
              <w:rPr>
                <w:b/>
              </w:rPr>
            </w:pPr>
            <w:r w:rsidRPr="00EF7BE6">
              <w:rPr>
                <w:b/>
              </w:rPr>
              <w:t>Cíl 3.2</w:t>
            </w:r>
          </w:p>
        </w:tc>
        <w:tc>
          <w:tcPr>
            <w:tcW w:w="4142" w:type="pct"/>
            <w:shd w:val="clear" w:color="auto" w:fill="FABF8F"/>
            <w:vAlign w:val="center"/>
          </w:tcPr>
          <w:p w:rsidR="00FB1999" w:rsidRPr="00EF7BE6" w:rsidRDefault="00FB1999" w:rsidP="00EF7BE6">
            <w:pPr>
              <w:spacing w:before="0"/>
              <w:rPr>
                <w:b/>
              </w:rPr>
            </w:pPr>
            <w:r w:rsidRPr="00EF7BE6">
              <w:rPr>
                <w:b/>
              </w:rPr>
              <w:t>Zajištění potřebného rozsahu služby osobní asistence v OK</w:t>
            </w:r>
          </w:p>
        </w:tc>
      </w:tr>
      <w:tr w:rsidR="00FB1999" w:rsidRPr="006843BA" w:rsidTr="00806448">
        <w:tblPrEx>
          <w:jc w:val="center"/>
        </w:tblPrEx>
        <w:trPr>
          <w:cantSplit/>
          <w:trHeight w:val="397"/>
          <w:jc w:val="center"/>
        </w:trPr>
        <w:tc>
          <w:tcPr>
            <w:tcW w:w="858" w:type="pct"/>
            <w:shd w:val="clear" w:color="auto" w:fill="E2EFD9" w:themeFill="accent6" w:themeFillTint="33"/>
            <w:vAlign w:val="center"/>
          </w:tcPr>
          <w:p w:rsidR="00FB1999" w:rsidRPr="00EF7BE6" w:rsidRDefault="00FB1999" w:rsidP="00EF7BE6">
            <w:pPr>
              <w:spacing w:before="0"/>
              <w:rPr>
                <w:b/>
              </w:rPr>
            </w:pPr>
            <w:r w:rsidRPr="00EF7BE6">
              <w:rPr>
                <w:b/>
              </w:rPr>
              <w:t>Opatření 3.2.1</w:t>
            </w:r>
          </w:p>
        </w:tc>
        <w:tc>
          <w:tcPr>
            <w:tcW w:w="4142" w:type="pct"/>
            <w:shd w:val="clear" w:color="auto" w:fill="E2EFD9" w:themeFill="accent6" w:themeFillTint="33"/>
          </w:tcPr>
          <w:p w:rsidR="00FB1999" w:rsidRPr="00A41138" w:rsidRDefault="00FB1999" w:rsidP="00EF7BE6">
            <w:pPr>
              <w:spacing w:before="0"/>
            </w:pPr>
            <w:r>
              <w:t xml:space="preserve">Zajištění </w:t>
            </w:r>
            <w:r w:rsidRPr="00674056">
              <w:t xml:space="preserve">služby osobní asistence pro osoby s chronickým </w:t>
            </w:r>
            <w:r>
              <w:t>duševním onemocněním, osoby s chronickým onemocněním a </w:t>
            </w:r>
            <w:r w:rsidRPr="00674056">
              <w:t xml:space="preserve">seniory </w:t>
            </w:r>
            <w:r>
              <w:t>8 pracovními úvazky</w:t>
            </w:r>
            <w:r w:rsidRPr="00A41138">
              <w:t xml:space="preserve"> pracovníků v přímé péči </w:t>
            </w:r>
            <w:r w:rsidR="00C5783C">
              <w:t>v</w:t>
            </w:r>
            <w:r>
              <w:t xml:space="preserve"> OK</w:t>
            </w:r>
          </w:p>
        </w:tc>
      </w:tr>
      <w:tr w:rsidR="00FB1999" w:rsidRPr="006843BA" w:rsidTr="00806448">
        <w:tblPrEx>
          <w:jc w:val="center"/>
        </w:tblPrEx>
        <w:trPr>
          <w:cantSplit/>
          <w:trHeight w:val="397"/>
          <w:jc w:val="center"/>
        </w:trPr>
        <w:tc>
          <w:tcPr>
            <w:tcW w:w="858" w:type="pct"/>
            <w:shd w:val="clear" w:color="auto" w:fill="FABF8F"/>
            <w:vAlign w:val="center"/>
          </w:tcPr>
          <w:p w:rsidR="00FB1999" w:rsidRPr="00EF7BE6" w:rsidRDefault="00FB1999" w:rsidP="00EF7BE6">
            <w:pPr>
              <w:spacing w:before="0"/>
              <w:rPr>
                <w:b/>
              </w:rPr>
            </w:pPr>
            <w:r w:rsidRPr="00EF7BE6">
              <w:rPr>
                <w:b/>
              </w:rPr>
              <w:t>Cíl 3.3</w:t>
            </w:r>
          </w:p>
        </w:tc>
        <w:tc>
          <w:tcPr>
            <w:tcW w:w="4142" w:type="pct"/>
            <w:shd w:val="clear" w:color="auto" w:fill="FABF8F"/>
            <w:vAlign w:val="center"/>
          </w:tcPr>
          <w:p w:rsidR="00FB1999" w:rsidRPr="005A25A2" w:rsidRDefault="00FB1999" w:rsidP="00EF7BE6">
            <w:pPr>
              <w:spacing w:before="0"/>
              <w:rPr>
                <w:b/>
              </w:rPr>
            </w:pPr>
            <w:r w:rsidRPr="005A25A2">
              <w:rPr>
                <w:b/>
              </w:rPr>
              <w:t>Zajištění potřebného rozsahu odlehčovací služby v OK</w:t>
            </w:r>
          </w:p>
        </w:tc>
      </w:tr>
      <w:tr w:rsidR="00FB1999" w:rsidRPr="006843BA" w:rsidTr="00806448">
        <w:tblPrEx>
          <w:jc w:val="center"/>
        </w:tblPrEx>
        <w:trPr>
          <w:cantSplit/>
          <w:trHeight w:val="397"/>
          <w:jc w:val="center"/>
        </w:trPr>
        <w:tc>
          <w:tcPr>
            <w:tcW w:w="858" w:type="pct"/>
            <w:shd w:val="clear" w:color="auto" w:fill="E2EFD9" w:themeFill="accent6" w:themeFillTint="33"/>
            <w:vAlign w:val="center"/>
          </w:tcPr>
          <w:p w:rsidR="00FB1999" w:rsidRPr="00EF7BE6" w:rsidRDefault="00FB1999" w:rsidP="00EF7BE6">
            <w:pPr>
              <w:spacing w:before="0"/>
              <w:rPr>
                <w:b/>
              </w:rPr>
            </w:pPr>
            <w:r w:rsidRPr="00EF7BE6">
              <w:rPr>
                <w:b/>
              </w:rPr>
              <w:t>Opatření 3.3.1</w:t>
            </w:r>
          </w:p>
        </w:tc>
        <w:tc>
          <w:tcPr>
            <w:tcW w:w="4142" w:type="pct"/>
            <w:shd w:val="clear" w:color="auto" w:fill="E2EFD9" w:themeFill="accent6" w:themeFillTint="33"/>
          </w:tcPr>
          <w:p w:rsidR="00FB1999" w:rsidRPr="00651A57" w:rsidRDefault="00FB1999" w:rsidP="00EF7BE6">
            <w:pPr>
              <w:spacing w:before="0"/>
            </w:pPr>
            <w:r w:rsidRPr="00A7199A">
              <w:t xml:space="preserve">Zajištění pobytové </w:t>
            </w:r>
            <w:r>
              <w:t xml:space="preserve">formy </w:t>
            </w:r>
            <w:r w:rsidRPr="00A7199A">
              <w:t>odlehčovací služby</w:t>
            </w:r>
            <w:r>
              <w:t xml:space="preserve"> pro</w:t>
            </w:r>
            <w:r w:rsidRPr="00A7199A">
              <w:t xml:space="preserve"> </w:t>
            </w:r>
            <w:r w:rsidRPr="00503B4A">
              <w:t>seniory, osoby s</w:t>
            </w:r>
            <w:r>
              <w:t> </w:t>
            </w:r>
            <w:r w:rsidRPr="00503B4A">
              <w:t>chronickým duševním onemocněním</w:t>
            </w:r>
            <w:r>
              <w:t xml:space="preserve"> a o</w:t>
            </w:r>
            <w:r w:rsidR="00B00BE7">
              <w:t>soby s chronickým onemocněním 11</w:t>
            </w:r>
            <w:r>
              <w:t xml:space="preserve"> pracovními úvazky</w:t>
            </w:r>
            <w:r w:rsidRPr="00A7199A">
              <w:t xml:space="preserve"> pracovníků v přímé péči v</w:t>
            </w:r>
            <w:r>
              <w:t> </w:t>
            </w:r>
            <w:r w:rsidRPr="00A7199A">
              <w:t xml:space="preserve">ORP </w:t>
            </w:r>
            <w:r>
              <w:t>Zábřeh</w:t>
            </w:r>
          </w:p>
        </w:tc>
      </w:tr>
      <w:tr w:rsidR="00FB1999" w:rsidRPr="006843BA" w:rsidTr="00806448">
        <w:tblPrEx>
          <w:jc w:val="center"/>
        </w:tblPrEx>
        <w:trPr>
          <w:cantSplit/>
          <w:trHeight w:val="397"/>
          <w:jc w:val="center"/>
        </w:trPr>
        <w:tc>
          <w:tcPr>
            <w:tcW w:w="858" w:type="pct"/>
            <w:shd w:val="clear" w:color="auto" w:fill="E2EFD9" w:themeFill="accent6" w:themeFillTint="33"/>
            <w:vAlign w:val="center"/>
          </w:tcPr>
          <w:p w:rsidR="00FB1999" w:rsidRPr="00EF7BE6" w:rsidRDefault="00FB1999" w:rsidP="00EF7BE6">
            <w:pPr>
              <w:spacing w:before="0"/>
              <w:rPr>
                <w:b/>
              </w:rPr>
            </w:pPr>
            <w:r w:rsidRPr="00EF7BE6">
              <w:rPr>
                <w:b/>
              </w:rPr>
              <w:t>Opatření 3.3.2</w:t>
            </w:r>
          </w:p>
        </w:tc>
        <w:tc>
          <w:tcPr>
            <w:tcW w:w="4142" w:type="pct"/>
            <w:shd w:val="clear" w:color="auto" w:fill="E2EFD9" w:themeFill="accent6" w:themeFillTint="33"/>
          </w:tcPr>
          <w:p w:rsidR="00FB1999" w:rsidRPr="00651A57" w:rsidRDefault="00FB1999" w:rsidP="00EF7BE6">
            <w:pPr>
              <w:spacing w:before="0"/>
            </w:pPr>
            <w:r w:rsidRPr="00651A57">
              <w:t xml:space="preserve">Zajištění pobytové </w:t>
            </w:r>
            <w:r w:rsidR="00C64B77">
              <w:t>odlehčovací služby pro seniory,</w:t>
            </w:r>
            <w:r w:rsidRPr="00651A57">
              <w:t xml:space="preserve"> pro osoby s</w:t>
            </w:r>
            <w:r>
              <w:t> </w:t>
            </w:r>
            <w:r w:rsidRPr="00651A57">
              <w:t xml:space="preserve">chronickým duševním onemocněním </w:t>
            </w:r>
            <w:r>
              <w:t>a osoby s chronickým onemocněním 5</w:t>
            </w:r>
            <w:r w:rsidRPr="00651A57">
              <w:t xml:space="preserve"> pracovní</w:t>
            </w:r>
            <w:r>
              <w:t>mi úvazky</w:t>
            </w:r>
            <w:r w:rsidRPr="00651A57">
              <w:t xml:space="preserve"> pracovníků v přímé péči v ORP Přerov</w:t>
            </w:r>
            <w:r>
              <w:t xml:space="preserve"> a ORP Šumperk</w:t>
            </w:r>
          </w:p>
        </w:tc>
      </w:tr>
      <w:tr w:rsidR="00FB1999" w:rsidRPr="006843BA" w:rsidTr="00806448">
        <w:tblPrEx>
          <w:jc w:val="center"/>
        </w:tblPrEx>
        <w:trPr>
          <w:cantSplit/>
          <w:trHeight w:val="397"/>
          <w:jc w:val="center"/>
        </w:trPr>
        <w:tc>
          <w:tcPr>
            <w:tcW w:w="858" w:type="pct"/>
            <w:shd w:val="clear" w:color="auto" w:fill="E2EFD9" w:themeFill="accent6" w:themeFillTint="33"/>
            <w:vAlign w:val="center"/>
          </w:tcPr>
          <w:p w:rsidR="00FB1999" w:rsidRPr="00EF7BE6" w:rsidRDefault="00FB1999" w:rsidP="00EF7BE6">
            <w:pPr>
              <w:spacing w:before="0"/>
              <w:rPr>
                <w:b/>
              </w:rPr>
            </w:pPr>
            <w:r w:rsidRPr="00EF7BE6">
              <w:rPr>
                <w:b/>
              </w:rPr>
              <w:t>Opatření 3.3.3</w:t>
            </w:r>
          </w:p>
        </w:tc>
        <w:tc>
          <w:tcPr>
            <w:tcW w:w="4142" w:type="pct"/>
            <w:shd w:val="clear" w:color="auto" w:fill="E2EFD9" w:themeFill="accent6" w:themeFillTint="33"/>
          </w:tcPr>
          <w:p w:rsidR="00FB1999" w:rsidRPr="00651A57" w:rsidRDefault="00FB1999" w:rsidP="00EF7BE6">
            <w:pPr>
              <w:spacing w:before="0"/>
            </w:pPr>
            <w:r w:rsidRPr="00FA33E2">
              <w:t xml:space="preserve">Zajištění </w:t>
            </w:r>
            <w:r>
              <w:t>terénní</w:t>
            </w:r>
            <w:r w:rsidRPr="00FA33E2">
              <w:t xml:space="preserve"> </w:t>
            </w:r>
            <w:r>
              <w:t xml:space="preserve">formy </w:t>
            </w:r>
            <w:r w:rsidRPr="00FA33E2">
              <w:t>odlehčovací služby pro seniory, osoby s</w:t>
            </w:r>
            <w:r>
              <w:t> </w:t>
            </w:r>
            <w:r w:rsidRPr="00FA33E2">
              <w:t>chronickým onemocněním a pro osoby s chronický</w:t>
            </w:r>
            <w:r>
              <w:t>m duševním onemocněním 7 pracovními úvazky</w:t>
            </w:r>
            <w:r w:rsidRPr="00FA33E2">
              <w:t xml:space="preserve"> pracovníků v přímé péči v ORP </w:t>
            </w:r>
            <w:r>
              <w:t>Olomouc, ORP Zábřeh a ORP Mohelnice</w:t>
            </w:r>
          </w:p>
        </w:tc>
      </w:tr>
      <w:tr w:rsidR="005A64EB" w:rsidRPr="004A7196" w:rsidTr="00806448">
        <w:tblPrEx>
          <w:jc w:val="center"/>
        </w:tblPrEx>
        <w:trPr>
          <w:cantSplit/>
          <w:trHeight w:val="397"/>
          <w:jc w:val="center"/>
        </w:trPr>
        <w:tc>
          <w:tcPr>
            <w:tcW w:w="85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64EB" w:rsidRPr="00EF7BE6" w:rsidRDefault="005A64EB" w:rsidP="00EF7BE6">
            <w:pPr>
              <w:spacing w:before="0"/>
              <w:rPr>
                <w:rFonts w:eastAsia="Arial Unicode MS"/>
                <w:b/>
                <w:lang w:eastAsia="cs-CZ"/>
              </w:rPr>
            </w:pPr>
            <w:r w:rsidRPr="00EF7BE6">
              <w:rPr>
                <w:rFonts w:eastAsia="Arial Unicode MS"/>
                <w:b/>
                <w:lang w:eastAsia="cs-CZ"/>
              </w:rPr>
              <w:t>Opatření 3.3.4</w:t>
            </w:r>
          </w:p>
        </w:tc>
        <w:tc>
          <w:tcPr>
            <w:tcW w:w="414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A64EB" w:rsidRPr="005A64EB" w:rsidRDefault="005A64EB" w:rsidP="00C64B77">
            <w:pPr>
              <w:spacing w:before="0"/>
              <w:rPr>
                <w:rFonts w:eastAsia="Arial Unicode MS"/>
                <w:lang w:eastAsia="cs-CZ"/>
              </w:rPr>
            </w:pPr>
            <w:r w:rsidRPr="005A64EB">
              <w:rPr>
                <w:rFonts w:eastAsia="Arial Unicode MS"/>
                <w:lang w:eastAsia="cs-CZ"/>
              </w:rPr>
              <w:t>Zajištění terénní formy odlehčovací služby pro seniory, osoby s</w:t>
            </w:r>
            <w:r w:rsidR="001E14E8">
              <w:rPr>
                <w:rFonts w:eastAsia="Arial Unicode MS"/>
                <w:lang w:eastAsia="cs-CZ"/>
              </w:rPr>
              <w:t> </w:t>
            </w:r>
            <w:r w:rsidRPr="005A64EB">
              <w:rPr>
                <w:rFonts w:eastAsia="Arial Unicode MS"/>
                <w:lang w:eastAsia="cs-CZ"/>
              </w:rPr>
              <w:t xml:space="preserve">chronickým onemocněním a pro osoby s chronickým duševním onemocněním </w:t>
            </w:r>
            <w:r w:rsidR="00C64B77">
              <w:rPr>
                <w:rFonts w:eastAsia="Arial Unicode MS"/>
                <w:lang w:eastAsia="cs-CZ"/>
              </w:rPr>
              <w:t>5</w:t>
            </w:r>
            <w:r w:rsidRPr="005A64EB">
              <w:rPr>
                <w:rFonts w:eastAsia="Arial Unicode MS"/>
                <w:lang w:eastAsia="cs-CZ"/>
              </w:rPr>
              <w:t xml:space="preserve"> pracovními úvazky pracovníků v přímé péči působící v ORP Šumperk a ORP Jeseník</w:t>
            </w:r>
          </w:p>
        </w:tc>
      </w:tr>
      <w:tr w:rsidR="00FB1999" w:rsidRPr="006843BA" w:rsidTr="00806448">
        <w:tblPrEx>
          <w:jc w:val="center"/>
        </w:tblPrEx>
        <w:trPr>
          <w:cantSplit/>
          <w:trHeight w:val="397"/>
          <w:jc w:val="center"/>
        </w:trPr>
        <w:tc>
          <w:tcPr>
            <w:tcW w:w="858"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FB1999" w:rsidRPr="00EF7BE6" w:rsidRDefault="00FB1999" w:rsidP="00EF7BE6">
            <w:pPr>
              <w:spacing w:before="0"/>
              <w:rPr>
                <w:b/>
              </w:rPr>
            </w:pPr>
            <w:r w:rsidRPr="00EF7BE6">
              <w:rPr>
                <w:b/>
              </w:rPr>
              <w:lastRenderedPageBreak/>
              <w:t>Cíl 3.4</w:t>
            </w:r>
          </w:p>
        </w:tc>
        <w:tc>
          <w:tcPr>
            <w:tcW w:w="4142"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FB1999" w:rsidRPr="00EF7BE6" w:rsidRDefault="00FB1999" w:rsidP="00EF7BE6">
            <w:pPr>
              <w:spacing w:before="0"/>
              <w:rPr>
                <w:b/>
              </w:rPr>
            </w:pPr>
            <w:r w:rsidRPr="00EF7BE6">
              <w:rPr>
                <w:b/>
              </w:rPr>
              <w:t>Zajištění potřebného rozsahu služby domovy se zvláštním režimem v OK</w:t>
            </w:r>
          </w:p>
        </w:tc>
      </w:tr>
      <w:tr w:rsidR="00FB1999" w:rsidRPr="000C3160" w:rsidTr="00806448">
        <w:tblPrEx>
          <w:jc w:val="center"/>
        </w:tblPrEx>
        <w:trPr>
          <w:cantSplit/>
          <w:trHeight w:val="397"/>
          <w:jc w:val="center"/>
        </w:trPr>
        <w:tc>
          <w:tcPr>
            <w:tcW w:w="858" w:type="pct"/>
            <w:shd w:val="clear" w:color="auto" w:fill="E2EFD9" w:themeFill="accent6" w:themeFillTint="33"/>
            <w:vAlign w:val="center"/>
          </w:tcPr>
          <w:p w:rsidR="00FB1999" w:rsidRPr="00EF7BE6" w:rsidRDefault="00FB1999" w:rsidP="00EF7BE6">
            <w:pPr>
              <w:spacing w:before="0"/>
              <w:rPr>
                <w:b/>
              </w:rPr>
            </w:pPr>
            <w:r w:rsidRPr="00EF7BE6">
              <w:rPr>
                <w:b/>
              </w:rPr>
              <w:t>Opatření 3.4.1</w:t>
            </w:r>
          </w:p>
        </w:tc>
        <w:tc>
          <w:tcPr>
            <w:tcW w:w="4142" w:type="pct"/>
            <w:shd w:val="clear" w:color="auto" w:fill="E2EFD9" w:themeFill="accent6" w:themeFillTint="33"/>
          </w:tcPr>
          <w:p w:rsidR="00FB1999" w:rsidRPr="009E3EF7" w:rsidRDefault="00FB1999" w:rsidP="00EF7BE6">
            <w:pPr>
              <w:spacing w:before="0"/>
            </w:pPr>
            <w:r w:rsidRPr="009E3EF7">
              <w:t>Zajištění služb</w:t>
            </w:r>
            <w:r w:rsidR="00E648CC">
              <w:t>y domovy se zvláštním režimem 14</w:t>
            </w:r>
            <w:r w:rsidRPr="009E3EF7">
              <w:t xml:space="preserve"> lůžky v ORP Šumperk</w:t>
            </w:r>
          </w:p>
        </w:tc>
      </w:tr>
      <w:tr w:rsidR="00FB1999" w:rsidRPr="000C3160" w:rsidTr="00806448">
        <w:tblPrEx>
          <w:jc w:val="center"/>
        </w:tblPrEx>
        <w:trPr>
          <w:cantSplit/>
          <w:trHeight w:val="397"/>
          <w:jc w:val="center"/>
        </w:trPr>
        <w:tc>
          <w:tcPr>
            <w:tcW w:w="858" w:type="pct"/>
            <w:shd w:val="clear" w:color="auto" w:fill="E2EFD9" w:themeFill="accent6" w:themeFillTint="33"/>
            <w:vAlign w:val="center"/>
          </w:tcPr>
          <w:p w:rsidR="00FB1999" w:rsidRPr="00EF7BE6" w:rsidRDefault="00FB1999" w:rsidP="00EF7BE6">
            <w:pPr>
              <w:spacing w:before="0"/>
              <w:rPr>
                <w:b/>
                <w:highlight w:val="yellow"/>
              </w:rPr>
            </w:pPr>
            <w:r w:rsidRPr="00EF7BE6">
              <w:rPr>
                <w:b/>
              </w:rPr>
              <w:t>Opatření 3.4.2</w:t>
            </w:r>
          </w:p>
        </w:tc>
        <w:tc>
          <w:tcPr>
            <w:tcW w:w="4142" w:type="pct"/>
            <w:shd w:val="clear" w:color="auto" w:fill="E2EFD9" w:themeFill="accent6" w:themeFillTint="33"/>
          </w:tcPr>
          <w:p w:rsidR="00FB1999" w:rsidRPr="000C3160" w:rsidRDefault="00FB1999" w:rsidP="00EF7BE6">
            <w:pPr>
              <w:spacing w:before="0"/>
              <w:rPr>
                <w:highlight w:val="yellow"/>
              </w:rPr>
            </w:pPr>
            <w:r w:rsidRPr="00025C26">
              <w:t>Zajištění služby domovy se zvláštním režimem</w:t>
            </w:r>
            <w:r>
              <w:t xml:space="preserve"> 50 lůžky</w:t>
            </w:r>
            <w:r w:rsidRPr="00025C26">
              <w:t xml:space="preserve"> v ORP </w:t>
            </w:r>
            <w:r>
              <w:t>Olomouc</w:t>
            </w:r>
          </w:p>
        </w:tc>
      </w:tr>
      <w:tr w:rsidR="00FB1999" w:rsidRPr="000C3160" w:rsidTr="00806448">
        <w:tblPrEx>
          <w:jc w:val="center"/>
        </w:tblPrEx>
        <w:trPr>
          <w:cantSplit/>
          <w:trHeight w:val="397"/>
          <w:jc w:val="center"/>
        </w:trPr>
        <w:tc>
          <w:tcPr>
            <w:tcW w:w="858" w:type="pct"/>
            <w:shd w:val="clear" w:color="auto" w:fill="FABF8F"/>
            <w:vAlign w:val="center"/>
          </w:tcPr>
          <w:p w:rsidR="00FB1999" w:rsidRPr="00EF7BE6" w:rsidRDefault="00FB1999" w:rsidP="00EF7BE6">
            <w:pPr>
              <w:spacing w:before="0"/>
              <w:rPr>
                <w:b/>
                <w:highlight w:val="yellow"/>
              </w:rPr>
            </w:pPr>
            <w:r w:rsidRPr="00EF7BE6">
              <w:rPr>
                <w:b/>
              </w:rPr>
              <w:t>Cíl 3.5</w:t>
            </w:r>
          </w:p>
        </w:tc>
        <w:tc>
          <w:tcPr>
            <w:tcW w:w="4142" w:type="pct"/>
            <w:shd w:val="clear" w:color="auto" w:fill="FABF8F"/>
            <w:vAlign w:val="center"/>
          </w:tcPr>
          <w:p w:rsidR="00FB1999" w:rsidRPr="00EF7BE6" w:rsidRDefault="00FB1999" w:rsidP="00EF7BE6">
            <w:pPr>
              <w:spacing w:before="0"/>
              <w:rPr>
                <w:b/>
                <w:highlight w:val="yellow"/>
              </w:rPr>
            </w:pPr>
            <w:r w:rsidRPr="00EF7BE6">
              <w:rPr>
                <w:b/>
              </w:rPr>
              <w:t>Zajištění potřebného rozsahu služby domovy pro seniory v OK</w:t>
            </w:r>
          </w:p>
        </w:tc>
      </w:tr>
      <w:tr w:rsidR="00FB1999" w:rsidRPr="000C3160" w:rsidTr="00806448">
        <w:tblPrEx>
          <w:jc w:val="center"/>
        </w:tblPrEx>
        <w:trPr>
          <w:cantSplit/>
          <w:trHeight w:val="397"/>
          <w:jc w:val="center"/>
        </w:trPr>
        <w:tc>
          <w:tcPr>
            <w:tcW w:w="858" w:type="pct"/>
            <w:shd w:val="clear" w:color="auto" w:fill="E2EFD9" w:themeFill="accent6" w:themeFillTint="33"/>
            <w:vAlign w:val="center"/>
          </w:tcPr>
          <w:p w:rsidR="00FB1999" w:rsidRPr="00EF7BE6" w:rsidRDefault="00FB1999" w:rsidP="00EF7BE6">
            <w:pPr>
              <w:spacing w:before="0"/>
              <w:rPr>
                <w:b/>
              </w:rPr>
            </w:pPr>
            <w:r w:rsidRPr="00EF7BE6">
              <w:rPr>
                <w:b/>
              </w:rPr>
              <w:t>Opatření 3.5.1</w:t>
            </w:r>
          </w:p>
        </w:tc>
        <w:tc>
          <w:tcPr>
            <w:tcW w:w="4142" w:type="pct"/>
            <w:shd w:val="clear" w:color="auto" w:fill="E2EFD9" w:themeFill="accent6" w:themeFillTint="33"/>
          </w:tcPr>
          <w:p w:rsidR="00FB1999" w:rsidRPr="0046272B" w:rsidRDefault="00FB1999" w:rsidP="00EF7BE6">
            <w:pPr>
              <w:spacing w:before="0"/>
            </w:pPr>
            <w:r>
              <w:t>Zajištění</w:t>
            </w:r>
            <w:r w:rsidR="00C40C69">
              <w:t xml:space="preserve"> služby domovy pro seniory 116</w:t>
            </w:r>
            <w:r>
              <w:t xml:space="preserve"> lůžky</w:t>
            </w:r>
            <w:r w:rsidR="00C40C69">
              <w:t xml:space="preserve"> v ORP Přerov</w:t>
            </w:r>
            <w:r w:rsidRPr="0046272B">
              <w:t>, ORP Šumperk, ORP Konice</w:t>
            </w:r>
          </w:p>
        </w:tc>
      </w:tr>
      <w:tr w:rsidR="00FB1999" w:rsidRPr="000C3160" w:rsidTr="00806448">
        <w:tblPrEx>
          <w:jc w:val="center"/>
        </w:tblPrEx>
        <w:trPr>
          <w:cantSplit/>
          <w:trHeight w:val="397"/>
          <w:jc w:val="center"/>
        </w:trPr>
        <w:tc>
          <w:tcPr>
            <w:tcW w:w="858" w:type="pct"/>
            <w:shd w:val="clear" w:color="auto" w:fill="E2EFD9" w:themeFill="accent6" w:themeFillTint="33"/>
            <w:vAlign w:val="center"/>
          </w:tcPr>
          <w:p w:rsidR="00FB1999" w:rsidRPr="00EF7BE6" w:rsidRDefault="00FB1999" w:rsidP="00EF7BE6">
            <w:pPr>
              <w:spacing w:before="0"/>
              <w:rPr>
                <w:b/>
              </w:rPr>
            </w:pPr>
            <w:r w:rsidRPr="00EF7BE6">
              <w:rPr>
                <w:b/>
              </w:rPr>
              <w:t>Opatření 3.5.2</w:t>
            </w:r>
          </w:p>
        </w:tc>
        <w:tc>
          <w:tcPr>
            <w:tcW w:w="4142" w:type="pct"/>
            <w:shd w:val="clear" w:color="auto" w:fill="E2EFD9" w:themeFill="accent6" w:themeFillTint="33"/>
          </w:tcPr>
          <w:p w:rsidR="00FB1999" w:rsidRPr="0046272B" w:rsidRDefault="00FB1999" w:rsidP="00EF7BE6">
            <w:pPr>
              <w:spacing w:before="0"/>
            </w:pPr>
            <w:r w:rsidRPr="0046272B">
              <w:t xml:space="preserve">Zajištění služby domovy pro seniory nízkokapacitního charakteru </w:t>
            </w:r>
            <w:r>
              <w:t>30 lůžky</w:t>
            </w:r>
            <w:r w:rsidRPr="0046272B">
              <w:t xml:space="preserve"> v ORP Zábřeh </w:t>
            </w:r>
          </w:p>
        </w:tc>
      </w:tr>
      <w:tr w:rsidR="00FB1999" w:rsidRPr="000C3160" w:rsidTr="00806448">
        <w:tblPrEx>
          <w:jc w:val="center"/>
        </w:tblPrEx>
        <w:trPr>
          <w:cantSplit/>
          <w:trHeight w:val="397"/>
          <w:jc w:val="center"/>
        </w:trPr>
        <w:tc>
          <w:tcPr>
            <w:tcW w:w="858" w:type="pct"/>
            <w:shd w:val="clear" w:color="auto" w:fill="E2EFD9" w:themeFill="accent6" w:themeFillTint="33"/>
            <w:vAlign w:val="center"/>
          </w:tcPr>
          <w:p w:rsidR="00FB1999" w:rsidRPr="00EF7BE6" w:rsidRDefault="00FB1999" w:rsidP="00EF7BE6">
            <w:pPr>
              <w:spacing w:before="0"/>
              <w:rPr>
                <w:b/>
              </w:rPr>
            </w:pPr>
            <w:r w:rsidRPr="00EF7BE6">
              <w:rPr>
                <w:b/>
              </w:rPr>
              <w:t>Opatření 3.5.3</w:t>
            </w:r>
          </w:p>
        </w:tc>
        <w:tc>
          <w:tcPr>
            <w:tcW w:w="4142" w:type="pct"/>
            <w:shd w:val="clear" w:color="auto" w:fill="E2EFD9" w:themeFill="accent6" w:themeFillTint="33"/>
          </w:tcPr>
          <w:p w:rsidR="00FB1999" w:rsidRPr="0046272B" w:rsidRDefault="00FB1999" w:rsidP="00EF7BE6">
            <w:pPr>
              <w:spacing w:before="0"/>
            </w:pPr>
            <w:r>
              <w:t>Zajištění</w:t>
            </w:r>
            <w:r w:rsidRPr="0046272B">
              <w:t xml:space="preserve"> služby domovy pro seniory </w:t>
            </w:r>
            <w:r>
              <w:t>50 lůžky</w:t>
            </w:r>
            <w:r w:rsidRPr="0046272B">
              <w:t xml:space="preserve"> v ORP Šternberk</w:t>
            </w:r>
          </w:p>
        </w:tc>
      </w:tr>
      <w:tr w:rsidR="00FB1999" w:rsidRPr="000C3160" w:rsidTr="00806448">
        <w:tblPrEx>
          <w:jc w:val="center"/>
        </w:tblPrEx>
        <w:trPr>
          <w:cantSplit/>
          <w:trHeight w:val="397"/>
          <w:jc w:val="center"/>
        </w:trPr>
        <w:tc>
          <w:tcPr>
            <w:tcW w:w="858" w:type="pct"/>
            <w:shd w:val="clear" w:color="auto" w:fill="FABF8F"/>
            <w:vAlign w:val="center"/>
          </w:tcPr>
          <w:p w:rsidR="00FB1999" w:rsidRPr="00EF7BE6" w:rsidRDefault="00FB1999" w:rsidP="00EF7BE6">
            <w:pPr>
              <w:spacing w:before="0"/>
              <w:rPr>
                <w:b/>
              </w:rPr>
            </w:pPr>
            <w:r w:rsidRPr="00EF7BE6">
              <w:rPr>
                <w:b/>
              </w:rPr>
              <w:t>Cíl 3.6</w:t>
            </w:r>
          </w:p>
        </w:tc>
        <w:tc>
          <w:tcPr>
            <w:tcW w:w="4142" w:type="pct"/>
            <w:shd w:val="clear" w:color="auto" w:fill="FABF8F"/>
          </w:tcPr>
          <w:p w:rsidR="00FB1999" w:rsidRPr="00EF7BE6" w:rsidRDefault="00FB1999" w:rsidP="00EF7BE6">
            <w:pPr>
              <w:spacing w:before="0"/>
              <w:rPr>
                <w:b/>
              </w:rPr>
            </w:pPr>
            <w:proofErr w:type="spellStart"/>
            <w:r w:rsidRPr="00EF7BE6">
              <w:rPr>
                <w:b/>
              </w:rPr>
              <w:t>Reprofilizace</w:t>
            </w:r>
            <w:proofErr w:type="spellEnd"/>
            <w:r w:rsidRPr="00EF7BE6">
              <w:rPr>
                <w:b/>
              </w:rPr>
              <w:t xml:space="preserve"> stávajících lůžek zařazených v síti sociálních služeb u pobytových forem služeb sociální péče do stávajících či jiných druhů služeb registrovaných u jednoho poskytovatele</w:t>
            </w:r>
          </w:p>
        </w:tc>
      </w:tr>
      <w:tr w:rsidR="00FB1999" w:rsidRPr="000C3160" w:rsidTr="00806448">
        <w:tblPrEx>
          <w:jc w:val="center"/>
        </w:tblPrEx>
        <w:trPr>
          <w:cantSplit/>
          <w:trHeight w:val="397"/>
          <w:jc w:val="center"/>
        </w:trPr>
        <w:tc>
          <w:tcPr>
            <w:tcW w:w="858" w:type="pct"/>
            <w:shd w:val="clear" w:color="auto" w:fill="E2EFD9" w:themeFill="accent6" w:themeFillTint="33"/>
            <w:vAlign w:val="center"/>
          </w:tcPr>
          <w:p w:rsidR="00FB1999" w:rsidRPr="00EF7BE6" w:rsidRDefault="00FB1999" w:rsidP="00EF7BE6">
            <w:pPr>
              <w:spacing w:before="0"/>
              <w:rPr>
                <w:b/>
              </w:rPr>
            </w:pPr>
            <w:r w:rsidRPr="00EF7BE6">
              <w:rPr>
                <w:b/>
              </w:rPr>
              <w:t>Opatření 3.6.1</w:t>
            </w:r>
          </w:p>
        </w:tc>
        <w:tc>
          <w:tcPr>
            <w:tcW w:w="4142" w:type="pct"/>
            <w:shd w:val="clear" w:color="auto" w:fill="E2EFD9" w:themeFill="accent6" w:themeFillTint="33"/>
          </w:tcPr>
          <w:p w:rsidR="00FB1999" w:rsidRPr="0046272B" w:rsidRDefault="00FB1999" w:rsidP="00C64B77">
            <w:pPr>
              <w:spacing w:before="0"/>
            </w:pPr>
            <w:proofErr w:type="spellStart"/>
            <w:r w:rsidRPr="0046272B">
              <w:t>Reprofilizace</w:t>
            </w:r>
            <w:proofErr w:type="spellEnd"/>
            <w:r w:rsidRPr="0046272B">
              <w:t xml:space="preserve"> stávající služby domovy pro seniory na službu domovy se zvláštním režimem</w:t>
            </w:r>
            <w:r w:rsidR="00C64B77">
              <w:t xml:space="preserve"> a dále služby chráněné bydlení na domovy pro seniory nebo domovy se zvláštním režimem pro osoby</w:t>
            </w:r>
            <w:r w:rsidRPr="0046272B">
              <w:t>, které mají sníženou soběstačnost z důvodu chronického duševního onemocnění (stařeckou demencí, Alzheimerovou demencí nebo ostatními typy demencí), jejichž situace vyžaduje pravidelnou pomoc jiné fyzické osoby</w:t>
            </w:r>
          </w:p>
        </w:tc>
      </w:tr>
      <w:tr w:rsidR="00FB1999" w:rsidRPr="006843BA" w:rsidTr="00806448">
        <w:tblPrEx>
          <w:jc w:val="center"/>
        </w:tblPrEx>
        <w:trPr>
          <w:cantSplit/>
          <w:trHeight w:val="397"/>
          <w:jc w:val="center"/>
        </w:trPr>
        <w:tc>
          <w:tcPr>
            <w:tcW w:w="858" w:type="pct"/>
            <w:shd w:val="clear" w:color="auto" w:fill="E2EFD9" w:themeFill="accent6" w:themeFillTint="33"/>
            <w:vAlign w:val="center"/>
          </w:tcPr>
          <w:p w:rsidR="00FB1999" w:rsidRPr="00EF7BE6" w:rsidRDefault="00FB1999" w:rsidP="00EF7BE6">
            <w:pPr>
              <w:spacing w:before="0"/>
              <w:rPr>
                <w:b/>
              </w:rPr>
            </w:pPr>
            <w:r w:rsidRPr="00EF7BE6">
              <w:rPr>
                <w:b/>
              </w:rPr>
              <w:t>Opatření 3.6.2</w:t>
            </w:r>
          </w:p>
        </w:tc>
        <w:tc>
          <w:tcPr>
            <w:tcW w:w="4142" w:type="pct"/>
            <w:shd w:val="clear" w:color="auto" w:fill="E2EFD9" w:themeFill="accent6" w:themeFillTint="33"/>
          </w:tcPr>
          <w:p w:rsidR="00FB1999" w:rsidRPr="0046272B" w:rsidRDefault="00FB1999" w:rsidP="00EF7BE6">
            <w:pPr>
              <w:spacing w:before="0"/>
            </w:pPr>
            <w:r>
              <w:t>Zajištění</w:t>
            </w:r>
            <w:r w:rsidRPr="0046272B">
              <w:t xml:space="preserve"> služby pro specifické skupiny osob s chronickým onemocněním (</w:t>
            </w:r>
            <w:proofErr w:type="spellStart"/>
            <w:r w:rsidRPr="0046272B">
              <w:t>neurodegenerativní</w:t>
            </w:r>
            <w:proofErr w:type="spellEnd"/>
            <w:r w:rsidRPr="0046272B">
              <w:t xml:space="preserve"> onemocnění – např. Parkinsonova nemoc, </w:t>
            </w:r>
            <w:proofErr w:type="spellStart"/>
            <w:r w:rsidRPr="0046272B">
              <w:t>Hunti</w:t>
            </w:r>
            <w:r w:rsidR="005A64EB">
              <w:t>ngtonova</w:t>
            </w:r>
            <w:proofErr w:type="spellEnd"/>
            <w:r w:rsidR="005A64EB">
              <w:t xml:space="preserve"> nemoc</w:t>
            </w:r>
            <w:r w:rsidR="00326174">
              <w:t>, roztroušená skleróza</w:t>
            </w:r>
            <w:r w:rsidR="005A64EB">
              <w:t>) s navýšením o</w:t>
            </w:r>
            <w:r w:rsidR="00C2313A">
              <w:t> </w:t>
            </w:r>
            <w:r w:rsidR="005A64EB">
              <w:t>22</w:t>
            </w:r>
            <w:r w:rsidR="00C2313A">
              <w:t> </w:t>
            </w:r>
            <w:r w:rsidRPr="0046272B">
              <w:t>lůžek v ORP Litovel</w:t>
            </w:r>
            <w:r w:rsidR="005A64EB">
              <w:t xml:space="preserve"> a ORP Prostějov</w:t>
            </w:r>
          </w:p>
        </w:tc>
      </w:tr>
      <w:tr w:rsidR="00FB1999" w:rsidRPr="00B802E0" w:rsidTr="00806448">
        <w:tblPrEx>
          <w:jc w:val="center"/>
        </w:tblPrEx>
        <w:trPr>
          <w:cantSplit/>
          <w:trHeight w:val="397"/>
          <w:jc w:val="center"/>
        </w:trPr>
        <w:tc>
          <w:tcPr>
            <w:tcW w:w="858" w:type="pct"/>
            <w:shd w:val="clear" w:color="auto" w:fill="FABF8F"/>
            <w:vAlign w:val="center"/>
          </w:tcPr>
          <w:p w:rsidR="00FB1999" w:rsidRPr="00EF7BE6" w:rsidRDefault="00FB1999" w:rsidP="00EF7BE6">
            <w:pPr>
              <w:spacing w:before="0"/>
              <w:rPr>
                <w:b/>
              </w:rPr>
            </w:pPr>
            <w:r w:rsidRPr="00EF7BE6">
              <w:rPr>
                <w:b/>
              </w:rPr>
              <w:t>Cíl 3.7</w:t>
            </w:r>
          </w:p>
        </w:tc>
        <w:tc>
          <w:tcPr>
            <w:tcW w:w="4142" w:type="pct"/>
            <w:shd w:val="clear" w:color="auto" w:fill="FABF8F"/>
            <w:vAlign w:val="center"/>
          </w:tcPr>
          <w:p w:rsidR="00FB1999" w:rsidRPr="00EF7BE6" w:rsidRDefault="00FB1999" w:rsidP="00EF7BE6">
            <w:pPr>
              <w:spacing w:before="0"/>
              <w:rPr>
                <w:b/>
              </w:rPr>
            </w:pPr>
            <w:r w:rsidRPr="00EF7BE6">
              <w:rPr>
                <w:b/>
              </w:rPr>
              <w:t>Zajištění potřebného rozsahu služby denní stacionáře v OK</w:t>
            </w:r>
          </w:p>
        </w:tc>
      </w:tr>
      <w:tr w:rsidR="00FB1999" w:rsidRPr="00C538D4" w:rsidTr="00806448">
        <w:tblPrEx>
          <w:jc w:val="center"/>
        </w:tblPrEx>
        <w:trPr>
          <w:cantSplit/>
          <w:trHeight w:val="397"/>
          <w:jc w:val="center"/>
        </w:trPr>
        <w:tc>
          <w:tcPr>
            <w:tcW w:w="858" w:type="pct"/>
            <w:shd w:val="clear" w:color="auto" w:fill="E2EFD9" w:themeFill="accent6" w:themeFillTint="33"/>
            <w:vAlign w:val="center"/>
          </w:tcPr>
          <w:p w:rsidR="00FB1999" w:rsidRPr="00EF7BE6" w:rsidRDefault="00FB1999" w:rsidP="00EF7BE6">
            <w:pPr>
              <w:spacing w:before="0"/>
              <w:rPr>
                <w:b/>
              </w:rPr>
            </w:pPr>
            <w:r w:rsidRPr="00EF7BE6">
              <w:rPr>
                <w:b/>
              </w:rPr>
              <w:t>Opatření 3.7.1</w:t>
            </w:r>
          </w:p>
        </w:tc>
        <w:tc>
          <w:tcPr>
            <w:tcW w:w="4142" w:type="pct"/>
            <w:shd w:val="clear" w:color="auto" w:fill="E2EFD9" w:themeFill="accent6" w:themeFillTint="33"/>
          </w:tcPr>
          <w:p w:rsidR="00FB1999" w:rsidRPr="00552974" w:rsidRDefault="00FB1999" w:rsidP="00EF7BE6">
            <w:pPr>
              <w:spacing w:before="0"/>
            </w:pPr>
            <w:r w:rsidRPr="00552974">
              <w:t xml:space="preserve">Zajištění </w:t>
            </w:r>
            <w:r>
              <w:t>služby denního stacionáře</w:t>
            </w:r>
            <w:r w:rsidRPr="00552974">
              <w:t xml:space="preserve"> pro </w:t>
            </w:r>
            <w:r>
              <w:t>seniory</w:t>
            </w:r>
            <w:r w:rsidRPr="00552974">
              <w:t>, osoby s</w:t>
            </w:r>
            <w:r w:rsidR="00C2313A">
              <w:t> </w:t>
            </w:r>
            <w:r w:rsidRPr="00552974">
              <w:t>chronickým duševním onemocněním</w:t>
            </w:r>
            <w:r>
              <w:t xml:space="preserve"> 2,7 pracovními úvazky</w:t>
            </w:r>
            <w:r w:rsidRPr="00552974">
              <w:t xml:space="preserve"> pracovníků v přímé péči v ORP </w:t>
            </w:r>
            <w:r>
              <w:t>Jeseník a ORP Lipník nad Bečvou</w:t>
            </w:r>
          </w:p>
        </w:tc>
      </w:tr>
    </w:tbl>
    <w:p w:rsidR="00FB1999" w:rsidRPr="006843BA" w:rsidRDefault="00FB1999" w:rsidP="00A34764"/>
    <w:p w:rsidR="00FB1999" w:rsidRDefault="00FB1999" w:rsidP="00A34764">
      <w:pPr>
        <w:pStyle w:val="Nadpis3"/>
      </w:pPr>
      <w:bookmarkStart w:id="216" w:name="_Toc22896391"/>
      <w:bookmarkStart w:id="217" w:name="_Toc22913781"/>
      <w:bookmarkStart w:id="218" w:name="_Toc117607001"/>
      <w:r w:rsidRPr="00FB7DCA">
        <w:t xml:space="preserve">Popis cílů a </w:t>
      </w:r>
      <w:r w:rsidRPr="00692A17">
        <w:t>opatření</w:t>
      </w:r>
      <w:bookmarkEnd w:id="216"/>
      <w:bookmarkEnd w:id="217"/>
      <w:bookmarkEnd w:id="2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57"/>
      </w:tblGrid>
      <w:tr w:rsidR="00FB1999" w:rsidRPr="001870CD" w:rsidTr="00EF7BE6">
        <w:trPr>
          <w:trHeight w:val="397"/>
          <w:jc w:val="center"/>
        </w:trPr>
        <w:tc>
          <w:tcPr>
            <w:tcW w:w="1327" w:type="pct"/>
            <w:shd w:val="clear" w:color="auto" w:fill="FABF8F"/>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Cíl 3.1</w:t>
            </w:r>
          </w:p>
        </w:tc>
        <w:tc>
          <w:tcPr>
            <w:tcW w:w="3673" w:type="pct"/>
            <w:shd w:val="clear" w:color="auto" w:fill="FABF8F"/>
          </w:tcPr>
          <w:p w:rsidR="00FB1999" w:rsidRPr="00EF7BE6" w:rsidRDefault="00FB1999" w:rsidP="00EF7BE6">
            <w:pPr>
              <w:keepNext/>
              <w:spacing w:before="0"/>
              <w:rPr>
                <w:rFonts w:eastAsia="Arial Unicode MS"/>
                <w:b/>
                <w:lang w:eastAsia="cs-CZ"/>
              </w:rPr>
            </w:pPr>
            <w:r w:rsidRPr="00EF7BE6">
              <w:rPr>
                <w:rFonts w:eastAsia="Arial Unicode MS"/>
                <w:b/>
                <w:lang w:eastAsia="cs-CZ"/>
              </w:rPr>
              <w:t>Zajištění potřebného rozsahu pečovatelské služby v OK</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r w:rsidRPr="00EF7BE6">
              <w:rPr>
                <w:rFonts w:eastAsia="Arial Unicode MS"/>
                <w:b/>
                <w:lang w:eastAsia="cs-CZ"/>
              </w:rPr>
              <w:t>3.1.1</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r w:rsidRPr="00EF7BE6">
              <w:rPr>
                <w:rFonts w:eastAsia="Arial Unicode MS"/>
                <w:b/>
                <w:lang w:eastAsia="cs-CZ"/>
              </w:rPr>
              <w:t xml:space="preserve">Zajištění pečovatelské služby pro seniory, osoby s chronickým onemocněním a osoby s chronickým duševním onemocněním 20 pracovními úvazky pracovníků v přímé péči </w:t>
            </w:r>
            <w:r w:rsidR="00C5783C" w:rsidRPr="00EF7BE6">
              <w:rPr>
                <w:rFonts w:eastAsia="Arial Unicode MS"/>
                <w:b/>
                <w:lang w:eastAsia="cs-CZ"/>
              </w:rPr>
              <w:t>v</w:t>
            </w:r>
            <w:r w:rsidRPr="00EF7BE6">
              <w:rPr>
                <w:rFonts w:eastAsia="Arial Unicode MS"/>
                <w:b/>
                <w:lang w:eastAsia="cs-CZ"/>
              </w:rPr>
              <w:t xml:space="preserve"> OK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shd w:val="clear" w:color="auto" w:fill="auto"/>
          </w:tcPr>
          <w:p w:rsidR="00FB1999" w:rsidRPr="001870CD" w:rsidRDefault="00FB1999" w:rsidP="00EF7BE6">
            <w:pPr>
              <w:spacing w:before="0"/>
              <w:rPr>
                <w:rFonts w:eastAsia="Arial Unicode MS"/>
                <w:lang w:eastAsia="cs-CZ"/>
              </w:rPr>
            </w:pPr>
            <w:r w:rsidRPr="001870CD">
              <w:rPr>
                <w:rFonts w:eastAsia="Arial Unicode MS"/>
                <w:lang w:eastAsia="cs-CZ"/>
              </w:rPr>
              <w:t>Opatření směřuje k optimalizaci (pozn. k přesunu nevyužitých kapacit stávající služby do území, kde se vyskytla poptávka po službě) a</w:t>
            </w:r>
            <w:r w:rsidR="000B266F">
              <w:rPr>
                <w:rFonts w:eastAsia="Arial Unicode MS"/>
                <w:lang w:eastAsia="cs-CZ"/>
              </w:rPr>
              <w:t> </w:t>
            </w:r>
            <w:r w:rsidRPr="001870CD">
              <w:rPr>
                <w:rFonts w:eastAsia="Arial Unicode MS"/>
                <w:lang w:eastAsia="cs-CZ"/>
              </w:rPr>
              <w:t>k případnému rozvoji pečovatelských služeb pro seniory, osoby s chronickým onemocněním a osoby s chronickým duševním onemocněním (typu demence) vyžadující pomoc jiné fyzické osoby se zachováním života v přirozeném prostředí na území OK.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Senioři</w:t>
            </w:r>
          </w:p>
          <w:p w:rsidR="00FB1999" w:rsidRPr="001870CD" w:rsidRDefault="00FB1999" w:rsidP="00EF7BE6">
            <w:pPr>
              <w:spacing w:before="0"/>
              <w:rPr>
                <w:rFonts w:eastAsia="Arial Unicode MS"/>
                <w:lang w:eastAsia="cs-CZ"/>
              </w:rPr>
            </w:pPr>
            <w:r w:rsidRPr="001870CD">
              <w:rPr>
                <w:rFonts w:eastAsia="Arial Unicode MS"/>
                <w:lang w:eastAsia="cs-CZ"/>
              </w:rPr>
              <w:t>Osoby s chronickým onemocněním</w:t>
            </w:r>
          </w:p>
          <w:p w:rsidR="00FB1999" w:rsidRPr="001870CD" w:rsidRDefault="00FB1999" w:rsidP="00EF7BE6">
            <w:pPr>
              <w:spacing w:before="0"/>
              <w:rPr>
                <w:rFonts w:eastAsia="Arial Unicode MS"/>
                <w:lang w:eastAsia="cs-CZ"/>
              </w:rPr>
            </w:pPr>
            <w:r w:rsidRPr="001870CD">
              <w:rPr>
                <w:rFonts w:eastAsia="Arial Unicode MS"/>
                <w:lang w:eastAsia="cs-CZ"/>
              </w:rPr>
              <w:t>Osoby s chronickým duševním onemocněním</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Pečovatelská služba (§ 40)</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Terénní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lastRenderedPageBreak/>
              <w:t>Vymezení územního dopadu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má dopad na seniory, osoby s chronickým onemocněním, osoby s chronickým duševním onemocněním se sníženou soběstačností žijící na území OK, kteří mají zajištěnu odpovídající podporu a pomoc v rozsahu základních činností daných registrací služby na území OK.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 xml:space="preserve">Aktivity vedoucí k naplnění opatření </w:t>
            </w:r>
          </w:p>
        </w:tc>
        <w:tc>
          <w:tcPr>
            <w:tcW w:w="3673" w:type="pct"/>
          </w:tcPr>
          <w:p w:rsidR="00FB1999" w:rsidRPr="001870CD" w:rsidRDefault="00FB1999" w:rsidP="00EF7BE6">
            <w:pPr>
              <w:pStyle w:val="Odstavecseseznamem"/>
              <w:numPr>
                <w:ilvl w:val="0"/>
                <w:numId w:val="162"/>
              </w:numPr>
              <w:spacing w:before="0" w:line="240" w:lineRule="auto"/>
            </w:pPr>
            <w:r w:rsidRPr="001870CD">
              <w:t>Monitoring jednotek zařazených v síti sociálních služeb</w:t>
            </w:r>
          </w:p>
          <w:p w:rsidR="00FB1999" w:rsidRPr="001870CD" w:rsidRDefault="00FB1999" w:rsidP="00EF7BE6">
            <w:pPr>
              <w:pStyle w:val="Odstavecseseznamem"/>
              <w:numPr>
                <w:ilvl w:val="0"/>
                <w:numId w:val="162"/>
              </w:numPr>
              <w:spacing w:before="0" w:line="240" w:lineRule="auto"/>
            </w:pPr>
            <w:r w:rsidRPr="001870CD">
              <w:t>Projednání předloženého záměru poskytovatele sociálních služeb v souladu se schválenými postupy pro aktualizaci sítě sociálních služeb OK</w:t>
            </w:r>
          </w:p>
          <w:p w:rsidR="00FB1999" w:rsidRPr="001870CD" w:rsidRDefault="00FB1999" w:rsidP="00EF7BE6">
            <w:pPr>
              <w:pStyle w:val="Odstavecseseznamem"/>
              <w:numPr>
                <w:ilvl w:val="0"/>
                <w:numId w:val="162"/>
              </w:numPr>
              <w:spacing w:before="0" w:line="240" w:lineRule="auto"/>
            </w:pPr>
            <w:r w:rsidRPr="001870CD">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b/>
              </w:rPr>
              <w:t>Rizika a ohrožení naplnění opatření</w:t>
            </w:r>
          </w:p>
        </w:tc>
        <w:tc>
          <w:tcPr>
            <w:tcW w:w="3673" w:type="pct"/>
          </w:tcPr>
          <w:p w:rsidR="00FB1999" w:rsidRPr="00A34764" w:rsidRDefault="00FB1999" w:rsidP="00EF7BE6">
            <w:pPr>
              <w:pStyle w:val="Odstavecseseznamem"/>
              <w:numPr>
                <w:ilvl w:val="0"/>
                <w:numId w:val="163"/>
              </w:numPr>
              <w:spacing w:before="0" w:line="240" w:lineRule="auto"/>
            </w:pPr>
            <w:r w:rsidRPr="00A34764">
              <w:t xml:space="preserve">Neprojevení zájmu poskytovatelů stávajících služeb o plnění cíle </w:t>
            </w:r>
            <w:r w:rsidR="000B266F">
              <w:t> </w:t>
            </w:r>
            <w:r w:rsidRPr="00A34764">
              <w:t xml:space="preserve"> opatření</w:t>
            </w:r>
          </w:p>
          <w:p w:rsidR="00FB1999" w:rsidRPr="00A34764" w:rsidRDefault="00FB1999" w:rsidP="00EF7BE6">
            <w:pPr>
              <w:pStyle w:val="Odstavecseseznamem"/>
              <w:numPr>
                <w:ilvl w:val="0"/>
                <w:numId w:val="163"/>
              </w:numPr>
              <w:spacing w:before="0" w:line="240" w:lineRule="auto"/>
            </w:pPr>
            <w:r w:rsidRPr="00A34764">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63"/>
              </w:numPr>
              <w:spacing w:before="0" w:line="240" w:lineRule="auto"/>
            </w:pPr>
            <w:r w:rsidRPr="001870CD">
              <w:t>Nesplnění podmínek registrace poskytovaných sociálních služeb</w:t>
            </w:r>
          </w:p>
          <w:p w:rsidR="00FB1999" w:rsidRPr="00A34764" w:rsidRDefault="00FB1999" w:rsidP="00EF7BE6">
            <w:pPr>
              <w:pStyle w:val="Odstavecseseznamem"/>
              <w:numPr>
                <w:ilvl w:val="0"/>
                <w:numId w:val="163"/>
              </w:numPr>
              <w:spacing w:before="0" w:line="240" w:lineRule="auto"/>
            </w:pPr>
            <w:r w:rsidRPr="00A34764">
              <w:t>Nedostatek lidských zdrojů</w:t>
            </w:r>
          </w:p>
          <w:p w:rsidR="00FB1999" w:rsidRPr="00A34764" w:rsidRDefault="00FB1999" w:rsidP="00EF7BE6">
            <w:pPr>
              <w:pStyle w:val="Odstavecseseznamem"/>
              <w:numPr>
                <w:ilvl w:val="0"/>
                <w:numId w:val="163"/>
              </w:numPr>
              <w:spacing w:before="0" w:line="240" w:lineRule="auto"/>
            </w:pPr>
            <w:r w:rsidRPr="00A34764">
              <w:t>Nedostatek finančních prostředků z veřejných zdrojů</w:t>
            </w:r>
          </w:p>
          <w:p w:rsidR="00FB1999" w:rsidRPr="00A34764" w:rsidRDefault="00FB1999" w:rsidP="00EF7BE6">
            <w:pPr>
              <w:pStyle w:val="Odstavecseseznamem"/>
              <w:numPr>
                <w:ilvl w:val="0"/>
                <w:numId w:val="163"/>
              </w:numPr>
              <w:spacing w:before="0" w:line="240" w:lineRule="auto"/>
            </w:pPr>
            <w:r w:rsidRPr="00A34764">
              <w:t>Legislativní změny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 xml:space="preserve">Předpokládaní realizátoři </w:t>
            </w:r>
            <w:r w:rsidRPr="00EF7BE6">
              <w:rPr>
                <w:rFonts w:eastAsia="Arial Unicode MS"/>
                <w:b/>
                <w:lang w:eastAsia="cs-CZ"/>
              </w:rPr>
              <w:br/>
              <w:t>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rozvoje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bl>
    <w:p w:rsidR="00FB1999" w:rsidRPr="00585A27" w:rsidRDefault="00FB1999" w:rsidP="00A3476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57"/>
      </w:tblGrid>
      <w:tr w:rsidR="00FB1999" w:rsidRPr="001870CD" w:rsidTr="00EF7BE6">
        <w:trPr>
          <w:trHeight w:val="397"/>
          <w:jc w:val="center"/>
        </w:trPr>
        <w:tc>
          <w:tcPr>
            <w:tcW w:w="1327" w:type="pct"/>
            <w:shd w:val="clear" w:color="auto" w:fill="FABF8F"/>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Cíl 3.2</w:t>
            </w:r>
          </w:p>
        </w:tc>
        <w:tc>
          <w:tcPr>
            <w:tcW w:w="3673" w:type="pct"/>
            <w:shd w:val="clear" w:color="auto" w:fill="FABF8F"/>
          </w:tcPr>
          <w:p w:rsidR="00FB1999" w:rsidRPr="00EF7BE6" w:rsidRDefault="00FB1999" w:rsidP="00EF7BE6">
            <w:pPr>
              <w:keepNext/>
              <w:spacing w:before="0"/>
              <w:rPr>
                <w:rFonts w:eastAsia="Arial Unicode MS"/>
                <w:b/>
                <w:lang w:eastAsia="cs-CZ"/>
              </w:rPr>
            </w:pPr>
            <w:r w:rsidRPr="00EF7BE6">
              <w:rPr>
                <w:rFonts w:eastAsia="Arial Unicode MS"/>
                <w:b/>
                <w:lang w:eastAsia="cs-CZ"/>
              </w:rPr>
              <w:t>Zajištění potřebného rozsahu služby osobní asistence v OK</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r w:rsidRPr="00EF7BE6">
              <w:rPr>
                <w:rFonts w:eastAsia="Arial Unicode MS"/>
                <w:b/>
                <w:lang w:eastAsia="cs-CZ"/>
              </w:rPr>
              <w:t>3.2.1</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r w:rsidRPr="00EF7BE6">
              <w:rPr>
                <w:rFonts w:eastAsia="Arial Unicode MS"/>
                <w:b/>
                <w:lang w:eastAsia="cs-CZ"/>
              </w:rPr>
              <w:t xml:space="preserve">Zajištění služby osobní asistence pro osoby s chronickým duševním onemocněním, osoby s chronickým onemocněním a seniory 8 pracovními úvazky pracovníků v přímé péči </w:t>
            </w:r>
            <w:r w:rsidR="00D55AF5" w:rsidRPr="00EF7BE6">
              <w:rPr>
                <w:rFonts w:eastAsia="Arial Unicode MS"/>
                <w:b/>
                <w:lang w:eastAsia="cs-CZ"/>
              </w:rPr>
              <w:t>v</w:t>
            </w:r>
            <w:r w:rsidRPr="00EF7BE6">
              <w:rPr>
                <w:rFonts w:eastAsia="Arial Unicode MS"/>
                <w:b/>
                <w:lang w:eastAsia="cs-CZ"/>
              </w:rPr>
              <w:t xml:space="preserve"> OK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Opatření směřuje k optimalizaci (pozn. </w:t>
            </w:r>
            <w:r w:rsidR="00C2313A">
              <w:rPr>
                <w:rFonts w:eastAsia="Arial Unicode MS"/>
                <w:lang w:eastAsia="cs-CZ"/>
              </w:rPr>
              <w:t>k</w:t>
            </w:r>
            <w:r w:rsidRPr="001870CD">
              <w:rPr>
                <w:rFonts w:eastAsia="Arial Unicode MS"/>
                <w:lang w:eastAsia="cs-CZ"/>
              </w:rPr>
              <w:t> přesunu nevyužitých kapacit stávající služby do území, kde se vyskytla poptávka po službě) a</w:t>
            </w:r>
            <w:r w:rsidR="000B266F">
              <w:rPr>
                <w:rFonts w:eastAsia="Arial Unicode MS"/>
                <w:lang w:eastAsia="cs-CZ"/>
              </w:rPr>
              <w:t> </w:t>
            </w:r>
            <w:r w:rsidRPr="001870CD">
              <w:rPr>
                <w:rFonts w:eastAsia="Arial Unicode MS"/>
                <w:lang w:eastAsia="cs-CZ"/>
              </w:rPr>
              <w:t>k případnému rozvoji služby osobní asistence pro seniory, osoby s chronickým onemocněním a osoby s chronickým duševním onemocněním (typu demence) vyžadující pomoc jiné fyzické osoby se zachováním života v přirozeném prostředí na základě zjištěné potřebnosti na území OK.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Senioři </w:t>
            </w:r>
          </w:p>
          <w:p w:rsidR="00FB1999" w:rsidRPr="001870CD" w:rsidRDefault="00FB1999" w:rsidP="00EF7BE6">
            <w:pPr>
              <w:spacing w:before="0"/>
              <w:rPr>
                <w:rFonts w:eastAsia="Arial Unicode MS"/>
                <w:lang w:eastAsia="cs-CZ"/>
              </w:rPr>
            </w:pPr>
            <w:r w:rsidRPr="001870CD">
              <w:rPr>
                <w:rFonts w:eastAsia="Arial Unicode MS"/>
                <w:lang w:eastAsia="cs-CZ"/>
              </w:rPr>
              <w:t>Osoby s chronickým onemocněním</w:t>
            </w:r>
          </w:p>
          <w:p w:rsidR="00FB1999" w:rsidRPr="001870CD" w:rsidRDefault="00FB1999" w:rsidP="00EF7BE6">
            <w:pPr>
              <w:spacing w:before="0"/>
              <w:rPr>
                <w:rFonts w:eastAsia="Arial Unicode MS"/>
                <w:lang w:eastAsia="cs-CZ"/>
              </w:rPr>
            </w:pPr>
            <w:r w:rsidRPr="001870CD">
              <w:rPr>
                <w:rFonts w:eastAsia="Arial Unicode MS"/>
                <w:lang w:eastAsia="cs-CZ"/>
              </w:rPr>
              <w:t>Osoby s chronickým duševním onemocněním</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Osobní asistence (§ 39)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Terénní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Vymezení územního dopadu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OK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lastRenderedPageBreak/>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má dopad na seniory, osoby s chronickým onemocněním a</w:t>
            </w:r>
            <w:r w:rsidR="000B266F">
              <w:rPr>
                <w:rFonts w:eastAsia="Arial Unicode MS"/>
                <w:lang w:eastAsia="cs-CZ"/>
              </w:rPr>
              <w:t> </w:t>
            </w:r>
            <w:r w:rsidRPr="001870CD">
              <w:rPr>
                <w:rFonts w:eastAsia="Arial Unicode MS"/>
                <w:lang w:eastAsia="cs-CZ"/>
              </w:rPr>
              <w:t>osoby s chronickým duševním onemocněním se sníženou soběstačností žijící na území OK, kteří mají zajištěnu odpovídající podporu a pomoc v</w:t>
            </w:r>
            <w:r w:rsidR="000B266F">
              <w:rPr>
                <w:rFonts w:eastAsia="Arial Unicode MS"/>
                <w:lang w:eastAsia="cs-CZ"/>
              </w:rPr>
              <w:t> </w:t>
            </w:r>
            <w:r w:rsidRPr="001870CD">
              <w:rPr>
                <w:rFonts w:eastAsia="Arial Unicode MS"/>
                <w:lang w:eastAsia="cs-CZ"/>
              </w:rPr>
              <w:t>rozsahu základních činností daných registrací služby na území OK.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Aktivity vedoucí k naplnění opatření</w:t>
            </w:r>
          </w:p>
          <w:p w:rsidR="00FB1999" w:rsidRPr="00EF7BE6" w:rsidRDefault="00FB1999" w:rsidP="00EF7BE6">
            <w:pPr>
              <w:spacing w:before="0"/>
              <w:jc w:val="left"/>
              <w:rPr>
                <w:rFonts w:eastAsia="Arial Unicode MS"/>
                <w:b/>
                <w:lang w:eastAsia="cs-CZ"/>
              </w:rPr>
            </w:pPr>
          </w:p>
        </w:tc>
        <w:tc>
          <w:tcPr>
            <w:tcW w:w="3673" w:type="pct"/>
          </w:tcPr>
          <w:p w:rsidR="00FB1999" w:rsidRPr="001870CD" w:rsidRDefault="00FB1999" w:rsidP="00EF7BE6">
            <w:pPr>
              <w:pStyle w:val="Odstavecseseznamem"/>
              <w:numPr>
                <w:ilvl w:val="0"/>
                <w:numId w:val="164"/>
              </w:numPr>
              <w:spacing w:before="0" w:line="240" w:lineRule="auto"/>
            </w:pPr>
            <w:r w:rsidRPr="001870CD">
              <w:t>Monitoring jednotek zařazených v síti sociálních služeb</w:t>
            </w:r>
          </w:p>
          <w:p w:rsidR="00FB1999" w:rsidRPr="001870CD" w:rsidRDefault="00FB1999" w:rsidP="00EF7BE6">
            <w:pPr>
              <w:pStyle w:val="Odstavecseseznamem"/>
              <w:numPr>
                <w:ilvl w:val="0"/>
                <w:numId w:val="164"/>
              </w:numPr>
              <w:spacing w:before="0" w:line="240" w:lineRule="auto"/>
            </w:pPr>
            <w:r w:rsidRPr="001870CD">
              <w:t>Projednání předloženého záměru poskytovatele sociálních služeb v</w:t>
            </w:r>
            <w:r w:rsidR="000B266F">
              <w:t> </w:t>
            </w:r>
            <w:r w:rsidRPr="001870CD">
              <w:t>souladu se schválenými postupy pro aktualizaci sítě sociálních služeb OK</w:t>
            </w:r>
          </w:p>
          <w:p w:rsidR="00FB1999" w:rsidRPr="001870CD" w:rsidRDefault="00FB1999" w:rsidP="00EF7BE6">
            <w:pPr>
              <w:pStyle w:val="Odstavecseseznamem"/>
              <w:numPr>
                <w:ilvl w:val="0"/>
                <w:numId w:val="164"/>
              </w:numPr>
              <w:spacing w:before="0" w:line="240" w:lineRule="auto"/>
            </w:pPr>
            <w:r w:rsidRPr="001870CD">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b/>
              </w:rPr>
            </w:pPr>
            <w:r w:rsidRPr="00EF7BE6">
              <w:rPr>
                <w:b/>
              </w:rPr>
              <w:t>Rizika a ohrožení naplnění opatření</w:t>
            </w:r>
          </w:p>
        </w:tc>
        <w:tc>
          <w:tcPr>
            <w:tcW w:w="3673" w:type="pct"/>
          </w:tcPr>
          <w:p w:rsidR="00FB1999" w:rsidRPr="00A34764" w:rsidRDefault="00FB1999" w:rsidP="00EF7BE6">
            <w:pPr>
              <w:pStyle w:val="Odstavecseseznamem"/>
              <w:numPr>
                <w:ilvl w:val="0"/>
                <w:numId w:val="165"/>
              </w:numPr>
              <w:spacing w:before="0" w:line="240" w:lineRule="auto"/>
            </w:pPr>
            <w:r w:rsidRPr="00A34764">
              <w:t>Neprojevení zájmu poskytovatelů stávajících služeb o plnění cíle a</w:t>
            </w:r>
            <w:r w:rsidR="000B266F">
              <w:t> </w:t>
            </w:r>
            <w:r w:rsidRPr="00A34764">
              <w:t>opatření</w:t>
            </w:r>
          </w:p>
          <w:p w:rsidR="00FB1999" w:rsidRPr="00A34764" w:rsidRDefault="00FB1999" w:rsidP="00EF7BE6">
            <w:pPr>
              <w:pStyle w:val="Odstavecseseznamem"/>
              <w:numPr>
                <w:ilvl w:val="0"/>
                <w:numId w:val="165"/>
              </w:numPr>
              <w:spacing w:before="0" w:line="240" w:lineRule="auto"/>
            </w:pPr>
            <w:r w:rsidRPr="00A34764">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65"/>
              </w:numPr>
              <w:spacing w:before="0" w:line="240" w:lineRule="auto"/>
            </w:pPr>
            <w:r w:rsidRPr="001870CD">
              <w:t>Nesplnění podmínek registrace poskytovaných sociálních služeb</w:t>
            </w:r>
          </w:p>
          <w:p w:rsidR="00FB1999" w:rsidRPr="00A34764" w:rsidRDefault="00FB1999" w:rsidP="00EF7BE6">
            <w:pPr>
              <w:pStyle w:val="Odstavecseseznamem"/>
              <w:numPr>
                <w:ilvl w:val="0"/>
                <w:numId w:val="165"/>
              </w:numPr>
              <w:spacing w:before="0" w:line="240" w:lineRule="auto"/>
            </w:pPr>
            <w:r w:rsidRPr="00A34764">
              <w:t>Nedostatek lidských zdrojů</w:t>
            </w:r>
          </w:p>
          <w:p w:rsidR="00FB1999" w:rsidRPr="00A34764" w:rsidRDefault="00FB1999" w:rsidP="00EF7BE6">
            <w:pPr>
              <w:pStyle w:val="Odstavecseseznamem"/>
              <w:numPr>
                <w:ilvl w:val="0"/>
                <w:numId w:val="165"/>
              </w:numPr>
              <w:spacing w:before="0" w:line="240" w:lineRule="auto"/>
            </w:pPr>
            <w:r w:rsidRPr="00A34764">
              <w:t>Nedostatek finančních prostředků z veřejných zdrojů</w:t>
            </w:r>
          </w:p>
          <w:p w:rsidR="00FB1999" w:rsidRPr="00A34764" w:rsidRDefault="00FB1999" w:rsidP="00EF7BE6">
            <w:pPr>
              <w:pStyle w:val="Odstavecseseznamem"/>
              <w:numPr>
                <w:ilvl w:val="0"/>
                <w:numId w:val="165"/>
              </w:numPr>
              <w:spacing w:before="0" w:line="240" w:lineRule="auto"/>
            </w:pPr>
            <w:r w:rsidRPr="00A34764">
              <w:t>Legislativní změny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 xml:space="preserve">Předpokládaní realizátoři </w:t>
            </w:r>
            <w:r w:rsidRPr="00EF7BE6">
              <w:rPr>
                <w:rFonts w:eastAsia="Arial Unicode MS"/>
                <w:b/>
                <w:lang w:eastAsia="cs-CZ"/>
              </w:rPr>
              <w:br/>
              <w:t>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bl>
    <w:p w:rsidR="00FB1999" w:rsidRPr="00585A27" w:rsidRDefault="00FB1999" w:rsidP="00EF7BE6">
      <w:pPr>
        <w:spacing w:before="0"/>
        <w:rPr>
          <w:rFonts w:eastAsia="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57"/>
      </w:tblGrid>
      <w:tr w:rsidR="00FB1999" w:rsidRPr="001870CD" w:rsidTr="00EF7BE6">
        <w:trPr>
          <w:trHeight w:val="397"/>
          <w:jc w:val="center"/>
        </w:trPr>
        <w:tc>
          <w:tcPr>
            <w:tcW w:w="1327" w:type="pct"/>
            <w:shd w:val="clear" w:color="auto" w:fill="FABF8F"/>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Cíl 3.3</w:t>
            </w:r>
          </w:p>
        </w:tc>
        <w:tc>
          <w:tcPr>
            <w:tcW w:w="3673" w:type="pct"/>
            <w:shd w:val="clear" w:color="auto" w:fill="FABF8F"/>
          </w:tcPr>
          <w:p w:rsidR="00FB1999" w:rsidRPr="00EF7BE6" w:rsidRDefault="00FB1999" w:rsidP="00EF7BE6">
            <w:pPr>
              <w:keepNext/>
              <w:spacing w:before="0"/>
              <w:rPr>
                <w:rFonts w:eastAsia="Arial Unicode MS"/>
                <w:b/>
                <w:lang w:eastAsia="cs-CZ"/>
              </w:rPr>
            </w:pPr>
            <w:r w:rsidRPr="00EF7BE6">
              <w:rPr>
                <w:rFonts w:eastAsia="Arial Unicode MS"/>
                <w:b/>
                <w:lang w:eastAsia="cs-CZ"/>
              </w:rPr>
              <w:t>Zajištění potřebného rozsahu odlehčovací služby v OK</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r w:rsidRPr="00EF7BE6">
              <w:rPr>
                <w:rFonts w:eastAsia="Arial Unicode MS"/>
                <w:b/>
                <w:lang w:eastAsia="cs-CZ"/>
              </w:rPr>
              <w:t>3.3.1</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8C17C3" w:rsidP="00EF7BE6">
            <w:pPr>
              <w:keepNext/>
              <w:spacing w:before="0"/>
              <w:rPr>
                <w:rFonts w:eastAsia="Arial Unicode MS"/>
                <w:b/>
                <w:lang w:eastAsia="cs-CZ"/>
              </w:rPr>
            </w:pPr>
            <w:r w:rsidRPr="00EF7BE6">
              <w:rPr>
                <w:rFonts w:eastAsia="Arial Unicode MS"/>
                <w:b/>
                <w:lang w:eastAsia="cs-CZ"/>
              </w:rPr>
              <w:t>Zajištění pobytové formy odlehčovací služby pro seniory, osoby s</w:t>
            </w:r>
            <w:r w:rsidR="000B266F">
              <w:rPr>
                <w:rFonts w:eastAsia="Arial Unicode MS"/>
                <w:b/>
                <w:lang w:eastAsia="cs-CZ"/>
              </w:rPr>
              <w:t> </w:t>
            </w:r>
            <w:r w:rsidRPr="00EF7BE6">
              <w:rPr>
                <w:rFonts w:eastAsia="Arial Unicode MS"/>
                <w:b/>
                <w:lang w:eastAsia="cs-CZ"/>
              </w:rPr>
              <w:t>chronickým duševním onemocněním a osoby s chronickým onemocněním 11 pracovními úvazky pracovníků v přímé péči v ORP Zábřeh</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směřuje k zajištění pobytové formy odlehčovací služby pro seniory a osoby s chronickým duševním onemocněním (typu demence) vyžadující pomoc jiné fyzické osoby se zachováním života v přirozeném prostředí na základě zjištěné potřebnosti ORP Zábřeh.</w:t>
            </w:r>
          </w:p>
          <w:p w:rsidR="00FB1999" w:rsidRPr="001870CD" w:rsidRDefault="00FF153C" w:rsidP="00EF7BE6">
            <w:pPr>
              <w:spacing w:before="0"/>
              <w:rPr>
                <w:rFonts w:eastAsia="Arial Unicode MS"/>
                <w:lang w:eastAsia="cs-CZ"/>
              </w:rPr>
            </w:pPr>
            <w:r>
              <w:rPr>
                <w:rFonts w:eastAsia="Arial Unicode MS"/>
                <w:lang w:eastAsia="cs-CZ"/>
              </w:rPr>
              <w:t xml:space="preserve">Počet pracovních úvazků vedených v opatření je součtem pracovních úvazků pro </w:t>
            </w:r>
            <w:r w:rsidR="00FB1999" w:rsidRPr="001870CD">
              <w:rPr>
                <w:rFonts w:eastAsia="Arial Unicode MS"/>
                <w:lang w:eastAsia="cs-CZ"/>
              </w:rPr>
              <w:t>pracovní skupiny Osoby se zdravotním po</w:t>
            </w:r>
            <w:r>
              <w:rPr>
                <w:rFonts w:eastAsia="Arial Unicode MS"/>
                <w:lang w:eastAsia="cs-CZ"/>
              </w:rPr>
              <w:t>stižením a Senioři.</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Senioři </w:t>
            </w:r>
          </w:p>
          <w:p w:rsidR="00FB1999" w:rsidRPr="001870CD" w:rsidRDefault="00FB1999" w:rsidP="00EF7BE6">
            <w:pPr>
              <w:spacing w:before="0"/>
              <w:rPr>
                <w:rFonts w:eastAsia="Arial Unicode MS"/>
                <w:lang w:eastAsia="cs-CZ"/>
              </w:rPr>
            </w:pPr>
            <w:r w:rsidRPr="001870CD">
              <w:rPr>
                <w:rFonts w:eastAsia="Arial Unicode MS"/>
                <w:lang w:eastAsia="cs-CZ"/>
              </w:rPr>
              <w:t>Osoby s chronickým duševním onemocněním</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Odlehčovací služby (§44)</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Pobytová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Vymezení územního dopadu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ORP Zábřeh</w:t>
            </w:r>
          </w:p>
          <w:p w:rsidR="00FB1999" w:rsidRPr="001870CD" w:rsidRDefault="00FB1999" w:rsidP="00EF7BE6">
            <w:pPr>
              <w:spacing w:before="0"/>
              <w:rPr>
                <w:rFonts w:eastAsia="Arial Unicode MS"/>
                <w:lang w:eastAsia="cs-CZ"/>
              </w:rPr>
            </w:pP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Opatření má dopad na zajištění poptávky po pobytové formě odlehčovací služby pro seniory a osoby s chronickým duševním onemocněním v rozsahu základních činností daných registrací služby v ORP Zábřeh. </w:t>
            </w:r>
            <w:r w:rsidRPr="001870CD">
              <w:rPr>
                <w:rFonts w:eastAsia="Arial Unicode MS"/>
                <w:lang w:eastAsia="cs-CZ"/>
              </w:rPr>
              <w:lastRenderedPageBreak/>
              <w:t xml:space="preserve">Tímto opatřením bude síť </w:t>
            </w:r>
            <w:r w:rsidR="00A3441B">
              <w:rPr>
                <w:rFonts w:eastAsia="Arial Unicode MS"/>
                <w:lang w:eastAsia="cs-CZ"/>
              </w:rPr>
              <w:t xml:space="preserve">sociálních služeb rozšířena o </w:t>
            </w:r>
            <w:r w:rsidR="00A3441B" w:rsidRPr="005A64EB">
              <w:rPr>
                <w:rFonts w:eastAsia="Arial Unicode MS"/>
                <w:lang w:eastAsia="cs-CZ"/>
              </w:rPr>
              <w:t>14</w:t>
            </w:r>
            <w:r w:rsidRPr="005A64EB">
              <w:rPr>
                <w:rFonts w:eastAsia="Arial Unicode MS"/>
                <w:lang w:eastAsia="cs-CZ"/>
              </w:rPr>
              <w:t xml:space="preserve"> lůžek</w:t>
            </w:r>
            <w:r w:rsidRPr="001870CD">
              <w:rPr>
                <w:rFonts w:eastAsia="Arial Unicode MS"/>
                <w:lang w:eastAsia="cs-CZ"/>
              </w:rPr>
              <w:t xml:space="preserve"> v pobytové formě odlehčovací služby.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lastRenderedPageBreak/>
              <w:t>Aktivity vedoucí k naplnění opatření</w:t>
            </w:r>
          </w:p>
          <w:p w:rsidR="00FB1999" w:rsidRPr="00EF7BE6" w:rsidRDefault="00FB1999" w:rsidP="00EF7BE6">
            <w:pPr>
              <w:spacing w:before="0"/>
              <w:jc w:val="left"/>
              <w:rPr>
                <w:rFonts w:eastAsia="Arial Unicode MS"/>
                <w:b/>
                <w:lang w:eastAsia="cs-CZ"/>
              </w:rPr>
            </w:pPr>
          </w:p>
        </w:tc>
        <w:tc>
          <w:tcPr>
            <w:tcW w:w="3673" w:type="pct"/>
          </w:tcPr>
          <w:p w:rsidR="00FB1999" w:rsidRPr="001870CD" w:rsidRDefault="00FB1999" w:rsidP="00EF7BE6">
            <w:pPr>
              <w:pStyle w:val="Odstavecseseznamem"/>
              <w:numPr>
                <w:ilvl w:val="0"/>
                <w:numId w:val="166"/>
              </w:numPr>
              <w:spacing w:before="0" w:line="240" w:lineRule="auto"/>
            </w:pPr>
            <w:r w:rsidRPr="001870CD">
              <w:t>Projednání předloženého záměru poskytovatele sociálních služeb v</w:t>
            </w:r>
            <w:r w:rsidR="000B266F">
              <w:t> </w:t>
            </w:r>
            <w:r w:rsidRPr="001870CD">
              <w:t>souladu se schválenými postupy pro aktualizaci sítě sociálních služeb OK</w:t>
            </w:r>
          </w:p>
          <w:p w:rsidR="00FB1999" w:rsidRPr="001870CD" w:rsidRDefault="00FB1999" w:rsidP="00EF7BE6">
            <w:pPr>
              <w:pStyle w:val="Odstavecseseznamem"/>
              <w:numPr>
                <w:ilvl w:val="0"/>
                <w:numId w:val="166"/>
              </w:numPr>
              <w:spacing w:before="0" w:line="240" w:lineRule="auto"/>
            </w:pPr>
            <w:r w:rsidRPr="001870CD">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b/>
              </w:rPr>
            </w:pPr>
            <w:r w:rsidRPr="00EF7BE6">
              <w:rPr>
                <w:b/>
              </w:rPr>
              <w:t>Rizika a ohrožení naplnění opatření</w:t>
            </w:r>
          </w:p>
        </w:tc>
        <w:tc>
          <w:tcPr>
            <w:tcW w:w="3673" w:type="pct"/>
          </w:tcPr>
          <w:p w:rsidR="00FB1999" w:rsidRPr="00A34764" w:rsidRDefault="00FB1999" w:rsidP="00EF7BE6">
            <w:pPr>
              <w:pStyle w:val="Odstavecseseznamem"/>
              <w:numPr>
                <w:ilvl w:val="0"/>
                <w:numId w:val="167"/>
              </w:numPr>
              <w:spacing w:before="0" w:line="240" w:lineRule="auto"/>
            </w:pPr>
            <w:r w:rsidRPr="00A34764">
              <w:t>Neprojevení zájmu poskytovatelů sociálních služeb o plnění cíle a</w:t>
            </w:r>
            <w:r w:rsidR="000B266F">
              <w:t> </w:t>
            </w:r>
            <w:r w:rsidRPr="00A34764">
              <w:t>opatření</w:t>
            </w:r>
          </w:p>
          <w:p w:rsidR="00FB1999" w:rsidRPr="00A34764" w:rsidRDefault="00FB1999" w:rsidP="00EF7BE6">
            <w:pPr>
              <w:pStyle w:val="Odstavecseseznamem"/>
              <w:numPr>
                <w:ilvl w:val="0"/>
                <w:numId w:val="167"/>
              </w:numPr>
              <w:spacing w:before="0" w:line="240" w:lineRule="auto"/>
            </w:pPr>
            <w:r w:rsidRPr="00A34764">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67"/>
              </w:numPr>
              <w:spacing w:before="0" w:line="240" w:lineRule="auto"/>
            </w:pPr>
            <w:r w:rsidRPr="001870CD">
              <w:t>Nesplnění podmínek registrace poskytovaných sociálních služeb</w:t>
            </w:r>
          </w:p>
          <w:p w:rsidR="00FB1999" w:rsidRPr="00A34764" w:rsidRDefault="00FB1999" w:rsidP="00EF7BE6">
            <w:pPr>
              <w:pStyle w:val="Odstavecseseznamem"/>
              <w:numPr>
                <w:ilvl w:val="0"/>
                <w:numId w:val="167"/>
              </w:numPr>
              <w:spacing w:before="0" w:line="240" w:lineRule="auto"/>
            </w:pPr>
            <w:r w:rsidRPr="00A34764">
              <w:t>Nedostatek lidských zdrojů</w:t>
            </w:r>
          </w:p>
          <w:p w:rsidR="00FB1999" w:rsidRPr="00A34764" w:rsidRDefault="00FB1999" w:rsidP="00EF7BE6">
            <w:pPr>
              <w:pStyle w:val="Odstavecseseznamem"/>
              <w:numPr>
                <w:ilvl w:val="0"/>
                <w:numId w:val="167"/>
              </w:numPr>
              <w:spacing w:before="0" w:line="240" w:lineRule="auto"/>
            </w:pPr>
            <w:r w:rsidRPr="00A34764">
              <w:t>Nedostatek finančních prostředků z veřejných zdrojů</w:t>
            </w:r>
          </w:p>
          <w:p w:rsidR="00FB1999" w:rsidRPr="00A34764" w:rsidRDefault="00FB1999" w:rsidP="00EF7BE6">
            <w:pPr>
              <w:pStyle w:val="Odstavecseseznamem"/>
              <w:numPr>
                <w:ilvl w:val="0"/>
                <w:numId w:val="167"/>
              </w:numPr>
              <w:spacing w:before="0" w:line="240" w:lineRule="auto"/>
            </w:pPr>
            <w:r w:rsidRPr="00A34764">
              <w:t>Legislativní změny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 xml:space="preserve">Předpokládaní realizátoři </w:t>
            </w:r>
            <w:r w:rsidRPr="00EF7BE6">
              <w:rPr>
                <w:rFonts w:eastAsia="Arial Unicode MS"/>
                <w:b/>
                <w:lang w:eastAsia="cs-CZ"/>
              </w:rPr>
              <w:br/>
              <w:t>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r w:rsidRPr="00EF7BE6">
              <w:rPr>
                <w:rFonts w:eastAsia="Arial Unicode MS"/>
                <w:b/>
                <w:lang w:eastAsia="cs-CZ"/>
              </w:rPr>
              <w:t>3.3.2</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r w:rsidRPr="00EF7BE6">
              <w:rPr>
                <w:rFonts w:eastAsia="Arial Unicode MS"/>
                <w:b/>
                <w:lang w:eastAsia="cs-CZ"/>
              </w:rPr>
              <w:t>Zajištění pobytové odlehčovací služby pro seniory a pro osoby s</w:t>
            </w:r>
            <w:r w:rsidR="000B266F">
              <w:rPr>
                <w:rFonts w:eastAsia="Arial Unicode MS"/>
                <w:b/>
                <w:lang w:eastAsia="cs-CZ"/>
              </w:rPr>
              <w:t> </w:t>
            </w:r>
            <w:r w:rsidRPr="00EF7BE6">
              <w:rPr>
                <w:rFonts w:eastAsia="Arial Unicode MS"/>
                <w:b/>
                <w:lang w:eastAsia="cs-CZ"/>
              </w:rPr>
              <w:t>chronickým duševním onemocněním a osoby s chronickým onemocněním 5 pracovními úvazky pracovníků v přímé péči v ORP Přerov a ORP Šumperk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směřuje k zajištění pobytové formy odlehčovací služby pro seniory</w:t>
            </w:r>
            <w:r w:rsidR="00C64B77">
              <w:rPr>
                <w:rFonts w:eastAsia="Arial Unicode MS"/>
                <w:lang w:eastAsia="cs-CZ"/>
              </w:rPr>
              <w:t>,</w:t>
            </w:r>
            <w:r w:rsidR="00CC2C0F">
              <w:rPr>
                <w:rFonts w:eastAsia="Arial Unicode MS"/>
                <w:lang w:eastAsia="cs-CZ"/>
              </w:rPr>
              <w:t xml:space="preserve"> osoby s chronickým onemocněním </w:t>
            </w:r>
            <w:r w:rsidRPr="001870CD">
              <w:rPr>
                <w:rFonts w:eastAsia="Arial Unicode MS"/>
                <w:lang w:eastAsia="cs-CZ"/>
              </w:rPr>
              <w:t>a osoby s chronickým duševním onemocněním (typu demence) vyžadující pomoc jiné fyzické osoby se zachováním života v přirozeném prostředí na základě zjištěné potřebnosti ORP Přerov a ORP Šumperk.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tcPr>
          <w:p w:rsidR="00FB1999" w:rsidRDefault="00FB1999" w:rsidP="00EF7BE6">
            <w:pPr>
              <w:spacing w:before="0"/>
              <w:rPr>
                <w:rFonts w:eastAsia="Arial Unicode MS"/>
                <w:lang w:eastAsia="cs-CZ"/>
              </w:rPr>
            </w:pPr>
            <w:r w:rsidRPr="001870CD">
              <w:rPr>
                <w:rFonts w:eastAsia="Arial Unicode MS"/>
                <w:lang w:eastAsia="cs-CZ"/>
              </w:rPr>
              <w:t>Osoby s chronickým duševním onemocněním</w:t>
            </w:r>
          </w:p>
          <w:p w:rsidR="00CC2C0F" w:rsidRPr="001870CD" w:rsidRDefault="00CC2C0F" w:rsidP="00EF7BE6">
            <w:pPr>
              <w:spacing w:before="0"/>
              <w:rPr>
                <w:rFonts w:eastAsia="Arial Unicode MS"/>
                <w:lang w:eastAsia="cs-CZ"/>
              </w:rPr>
            </w:pPr>
            <w:r>
              <w:rPr>
                <w:rFonts w:eastAsia="Arial Unicode MS"/>
                <w:lang w:eastAsia="cs-CZ"/>
              </w:rPr>
              <w:t>Osoby s chronickým onemocněním</w:t>
            </w:r>
          </w:p>
          <w:p w:rsidR="00FB1999" w:rsidRPr="001870CD" w:rsidRDefault="00FB1999" w:rsidP="00EF7BE6">
            <w:pPr>
              <w:spacing w:before="0"/>
              <w:rPr>
                <w:rFonts w:eastAsia="Arial Unicode MS"/>
                <w:lang w:eastAsia="cs-CZ"/>
              </w:rPr>
            </w:pPr>
            <w:r w:rsidRPr="001870CD">
              <w:rPr>
                <w:rFonts w:eastAsia="Arial Unicode MS"/>
                <w:lang w:eastAsia="cs-CZ"/>
              </w:rPr>
              <w:t>Senioři</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Odlehčovací služby (§ 44)</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Pobytová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Vymezení územního dopadu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ORP Přerov</w:t>
            </w:r>
          </w:p>
          <w:p w:rsidR="00FB1999" w:rsidRPr="001870CD" w:rsidRDefault="00FB1999" w:rsidP="00EF7BE6">
            <w:pPr>
              <w:spacing w:before="0"/>
              <w:rPr>
                <w:rFonts w:eastAsia="Arial Unicode MS"/>
                <w:lang w:eastAsia="cs-CZ"/>
              </w:rPr>
            </w:pPr>
            <w:r w:rsidRPr="001870CD">
              <w:rPr>
                <w:rFonts w:eastAsia="Arial Unicode MS"/>
                <w:lang w:eastAsia="cs-CZ"/>
              </w:rPr>
              <w:t>ORP Šumperk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má dopad na zajištění poptávky po pobytové formě odlehčovací služby pro seniory</w:t>
            </w:r>
            <w:r w:rsidR="00CC2C0F">
              <w:rPr>
                <w:rFonts w:eastAsia="Arial Unicode MS"/>
                <w:lang w:eastAsia="cs-CZ"/>
              </w:rPr>
              <w:t>, osoby s chronickým onemocněním</w:t>
            </w:r>
            <w:r w:rsidRPr="001870CD">
              <w:rPr>
                <w:rFonts w:eastAsia="Arial Unicode MS"/>
                <w:lang w:eastAsia="cs-CZ"/>
              </w:rPr>
              <w:t xml:space="preserve"> a osoby s</w:t>
            </w:r>
            <w:r w:rsidR="000B266F">
              <w:rPr>
                <w:rFonts w:eastAsia="Arial Unicode MS"/>
                <w:lang w:eastAsia="cs-CZ"/>
              </w:rPr>
              <w:t> </w:t>
            </w:r>
            <w:r w:rsidRPr="001870CD">
              <w:rPr>
                <w:rFonts w:eastAsia="Arial Unicode MS"/>
                <w:lang w:eastAsia="cs-CZ"/>
              </w:rPr>
              <w:t>chronickým duševním onemocněním v rozsahu základních činností daných registrací služby v ORP Přerov a ORP Šumperk. Tímto opatřením bude síť sociálních služeb rozšířena o 5 lůžek v pobytové formě odlehčovací služby.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Aktivity vedoucí k naplnění opatření</w:t>
            </w:r>
          </w:p>
          <w:p w:rsidR="00FB1999" w:rsidRPr="00EF7BE6" w:rsidRDefault="00FB1999" w:rsidP="00EF7BE6">
            <w:pPr>
              <w:spacing w:before="0"/>
              <w:jc w:val="left"/>
              <w:rPr>
                <w:rFonts w:eastAsia="Arial Unicode MS"/>
                <w:b/>
                <w:lang w:eastAsia="cs-CZ"/>
              </w:rPr>
            </w:pPr>
          </w:p>
        </w:tc>
        <w:tc>
          <w:tcPr>
            <w:tcW w:w="3673" w:type="pct"/>
          </w:tcPr>
          <w:p w:rsidR="00FB1999" w:rsidRPr="001870CD" w:rsidRDefault="00FB1999" w:rsidP="00EF7BE6">
            <w:pPr>
              <w:pStyle w:val="Odstavecseseznamem"/>
              <w:numPr>
                <w:ilvl w:val="0"/>
                <w:numId w:val="168"/>
              </w:numPr>
              <w:spacing w:before="0" w:line="240" w:lineRule="auto"/>
            </w:pPr>
            <w:r w:rsidRPr="001870CD">
              <w:t>Projednání předloženého záměru poskytovatele sociálních služeb v</w:t>
            </w:r>
            <w:r w:rsidR="000B266F">
              <w:t> </w:t>
            </w:r>
            <w:r w:rsidRPr="001870CD">
              <w:t>souladu se schválenými postupy pro aktualizaci sítě sociálních služeb OK</w:t>
            </w:r>
          </w:p>
          <w:p w:rsidR="00FB1999" w:rsidRPr="001870CD" w:rsidRDefault="00FB1999" w:rsidP="00EF7BE6">
            <w:pPr>
              <w:pStyle w:val="Odstavecseseznamem"/>
              <w:numPr>
                <w:ilvl w:val="0"/>
                <w:numId w:val="168"/>
              </w:numPr>
              <w:spacing w:before="0" w:line="240" w:lineRule="auto"/>
            </w:pPr>
            <w:r w:rsidRPr="001870CD">
              <w:lastRenderedPageBreak/>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b/>
              </w:rPr>
            </w:pPr>
            <w:r w:rsidRPr="00EF7BE6">
              <w:rPr>
                <w:b/>
              </w:rPr>
              <w:lastRenderedPageBreak/>
              <w:t>Rizika a ohrožení naplnění opatření</w:t>
            </w:r>
          </w:p>
        </w:tc>
        <w:tc>
          <w:tcPr>
            <w:tcW w:w="3673" w:type="pct"/>
          </w:tcPr>
          <w:p w:rsidR="00FB1999" w:rsidRPr="001870CD" w:rsidRDefault="00FB1999" w:rsidP="00EF7BE6">
            <w:pPr>
              <w:pStyle w:val="Odstavecseseznamem"/>
              <w:numPr>
                <w:ilvl w:val="0"/>
                <w:numId w:val="169"/>
              </w:numPr>
              <w:spacing w:before="0" w:line="240" w:lineRule="auto"/>
            </w:pPr>
            <w:r w:rsidRPr="001870CD">
              <w:t>Neprojevení zájmu poskytovatelů sociálních služeb o plnění cíle a</w:t>
            </w:r>
            <w:r w:rsidR="000B266F">
              <w:t> </w:t>
            </w:r>
            <w:r w:rsidRPr="001870CD">
              <w:t>opatření</w:t>
            </w:r>
          </w:p>
          <w:p w:rsidR="00FB1999" w:rsidRPr="001870CD" w:rsidRDefault="00FB1999" w:rsidP="00EF7BE6">
            <w:pPr>
              <w:pStyle w:val="Odstavecseseznamem"/>
              <w:numPr>
                <w:ilvl w:val="0"/>
                <w:numId w:val="169"/>
              </w:numPr>
              <w:spacing w:before="0" w:line="240" w:lineRule="auto"/>
            </w:pPr>
            <w:r w:rsidRPr="001870CD">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69"/>
              </w:numPr>
              <w:spacing w:before="0" w:line="240" w:lineRule="auto"/>
            </w:pPr>
            <w:r w:rsidRPr="001870CD">
              <w:t>Nesplnění podmínek registrace poskytovaných sociálních služeb</w:t>
            </w:r>
          </w:p>
          <w:p w:rsidR="00FB1999" w:rsidRPr="001870CD" w:rsidRDefault="00FB1999" w:rsidP="00EF7BE6">
            <w:pPr>
              <w:pStyle w:val="Odstavecseseznamem"/>
              <w:numPr>
                <w:ilvl w:val="0"/>
                <w:numId w:val="169"/>
              </w:numPr>
              <w:spacing w:before="0" w:line="240" w:lineRule="auto"/>
            </w:pPr>
            <w:r w:rsidRPr="001870CD">
              <w:t>Nedostatek lidských zdrojů</w:t>
            </w:r>
          </w:p>
          <w:p w:rsidR="00FB1999" w:rsidRPr="001870CD" w:rsidRDefault="00FB1999" w:rsidP="00EF7BE6">
            <w:pPr>
              <w:pStyle w:val="Odstavecseseznamem"/>
              <w:numPr>
                <w:ilvl w:val="0"/>
                <w:numId w:val="169"/>
              </w:numPr>
              <w:spacing w:before="0" w:line="240" w:lineRule="auto"/>
            </w:pPr>
            <w:r w:rsidRPr="001870CD">
              <w:t>Nedostatek finančních prostředků z veřejných zdrojů</w:t>
            </w:r>
          </w:p>
          <w:p w:rsidR="00FB1999" w:rsidRPr="001870CD" w:rsidRDefault="00FB1999" w:rsidP="00EF7BE6">
            <w:pPr>
              <w:pStyle w:val="Odstavecseseznamem"/>
              <w:numPr>
                <w:ilvl w:val="0"/>
                <w:numId w:val="169"/>
              </w:numPr>
              <w:spacing w:before="0" w:line="240" w:lineRule="auto"/>
            </w:pPr>
            <w:r w:rsidRPr="001870CD">
              <w:t>Legislativní změny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 xml:space="preserve">Předpokládaní realizátoři </w:t>
            </w:r>
            <w:r w:rsidRPr="00EF7BE6">
              <w:rPr>
                <w:rFonts w:eastAsia="Arial Unicode MS"/>
                <w:b/>
                <w:lang w:eastAsia="cs-CZ"/>
              </w:rPr>
              <w:br/>
              <w:t>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806448">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806448">
            <w:pPr>
              <w:keepNext/>
              <w:spacing w:before="0"/>
              <w:rPr>
                <w:rFonts w:eastAsia="Arial Unicode MS"/>
                <w:b/>
                <w:lang w:eastAsia="cs-CZ"/>
              </w:rPr>
            </w:pPr>
            <w:r w:rsidRPr="00EF7BE6">
              <w:rPr>
                <w:rFonts w:eastAsia="Arial Unicode MS"/>
                <w:b/>
                <w:lang w:eastAsia="cs-CZ"/>
              </w:rPr>
              <w:t>3.3.3</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806448">
            <w:pPr>
              <w:keepNext/>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FB1999" w:rsidP="00806448">
            <w:pPr>
              <w:keepNext/>
              <w:spacing w:before="0"/>
              <w:rPr>
                <w:rFonts w:eastAsia="Arial Unicode MS"/>
                <w:b/>
                <w:lang w:eastAsia="cs-CZ"/>
              </w:rPr>
            </w:pPr>
            <w:r w:rsidRPr="00EF7BE6">
              <w:rPr>
                <w:rFonts w:eastAsia="Arial Unicode MS"/>
                <w:b/>
                <w:lang w:eastAsia="cs-CZ"/>
              </w:rPr>
              <w:t>Zajištění terénní formy odlehčovací služby pro seniory, osoby s</w:t>
            </w:r>
            <w:r w:rsidR="00C513CF">
              <w:rPr>
                <w:rFonts w:eastAsia="Arial Unicode MS"/>
                <w:b/>
                <w:lang w:eastAsia="cs-CZ"/>
              </w:rPr>
              <w:t> </w:t>
            </w:r>
            <w:r w:rsidRPr="00EF7BE6">
              <w:rPr>
                <w:rFonts w:eastAsia="Arial Unicode MS"/>
                <w:b/>
                <w:lang w:eastAsia="cs-CZ"/>
              </w:rPr>
              <w:t>chronickým onemocněním a pro osoby s chronickým duševním onemocněním 7 pracovními úvazky pracovníků v přímé péči v ORP Olomouc, ORP Zábřeh a ORP Mohelnice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směřuje k optimalizaci (pozn. k přesunu nevyužitých kapacit stávající služby do území, kde se vyskytla poptávka po službě) a</w:t>
            </w:r>
            <w:r w:rsidR="000B266F">
              <w:rPr>
                <w:rFonts w:eastAsia="Arial Unicode MS"/>
                <w:lang w:eastAsia="cs-CZ"/>
              </w:rPr>
              <w:t> </w:t>
            </w:r>
            <w:r w:rsidRPr="001870CD">
              <w:rPr>
                <w:rFonts w:eastAsia="Arial Unicode MS"/>
                <w:lang w:eastAsia="cs-CZ"/>
              </w:rPr>
              <w:t xml:space="preserve">k případnému rozvoji kapacit služby terénní formy odlehčovací služby pro seniory a osoby s chronickým duševním onemocněním a chronickým onemocněním na základě zjištěné potřebnosti v ORP Olomouc, </w:t>
            </w:r>
            <w:r w:rsidR="00C513CF">
              <w:rPr>
                <w:rFonts w:eastAsia="Arial Unicode MS"/>
                <w:lang w:eastAsia="cs-CZ"/>
              </w:rPr>
              <w:t xml:space="preserve">ORP </w:t>
            </w:r>
            <w:r w:rsidRPr="001870CD">
              <w:rPr>
                <w:rFonts w:eastAsia="Arial Unicode MS"/>
                <w:lang w:eastAsia="cs-CZ"/>
              </w:rPr>
              <w:t xml:space="preserve">Zábřeh a </w:t>
            </w:r>
            <w:r w:rsidR="00C513CF">
              <w:rPr>
                <w:rFonts w:eastAsia="Arial Unicode MS"/>
                <w:lang w:eastAsia="cs-CZ"/>
              </w:rPr>
              <w:t xml:space="preserve">ORP </w:t>
            </w:r>
            <w:r w:rsidRPr="001870CD">
              <w:rPr>
                <w:rFonts w:eastAsia="Arial Unicode MS"/>
                <w:lang w:eastAsia="cs-CZ"/>
              </w:rPr>
              <w:t>Mohelnice.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Senioři </w:t>
            </w:r>
          </w:p>
          <w:p w:rsidR="00FB1999" w:rsidRPr="001870CD" w:rsidRDefault="00FB1999" w:rsidP="00EF7BE6">
            <w:pPr>
              <w:spacing w:before="0"/>
              <w:rPr>
                <w:rFonts w:eastAsia="Arial Unicode MS"/>
                <w:lang w:eastAsia="cs-CZ"/>
              </w:rPr>
            </w:pPr>
            <w:r w:rsidRPr="001870CD">
              <w:rPr>
                <w:rFonts w:eastAsia="Arial Unicode MS"/>
                <w:lang w:eastAsia="cs-CZ"/>
              </w:rPr>
              <w:t>Osoby s chronickým onemocněním</w:t>
            </w:r>
          </w:p>
          <w:p w:rsidR="00FB1999" w:rsidRPr="001870CD" w:rsidRDefault="00FB1999" w:rsidP="00EF7BE6">
            <w:pPr>
              <w:spacing w:before="0"/>
              <w:rPr>
                <w:rFonts w:eastAsia="Arial Unicode MS"/>
                <w:lang w:eastAsia="cs-CZ"/>
              </w:rPr>
            </w:pPr>
            <w:r w:rsidRPr="001870CD">
              <w:rPr>
                <w:rFonts w:eastAsia="Arial Unicode MS"/>
                <w:lang w:eastAsia="cs-CZ"/>
              </w:rPr>
              <w:t xml:space="preserve">Osoby s chronickým duševním onemocněním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Odlehčovací služby (§ 44)</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Terénní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Vymezení územního dopadu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ORP Olomouc</w:t>
            </w:r>
          </w:p>
          <w:p w:rsidR="00FB1999" w:rsidRPr="001870CD" w:rsidRDefault="00FB1999" w:rsidP="00EF7BE6">
            <w:pPr>
              <w:spacing w:before="0"/>
              <w:rPr>
                <w:rFonts w:eastAsia="Arial Unicode MS"/>
                <w:lang w:eastAsia="cs-CZ"/>
              </w:rPr>
            </w:pPr>
            <w:r w:rsidRPr="001870CD">
              <w:rPr>
                <w:rFonts w:eastAsia="Arial Unicode MS"/>
                <w:lang w:eastAsia="cs-CZ"/>
              </w:rPr>
              <w:t>ORP Zábřeh</w:t>
            </w:r>
          </w:p>
          <w:p w:rsidR="00FB1999" w:rsidRPr="001870CD" w:rsidRDefault="00FB1999" w:rsidP="00EF7BE6">
            <w:pPr>
              <w:spacing w:before="0"/>
              <w:rPr>
                <w:rFonts w:eastAsia="Arial Unicode MS"/>
                <w:lang w:eastAsia="cs-CZ"/>
              </w:rPr>
            </w:pPr>
            <w:r w:rsidRPr="001870CD">
              <w:rPr>
                <w:rFonts w:eastAsia="Arial Unicode MS"/>
                <w:lang w:eastAsia="cs-CZ"/>
              </w:rPr>
              <w:t>ORP Mohelnice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má dopad na zajištění poptávky po terénní formě odlehčovací služby pro seniory, osoby s chronickým onemocněním a pro osoby s chronickým duševním onemocněním v rozsahu základních činností daných registrací služby</w:t>
            </w:r>
            <w:r w:rsidRPr="001870CD">
              <w:t xml:space="preserve"> </w:t>
            </w:r>
            <w:r w:rsidRPr="001870CD">
              <w:rPr>
                <w:rFonts w:eastAsia="Arial Unicode MS"/>
                <w:lang w:eastAsia="cs-CZ"/>
              </w:rPr>
              <w:t>v ORP Olomouc, ORP Zábřeh a ORP Mohelnice</w:t>
            </w:r>
            <w:r w:rsidR="002B232C">
              <w:rPr>
                <w:rFonts w:eastAsia="Arial Unicode MS"/>
                <w:lang w:eastAsia="cs-CZ"/>
              </w:rPr>
              <w:t>.</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Aktivity vedoucí k naplnění opatření</w:t>
            </w:r>
          </w:p>
          <w:p w:rsidR="00FB1999" w:rsidRPr="00EF7BE6" w:rsidRDefault="00FB1999" w:rsidP="00EF7BE6">
            <w:pPr>
              <w:spacing w:before="0"/>
              <w:jc w:val="left"/>
              <w:rPr>
                <w:rFonts w:eastAsia="Arial Unicode MS"/>
                <w:b/>
                <w:lang w:eastAsia="cs-CZ"/>
              </w:rPr>
            </w:pPr>
          </w:p>
        </w:tc>
        <w:tc>
          <w:tcPr>
            <w:tcW w:w="3673" w:type="pct"/>
          </w:tcPr>
          <w:p w:rsidR="00FB1999" w:rsidRPr="001870CD" w:rsidRDefault="00FB1999" w:rsidP="00EF7BE6">
            <w:pPr>
              <w:pStyle w:val="Odstavecseseznamem"/>
              <w:numPr>
                <w:ilvl w:val="0"/>
                <w:numId w:val="170"/>
              </w:numPr>
              <w:spacing w:before="0" w:line="240" w:lineRule="auto"/>
            </w:pPr>
            <w:r w:rsidRPr="001870CD">
              <w:t>Monitoring jednotek zařazených v síti sociálních služeb</w:t>
            </w:r>
          </w:p>
          <w:p w:rsidR="00FB1999" w:rsidRPr="001870CD" w:rsidRDefault="00FB1999" w:rsidP="00EF7BE6">
            <w:pPr>
              <w:pStyle w:val="Odstavecseseznamem"/>
              <w:numPr>
                <w:ilvl w:val="0"/>
                <w:numId w:val="170"/>
              </w:numPr>
              <w:spacing w:before="0" w:line="240" w:lineRule="auto"/>
            </w:pPr>
            <w:r w:rsidRPr="001870CD">
              <w:t>Projednání předloženého záměru poskytovatele sociálních služeb v</w:t>
            </w:r>
            <w:r w:rsidR="000B266F">
              <w:t> </w:t>
            </w:r>
            <w:r w:rsidRPr="001870CD">
              <w:t>souladu se schválenými postupy pro aktualizaci sítě sociálních služeb OK</w:t>
            </w:r>
          </w:p>
          <w:p w:rsidR="00FB1999" w:rsidRPr="001870CD" w:rsidRDefault="00FB1999" w:rsidP="00EF7BE6">
            <w:pPr>
              <w:pStyle w:val="Odstavecseseznamem"/>
              <w:numPr>
                <w:ilvl w:val="0"/>
                <w:numId w:val="170"/>
              </w:numPr>
              <w:spacing w:before="0" w:line="240" w:lineRule="auto"/>
            </w:pPr>
            <w:r w:rsidRPr="001870CD">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b/>
              </w:rPr>
            </w:pPr>
            <w:r w:rsidRPr="00EF7BE6">
              <w:rPr>
                <w:b/>
              </w:rPr>
              <w:t>Rizika a ohrožení naplnění opatření</w:t>
            </w:r>
          </w:p>
        </w:tc>
        <w:tc>
          <w:tcPr>
            <w:tcW w:w="3673" w:type="pct"/>
          </w:tcPr>
          <w:p w:rsidR="00FB1999" w:rsidRPr="00A34764" w:rsidRDefault="00FB1999" w:rsidP="00EF7BE6">
            <w:pPr>
              <w:pStyle w:val="Odstavecseseznamem"/>
              <w:numPr>
                <w:ilvl w:val="0"/>
                <w:numId w:val="171"/>
              </w:numPr>
              <w:spacing w:before="0" w:line="240" w:lineRule="auto"/>
            </w:pPr>
            <w:r w:rsidRPr="00A34764">
              <w:t>Neprojevení zájmu poskytovatelů sociálních služeb o plnění cíle a</w:t>
            </w:r>
            <w:r w:rsidR="000B266F">
              <w:t> </w:t>
            </w:r>
            <w:r w:rsidRPr="00A34764">
              <w:t>opatření</w:t>
            </w:r>
          </w:p>
          <w:p w:rsidR="00FB1999" w:rsidRPr="00A34764" w:rsidRDefault="00FB1999" w:rsidP="00EF7BE6">
            <w:pPr>
              <w:pStyle w:val="Odstavecseseznamem"/>
              <w:numPr>
                <w:ilvl w:val="0"/>
                <w:numId w:val="171"/>
              </w:numPr>
              <w:spacing w:before="0" w:line="240" w:lineRule="auto"/>
            </w:pPr>
            <w:r w:rsidRPr="00A34764">
              <w:lastRenderedPageBreak/>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71"/>
              </w:numPr>
              <w:spacing w:before="0" w:line="240" w:lineRule="auto"/>
            </w:pPr>
            <w:r w:rsidRPr="001870CD">
              <w:t>Nesplnění podmínek registrace poskytovaných sociálních služeb</w:t>
            </w:r>
          </w:p>
          <w:p w:rsidR="00FB1999" w:rsidRPr="00A34764" w:rsidRDefault="00FB1999" w:rsidP="00EF7BE6">
            <w:pPr>
              <w:pStyle w:val="Odstavecseseznamem"/>
              <w:numPr>
                <w:ilvl w:val="0"/>
                <w:numId w:val="171"/>
              </w:numPr>
              <w:spacing w:before="0" w:line="240" w:lineRule="auto"/>
            </w:pPr>
            <w:r w:rsidRPr="00A34764">
              <w:t>Nedostatek lidských zdrojů</w:t>
            </w:r>
          </w:p>
          <w:p w:rsidR="00FB1999" w:rsidRPr="00A34764" w:rsidRDefault="00FB1999" w:rsidP="00EF7BE6">
            <w:pPr>
              <w:pStyle w:val="Odstavecseseznamem"/>
              <w:numPr>
                <w:ilvl w:val="0"/>
                <w:numId w:val="171"/>
              </w:numPr>
              <w:spacing w:before="0" w:line="240" w:lineRule="auto"/>
            </w:pPr>
            <w:r w:rsidRPr="00A34764">
              <w:t>Nedostatek finančních prostředků z veřejných zdrojů</w:t>
            </w:r>
          </w:p>
          <w:p w:rsidR="00FB1999" w:rsidRPr="00A34764" w:rsidRDefault="00FB1999" w:rsidP="00EF7BE6">
            <w:pPr>
              <w:pStyle w:val="Odstavecseseznamem"/>
              <w:numPr>
                <w:ilvl w:val="0"/>
                <w:numId w:val="171"/>
              </w:numPr>
              <w:spacing w:before="0" w:line="240" w:lineRule="auto"/>
            </w:pPr>
            <w:r w:rsidRPr="00A34764">
              <w:t>Legislativní změny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lastRenderedPageBreak/>
              <w:t xml:space="preserve">Předpokládaní realizátoři </w:t>
            </w:r>
            <w:r w:rsidRPr="00EF7BE6">
              <w:rPr>
                <w:rFonts w:eastAsia="Arial Unicode MS"/>
                <w:b/>
                <w:lang w:eastAsia="cs-CZ"/>
              </w:rPr>
              <w:br/>
              <w:t>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53C" w:rsidRPr="00EF7BE6" w:rsidRDefault="00FF153C" w:rsidP="00806448">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53C" w:rsidRPr="00EF7BE6" w:rsidRDefault="005A64EB" w:rsidP="00806448">
            <w:pPr>
              <w:keepNext/>
              <w:spacing w:before="0"/>
              <w:rPr>
                <w:rFonts w:eastAsia="Arial Unicode MS"/>
                <w:b/>
                <w:lang w:eastAsia="cs-CZ"/>
              </w:rPr>
            </w:pPr>
            <w:r w:rsidRPr="00EF7BE6">
              <w:rPr>
                <w:rFonts w:eastAsia="Arial Unicode MS"/>
                <w:b/>
                <w:lang w:eastAsia="cs-CZ"/>
              </w:rPr>
              <w:t>3.3.4</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53C" w:rsidRPr="00EF7BE6" w:rsidRDefault="00FF153C" w:rsidP="00806448">
            <w:pPr>
              <w:keepNext/>
              <w:spacing w:before="0"/>
              <w:jc w:val="left"/>
              <w:rPr>
                <w:rFonts w:eastAsia="Arial Unicode MS"/>
                <w:b/>
                <w:lang w:eastAsia="cs-CZ"/>
              </w:rPr>
            </w:pPr>
            <w:r w:rsidRPr="00EF7BE6">
              <w:rPr>
                <w:rFonts w:eastAsia="Arial Unicode MS"/>
                <w:b/>
                <w:lang w:eastAsia="cs-CZ"/>
              </w:rPr>
              <w:t>Název opatření</w:t>
            </w:r>
          </w:p>
        </w:tc>
        <w:tc>
          <w:tcPr>
            <w:tcW w:w="367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F153C" w:rsidRPr="00EF7BE6" w:rsidRDefault="00FF153C" w:rsidP="00CC2C0F">
            <w:pPr>
              <w:keepNext/>
              <w:spacing w:before="0"/>
              <w:rPr>
                <w:rFonts w:eastAsia="Arial Unicode MS"/>
                <w:b/>
                <w:lang w:eastAsia="cs-CZ"/>
              </w:rPr>
            </w:pPr>
            <w:r w:rsidRPr="00EF7BE6">
              <w:rPr>
                <w:rFonts w:eastAsia="Arial Unicode MS"/>
                <w:b/>
                <w:lang w:eastAsia="cs-CZ"/>
              </w:rPr>
              <w:t>Zajištění terénní form</w:t>
            </w:r>
            <w:r w:rsidR="005A64EB" w:rsidRPr="00EF7BE6">
              <w:rPr>
                <w:rFonts w:eastAsia="Arial Unicode MS"/>
                <w:b/>
                <w:lang w:eastAsia="cs-CZ"/>
              </w:rPr>
              <w:t>y odlehčovací služby</w:t>
            </w:r>
            <w:r w:rsidRPr="00EF7BE6">
              <w:rPr>
                <w:rFonts w:eastAsia="Arial Unicode MS"/>
                <w:b/>
                <w:lang w:eastAsia="cs-CZ"/>
              </w:rPr>
              <w:t> </w:t>
            </w:r>
            <w:r w:rsidR="005A64EB" w:rsidRPr="00EF7BE6">
              <w:rPr>
                <w:rFonts w:eastAsia="Arial Unicode MS"/>
                <w:b/>
                <w:lang w:eastAsia="cs-CZ"/>
              </w:rPr>
              <w:t>pro seniory, osoby s</w:t>
            </w:r>
            <w:r w:rsidR="00C513CF">
              <w:rPr>
                <w:rFonts w:eastAsia="Arial Unicode MS"/>
                <w:b/>
                <w:lang w:eastAsia="cs-CZ"/>
              </w:rPr>
              <w:t> </w:t>
            </w:r>
            <w:r w:rsidR="005A64EB" w:rsidRPr="00EF7BE6">
              <w:rPr>
                <w:rFonts w:eastAsia="Arial Unicode MS"/>
                <w:b/>
                <w:lang w:eastAsia="cs-CZ"/>
              </w:rPr>
              <w:t xml:space="preserve">chronickým onemocněním a pro osoby s chronickým duševním onemocněním </w:t>
            </w:r>
            <w:r w:rsidR="00CC2C0F">
              <w:rPr>
                <w:rFonts w:eastAsia="Arial Unicode MS"/>
                <w:b/>
                <w:lang w:eastAsia="cs-CZ"/>
              </w:rPr>
              <w:t>5</w:t>
            </w:r>
            <w:r w:rsidR="001E14E8" w:rsidRPr="00EF7BE6">
              <w:rPr>
                <w:rFonts w:eastAsia="Arial Unicode MS"/>
                <w:b/>
                <w:lang w:eastAsia="cs-CZ"/>
              </w:rPr>
              <w:t> </w:t>
            </w:r>
            <w:r w:rsidRPr="00EF7BE6">
              <w:rPr>
                <w:rFonts w:eastAsia="Arial Unicode MS"/>
                <w:b/>
                <w:lang w:eastAsia="cs-CZ"/>
              </w:rPr>
              <w:t>pracovními úvazky pracovníků v přímé péči působící v ORP Šumperk a ORP Jeseník</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CCECFF"/>
          </w:tcPr>
          <w:p w:rsidR="00FF153C" w:rsidRPr="00EF7BE6" w:rsidRDefault="00FF153C"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tcBorders>
              <w:top w:val="single" w:sz="4" w:space="0" w:color="auto"/>
              <w:left w:val="single" w:sz="4" w:space="0" w:color="auto"/>
              <w:bottom w:val="single" w:sz="4" w:space="0" w:color="auto"/>
              <w:right w:val="single" w:sz="4" w:space="0" w:color="auto"/>
            </w:tcBorders>
          </w:tcPr>
          <w:p w:rsidR="00FF153C" w:rsidRPr="004A7196" w:rsidRDefault="00FF153C" w:rsidP="00EF7BE6">
            <w:pPr>
              <w:spacing w:before="0"/>
              <w:rPr>
                <w:rFonts w:eastAsia="Arial Unicode MS"/>
                <w:lang w:eastAsia="cs-CZ"/>
              </w:rPr>
            </w:pPr>
            <w:r w:rsidRPr="004A7196">
              <w:rPr>
                <w:rFonts w:eastAsia="Arial Unicode MS"/>
                <w:lang w:eastAsia="cs-CZ"/>
              </w:rPr>
              <w:t>Opatření směřuje k optimalizaci (pozn. k přesunu nevyužitých kapacit stávající služby do území, kde se vyskytla poptávka po službě) a</w:t>
            </w:r>
            <w:r w:rsidR="000B266F">
              <w:rPr>
                <w:rFonts w:eastAsia="Arial Unicode MS"/>
                <w:lang w:eastAsia="cs-CZ"/>
              </w:rPr>
              <w:t> </w:t>
            </w:r>
            <w:r w:rsidRPr="004A7196">
              <w:rPr>
                <w:rFonts w:eastAsia="Arial Unicode MS"/>
                <w:lang w:eastAsia="cs-CZ"/>
              </w:rPr>
              <w:t>k</w:t>
            </w:r>
            <w:r w:rsidR="000B266F">
              <w:rPr>
                <w:rFonts w:eastAsia="Arial Unicode MS"/>
                <w:lang w:eastAsia="cs-CZ"/>
              </w:rPr>
              <w:t> </w:t>
            </w:r>
            <w:r w:rsidRPr="004A7196">
              <w:rPr>
                <w:rFonts w:eastAsia="Arial Unicode MS"/>
                <w:lang w:eastAsia="cs-CZ"/>
              </w:rPr>
              <w:t xml:space="preserve">případnému rozvoji terénní formy odlehčovací služby </w:t>
            </w:r>
            <w:r w:rsidR="005A64EB" w:rsidRPr="005A64EB">
              <w:rPr>
                <w:rFonts w:eastAsia="Arial Unicode MS"/>
                <w:lang w:eastAsia="cs-CZ"/>
              </w:rPr>
              <w:t>pro seniory, osoby s chronickým onemocněním a pro osoby s</w:t>
            </w:r>
            <w:r w:rsidR="002B232C">
              <w:rPr>
                <w:rFonts w:eastAsia="Arial Unicode MS"/>
                <w:lang w:eastAsia="cs-CZ"/>
              </w:rPr>
              <w:t> </w:t>
            </w:r>
            <w:r w:rsidR="005A64EB" w:rsidRPr="005A64EB">
              <w:rPr>
                <w:rFonts w:eastAsia="Arial Unicode MS"/>
                <w:lang w:eastAsia="cs-CZ"/>
              </w:rPr>
              <w:t>chronickým duševním onemocněním</w:t>
            </w:r>
            <w:r w:rsidR="00CC2C0F">
              <w:rPr>
                <w:rFonts w:eastAsia="Arial Unicode MS"/>
                <w:lang w:eastAsia="cs-CZ"/>
              </w:rPr>
              <w:t xml:space="preserve"> (typu demence)</w:t>
            </w:r>
            <w:r w:rsidR="005A64EB" w:rsidRPr="005A64EB">
              <w:rPr>
                <w:rFonts w:eastAsia="Arial Unicode MS"/>
                <w:lang w:eastAsia="cs-CZ"/>
              </w:rPr>
              <w:t xml:space="preserve"> </w:t>
            </w:r>
            <w:r w:rsidRPr="004A7196">
              <w:rPr>
                <w:rFonts w:eastAsia="Arial Unicode MS"/>
                <w:lang w:eastAsia="cs-CZ"/>
              </w:rPr>
              <w:t>na základě zjištěné potřebnosti v ORP Šumperk a ORP Jeseník.</w:t>
            </w:r>
          </w:p>
          <w:p w:rsidR="00FF153C" w:rsidRPr="004A7196" w:rsidRDefault="00FF153C" w:rsidP="00EF7BE6">
            <w:pPr>
              <w:spacing w:before="0"/>
              <w:rPr>
                <w:rFonts w:eastAsia="Arial Unicode MS"/>
                <w:lang w:eastAsia="cs-CZ"/>
              </w:rPr>
            </w:pPr>
            <w:r w:rsidRPr="00FF153C">
              <w:rPr>
                <w:rFonts w:eastAsia="Arial Unicode MS"/>
                <w:lang w:eastAsia="cs-CZ"/>
              </w:rPr>
              <w:t>Počet pracovních úvazků vedených v opatření je součtem pracovních úvazků pro pracovní skupiny Osoby se zdravotním postižením a Senioři.</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CCECFF"/>
          </w:tcPr>
          <w:p w:rsidR="00FF153C" w:rsidRPr="00EF7BE6" w:rsidRDefault="00FF153C" w:rsidP="00EF7BE6">
            <w:pPr>
              <w:spacing w:before="0"/>
              <w:jc w:val="left"/>
              <w:rPr>
                <w:rFonts w:eastAsia="Arial Unicode MS"/>
                <w:b/>
                <w:lang w:eastAsia="cs-CZ"/>
              </w:rPr>
            </w:pPr>
            <w:r w:rsidRPr="00EF7BE6">
              <w:rPr>
                <w:rFonts w:eastAsia="Arial Unicode MS"/>
                <w:b/>
                <w:lang w:eastAsia="cs-CZ"/>
              </w:rPr>
              <w:t>Cílová skupina</w:t>
            </w:r>
          </w:p>
        </w:tc>
        <w:tc>
          <w:tcPr>
            <w:tcW w:w="3673" w:type="pct"/>
            <w:tcBorders>
              <w:top w:val="single" w:sz="4" w:space="0" w:color="auto"/>
              <w:left w:val="single" w:sz="4" w:space="0" w:color="auto"/>
              <w:bottom w:val="single" w:sz="4" w:space="0" w:color="auto"/>
              <w:right w:val="single" w:sz="4" w:space="0" w:color="auto"/>
            </w:tcBorders>
          </w:tcPr>
          <w:p w:rsidR="005A64EB" w:rsidRPr="005A64EB" w:rsidRDefault="005A64EB" w:rsidP="00EF7BE6">
            <w:pPr>
              <w:spacing w:before="0"/>
              <w:rPr>
                <w:rFonts w:eastAsia="Arial Unicode MS"/>
                <w:lang w:eastAsia="cs-CZ"/>
              </w:rPr>
            </w:pPr>
            <w:r w:rsidRPr="005A64EB">
              <w:rPr>
                <w:rFonts w:eastAsia="Arial Unicode MS"/>
                <w:lang w:eastAsia="cs-CZ"/>
              </w:rPr>
              <w:t xml:space="preserve">Senioři </w:t>
            </w:r>
          </w:p>
          <w:p w:rsidR="005A64EB" w:rsidRPr="005A64EB" w:rsidRDefault="005A64EB" w:rsidP="00EF7BE6">
            <w:pPr>
              <w:spacing w:before="0"/>
              <w:rPr>
                <w:rFonts w:eastAsia="Arial Unicode MS"/>
                <w:lang w:eastAsia="cs-CZ"/>
              </w:rPr>
            </w:pPr>
            <w:r w:rsidRPr="005A64EB">
              <w:rPr>
                <w:rFonts w:eastAsia="Arial Unicode MS"/>
                <w:lang w:eastAsia="cs-CZ"/>
              </w:rPr>
              <w:t>Osoby s chronickým onemocněním</w:t>
            </w:r>
          </w:p>
          <w:p w:rsidR="00FF153C" w:rsidRPr="004A7196" w:rsidRDefault="005A64EB" w:rsidP="00EF7BE6">
            <w:pPr>
              <w:spacing w:before="0"/>
              <w:rPr>
                <w:rFonts w:eastAsia="Arial Unicode MS"/>
                <w:lang w:eastAsia="cs-CZ"/>
              </w:rPr>
            </w:pPr>
            <w:r w:rsidRPr="005A64EB">
              <w:rPr>
                <w:rFonts w:eastAsia="Arial Unicode MS"/>
                <w:lang w:eastAsia="cs-CZ"/>
              </w:rPr>
              <w:t>Osoby s chronickým duševním onemocněním</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CCECFF"/>
          </w:tcPr>
          <w:p w:rsidR="00FF153C" w:rsidRPr="00EF7BE6" w:rsidRDefault="00FF153C" w:rsidP="00EF7BE6">
            <w:pPr>
              <w:spacing w:before="0"/>
              <w:jc w:val="left"/>
              <w:rPr>
                <w:rFonts w:eastAsia="Arial Unicode MS"/>
                <w:b/>
                <w:lang w:eastAsia="cs-CZ"/>
              </w:rPr>
            </w:pPr>
            <w:r w:rsidRPr="00EF7BE6">
              <w:rPr>
                <w:rFonts w:eastAsia="Arial Unicode MS"/>
                <w:b/>
                <w:lang w:eastAsia="cs-CZ"/>
              </w:rPr>
              <w:t>Druh služby</w:t>
            </w:r>
          </w:p>
        </w:tc>
        <w:tc>
          <w:tcPr>
            <w:tcW w:w="3673" w:type="pct"/>
            <w:tcBorders>
              <w:top w:val="single" w:sz="4" w:space="0" w:color="auto"/>
              <w:left w:val="single" w:sz="4" w:space="0" w:color="auto"/>
              <w:bottom w:val="single" w:sz="4" w:space="0" w:color="auto"/>
              <w:right w:val="single" w:sz="4" w:space="0" w:color="auto"/>
            </w:tcBorders>
          </w:tcPr>
          <w:p w:rsidR="00FF153C" w:rsidRPr="004A7196" w:rsidRDefault="00FF153C" w:rsidP="00EF7BE6">
            <w:pPr>
              <w:spacing w:before="0"/>
              <w:rPr>
                <w:rFonts w:eastAsia="Arial Unicode MS"/>
                <w:lang w:eastAsia="cs-CZ"/>
              </w:rPr>
            </w:pPr>
            <w:r w:rsidRPr="004A7196">
              <w:rPr>
                <w:rFonts w:eastAsia="Arial Unicode MS"/>
                <w:lang w:eastAsia="cs-CZ"/>
              </w:rPr>
              <w:t>Odlehčovací služba (§ 44)</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CCECFF"/>
          </w:tcPr>
          <w:p w:rsidR="00FF153C" w:rsidRPr="00EF7BE6" w:rsidRDefault="00FF153C" w:rsidP="00EF7BE6">
            <w:pPr>
              <w:spacing w:before="0"/>
              <w:jc w:val="left"/>
              <w:rPr>
                <w:rFonts w:eastAsia="Arial Unicode MS"/>
                <w:b/>
                <w:lang w:eastAsia="cs-CZ"/>
              </w:rPr>
            </w:pPr>
            <w:r w:rsidRPr="00EF7BE6">
              <w:rPr>
                <w:rFonts w:eastAsia="Arial Unicode MS"/>
                <w:b/>
                <w:lang w:eastAsia="cs-CZ"/>
              </w:rPr>
              <w:t>Forma služby</w:t>
            </w:r>
          </w:p>
        </w:tc>
        <w:tc>
          <w:tcPr>
            <w:tcW w:w="3673" w:type="pct"/>
            <w:tcBorders>
              <w:top w:val="single" w:sz="4" w:space="0" w:color="auto"/>
              <w:left w:val="single" w:sz="4" w:space="0" w:color="auto"/>
              <w:bottom w:val="single" w:sz="4" w:space="0" w:color="auto"/>
              <w:right w:val="single" w:sz="4" w:space="0" w:color="auto"/>
            </w:tcBorders>
          </w:tcPr>
          <w:p w:rsidR="00FF153C" w:rsidRPr="004A7196" w:rsidRDefault="00FF153C" w:rsidP="00EF7BE6">
            <w:pPr>
              <w:spacing w:before="0"/>
              <w:rPr>
                <w:rFonts w:eastAsia="Arial Unicode MS"/>
                <w:lang w:eastAsia="cs-CZ"/>
              </w:rPr>
            </w:pPr>
            <w:r w:rsidRPr="004A7196">
              <w:rPr>
                <w:rFonts w:eastAsia="Arial Unicode MS"/>
                <w:lang w:eastAsia="cs-CZ"/>
              </w:rPr>
              <w:t>Terénní</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CCECFF"/>
          </w:tcPr>
          <w:p w:rsidR="00FF153C" w:rsidRPr="00EF7BE6" w:rsidRDefault="00FF153C" w:rsidP="00EF7BE6">
            <w:pPr>
              <w:spacing w:before="0"/>
              <w:jc w:val="left"/>
              <w:rPr>
                <w:rFonts w:eastAsia="Arial Unicode MS"/>
                <w:b/>
                <w:lang w:eastAsia="cs-CZ"/>
              </w:rPr>
            </w:pPr>
            <w:r w:rsidRPr="00EF7BE6">
              <w:rPr>
                <w:rFonts w:eastAsia="Arial Unicode MS"/>
                <w:b/>
                <w:lang w:eastAsia="cs-CZ"/>
              </w:rPr>
              <w:t>Vymezení územního dopadu opatření</w:t>
            </w:r>
          </w:p>
        </w:tc>
        <w:tc>
          <w:tcPr>
            <w:tcW w:w="3673" w:type="pct"/>
            <w:tcBorders>
              <w:top w:val="single" w:sz="4" w:space="0" w:color="auto"/>
              <w:left w:val="single" w:sz="4" w:space="0" w:color="auto"/>
              <w:bottom w:val="single" w:sz="4" w:space="0" w:color="auto"/>
              <w:right w:val="single" w:sz="4" w:space="0" w:color="auto"/>
            </w:tcBorders>
          </w:tcPr>
          <w:p w:rsidR="00FF153C" w:rsidRPr="004A7196" w:rsidRDefault="00FF153C" w:rsidP="00EF7BE6">
            <w:pPr>
              <w:spacing w:before="0"/>
              <w:rPr>
                <w:rFonts w:eastAsia="Arial Unicode MS"/>
                <w:lang w:eastAsia="cs-CZ"/>
              </w:rPr>
            </w:pPr>
            <w:r w:rsidRPr="004A7196">
              <w:rPr>
                <w:rFonts w:eastAsia="Arial Unicode MS"/>
                <w:lang w:eastAsia="cs-CZ"/>
              </w:rPr>
              <w:t>ORP Šumperk</w:t>
            </w:r>
          </w:p>
          <w:p w:rsidR="00FF153C" w:rsidRPr="004A7196" w:rsidRDefault="00FF153C" w:rsidP="00EF7BE6">
            <w:pPr>
              <w:spacing w:before="0"/>
              <w:rPr>
                <w:rFonts w:eastAsia="Arial Unicode MS"/>
                <w:lang w:eastAsia="cs-CZ"/>
              </w:rPr>
            </w:pPr>
            <w:r w:rsidRPr="004A7196">
              <w:rPr>
                <w:rFonts w:eastAsia="Arial Unicode MS"/>
                <w:lang w:eastAsia="cs-CZ"/>
              </w:rPr>
              <w:t>ORP Jeseník</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CCECFF"/>
          </w:tcPr>
          <w:p w:rsidR="00FF153C" w:rsidRPr="00EF7BE6" w:rsidRDefault="00FF153C"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Borders>
              <w:top w:val="single" w:sz="4" w:space="0" w:color="auto"/>
              <w:left w:val="single" w:sz="4" w:space="0" w:color="auto"/>
              <w:bottom w:val="single" w:sz="4" w:space="0" w:color="auto"/>
              <w:right w:val="single" w:sz="4" w:space="0" w:color="auto"/>
            </w:tcBorders>
          </w:tcPr>
          <w:p w:rsidR="00FF153C" w:rsidRPr="004A7196" w:rsidRDefault="005A64EB" w:rsidP="00EF7BE6">
            <w:pPr>
              <w:spacing w:before="0"/>
              <w:rPr>
                <w:rFonts w:eastAsia="Arial Unicode MS"/>
                <w:lang w:eastAsia="cs-CZ"/>
              </w:rPr>
            </w:pPr>
            <w:r w:rsidRPr="005A64EB">
              <w:rPr>
                <w:rFonts w:eastAsia="Arial Unicode MS"/>
                <w:lang w:eastAsia="cs-CZ"/>
              </w:rPr>
              <w:t xml:space="preserve">Opatření má dopad na zajištění poptávky po terénní formě odlehčovací služby pro seniory, osoby s chronickým onemocněním a pro osoby s chronickým duševním onemocněním v rozsahu základních činností daných registrací služby </w:t>
            </w:r>
            <w:r w:rsidR="00FF153C" w:rsidRPr="004A7196">
              <w:rPr>
                <w:rFonts w:eastAsia="Arial Unicode MS"/>
                <w:lang w:eastAsia="cs-CZ"/>
              </w:rPr>
              <w:t xml:space="preserve">v ORP Šumperk a ORP Jeseník. </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CCECFF"/>
          </w:tcPr>
          <w:p w:rsidR="00FF153C" w:rsidRPr="00EF7BE6" w:rsidRDefault="00FF153C" w:rsidP="00EF7BE6">
            <w:pPr>
              <w:spacing w:before="0"/>
              <w:jc w:val="left"/>
              <w:rPr>
                <w:rFonts w:eastAsia="Arial Unicode MS"/>
                <w:b/>
                <w:lang w:eastAsia="cs-CZ"/>
              </w:rPr>
            </w:pPr>
            <w:r w:rsidRPr="00EF7BE6">
              <w:rPr>
                <w:rFonts w:eastAsia="Arial Unicode MS"/>
                <w:b/>
                <w:lang w:eastAsia="cs-CZ"/>
              </w:rPr>
              <w:t xml:space="preserve">Aktivity vedoucí k naplnění opatření </w:t>
            </w:r>
          </w:p>
        </w:tc>
        <w:tc>
          <w:tcPr>
            <w:tcW w:w="3673" w:type="pct"/>
            <w:tcBorders>
              <w:top w:val="single" w:sz="4" w:space="0" w:color="auto"/>
              <w:left w:val="single" w:sz="4" w:space="0" w:color="auto"/>
              <w:bottom w:val="single" w:sz="4" w:space="0" w:color="auto"/>
              <w:right w:val="single" w:sz="4" w:space="0" w:color="auto"/>
            </w:tcBorders>
          </w:tcPr>
          <w:p w:rsidR="00FF153C" w:rsidRPr="00A34764" w:rsidRDefault="00FF153C" w:rsidP="00EF7BE6">
            <w:pPr>
              <w:pStyle w:val="Odstavecseseznamem"/>
              <w:numPr>
                <w:ilvl w:val="0"/>
                <w:numId w:val="257"/>
              </w:numPr>
              <w:spacing w:before="0" w:line="240" w:lineRule="auto"/>
            </w:pPr>
            <w:r w:rsidRPr="00A34764">
              <w:t>Monitoring jednotek zařazených v síti sociálních služeb</w:t>
            </w:r>
          </w:p>
          <w:p w:rsidR="00FF153C" w:rsidRPr="00A34764" w:rsidRDefault="00FF153C" w:rsidP="00EF7BE6">
            <w:pPr>
              <w:pStyle w:val="Odstavecseseznamem"/>
              <w:numPr>
                <w:ilvl w:val="0"/>
                <w:numId w:val="257"/>
              </w:numPr>
              <w:spacing w:before="0" w:line="240" w:lineRule="auto"/>
            </w:pPr>
            <w:r w:rsidRPr="00A34764">
              <w:t>Projednání předloženého záměru poskytovatele sociálních služeb v</w:t>
            </w:r>
            <w:r w:rsidR="000B266F">
              <w:t> </w:t>
            </w:r>
            <w:r w:rsidRPr="00A34764">
              <w:t>souladu se schválenými postupy pro aktualizaci sítě sociálních služeb OK</w:t>
            </w:r>
          </w:p>
          <w:p w:rsidR="00FF153C" w:rsidRPr="00A34764" w:rsidRDefault="00FF153C" w:rsidP="00EF7BE6">
            <w:pPr>
              <w:pStyle w:val="Odstavecseseznamem"/>
              <w:numPr>
                <w:ilvl w:val="0"/>
                <w:numId w:val="257"/>
              </w:numPr>
              <w:spacing w:before="0" w:line="240" w:lineRule="auto"/>
            </w:pPr>
            <w:r w:rsidRPr="00A34764">
              <w:t>Při vyjádření pozitivního stanoviska OK aktualizace sítě sociálních služeb dle schválených změn</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CCECFF"/>
          </w:tcPr>
          <w:p w:rsidR="00FF153C" w:rsidRPr="00EF7BE6" w:rsidRDefault="00FF153C" w:rsidP="00EF7BE6">
            <w:pPr>
              <w:spacing w:before="0"/>
              <w:jc w:val="left"/>
              <w:rPr>
                <w:rFonts w:eastAsia="Arial Unicode MS"/>
                <w:b/>
                <w:lang w:eastAsia="cs-CZ"/>
              </w:rPr>
            </w:pPr>
            <w:r w:rsidRPr="00EF7BE6">
              <w:rPr>
                <w:rFonts w:eastAsia="Arial Unicode MS"/>
                <w:b/>
                <w:lang w:eastAsia="cs-CZ"/>
              </w:rPr>
              <w:t>Rizika a ohrožení naplnění opatření</w:t>
            </w:r>
          </w:p>
        </w:tc>
        <w:tc>
          <w:tcPr>
            <w:tcW w:w="3673" w:type="pct"/>
            <w:tcBorders>
              <w:top w:val="single" w:sz="4" w:space="0" w:color="auto"/>
              <w:left w:val="single" w:sz="4" w:space="0" w:color="auto"/>
              <w:bottom w:val="single" w:sz="4" w:space="0" w:color="auto"/>
              <w:right w:val="single" w:sz="4" w:space="0" w:color="auto"/>
            </w:tcBorders>
          </w:tcPr>
          <w:p w:rsidR="00FF153C" w:rsidRPr="00A34764" w:rsidRDefault="00FF153C" w:rsidP="00EF7BE6">
            <w:pPr>
              <w:pStyle w:val="Odstavecseseznamem"/>
              <w:numPr>
                <w:ilvl w:val="0"/>
                <w:numId w:val="258"/>
              </w:numPr>
              <w:spacing w:before="0" w:line="240" w:lineRule="auto"/>
            </w:pPr>
            <w:r w:rsidRPr="00A34764">
              <w:t>Neprojevení zájmu poskytovatelů služeb o plnění cíle a opatření</w:t>
            </w:r>
          </w:p>
          <w:p w:rsidR="00FF153C" w:rsidRPr="00A34764" w:rsidRDefault="00FF153C" w:rsidP="00EF7BE6">
            <w:pPr>
              <w:pStyle w:val="Odstavecseseznamem"/>
              <w:numPr>
                <w:ilvl w:val="0"/>
                <w:numId w:val="258"/>
              </w:numPr>
              <w:spacing w:before="0" w:line="240" w:lineRule="auto"/>
            </w:pPr>
            <w:r w:rsidRPr="00A34764">
              <w:t>Nesplnění kritérií dle Postupu pro aktualizaci sítě sociálních služeb OK vedoucí k neschválení žádosti poskytovatele</w:t>
            </w:r>
          </w:p>
          <w:p w:rsidR="00FF153C" w:rsidRPr="00A34764" w:rsidRDefault="00FF153C" w:rsidP="00EF7BE6">
            <w:pPr>
              <w:pStyle w:val="Odstavecseseznamem"/>
              <w:numPr>
                <w:ilvl w:val="0"/>
                <w:numId w:val="258"/>
              </w:numPr>
              <w:spacing w:before="0" w:line="240" w:lineRule="auto"/>
            </w:pPr>
            <w:r w:rsidRPr="00A34764">
              <w:t>Nesplnění podmínek registrace poskytovaných sociálních služeb</w:t>
            </w:r>
          </w:p>
          <w:p w:rsidR="00FF153C" w:rsidRPr="00A34764" w:rsidRDefault="00FF153C" w:rsidP="00EF7BE6">
            <w:pPr>
              <w:pStyle w:val="Odstavecseseznamem"/>
              <w:numPr>
                <w:ilvl w:val="0"/>
                <w:numId w:val="258"/>
              </w:numPr>
              <w:spacing w:before="0" w:line="240" w:lineRule="auto"/>
            </w:pPr>
            <w:r w:rsidRPr="00A34764">
              <w:t>Nedostatek lidských zdrojů</w:t>
            </w:r>
          </w:p>
          <w:p w:rsidR="00FF153C" w:rsidRPr="00A34764" w:rsidRDefault="00FF153C" w:rsidP="00EF7BE6">
            <w:pPr>
              <w:pStyle w:val="Odstavecseseznamem"/>
              <w:numPr>
                <w:ilvl w:val="0"/>
                <w:numId w:val="258"/>
              </w:numPr>
              <w:spacing w:before="0" w:line="240" w:lineRule="auto"/>
            </w:pPr>
            <w:r w:rsidRPr="00A34764">
              <w:t>Nedostatek finančních prostředků z veřejných zdrojů</w:t>
            </w:r>
          </w:p>
          <w:p w:rsidR="00FF153C" w:rsidRPr="00A34764" w:rsidRDefault="00FF153C" w:rsidP="00EF7BE6">
            <w:pPr>
              <w:pStyle w:val="Odstavecseseznamem"/>
              <w:numPr>
                <w:ilvl w:val="0"/>
                <w:numId w:val="258"/>
              </w:numPr>
              <w:spacing w:before="0" w:line="240" w:lineRule="auto"/>
            </w:pPr>
            <w:r w:rsidRPr="00A34764">
              <w:lastRenderedPageBreak/>
              <w:t>Legislativní změny</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CCECFF"/>
          </w:tcPr>
          <w:p w:rsidR="00FF153C" w:rsidRPr="00EF7BE6" w:rsidRDefault="00FF153C" w:rsidP="00EF7BE6">
            <w:pPr>
              <w:spacing w:before="0"/>
              <w:jc w:val="left"/>
              <w:rPr>
                <w:rFonts w:eastAsia="Arial Unicode MS"/>
                <w:b/>
                <w:lang w:eastAsia="cs-CZ"/>
              </w:rPr>
            </w:pPr>
            <w:r w:rsidRPr="00EF7BE6">
              <w:rPr>
                <w:rFonts w:eastAsia="Arial Unicode MS"/>
                <w:b/>
                <w:lang w:eastAsia="cs-CZ"/>
              </w:rPr>
              <w:lastRenderedPageBreak/>
              <w:t xml:space="preserve">Předpokládaní realizátoři </w:t>
            </w:r>
            <w:r w:rsidRPr="00EF7BE6">
              <w:rPr>
                <w:rFonts w:eastAsia="Arial Unicode MS"/>
                <w:b/>
                <w:lang w:eastAsia="cs-CZ"/>
              </w:rPr>
              <w:br/>
              <w:t>a partneři opatření</w:t>
            </w:r>
          </w:p>
        </w:tc>
        <w:tc>
          <w:tcPr>
            <w:tcW w:w="3673" w:type="pct"/>
            <w:tcBorders>
              <w:top w:val="single" w:sz="4" w:space="0" w:color="auto"/>
              <w:left w:val="single" w:sz="4" w:space="0" w:color="auto"/>
              <w:bottom w:val="single" w:sz="4" w:space="0" w:color="auto"/>
              <w:right w:val="single" w:sz="4" w:space="0" w:color="auto"/>
            </w:tcBorders>
          </w:tcPr>
          <w:p w:rsidR="00FF153C" w:rsidRPr="004A7196" w:rsidRDefault="00FF153C" w:rsidP="00EF7BE6">
            <w:pPr>
              <w:spacing w:before="0"/>
              <w:rPr>
                <w:rFonts w:eastAsia="Arial Unicode MS"/>
                <w:lang w:eastAsia="cs-CZ"/>
              </w:rPr>
            </w:pPr>
            <w:r w:rsidRPr="004A7196">
              <w:rPr>
                <w:rFonts w:eastAsia="Arial Unicode MS"/>
                <w:lang w:eastAsia="cs-CZ"/>
              </w:rPr>
              <w:t>Poskytovatelé sociálních služeb pro dané cílové skupiny osob, kraj, obce</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CCECFF"/>
          </w:tcPr>
          <w:p w:rsidR="00FF153C" w:rsidRPr="00EF7BE6" w:rsidRDefault="00FF153C"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Borders>
              <w:top w:val="single" w:sz="4" w:space="0" w:color="auto"/>
              <w:left w:val="single" w:sz="4" w:space="0" w:color="auto"/>
              <w:bottom w:val="single" w:sz="4" w:space="0" w:color="auto"/>
              <w:right w:val="single" w:sz="4" w:space="0" w:color="auto"/>
            </w:tcBorders>
          </w:tcPr>
          <w:p w:rsidR="00FF153C" w:rsidRPr="004A7196" w:rsidRDefault="00FF153C" w:rsidP="00EF7BE6">
            <w:pPr>
              <w:spacing w:before="0"/>
              <w:rPr>
                <w:rFonts w:eastAsia="Arial Unicode MS"/>
                <w:lang w:eastAsia="cs-CZ"/>
              </w:rPr>
            </w:pPr>
            <w:r w:rsidRPr="004A7196">
              <w:rPr>
                <w:rFonts w:eastAsia="Arial Unicode MS"/>
                <w:lang w:eastAsia="cs-CZ"/>
              </w:rPr>
              <w:t>2024–2026</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CCECFF"/>
          </w:tcPr>
          <w:p w:rsidR="00FF153C" w:rsidRPr="00EF7BE6" w:rsidRDefault="00FF153C"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Borders>
              <w:top w:val="single" w:sz="4" w:space="0" w:color="auto"/>
              <w:left w:val="single" w:sz="4" w:space="0" w:color="auto"/>
              <w:bottom w:val="single" w:sz="4" w:space="0" w:color="auto"/>
              <w:right w:val="single" w:sz="4" w:space="0" w:color="auto"/>
            </w:tcBorders>
          </w:tcPr>
          <w:p w:rsidR="00FF153C" w:rsidRPr="004A7196" w:rsidRDefault="00FF153C" w:rsidP="00EF7BE6">
            <w:pPr>
              <w:spacing w:before="0"/>
              <w:rPr>
                <w:rFonts w:eastAsia="Arial Unicode MS"/>
                <w:lang w:eastAsia="cs-CZ"/>
              </w:rPr>
            </w:pPr>
            <w:r w:rsidRPr="004A7196">
              <w:rPr>
                <w:rFonts w:eastAsia="Arial Unicode MS"/>
                <w:lang w:eastAsia="cs-CZ"/>
              </w:rPr>
              <w:t>Veřejné zdroje, evropské zdroje a ostatní zdroje financování</w:t>
            </w:r>
          </w:p>
        </w:tc>
      </w:tr>
      <w:tr w:rsidR="00FF153C" w:rsidRPr="004A7196"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CCECFF"/>
          </w:tcPr>
          <w:p w:rsidR="00FF153C" w:rsidRPr="00EF7BE6" w:rsidRDefault="00FF153C"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Borders>
              <w:top w:val="single" w:sz="4" w:space="0" w:color="auto"/>
              <w:left w:val="single" w:sz="4" w:space="0" w:color="auto"/>
              <w:bottom w:val="single" w:sz="4" w:space="0" w:color="auto"/>
              <w:right w:val="single" w:sz="4" w:space="0" w:color="auto"/>
            </w:tcBorders>
          </w:tcPr>
          <w:p w:rsidR="00FF153C" w:rsidRPr="00A34764" w:rsidRDefault="00FF153C" w:rsidP="00EF7BE6">
            <w:pPr>
              <w:pStyle w:val="Odstavecseseznamem"/>
              <w:numPr>
                <w:ilvl w:val="0"/>
                <w:numId w:val="15"/>
              </w:numPr>
              <w:spacing w:before="0" w:line="240" w:lineRule="auto"/>
            </w:pPr>
            <w:r w:rsidRPr="00A34764">
              <w:t>Zajištění rozvoje sociální služby v daném regionu</w:t>
            </w:r>
          </w:p>
          <w:p w:rsidR="00FF153C" w:rsidRPr="00A34764" w:rsidRDefault="00FF153C" w:rsidP="00EF7BE6">
            <w:pPr>
              <w:pStyle w:val="Odstavecseseznamem"/>
              <w:numPr>
                <w:ilvl w:val="0"/>
                <w:numId w:val="15"/>
              </w:numPr>
              <w:spacing w:before="0" w:line="240" w:lineRule="auto"/>
            </w:pPr>
            <w:r w:rsidRPr="00A34764">
              <w:t>Aktualizace sítě sociálních služeb dle schválených změn</w:t>
            </w:r>
          </w:p>
        </w:tc>
      </w:tr>
    </w:tbl>
    <w:p w:rsidR="00FB1999" w:rsidRDefault="00FB1999" w:rsidP="00EF7BE6">
      <w:pPr>
        <w:spacing w:before="0"/>
        <w:rPr>
          <w:rFonts w:eastAsia="Calibri"/>
        </w:rPr>
      </w:pPr>
    </w:p>
    <w:p w:rsidR="00FF153C" w:rsidRDefault="00FF153C" w:rsidP="00EF7BE6">
      <w:pPr>
        <w:spacing w:before="0"/>
        <w:rPr>
          <w:rFonts w:eastAsia="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57"/>
      </w:tblGrid>
      <w:tr w:rsidR="00FB1999" w:rsidRPr="001870CD" w:rsidTr="00EF7BE6">
        <w:trPr>
          <w:cantSplit/>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FABF8F"/>
            <w:hideMark/>
          </w:tcPr>
          <w:p w:rsidR="00FB1999" w:rsidRPr="00EF7BE6" w:rsidRDefault="00806448" w:rsidP="00806448">
            <w:pPr>
              <w:keepNext/>
              <w:spacing w:before="0"/>
              <w:jc w:val="left"/>
              <w:rPr>
                <w:rFonts w:eastAsia="Arial Unicode MS"/>
                <w:b/>
                <w:lang w:eastAsia="cs-CZ"/>
              </w:rPr>
            </w:pPr>
            <w:r>
              <w:rPr>
                <w:rFonts w:eastAsia="Arial Unicode MS"/>
                <w:b/>
                <w:lang w:eastAsia="cs-CZ"/>
              </w:rPr>
              <w:t xml:space="preserve">Cíl </w:t>
            </w:r>
            <w:r w:rsidR="00FB1999" w:rsidRPr="00EF7BE6">
              <w:rPr>
                <w:rFonts w:eastAsia="Arial Unicode MS"/>
                <w:b/>
                <w:lang w:eastAsia="cs-CZ"/>
              </w:rPr>
              <w:t>3.4</w:t>
            </w:r>
          </w:p>
        </w:tc>
        <w:tc>
          <w:tcPr>
            <w:tcW w:w="3673" w:type="pct"/>
            <w:tcBorders>
              <w:top w:val="single" w:sz="4" w:space="0" w:color="auto"/>
              <w:left w:val="single" w:sz="4" w:space="0" w:color="auto"/>
              <w:bottom w:val="single" w:sz="4" w:space="0" w:color="auto"/>
              <w:right w:val="single" w:sz="4" w:space="0" w:color="auto"/>
            </w:tcBorders>
            <w:shd w:val="clear" w:color="auto" w:fill="FABF8F"/>
            <w:hideMark/>
          </w:tcPr>
          <w:p w:rsidR="00FB1999" w:rsidRPr="00EF7BE6" w:rsidRDefault="00FB1999" w:rsidP="00806448">
            <w:pPr>
              <w:keepNext/>
              <w:spacing w:before="0"/>
              <w:rPr>
                <w:rFonts w:eastAsia="Arial Unicode MS"/>
                <w:b/>
                <w:lang w:eastAsia="cs-CZ"/>
              </w:rPr>
            </w:pPr>
            <w:r w:rsidRPr="00EF7BE6">
              <w:rPr>
                <w:rFonts w:eastAsia="Arial Unicode MS"/>
                <w:b/>
                <w:lang w:eastAsia="cs-CZ"/>
              </w:rPr>
              <w:t>Zajištění potřebného rozsahu služby domovy se zvláštním režimem v</w:t>
            </w:r>
            <w:r w:rsidR="000B266F">
              <w:rPr>
                <w:rFonts w:eastAsia="Arial Unicode MS"/>
                <w:b/>
                <w:lang w:eastAsia="cs-CZ"/>
              </w:rPr>
              <w:t> </w:t>
            </w:r>
            <w:r w:rsidRPr="00EF7BE6">
              <w:rPr>
                <w:rFonts w:eastAsia="Arial Unicode MS"/>
                <w:b/>
                <w:lang w:eastAsia="cs-CZ"/>
              </w:rPr>
              <w:t>OK</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806448">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806448">
            <w:pPr>
              <w:keepNext/>
              <w:spacing w:before="0"/>
              <w:rPr>
                <w:rFonts w:eastAsia="Arial Unicode MS"/>
                <w:b/>
                <w:highlight w:val="yellow"/>
                <w:lang w:eastAsia="cs-CZ"/>
              </w:rPr>
            </w:pPr>
            <w:r w:rsidRPr="00EF7BE6">
              <w:rPr>
                <w:rFonts w:eastAsia="Arial Unicode MS"/>
                <w:b/>
                <w:lang w:eastAsia="cs-CZ"/>
              </w:rPr>
              <w:t>3.4.1</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806448">
            <w:pPr>
              <w:keepNext/>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FB1999" w:rsidP="00806448">
            <w:pPr>
              <w:keepNext/>
              <w:spacing w:before="0"/>
              <w:rPr>
                <w:rFonts w:eastAsia="Arial Unicode MS"/>
                <w:b/>
                <w:highlight w:val="yellow"/>
                <w:lang w:eastAsia="cs-CZ"/>
              </w:rPr>
            </w:pPr>
            <w:r w:rsidRPr="00EF7BE6">
              <w:rPr>
                <w:rFonts w:eastAsia="Arial Unicode MS"/>
                <w:b/>
                <w:lang w:eastAsia="cs-CZ"/>
              </w:rPr>
              <w:t xml:space="preserve">Zajištění služby domovy se zvláštním režimem </w:t>
            </w:r>
            <w:r w:rsidR="00E648CC" w:rsidRPr="00EF7BE6">
              <w:rPr>
                <w:rFonts w:eastAsia="Arial Unicode MS"/>
                <w:b/>
                <w:lang w:eastAsia="cs-CZ"/>
              </w:rPr>
              <w:t>14</w:t>
            </w:r>
            <w:r w:rsidRPr="00EF7BE6">
              <w:rPr>
                <w:rFonts w:eastAsia="Arial Unicode MS"/>
                <w:b/>
                <w:lang w:eastAsia="cs-CZ"/>
              </w:rPr>
              <w:t xml:space="preserve"> lůžky v ORP Šumperk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shd w:val="clear" w:color="auto" w:fill="auto"/>
          </w:tcPr>
          <w:p w:rsidR="00FB1999" w:rsidRPr="001870CD" w:rsidRDefault="00FB1999" w:rsidP="00EF7BE6">
            <w:pPr>
              <w:spacing w:before="0"/>
              <w:rPr>
                <w:rFonts w:eastAsia="Arial Unicode MS"/>
                <w:lang w:eastAsia="cs-CZ"/>
              </w:rPr>
            </w:pPr>
            <w:r w:rsidRPr="001870CD">
              <w:rPr>
                <w:rFonts w:eastAsia="Arial Unicode MS"/>
                <w:lang w:eastAsia="cs-CZ"/>
              </w:rPr>
              <w:t>Opatření směřuje k zajištění služby domovy se zvláštním režimem na základě zjištěné potřebnosti v ORP Šumperk.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shd w:val="clear" w:color="auto" w:fill="auto"/>
          </w:tcPr>
          <w:p w:rsidR="00FB1999" w:rsidRPr="001870CD" w:rsidRDefault="00FB1999" w:rsidP="00EF7BE6">
            <w:pPr>
              <w:spacing w:before="0"/>
              <w:rPr>
                <w:rFonts w:eastAsia="Arial Unicode MS"/>
                <w:lang w:eastAsia="cs-CZ"/>
              </w:rPr>
            </w:pPr>
            <w:r w:rsidRPr="001870CD">
              <w:rPr>
                <w:rFonts w:eastAsia="Arial Unicode MS"/>
                <w:lang w:eastAsia="cs-CZ"/>
              </w:rPr>
              <w:t xml:space="preserve">Senioři </w:t>
            </w:r>
          </w:p>
          <w:p w:rsidR="00FB1999" w:rsidRPr="001870CD" w:rsidRDefault="00FB1999" w:rsidP="00EF7BE6">
            <w:pPr>
              <w:spacing w:before="0"/>
              <w:rPr>
                <w:rFonts w:eastAsia="Arial Unicode MS"/>
                <w:lang w:eastAsia="cs-CZ"/>
              </w:rPr>
            </w:pPr>
            <w:r w:rsidRPr="001870CD">
              <w:rPr>
                <w:rFonts w:eastAsia="Arial Unicode MS"/>
                <w:lang w:eastAsia="cs-CZ"/>
              </w:rPr>
              <w:t>Osoby s chronickým duševním onemocněním</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shd w:val="clear" w:color="auto" w:fill="auto"/>
          </w:tcPr>
          <w:p w:rsidR="00FB1999" w:rsidRPr="001870CD" w:rsidRDefault="00FB1999" w:rsidP="00EF7BE6">
            <w:pPr>
              <w:spacing w:before="0"/>
              <w:rPr>
                <w:rFonts w:eastAsia="Arial Unicode MS"/>
                <w:lang w:eastAsia="cs-CZ"/>
              </w:rPr>
            </w:pPr>
            <w:r w:rsidRPr="001870CD">
              <w:rPr>
                <w:rFonts w:eastAsia="Arial Unicode MS"/>
                <w:lang w:eastAsia="cs-CZ"/>
              </w:rPr>
              <w:t>Domovy se zvláštním režimem (§ 50)</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shd w:val="clear" w:color="auto" w:fill="auto"/>
          </w:tcPr>
          <w:p w:rsidR="00FB1999" w:rsidRPr="001870CD" w:rsidRDefault="00FB1999" w:rsidP="00EF7BE6">
            <w:pPr>
              <w:spacing w:before="0"/>
              <w:rPr>
                <w:rFonts w:eastAsia="Arial Unicode MS"/>
                <w:lang w:eastAsia="cs-CZ"/>
              </w:rPr>
            </w:pPr>
            <w:r w:rsidRPr="001870CD">
              <w:rPr>
                <w:rFonts w:eastAsia="Arial Unicode MS"/>
                <w:lang w:eastAsia="cs-CZ"/>
              </w:rPr>
              <w:t xml:space="preserve">Pobytová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Vymezení územního dopadu opatření</w:t>
            </w:r>
          </w:p>
        </w:tc>
        <w:tc>
          <w:tcPr>
            <w:tcW w:w="3673" w:type="pct"/>
            <w:shd w:val="clear" w:color="auto" w:fill="auto"/>
          </w:tcPr>
          <w:p w:rsidR="00FB1999" w:rsidRPr="001870CD" w:rsidRDefault="00FB1999" w:rsidP="00EF7BE6">
            <w:pPr>
              <w:spacing w:before="0"/>
              <w:rPr>
                <w:rFonts w:eastAsia="Arial Unicode MS"/>
                <w:lang w:eastAsia="cs-CZ"/>
              </w:rPr>
            </w:pPr>
            <w:r w:rsidRPr="001870CD">
              <w:rPr>
                <w:rFonts w:eastAsia="Arial Unicode MS"/>
                <w:lang w:eastAsia="cs-CZ"/>
              </w:rPr>
              <w:t xml:space="preserve">ORP Šumperk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má dopad na seniory a osoby chronicky duševně nemocné žijící na území OK, kteří mají zajištěnu odpovídající podporu a pomoc v rozsahu základních činností daných registrací služby, která vyhovuje jejich individuálně určených potřebám a mají zachovánu co nejvyšší možnou kvalitu a důstojnost života s maximální možnou podporou zachovaných schopností.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Aktivity vedoucí k naplnění opatření</w:t>
            </w:r>
          </w:p>
          <w:p w:rsidR="00FB1999" w:rsidRPr="00EF7BE6" w:rsidRDefault="00FB1999" w:rsidP="00EF7BE6">
            <w:pPr>
              <w:spacing w:before="0"/>
              <w:jc w:val="left"/>
              <w:rPr>
                <w:rFonts w:eastAsia="Arial Unicode MS"/>
                <w:b/>
                <w:lang w:eastAsia="cs-CZ"/>
              </w:rPr>
            </w:pPr>
          </w:p>
        </w:tc>
        <w:tc>
          <w:tcPr>
            <w:tcW w:w="3673" w:type="pct"/>
          </w:tcPr>
          <w:p w:rsidR="00FB1999" w:rsidRPr="001870CD" w:rsidRDefault="00FB1999" w:rsidP="00EF7BE6">
            <w:pPr>
              <w:pStyle w:val="Odstavecseseznamem"/>
              <w:numPr>
                <w:ilvl w:val="0"/>
                <w:numId w:val="172"/>
              </w:numPr>
              <w:spacing w:before="0" w:line="240" w:lineRule="auto"/>
            </w:pPr>
            <w:r w:rsidRPr="001870CD">
              <w:t>Projednání předloženého záměru poskytovatele sociálních služeb v</w:t>
            </w:r>
            <w:r w:rsidR="000B266F">
              <w:t> </w:t>
            </w:r>
            <w:r w:rsidRPr="001870CD">
              <w:t>souladu se schválenými postupy pro aktualizaci sítě sociálních služeb OK</w:t>
            </w:r>
          </w:p>
          <w:p w:rsidR="00FB1999" w:rsidRPr="001870CD" w:rsidRDefault="00FB1999" w:rsidP="00EF7BE6">
            <w:pPr>
              <w:pStyle w:val="Odstavecseseznamem"/>
              <w:numPr>
                <w:ilvl w:val="0"/>
                <w:numId w:val="172"/>
              </w:numPr>
              <w:spacing w:before="0" w:line="240" w:lineRule="auto"/>
            </w:pPr>
            <w:r w:rsidRPr="001870CD">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b/>
              </w:rPr>
            </w:pPr>
            <w:r w:rsidRPr="00EF7BE6">
              <w:rPr>
                <w:b/>
              </w:rPr>
              <w:t>Rizika a ohrožení naplnění opatření</w:t>
            </w:r>
          </w:p>
        </w:tc>
        <w:tc>
          <w:tcPr>
            <w:tcW w:w="3673" w:type="pct"/>
          </w:tcPr>
          <w:p w:rsidR="00FB1999" w:rsidRPr="001870CD" w:rsidRDefault="00FB1999" w:rsidP="00EF7BE6">
            <w:pPr>
              <w:pStyle w:val="Odstavecseseznamem"/>
              <w:numPr>
                <w:ilvl w:val="0"/>
                <w:numId w:val="173"/>
              </w:numPr>
              <w:spacing w:before="0" w:line="240" w:lineRule="auto"/>
            </w:pPr>
            <w:r w:rsidRPr="001870CD">
              <w:t>Neprojevení zájmu poskytovatelů stávajících služeb o plnění cíle a</w:t>
            </w:r>
            <w:r w:rsidR="000B266F">
              <w:t> </w:t>
            </w:r>
            <w:r w:rsidRPr="001870CD">
              <w:t>opatření</w:t>
            </w:r>
          </w:p>
          <w:p w:rsidR="00FB1999" w:rsidRPr="001870CD" w:rsidRDefault="00FB1999" w:rsidP="00EF7BE6">
            <w:pPr>
              <w:pStyle w:val="Odstavecseseznamem"/>
              <w:numPr>
                <w:ilvl w:val="0"/>
                <w:numId w:val="173"/>
              </w:numPr>
              <w:spacing w:before="0" w:line="240" w:lineRule="auto"/>
            </w:pPr>
            <w:r w:rsidRPr="001870CD">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73"/>
              </w:numPr>
              <w:spacing w:before="0" w:line="240" w:lineRule="auto"/>
            </w:pPr>
            <w:r w:rsidRPr="001870CD">
              <w:t>Nesplnění podmínek registrace poskytovaných sociálních služeb</w:t>
            </w:r>
          </w:p>
          <w:p w:rsidR="00FB1999" w:rsidRPr="001870CD" w:rsidRDefault="00FB1999" w:rsidP="00EF7BE6">
            <w:pPr>
              <w:pStyle w:val="Odstavecseseznamem"/>
              <w:numPr>
                <w:ilvl w:val="0"/>
                <w:numId w:val="173"/>
              </w:numPr>
              <w:spacing w:before="0" w:line="240" w:lineRule="auto"/>
            </w:pPr>
            <w:r w:rsidRPr="001870CD">
              <w:t>Nedostatek lidských zdrojů</w:t>
            </w:r>
          </w:p>
          <w:p w:rsidR="00FB1999" w:rsidRPr="001870CD" w:rsidRDefault="00FB1999" w:rsidP="00EF7BE6">
            <w:pPr>
              <w:pStyle w:val="Odstavecseseznamem"/>
              <w:numPr>
                <w:ilvl w:val="0"/>
                <w:numId w:val="173"/>
              </w:numPr>
              <w:spacing w:before="0" w:line="240" w:lineRule="auto"/>
            </w:pPr>
            <w:r w:rsidRPr="001870CD">
              <w:t>Nedostatek finančních prostředků z veřejných zdrojů</w:t>
            </w:r>
          </w:p>
          <w:p w:rsidR="00FB1999" w:rsidRPr="001870CD" w:rsidRDefault="00FB1999" w:rsidP="00EF7BE6">
            <w:pPr>
              <w:pStyle w:val="Odstavecseseznamem"/>
              <w:numPr>
                <w:ilvl w:val="0"/>
                <w:numId w:val="173"/>
              </w:numPr>
              <w:spacing w:before="0" w:line="240" w:lineRule="auto"/>
            </w:pPr>
            <w:r w:rsidRPr="001870CD">
              <w:t>Legislativní změny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 xml:space="preserve">Předpokládaní realizátoři </w:t>
            </w:r>
            <w:r w:rsidRPr="00EF7BE6">
              <w:rPr>
                <w:rFonts w:eastAsia="Arial Unicode MS"/>
                <w:b/>
                <w:lang w:eastAsia="cs-CZ"/>
              </w:rPr>
              <w:br/>
              <w:t>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lastRenderedPageBreak/>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EF7BE6">
            <w:pPr>
              <w:spacing w:before="0"/>
              <w:rPr>
                <w:rFonts w:eastAsia="Arial Unicode MS"/>
                <w:b/>
                <w:lang w:eastAsia="cs-CZ"/>
              </w:rPr>
            </w:pPr>
            <w:r w:rsidRPr="00EF7BE6">
              <w:rPr>
                <w:rFonts w:eastAsia="Arial Unicode MS"/>
                <w:b/>
                <w:lang w:eastAsia="cs-CZ"/>
              </w:rPr>
              <w:t>3.4.2</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FB1999" w:rsidP="00EF7BE6">
            <w:pPr>
              <w:spacing w:before="0"/>
              <w:rPr>
                <w:rFonts w:eastAsia="Arial Unicode MS"/>
                <w:b/>
                <w:lang w:eastAsia="cs-CZ"/>
              </w:rPr>
            </w:pPr>
            <w:r w:rsidRPr="00EF7BE6">
              <w:rPr>
                <w:rFonts w:eastAsia="Arial Unicode MS"/>
                <w:b/>
                <w:lang w:eastAsia="cs-CZ"/>
              </w:rPr>
              <w:t>Zajištění služby domovy se zvláštním režimem 50 lůžky v ORP Olomouc</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tcPr>
          <w:p w:rsidR="00E648CC" w:rsidRPr="001870CD" w:rsidRDefault="00E648CC" w:rsidP="00EF7BE6">
            <w:pPr>
              <w:spacing w:before="0"/>
              <w:rPr>
                <w:rFonts w:eastAsia="Arial Unicode MS"/>
                <w:lang w:eastAsia="cs-CZ"/>
              </w:rPr>
            </w:pPr>
            <w:r w:rsidRPr="00E648CC">
              <w:rPr>
                <w:rFonts w:eastAsia="Arial Unicode MS"/>
                <w:lang w:eastAsia="cs-CZ"/>
              </w:rPr>
              <w:t>Opatření směřuje k zajištění služby domovy se zvláštním režimem uspořádané jako běžná domácnost, respektující přirozené prostředí seniora v ORP Olomouc.</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Senioři </w:t>
            </w:r>
          </w:p>
          <w:p w:rsidR="00FB1999" w:rsidRPr="001870CD" w:rsidRDefault="00FB1999" w:rsidP="00EF7BE6">
            <w:pPr>
              <w:spacing w:before="0"/>
              <w:rPr>
                <w:rFonts w:eastAsia="Arial Unicode MS"/>
                <w:lang w:eastAsia="cs-CZ"/>
              </w:rPr>
            </w:pPr>
            <w:r w:rsidRPr="001870CD">
              <w:rPr>
                <w:rFonts w:eastAsia="Arial Unicode MS"/>
                <w:lang w:eastAsia="cs-CZ"/>
              </w:rPr>
              <w:t>Osoby s chronickým duševním onemocněním</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Domovy se zvláštním režimem (§ 50)</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Pobytová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Vymezení územního dopadu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ORP Olomouc</w:t>
            </w:r>
          </w:p>
          <w:p w:rsidR="00FB1999" w:rsidRPr="001870CD" w:rsidRDefault="00FB1999" w:rsidP="00EF7BE6">
            <w:pPr>
              <w:spacing w:before="0"/>
              <w:rPr>
                <w:rFonts w:eastAsia="Arial Unicode MS"/>
                <w:lang w:eastAsia="cs-CZ"/>
              </w:rPr>
            </w:pP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má dopad na seniory a osoby chronicky duševně nemocné žijící na území OK, kteří mají zajištěnu odpovídající podporu a pomoc v rozsahu základních činností daných registrací služby, která vyhovuje jejich individuálně určených potřebám</w:t>
            </w:r>
            <w:r w:rsidR="00AE2497">
              <w:rPr>
                <w:rFonts w:eastAsia="Arial Unicode MS"/>
                <w:lang w:eastAsia="cs-CZ"/>
              </w:rPr>
              <w:t>,</w:t>
            </w:r>
            <w:r w:rsidRPr="001870CD">
              <w:rPr>
                <w:rFonts w:eastAsia="Arial Unicode MS"/>
                <w:lang w:eastAsia="cs-CZ"/>
              </w:rPr>
              <w:t xml:space="preserve"> a</w:t>
            </w:r>
            <w:r w:rsidR="00AE2497">
              <w:rPr>
                <w:rFonts w:eastAsia="Arial Unicode MS"/>
                <w:lang w:eastAsia="cs-CZ"/>
              </w:rPr>
              <w:t> </w:t>
            </w:r>
            <w:r w:rsidRPr="001870CD">
              <w:rPr>
                <w:rFonts w:eastAsia="Arial Unicode MS"/>
                <w:lang w:eastAsia="cs-CZ"/>
              </w:rPr>
              <w:t>mají zachovánu co nejvyšší možnou kvalitu a důstojnost života s maximální možnou podporou zachovaných schopností.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Aktivity vedoucí k naplnění opatření</w:t>
            </w:r>
          </w:p>
          <w:p w:rsidR="00FB1999" w:rsidRPr="00EF7BE6" w:rsidRDefault="00FB1999" w:rsidP="00EF7BE6">
            <w:pPr>
              <w:spacing w:before="0"/>
              <w:jc w:val="left"/>
              <w:rPr>
                <w:rFonts w:eastAsia="Arial Unicode MS"/>
                <w:b/>
                <w:lang w:eastAsia="cs-CZ"/>
              </w:rPr>
            </w:pPr>
          </w:p>
        </w:tc>
        <w:tc>
          <w:tcPr>
            <w:tcW w:w="3673" w:type="pct"/>
          </w:tcPr>
          <w:p w:rsidR="00FB1999" w:rsidRPr="001870CD" w:rsidRDefault="00FB1999" w:rsidP="00EF7BE6">
            <w:pPr>
              <w:pStyle w:val="Odstavecseseznamem"/>
              <w:numPr>
                <w:ilvl w:val="0"/>
                <w:numId w:val="174"/>
              </w:numPr>
              <w:spacing w:before="0" w:line="240" w:lineRule="auto"/>
            </w:pPr>
            <w:r w:rsidRPr="001870CD">
              <w:t>Projednání předloženého záměru poskytovatele sociálních služeb v</w:t>
            </w:r>
            <w:r w:rsidR="000B266F">
              <w:t> </w:t>
            </w:r>
            <w:r w:rsidRPr="001870CD">
              <w:t>souladu se schválenými postupy pro aktualizaci sítě sociálních služeb OK</w:t>
            </w:r>
          </w:p>
          <w:p w:rsidR="00FB1999" w:rsidRPr="001870CD" w:rsidRDefault="00FB1999" w:rsidP="00EF7BE6">
            <w:pPr>
              <w:pStyle w:val="Odstavecseseznamem"/>
              <w:numPr>
                <w:ilvl w:val="0"/>
                <w:numId w:val="174"/>
              </w:numPr>
              <w:spacing w:before="0" w:line="240" w:lineRule="auto"/>
            </w:pPr>
            <w:r w:rsidRPr="001870CD">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b/>
              </w:rPr>
            </w:pPr>
            <w:r w:rsidRPr="00EF7BE6">
              <w:rPr>
                <w:b/>
              </w:rPr>
              <w:t>Rizika a ohrožení naplnění opatření</w:t>
            </w:r>
          </w:p>
        </w:tc>
        <w:tc>
          <w:tcPr>
            <w:tcW w:w="3673" w:type="pct"/>
          </w:tcPr>
          <w:p w:rsidR="00FB1999" w:rsidRPr="001870CD" w:rsidRDefault="00FB1999" w:rsidP="00EF7BE6">
            <w:pPr>
              <w:pStyle w:val="Odstavecseseznamem"/>
              <w:numPr>
                <w:ilvl w:val="0"/>
                <w:numId w:val="175"/>
              </w:numPr>
              <w:spacing w:before="0" w:line="240" w:lineRule="auto"/>
            </w:pPr>
            <w:r w:rsidRPr="001870CD">
              <w:t>Neprojevení zájmu poskytovatelů stávajících služeb o plnění cíle a</w:t>
            </w:r>
            <w:r w:rsidR="000B266F">
              <w:t> </w:t>
            </w:r>
            <w:r w:rsidRPr="001870CD">
              <w:t>opatření</w:t>
            </w:r>
          </w:p>
          <w:p w:rsidR="00FB1999" w:rsidRPr="001870CD" w:rsidRDefault="00FB1999" w:rsidP="00EF7BE6">
            <w:pPr>
              <w:pStyle w:val="Odstavecseseznamem"/>
              <w:numPr>
                <w:ilvl w:val="0"/>
                <w:numId w:val="175"/>
              </w:numPr>
              <w:spacing w:before="0" w:line="240" w:lineRule="auto"/>
            </w:pPr>
            <w:r w:rsidRPr="001870CD">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75"/>
              </w:numPr>
              <w:spacing w:before="0" w:line="240" w:lineRule="auto"/>
            </w:pPr>
            <w:r w:rsidRPr="001870CD">
              <w:t>Nesplnění podmínek registrace poskytovaných sociálních služeb</w:t>
            </w:r>
          </w:p>
          <w:p w:rsidR="00FB1999" w:rsidRPr="001870CD" w:rsidRDefault="00FB1999" w:rsidP="00EF7BE6">
            <w:pPr>
              <w:pStyle w:val="Odstavecseseznamem"/>
              <w:numPr>
                <w:ilvl w:val="0"/>
                <w:numId w:val="175"/>
              </w:numPr>
              <w:spacing w:before="0" w:line="240" w:lineRule="auto"/>
            </w:pPr>
            <w:r w:rsidRPr="001870CD">
              <w:t>Nedostatek lidských zdrojů</w:t>
            </w:r>
          </w:p>
          <w:p w:rsidR="00FB1999" w:rsidRPr="001870CD" w:rsidRDefault="00FB1999" w:rsidP="00EF7BE6">
            <w:pPr>
              <w:pStyle w:val="Odstavecseseznamem"/>
              <w:numPr>
                <w:ilvl w:val="0"/>
                <w:numId w:val="175"/>
              </w:numPr>
              <w:spacing w:before="0" w:line="240" w:lineRule="auto"/>
            </w:pPr>
            <w:r w:rsidRPr="001870CD">
              <w:t>Nedostatek finančních prostředků z veřejných zdrojů</w:t>
            </w:r>
          </w:p>
          <w:p w:rsidR="00FB1999" w:rsidRPr="001870CD" w:rsidRDefault="00FB1999" w:rsidP="00EF7BE6">
            <w:pPr>
              <w:pStyle w:val="Odstavecseseznamem"/>
              <w:numPr>
                <w:ilvl w:val="0"/>
                <w:numId w:val="175"/>
              </w:numPr>
              <w:spacing w:before="0" w:line="240" w:lineRule="auto"/>
            </w:pPr>
            <w:r w:rsidRPr="001870CD">
              <w:t>Legislativní změny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 xml:space="preserve">Předpokládaní realizátoři </w:t>
            </w:r>
            <w:r w:rsidRPr="00EF7BE6">
              <w:rPr>
                <w:rFonts w:eastAsia="Arial Unicode MS"/>
                <w:b/>
                <w:lang w:eastAsia="cs-CZ"/>
              </w:rPr>
              <w:br/>
              <w:t>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bl>
    <w:p w:rsidR="00FB1999" w:rsidRDefault="00FB1999" w:rsidP="00EF7BE6">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57"/>
      </w:tblGrid>
      <w:tr w:rsidR="00FB1999" w:rsidRPr="001870CD" w:rsidTr="00EF7BE6">
        <w:trPr>
          <w:trHeight w:val="397"/>
          <w:jc w:val="center"/>
        </w:trPr>
        <w:tc>
          <w:tcPr>
            <w:tcW w:w="1327" w:type="pct"/>
            <w:shd w:val="clear" w:color="auto" w:fill="FABF8F"/>
          </w:tcPr>
          <w:p w:rsidR="00FB1999" w:rsidRPr="00EF7BE6" w:rsidRDefault="00FB1999" w:rsidP="00806448">
            <w:pPr>
              <w:keepNext/>
              <w:spacing w:before="0"/>
              <w:jc w:val="left"/>
              <w:rPr>
                <w:rFonts w:eastAsia="Arial Unicode MS"/>
                <w:b/>
                <w:lang w:eastAsia="cs-CZ"/>
              </w:rPr>
            </w:pPr>
            <w:r w:rsidRPr="00EF7BE6">
              <w:rPr>
                <w:rFonts w:eastAsia="Arial Unicode MS"/>
                <w:b/>
                <w:lang w:eastAsia="cs-CZ"/>
              </w:rPr>
              <w:lastRenderedPageBreak/>
              <w:t>Cíl 3.5</w:t>
            </w:r>
          </w:p>
        </w:tc>
        <w:tc>
          <w:tcPr>
            <w:tcW w:w="3673" w:type="pct"/>
            <w:shd w:val="clear" w:color="auto" w:fill="FABF8F"/>
          </w:tcPr>
          <w:p w:rsidR="00FB1999" w:rsidRPr="00EF7BE6" w:rsidRDefault="00326174" w:rsidP="00806448">
            <w:pPr>
              <w:keepNext/>
              <w:spacing w:before="0"/>
              <w:rPr>
                <w:rFonts w:eastAsia="Arial Unicode MS"/>
                <w:b/>
                <w:lang w:eastAsia="cs-CZ"/>
              </w:rPr>
            </w:pPr>
            <w:r w:rsidRPr="00EF7BE6">
              <w:rPr>
                <w:rFonts w:eastAsia="Arial Unicode MS"/>
                <w:b/>
                <w:lang w:eastAsia="cs-CZ"/>
              </w:rPr>
              <w:t>Zajištění potřebného rozsahu služby domovy pro seniory v OK</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806448">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806448">
            <w:pPr>
              <w:keepNext/>
              <w:spacing w:before="0"/>
              <w:rPr>
                <w:rFonts w:eastAsia="Arial Unicode MS"/>
                <w:b/>
                <w:lang w:eastAsia="cs-CZ"/>
              </w:rPr>
            </w:pPr>
            <w:r w:rsidRPr="00EF7BE6">
              <w:rPr>
                <w:rFonts w:eastAsia="Arial Unicode MS"/>
                <w:b/>
                <w:lang w:eastAsia="cs-CZ"/>
              </w:rPr>
              <w:t>3.5.1</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806448">
            <w:pPr>
              <w:keepNext/>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FB1999" w:rsidP="00806448">
            <w:pPr>
              <w:keepNext/>
              <w:spacing w:before="0"/>
              <w:rPr>
                <w:rFonts w:eastAsia="Arial Unicode MS"/>
                <w:b/>
                <w:lang w:eastAsia="cs-CZ"/>
              </w:rPr>
            </w:pPr>
            <w:r w:rsidRPr="00EF7BE6">
              <w:rPr>
                <w:rFonts w:eastAsia="Arial Unicode MS"/>
                <w:b/>
                <w:lang w:eastAsia="cs-CZ"/>
              </w:rPr>
              <w:t xml:space="preserve">Zajištění služby domovy pro seniory </w:t>
            </w:r>
            <w:r w:rsidR="00C40C69" w:rsidRPr="00EF7BE6">
              <w:rPr>
                <w:rFonts w:eastAsia="Arial Unicode MS"/>
                <w:b/>
                <w:lang w:eastAsia="cs-CZ"/>
              </w:rPr>
              <w:t>116 lůžky v ORP Přerov</w:t>
            </w:r>
            <w:r w:rsidRPr="00EF7BE6">
              <w:rPr>
                <w:rFonts w:eastAsia="Arial Unicode MS"/>
                <w:b/>
                <w:lang w:eastAsia="cs-CZ"/>
              </w:rPr>
              <w:t>, ORP Šumperk, ORP Konice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směřuje k zajištění služby domovy pro seniory na základě zjištěné potřebnosti v ORP Šumperk</w:t>
            </w:r>
            <w:r w:rsidR="00DE1A96">
              <w:rPr>
                <w:rFonts w:eastAsia="Arial Unicode MS"/>
                <w:lang w:eastAsia="cs-CZ"/>
              </w:rPr>
              <w:t>, ORP Konice, ORP Přerov</w:t>
            </w:r>
            <w:r w:rsidRPr="001870CD">
              <w:rPr>
                <w:rFonts w:eastAsia="Arial Unicode MS"/>
                <w:lang w:eastAsia="cs-CZ"/>
              </w:rPr>
              <w:t>.</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Senioři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Domovy pro seniory (§ 49)</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Pobytová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Vymezení územního dopadu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ORP Přerov</w:t>
            </w:r>
          </w:p>
          <w:p w:rsidR="00FB1999" w:rsidRPr="001870CD" w:rsidRDefault="00FB1999" w:rsidP="00EF7BE6">
            <w:pPr>
              <w:spacing w:before="0"/>
              <w:rPr>
                <w:rFonts w:eastAsia="Arial Unicode MS"/>
                <w:lang w:eastAsia="cs-CZ"/>
              </w:rPr>
            </w:pPr>
            <w:r w:rsidRPr="001870CD">
              <w:rPr>
                <w:rFonts w:eastAsia="Arial Unicode MS"/>
                <w:lang w:eastAsia="cs-CZ"/>
              </w:rPr>
              <w:t>ORP Konice</w:t>
            </w:r>
          </w:p>
          <w:p w:rsidR="00FB1999" w:rsidRPr="001870CD" w:rsidRDefault="00FB1999" w:rsidP="00EF7BE6">
            <w:pPr>
              <w:spacing w:before="0"/>
              <w:rPr>
                <w:rFonts w:eastAsia="Arial Unicode MS"/>
                <w:lang w:eastAsia="cs-CZ"/>
              </w:rPr>
            </w:pPr>
            <w:r w:rsidRPr="001870CD">
              <w:rPr>
                <w:rFonts w:eastAsia="Arial Unicode MS"/>
                <w:lang w:eastAsia="cs-CZ"/>
              </w:rPr>
              <w:t>ORP Šumperk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má dopad na seniory, kteří mají zajištěnu odpovídající podporu a pomoc v rozsahu základních činností daných registrací služby domovy pro seniory, která vyhovuje jejich individuálně určených potřebám</w:t>
            </w:r>
            <w:r w:rsidR="00AE2497">
              <w:rPr>
                <w:rFonts w:eastAsia="Arial Unicode MS"/>
                <w:lang w:eastAsia="cs-CZ"/>
              </w:rPr>
              <w:t>,</w:t>
            </w:r>
            <w:r w:rsidRPr="001870CD">
              <w:rPr>
                <w:rFonts w:eastAsia="Arial Unicode MS"/>
                <w:lang w:eastAsia="cs-CZ"/>
              </w:rPr>
              <w:t xml:space="preserve"> a mají zachovánu co nejvyšší možnou kvalitu a důstojnost života s maximální možnou podporou zachovaných schopností.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Aktivity vedoucí k naplnění opatření</w:t>
            </w:r>
          </w:p>
          <w:p w:rsidR="00FB1999" w:rsidRPr="00EF7BE6" w:rsidRDefault="00FB1999" w:rsidP="00EF7BE6">
            <w:pPr>
              <w:spacing w:before="0"/>
              <w:jc w:val="left"/>
              <w:rPr>
                <w:rFonts w:eastAsia="Arial Unicode MS"/>
                <w:b/>
                <w:lang w:eastAsia="cs-CZ"/>
              </w:rPr>
            </w:pPr>
          </w:p>
        </w:tc>
        <w:tc>
          <w:tcPr>
            <w:tcW w:w="3673" w:type="pct"/>
          </w:tcPr>
          <w:p w:rsidR="00FB1999" w:rsidRPr="001870CD" w:rsidRDefault="00FB1999" w:rsidP="00EF7BE6">
            <w:pPr>
              <w:pStyle w:val="Odstavecseseznamem"/>
              <w:numPr>
                <w:ilvl w:val="0"/>
                <w:numId w:val="176"/>
              </w:numPr>
              <w:spacing w:before="0" w:line="240" w:lineRule="auto"/>
            </w:pPr>
            <w:r w:rsidRPr="001870CD">
              <w:t>Projednání předloženého záměru poskytovatele sociálních služeb v</w:t>
            </w:r>
            <w:r w:rsidR="000B266F">
              <w:t> </w:t>
            </w:r>
            <w:r w:rsidRPr="001870CD">
              <w:t>souladu se schválenými postupy pro aktualizaci sítě sociálních služeb OK</w:t>
            </w:r>
          </w:p>
          <w:p w:rsidR="00FB1999" w:rsidRPr="001870CD" w:rsidRDefault="00FB1999" w:rsidP="00EF7BE6">
            <w:pPr>
              <w:pStyle w:val="Odstavecseseznamem"/>
              <w:numPr>
                <w:ilvl w:val="0"/>
                <w:numId w:val="176"/>
              </w:numPr>
              <w:spacing w:before="0" w:line="240" w:lineRule="auto"/>
            </w:pPr>
            <w:r w:rsidRPr="001870CD">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b/>
              </w:rPr>
            </w:pPr>
            <w:r w:rsidRPr="00EF7BE6">
              <w:rPr>
                <w:b/>
              </w:rPr>
              <w:t>Rizika a ohrožení naplnění opatření</w:t>
            </w:r>
          </w:p>
        </w:tc>
        <w:tc>
          <w:tcPr>
            <w:tcW w:w="3673" w:type="pct"/>
          </w:tcPr>
          <w:p w:rsidR="00FB1999" w:rsidRPr="001870CD" w:rsidRDefault="00FB1999" w:rsidP="00EF7BE6">
            <w:pPr>
              <w:pStyle w:val="Odstavecseseznamem"/>
              <w:numPr>
                <w:ilvl w:val="0"/>
                <w:numId w:val="177"/>
              </w:numPr>
              <w:spacing w:before="0" w:line="240" w:lineRule="auto"/>
            </w:pPr>
            <w:r w:rsidRPr="001870CD">
              <w:t>Neprojevení zájmu poskytovatelů sociálních služeb o plnění cíle a</w:t>
            </w:r>
            <w:r w:rsidR="000B266F">
              <w:t> </w:t>
            </w:r>
            <w:r w:rsidRPr="001870CD">
              <w:t>opatření</w:t>
            </w:r>
          </w:p>
          <w:p w:rsidR="00FB1999" w:rsidRPr="001870CD" w:rsidRDefault="00FB1999" w:rsidP="00EF7BE6">
            <w:pPr>
              <w:pStyle w:val="Odstavecseseznamem"/>
              <w:numPr>
                <w:ilvl w:val="0"/>
                <w:numId w:val="177"/>
              </w:numPr>
              <w:spacing w:before="0" w:line="240" w:lineRule="auto"/>
            </w:pPr>
            <w:r w:rsidRPr="001870CD">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77"/>
              </w:numPr>
              <w:spacing w:before="0" w:line="240" w:lineRule="auto"/>
            </w:pPr>
            <w:r w:rsidRPr="001870CD">
              <w:t>Nesplnění podmínek registrace poskytovaných sociálních služeb</w:t>
            </w:r>
          </w:p>
          <w:p w:rsidR="00FB1999" w:rsidRPr="001870CD" w:rsidRDefault="00FB1999" w:rsidP="00EF7BE6">
            <w:pPr>
              <w:pStyle w:val="Odstavecseseznamem"/>
              <w:numPr>
                <w:ilvl w:val="0"/>
                <w:numId w:val="177"/>
              </w:numPr>
              <w:spacing w:before="0" w:line="240" w:lineRule="auto"/>
            </w:pPr>
            <w:r w:rsidRPr="001870CD">
              <w:t>Nedostatek lidských zdrojů</w:t>
            </w:r>
          </w:p>
          <w:p w:rsidR="00FB1999" w:rsidRPr="001870CD" w:rsidRDefault="00FB1999" w:rsidP="00EF7BE6">
            <w:pPr>
              <w:pStyle w:val="Odstavecseseznamem"/>
              <w:numPr>
                <w:ilvl w:val="0"/>
                <w:numId w:val="177"/>
              </w:numPr>
              <w:spacing w:before="0" w:line="240" w:lineRule="auto"/>
            </w:pPr>
            <w:r w:rsidRPr="001870CD">
              <w:t>Nedostatek finančních prostředků z veřejných zdrojů</w:t>
            </w:r>
          </w:p>
          <w:p w:rsidR="00FB1999" w:rsidRPr="001870CD" w:rsidRDefault="00FB1999" w:rsidP="00EF7BE6">
            <w:pPr>
              <w:pStyle w:val="Odstavecseseznamem"/>
              <w:numPr>
                <w:ilvl w:val="0"/>
                <w:numId w:val="177"/>
              </w:numPr>
              <w:spacing w:before="0" w:line="240" w:lineRule="auto"/>
            </w:pPr>
            <w:r w:rsidRPr="001870CD">
              <w:t>Legislativní změny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 xml:space="preserve">Předpokládaní realizátoři </w:t>
            </w:r>
            <w:r w:rsidRPr="00EF7BE6">
              <w:rPr>
                <w:rFonts w:eastAsia="Arial Unicode MS"/>
                <w:b/>
                <w:lang w:eastAsia="cs-CZ"/>
              </w:rPr>
              <w:br/>
              <w:t>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806448">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806448">
            <w:pPr>
              <w:keepNext/>
              <w:spacing w:before="0"/>
              <w:rPr>
                <w:rFonts w:eastAsia="Arial Unicode MS"/>
                <w:b/>
                <w:lang w:eastAsia="cs-CZ"/>
              </w:rPr>
            </w:pPr>
            <w:r w:rsidRPr="00EF7BE6">
              <w:rPr>
                <w:rFonts w:eastAsia="Arial Unicode MS"/>
                <w:b/>
                <w:lang w:eastAsia="cs-CZ"/>
              </w:rPr>
              <w:t>3.5.2</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806448">
            <w:pPr>
              <w:keepNext/>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FB1999" w:rsidP="00806448">
            <w:pPr>
              <w:keepNext/>
              <w:spacing w:before="0"/>
              <w:rPr>
                <w:rFonts w:eastAsia="Arial Unicode MS"/>
                <w:b/>
                <w:lang w:eastAsia="cs-CZ"/>
              </w:rPr>
            </w:pPr>
            <w:r w:rsidRPr="00EF7BE6">
              <w:rPr>
                <w:rFonts w:eastAsia="Arial Unicode MS"/>
                <w:b/>
                <w:lang w:eastAsia="cs-CZ"/>
              </w:rPr>
              <w:t>Zajištění služby domovy pro seniory nízkokapacitního charakteru 30 lůžky v ORP Zábřeh</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směřuje k zajištění služby domovy pro seniory (nízkokapacitního charakteru) na základě zjištěné potřebnosti v ORP Zábřeh.</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Senioři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Domovy pro seniory (§ 49)</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Pobytová</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lastRenderedPageBreak/>
              <w:t>Vymezení územního dopadu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ORP Zábřeh</w:t>
            </w:r>
          </w:p>
          <w:p w:rsidR="00FB1999" w:rsidRPr="001870CD" w:rsidRDefault="00FB1999" w:rsidP="00EF7BE6">
            <w:pPr>
              <w:spacing w:before="0"/>
              <w:rPr>
                <w:rFonts w:eastAsia="Arial Unicode MS"/>
                <w:lang w:eastAsia="cs-CZ"/>
              </w:rPr>
            </w:pP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má dopad na seniory žijící na území OK, kteří mají zajištěnu odpovídající podporu a pomoc v rozsahu základních činností daných registrací služby, která vyhovuje jejich individuálně určených potřebám</w:t>
            </w:r>
            <w:r w:rsidR="00AE2497">
              <w:rPr>
                <w:rFonts w:eastAsia="Arial Unicode MS"/>
                <w:lang w:eastAsia="cs-CZ"/>
              </w:rPr>
              <w:t>,</w:t>
            </w:r>
            <w:r w:rsidRPr="001870CD">
              <w:rPr>
                <w:rFonts w:eastAsia="Arial Unicode MS"/>
                <w:lang w:eastAsia="cs-CZ"/>
              </w:rPr>
              <w:t xml:space="preserve"> a</w:t>
            </w:r>
            <w:r w:rsidR="000B266F">
              <w:rPr>
                <w:rFonts w:eastAsia="Arial Unicode MS"/>
                <w:lang w:eastAsia="cs-CZ"/>
              </w:rPr>
              <w:t> </w:t>
            </w:r>
            <w:r w:rsidRPr="001870CD">
              <w:rPr>
                <w:rFonts w:eastAsia="Arial Unicode MS"/>
                <w:lang w:eastAsia="cs-CZ"/>
              </w:rPr>
              <w:t>mají zachovánu co nejvyšší možnou kvalitu a důstojnost života s maximální možnou podporou zachovaných schopností.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Aktivity vedoucí k naplnění opatření</w:t>
            </w:r>
          </w:p>
          <w:p w:rsidR="00FB1999" w:rsidRPr="00EF7BE6" w:rsidRDefault="00FB1999" w:rsidP="00EF7BE6">
            <w:pPr>
              <w:spacing w:before="0"/>
              <w:jc w:val="left"/>
              <w:rPr>
                <w:rFonts w:eastAsia="Arial Unicode MS"/>
                <w:b/>
                <w:lang w:eastAsia="cs-CZ"/>
              </w:rPr>
            </w:pPr>
          </w:p>
        </w:tc>
        <w:tc>
          <w:tcPr>
            <w:tcW w:w="3673" w:type="pct"/>
          </w:tcPr>
          <w:p w:rsidR="00FB1999" w:rsidRPr="001870CD" w:rsidRDefault="00FB1999" w:rsidP="00EF7BE6">
            <w:pPr>
              <w:pStyle w:val="Odstavecseseznamem"/>
              <w:numPr>
                <w:ilvl w:val="0"/>
                <w:numId w:val="178"/>
              </w:numPr>
              <w:spacing w:before="0" w:line="240" w:lineRule="auto"/>
            </w:pPr>
            <w:r w:rsidRPr="001870CD">
              <w:t>Projednání předloženého záměru poskytovatele sociálních služeb v</w:t>
            </w:r>
            <w:r w:rsidR="000B266F">
              <w:t> </w:t>
            </w:r>
            <w:r w:rsidRPr="001870CD">
              <w:t>souladu se schválenými postupy pro aktualizaci sítě sociálních služeb OK</w:t>
            </w:r>
          </w:p>
          <w:p w:rsidR="00FB1999" w:rsidRPr="001870CD" w:rsidRDefault="00FB1999" w:rsidP="00EF7BE6">
            <w:pPr>
              <w:pStyle w:val="Odstavecseseznamem"/>
              <w:numPr>
                <w:ilvl w:val="0"/>
                <w:numId w:val="178"/>
              </w:numPr>
              <w:spacing w:before="0" w:line="240" w:lineRule="auto"/>
            </w:pPr>
            <w:r w:rsidRPr="001870CD">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b/>
              </w:rPr>
            </w:pPr>
            <w:r w:rsidRPr="00EF7BE6">
              <w:rPr>
                <w:b/>
              </w:rPr>
              <w:t>Rizika a ohrožení naplnění opatření</w:t>
            </w:r>
          </w:p>
        </w:tc>
        <w:tc>
          <w:tcPr>
            <w:tcW w:w="3673" w:type="pct"/>
          </w:tcPr>
          <w:p w:rsidR="00FB1999" w:rsidRPr="001870CD" w:rsidRDefault="00FB1999" w:rsidP="00EF7BE6">
            <w:pPr>
              <w:pStyle w:val="Odstavecseseznamem"/>
              <w:numPr>
                <w:ilvl w:val="0"/>
                <w:numId w:val="179"/>
              </w:numPr>
              <w:spacing w:before="0" w:line="240" w:lineRule="auto"/>
            </w:pPr>
            <w:r w:rsidRPr="001870CD">
              <w:t>Neprojevení zájmu poskytovatelů stávajících služeb o plnění cíle a</w:t>
            </w:r>
            <w:r w:rsidR="000B266F">
              <w:t> </w:t>
            </w:r>
            <w:r w:rsidRPr="001870CD">
              <w:t>opatření</w:t>
            </w:r>
          </w:p>
          <w:p w:rsidR="00FB1999" w:rsidRPr="001870CD" w:rsidRDefault="00FB1999" w:rsidP="00EF7BE6">
            <w:pPr>
              <w:pStyle w:val="Odstavecseseznamem"/>
              <w:numPr>
                <w:ilvl w:val="0"/>
                <w:numId w:val="179"/>
              </w:numPr>
              <w:spacing w:before="0" w:line="240" w:lineRule="auto"/>
            </w:pPr>
            <w:r w:rsidRPr="001870CD">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79"/>
              </w:numPr>
              <w:spacing w:before="0" w:line="240" w:lineRule="auto"/>
            </w:pPr>
            <w:r w:rsidRPr="001870CD">
              <w:t>Nesplnění podmínek registrace poskytovaných sociálních služeb</w:t>
            </w:r>
          </w:p>
          <w:p w:rsidR="00FB1999" w:rsidRPr="001870CD" w:rsidRDefault="00FB1999" w:rsidP="00EF7BE6">
            <w:pPr>
              <w:pStyle w:val="Odstavecseseznamem"/>
              <w:numPr>
                <w:ilvl w:val="0"/>
                <w:numId w:val="179"/>
              </w:numPr>
              <w:spacing w:before="0" w:line="240" w:lineRule="auto"/>
            </w:pPr>
            <w:r w:rsidRPr="001870CD">
              <w:t>Nedostatek lidských zdrojů</w:t>
            </w:r>
          </w:p>
          <w:p w:rsidR="00FB1999" w:rsidRPr="001870CD" w:rsidRDefault="00FB1999" w:rsidP="00EF7BE6">
            <w:pPr>
              <w:pStyle w:val="Odstavecseseznamem"/>
              <w:numPr>
                <w:ilvl w:val="0"/>
                <w:numId w:val="179"/>
              </w:numPr>
              <w:spacing w:before="0" w:line="240" w:lineRule="auto"/>
            </w:pPr>
            <w:r w:rsidRPr="001870CD">
              <w:t>Nedostatek finančních prostředků z veřejných zdrojů</w:t>
            </w:r>
          </w:p>
          <w:p w:rsidR="00FB1999" w:rsidRPr="001870CD" w:rsidRDefault="00FB1999" w:rsidP="00EF7BE6">
            <w:pPr>
              <w:pStyle w:val="Odstavecseseznamem"/>
              <w:numPr>
                <w:ilvl w:val="0"/>
                <w:numId w:val="179"/>
              </w:numPr>
              <w:spacing w:before="0" w:line="240" w:lineRule="auto"/>
            </w:pPr>
            <w:r w:rsidRPr="001870CD">
              <w:t>Legislativní změny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 xml:space="preserve">Předpokládaní realizátoři </w:t>
            </w:r>
            <w:r w:rsidRPr="00EF7BE6">
              <w:rPr>
                <w:rFonts w:eastAsia="Arial Unicode MS"/>
                <w:b/>
                <w:lang w:eastAsia="cs-CZ"/>
              </w:rPr>
              <w:br/>
              <w:t>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r w:rsidRPr="00EF7BE6">
              <w:rPr>
                <w:rFonts w:eastAsia="Arial Unicode MS"/>
                <w:b/>
                <w:lang w:eastAsia="cs-CZ"/>
              </w:rPr>
              <w:t>3.5.3</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r w:rsidRPr="00EF7BE6">
              <w:rPr>
                <w:rFonts w:eastAsia="Arial Unicode MS"/>
                <w:b/>
                <w:lang w:eastAsia="cs-CZ"/>
              </w:rPr>
              <w:t>Zajištění služby domovy pro seniory 50 lůžky v ORP Šternberk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tcPr>
          <w:p w:rsidR="00FB1999" w:rsidRPr="001870CD" w:rsidRDefault="00E648CC" w:rsidP="00EF7BE6">
            <w:pPr>
              <w:spacing w:before="0"/>
              <w:rPr>
                <w:rFonts w:eastAsia="Arial Unicode MS"/>
                <w:lang w:eastAsia="cs-CZ"/>
              </w:rPr>
            </w:pPr>
            <w:r>
              <w:rPr>
                <w:rFonts w:eastAsia="Arial Unicode MS"/>
                <w:lang w:eastAsia="cs-CZ"/>
              </w:rPr>
              <w:t>Opatření směřuje k zajištění</w:t>
            </w:r>
            <w:r w:rsidR="00FB1999" w:rsidRPr="001870CD">
              <w:rPr>
                <w:rFonts w:eastAsia="Arial Unicode MS"/>
                <w:lang w:eastAsia="cs-CZ"/>
              </w:rPr>
              <w:t xml:space="preserve"> pobytové služby domovy pro seniory uspořádané jako běžná domácnost, respektující přirozené prostředí seniora v ORP Šternberk</w:t>
            </w:r>
            <w:r>
              <w:rPr>
                <w:rFonts w:eastAsia="Arial Unicode MS"/>
                <w:lang w:eastAsia="cs-CZ"/>
              </w:rPr>
              <w:t>.</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Senioři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Domovy pro seniory (§ 49)</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Pobytová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Vymezení územního dopadu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ORP Šternberk</w:t>
            </w:r>
          </w:p>
          <w:p w:rsidR="00FB1999" w:rsidRPr="001870CD" w:rsidRDefault="00FB1999" w:rsidP="00EF7BE6">
            <w:pPr>
              <w:spacing w:before="0"/>
              <w:rPr>
                <w:rFonts w:eastAsia="Arial Unicode MS"/>
                <w:lang w:eastAsia="cs-CZ"/>
              </w:rPr>
            </w:pP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Senioři žijící na území OK, kteří mají zajištěnu odpovídající podporu a</w:t>
            </w:r>
            <w:r w:rsidR="000B266F">
              <w:rPr>
                <w:rFonts w:eastAsia="Arial Unicode MS"/>
                <w:lang w:eastAsia="cs-CZ"/>
              </w:rPr>
              <w:t> </w:t>
            </w:r>
            <w:r w:rsidRPr="001870CD">
              <w:rPr>
                <w:rFonts w:eastAsia="Arial Unicode MS"/>
                <w:lang w:eastAsia="cs-CZ"/>
              </w:rPr>
              <w:t>pomoc v rozsahu základních činností daných registrací služby, která vyhovuje jejich individuálně určených potřebám a mají zachovánu co nejvyšší možnou kvalitu a důstojnost života s maximální možnou podporou zachovaných schopností.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Aktivity vedoucí k naplnění opatření</w:t>
            </w:r>
          </w:p>
          <w:p w:rsidR="00FB1999" w:rsidRPr="00EF7BE6" w:rsidRDefault="00FB1999" w:rsidP="00EF7BE6">
            <w:pPr>
              <w:spacing w:before="0"/>
              <w:jc w:val="left"/>
              <w:rPr>
                <w:rFonts w:eastAsia="Arial Unicode MS"/>
                <w:b/>
                <w:lang w:eastAsia="cs-CZ"/>
              </w:rPr>
            </w:pPr>
          </w:p>
        </w:tc>
        <w:tc>
          <w:tcPr>
            <w:tcW w:w="3673" w:type="pct"/>
          </w:tcPr>
          <w:p w:rsidR="00FB1999" w:rsidRPr="001870CD" w:rsidRDefault="00FB1999" w:rsidP="00EF7BE6">
            <w:pPr>
              <w:pStyle w:val="Odstavecseseznamem"/>
              <w:numPr>
                <w:ilvl w:val="0"/>
                <w:numId w:val="180"/>
              </w:numPr>
              <w:spacing w:before="0" w:line="240" w:lineRule="auto"/>
            </w:pPr>
            <w:r w:rsidRPr="001870CD">
              <w:t>Projednání předloženého záměru poskytovatele sociálních služeb v</w:t>
            </w:r>
            <w:r w:rsidR="000B266F">
              <w:t> </w:t>
            </w:r>
            <w:r w:rsidRPr="001870CD">
              <w:t>souladu se schválenými postupy pro aktualizaci sítě sociálních služeb OK</w:t>
            </w:r>
          </w:p>
          <w:p w:rsidR="00FB1999" w:rsidRPr="001870CD" w:rsidRDefault="00FB1999" w:rsidP="00EF7BE6">
            <w:pPr>
              <w:pStyle w:val="Odstavecseseznamem"/>
              <w:numPr>
                <w:ilvl w:val="0"/>
                <w:numId w:val="180"/>
              </w:numPr>
              <w:spacing w:before="0" w:line="240" w:lineRule="auto"/>
            </w:pPr>
            <w:r w:rsidRPr="001870CD">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b/>
              </w:rPr>
            </w:pPr>
            <w:r w:rsidRPr="00EF7BE6">
              <w:rPr>
                <w:b/>
              </w:rPr>
              <w:lastRenderedPageBreak/>
              <w:t>Rizika a ohrožení naplnění opatření</w:t>
            </w:r>
          </w:p>
        </w:tc>
        <w:tc>
          <w:tcPr>
            <w:tcW w:w="3673" w:type="pct"/>
          </w:tcPr>
          <w:p w:rsidR="00FB1999" w:rsidRPr="001870CD" w:rsidRDefault="00FB1999" w:rsidP="00EF7BE6">
            <w:pPr>
              <w:pStyle w:val="Odstavecseseznamem"/>
              <w:numPr>
                <w:ilvl w:val="0"/>
                <w:numId w:val="181"/>
              </w:numPr>
              <w:spacing w:before="0" w:line="240" w:lineRule="auto"/>
            </w:pPr>
            <w:r w:rsidRPr="001870CD">
              <w:t>Neprojevení zájmu poskytovatelů sociální služeb o plnění cíle a</w:t>
            </w:r>
            <w:r w:rsidR="000B266F">
              <w:t> </w:t>
            </w:r>
            <w:r w:rsidRPr="001870CD">
              <w:t>opatření</w:t>
            </w:r>
          </w:p>
          <w:p w:rsidR="00FB1999" w:rsidRPr="001870CD" w:rsidRDefault="00FB1999" w:rsidP="00EF7BE6">
            <w:pPr>
              <w:pStyle w:val="Odstavecseseznamem"/>
              <w:numPr>
                <w:ilvl w:val="0"/>
                <w:numId w:val="181"/>
              </w:numPr>
              <w:spacing w:before="0" w:line="240" w:lineRule="auto"/>
            </w:pPr>
            <w:r w:rsidRPr="001870CD">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81"/>
              </w:numPr>
              <w:spacing w:before="0" w:line="240" w:lineRule="auto"/>
            </w:pPr>
            <w:r w:rsidRPr="001870CD">
              <w:t>Nesplnění podmínek registrace poskytovaných sociálních služeb</w:t>
            </w:r>
          </w:p>
          <w:p w:rsidR="00FB1999" w:rsidRPr="001870CD" w:rsidRDefault="00FB1999" w:rsidP="00EF7BE6">
            <w:pPr>
              <w:pStyle w:val="Odstavecseseznamem"/>
              <w:numPr>
                <w:ilvl w:val="0"/>
                <w:numId w:val="181"/>
              </w:numPr>
              <w:spacing w:before="0" w:line="240" w:lineRule="auto"/>
            </w:pPr>
            <w:r w:rsidRPr="001870CD">
              <w:t>Nedostatek lidských zdrojů</w:t>
            </w:r>
          </w:p>
          <w:p w:rsidR="00FB1999" w:rsidRPr="001870CD" w:rsidRDefault="00FB1999" w:rsidP="00EF7BE6">
            <w:pPr>
              <w:pStyle w:val="Odstavecseseznamem"/>
              <w:numPr>
                <w:ilvl w:val="0"/>
                <w:numId w:val="181"/>
              </w:numPr>
              <w:spacing w:before="0" w:line="240" w:lineRule="auto"/>
            </w:pPr>
            <w:r w:rsidRPr="001870CD">
              <w:t>Nedostatek finančních prostředků z veřejných zdrojů</w:t>
            </w:r>
          </w:p>
          <w:p w:rsidR="00FB1999" w:rsidRPr="001870CD" w:rsidRDefault="00FB1999" w:rsidP="00EF7BE6">
            <w:pPr>
              <w:pStyle w:val="Odstavecseseznamem"/>
              <w:numPr>
                <w:ilvl w:val="0"/>
                <w:numId w:val="181"/>
              </w:numPr>
              <w:spacing w:before="0" w:line="240" w:lineRule="auto"/>
            </w:pPr>
            <w:r w:rsidRPr="001870CD">
              <w:t>Legislativní změny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 xml:space="preserve">Předpokládaní realizátoři </w:t>
            </w:r>
            <w:r w:rsidRPr="00EF7BE6">
              <w:rPr>
                <w:rFonts w:eastAsia="Arial Unicode MS"/>
                <w:b/>
                <w:lang w:eastAsia="cs-CZ"/>
              </w:rPr>
              <w:br/>
              <w:t>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bl>
    <w:p w:rsidR="00FB1999" w:rsidRPr="00585A27" w:rsidRDefault="00FB1999" w:rsidP="00EF7BE6">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57"/>
      </w:tblGrid>
      <w:tr w:rsidR="00FB1999" w:rsidRPr="001870CD" w:rsidTr="00EF7BE6">
        <w:trPr>
          <w:trHeight w:val="397"/>
          <w:jc w:val="center"/>
        </w:trPr>
        <w:tc>
          <w:tcPr>
            <w:tcW w:w="1327" w:type="pct"/>
            <w:shd w:val="clear" w:color="auto" w:fill="FABF8F"/>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Cíl 3.6</w:t>
            </w:r>
          </w:p>
        </w:tc>
        <w:tc>
          <w:tcPr>
            <w:tcW w:w="3673" w:type="pct"/>
            <w:shd w:val="clear" w:color="auto" w:fill="FABF8F"/>
          </w:tcPr>
          <w:p w:rsidR="00FB1999" w:rsidRPr="00EF7BE6" w:rsidRDefault="00FB1999" w:rsidP="00EF7BE6">
            <w:pPr>
              <w:keepNext/>
              <w:spacing w:before="0"/>
              <w:rPr>
                <w:rFonts w:eastAsia="Arial Unicode MS"/>
                <w:b/>
                <w:lang w:eastAsia="cs-CZ"/>
              </w:rPr>
            </w:pPr>
            <w:proofErr w:type="spellStart"/>
            <w:r w:rsidRPr="00EF7BE6">
              <w:rPr>
                <w:rFonts w:eastAsia="Arial Unicode MS"/>
                <w:b/>
                <w:lang w:eastAsia="cs-CZ"/>
              </w:rPr>
              <w:t>Reprofilizace</w:t>
            </w:r>
            <w:proofErr w:type="spellEnd"/>
            <w:r w:rsidRPr="00EF7BE6">
              <w:rPr>
                <w:rFonts w:eastAsia="Arial Unicode MS"/>
                <w:b/>
                <w:lang w:eastAsia="cs-CZ"/>
              </w:rPr>
              <w:t xml:space="preserve"> stávajících lůžek zařazených v síti sociálních služeb u</w:t>
            </w:r>
            <w:r w:rsidR="000B266F">
              <w:rPr>
                <w:rFonts w:eastAsia="Arial Unicode MS"/>
                <w:b/>
                <w:lang w:eastAsia="cs-CZ"/>
              </w:rPr>
              <w:t> </w:t>
            </w:r>
            <w:r w:rsidRPr="00EF7BE6">
              <w:rPr>
                <w:rFonts w:eastAsia="Arial Unicode MS"/>
                <w:b/>
                <w:lang w:eastAsia="cs-CZ"/>
              </w:rPr>
              <w:t>pobytových forem služeb sociální péče do stávajících či jiných druhů služeb registrovaných u jednoho poskytovatele</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r w:rsidRPr="00EF7BE6">
              <w:rPr>
                <w:rFonts w:eastAsia="Arial Unicode MS"/>
                <w:b/>
                <w:lang w:eastAsia="cs-CZ"/>
              </w:rPr>
              <w:t>3.6.1</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proofErr w:type="spellStart"/>
            <w:r w:rsidRPr="00EF7BE6">
              <w:rPr>
                <w:rFonts w:eastAsia="Arial Unicode MS"/>
                <w:b/>
                <w:lang w:eastAsia="cs-CZ"/>
              </w:rPr>
              <w:t>Reprofilizace</w:t>
            </w:r>
            <w:proofErr w:type="spellEnd"/>
            <w:r w:rsidRPr="00EF7BE6">
              <w:rPr>
                <w:rFonts w:eastAsia="Arial Unicode MS"/>
                <w:b/>
                <w:lang w:eastAsia="cs-CZ"/>
              </w:rPr>
              <w:t xml:space="preserve"> stávající služby domovy pro seniory na službu domovy se zvláštním režimem</w:t>
            </w:r>
            <w:r w:rsidR="00CC2C0F">
              <w:rPr>
                <w:rFonts w:eastAsia="Arial Unicode MS"/>
                <w:b/>
                <w:lang w:eastAsia="cs-CZ"/>
              </w:rPr>
              <w:t xml:space="preserve"> a dále služby chráněné bydlení na domovy pro seniory nebo domovy se zvláštním režimem</w:t>
            </w:r>
            <w:r w:rsidRPr="00EF7BE6">
              <w:rPr>
                <w:rFonts w:eastAsia="Arial Unicode MS"/>
                <w:b/>
                <w:lang w:eastAsia="cs-CZ"/>
              </w:rPr>
              <w:t xml:space="preserve"> pro osoby, které mají sníženou soběstačnost z důvodu chronického duševního onemocnění (stařeckou demencí, Alzheimerovou demencí nebo ostatními typy demencí), jejichž situace vyžaduje pravidelnou pomoc jiné fyzické osoby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Přesun části lůžek zařazených v síti sociálních služeb u jednoho poskytovatele do jiného druhu služby tak, aby vyhovoval aktuálním potřebám a pokryl by jimi požadovanou míru podpory a pomoci v rozsahu základních činností daných registrací služeb. Opatření odpovídá potřebám cílové skupiny senioři, v souvislosti s řešenými situacemi ve stávajících službách sociální péče na území.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Senioři </w:t>
            </w:r>
          </w:p>
          <w:p w:rsidR="00FB1999" w:rsidRPr="001870CD" w:rsidRDefault="00FB1999" w:rsidP="00EF7BE6">
            <w:pPr>
              <w:spacing w:before="0"/>
              <w:rPr>
                <w:rFonts w:eastAsia="Arial Unicode MS"/>
                <w:lang w:eastAsia="cs-CZ"/>
              </w:rPr>
            </w:pPr>
            <w:r w:rsidRPr="001870CD">
              <w:rPr>
                <w:rFonts w:eastAsia="Arial Unicode MS"/>
                <w:lang w:eastAsia="cs-CZ"/>
              </w:rPr>
              <w:t>Osoby s chronickým duševním onemocněním</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Domov se zvláštním režimem (§ 50)</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Pobytová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Vymezení územního dopadu opatření</w:t>
            </w:r>
          </w:p>
        </w:tc>
        <w:tc>
          <w:tcPr>
            <w:tcW w:w="3673" w:type="pct"/>
            <w:shd w:val="clear" w:color="auto" w:fill="auto"/>
          </w:tcPr>
          <w:p w:rsidR="00FB1999" w:rsidRPr="001870CD" w:rsidRDefault="00FB1999" w:rsidP="00EF7BE6">
            <w:pPr>
              <w:spacing w:before="0"/>
              <w:rPr>
                <w:rFonts w:eastAsia="Arial Unicode MS"/>
                <w:lang w:eastAsia="cs-CZ"/>
              </w:rPr>
            </w:pPr>
            <w:r w:rsidRPr="001870CD">
              <w:rPr>
                <w:rFonts w:eastAsia="Arial Unicode MS"/>
                <w:lang w:eastAsia="cs-CZ"/>
              </w:rPr>
              <w:t>OK</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Senioři a osoby s chronicky duševním onemocněním mají zajištěny odpovídající podmínky pro uspokojení svých specifických potřeb v rámci přesunu části lůžek stávající služby do jiného druhu služby u jednoho poskytovatele.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Aktivity vedoucí k naplnění opatření</w:t>
            </w:r>
          </w:p>
          <w:p w:rsidR="00FB1999" w:rsidRPr="00EF7BE6" w:rsidRDefault="00FB1999" w:rsidP="00EF7BE6">
            <w:pPr>
              <w:spacing w:before="0"/>
              <w:jc w:val="left"/>
              <w:rPr>
                <w:rFonts w:eastAsia="Arial Unicode MS"/>
                <w:b/>
                <w:lang w:eastAsia="cs-CZ"/>
              </w:rPr>
            </w:pPr>
          </w:p>
        </w:tc>
        <w:tc>
          <w:tcPr>
            <w:tcW w:w="3673" w:type="pct"/>
          </w:tcPr>
          <w:p w:rsidR="00FB1999" w:rsidRPr="001870CD" w:rsidRDefault="00FB1999" w:rsidP="00EF7BE6">
            <w:pPr>
              <w:pStyle w:val="Odstavecseseznamem"/>
              <w:numPr>
                <w:ilvl w:val="0"/>
                <w:numId w:val="182"/>
              </w:numPr>
              <w:spacing w:before="0" w:line="240" w:lineRule="auto"/>
            </w:pPr>
            <w:r w:rsidRPr="001870CD">
              <w:t>Projednání předloženého záměru poskytovatele sociálních služeb v</w:t>
            </w:r>
            <w:r w:rsidR="000B266F">
              <w:t> </w:t>
            </w:r>
            <w:r w:rsidRPr="001870CD">
              <w:t>souladu se schválenými postupy pro aktualizaci sítě sociálních služeb OK</w:t>
            </w:r>
          </w:p>
          <w:p w:rsidR="00FB1999" w:rsidRPr="001870CD" w:rsidRDefault="00FB1999" w:rsidP="00EF7BE6">
            <w:pPr>
              <w:pStyle w:val="Odstavecseseznamem"/>
              <w:numPr>
                <w:ilvl w:val="0"/>
                <w:numId w:val="182"/>
              </w:numPr>
              <w:spacing w:before="0" w:line="240" w:lineRule="auto"/>
            </w:pPr>
            <w:r w:rsidRPr="001870CD">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b/>
              </w:rPr>
            </w:pPr>
            <w:r w:rsidRPr="00EF7BE6">
              <w:rPr>
                <w:b/>
              </w:rPr>
              <w:lastRenderedPageBreak/>
              <w:t>Rizika a ohrožení naplnění opatření</w:t>
            </w:r>
          </w:p>
        </w:tc>
        <w:tc>
          <w:tcPr>
            <w:tcW w:w="3673" w:type="pct"/>
          </w:tcPr>
          <w:p w:rsidR="00FB1999" w:rsidRPr="00A34764" w:rsidRDefault="00FB1999" w:rsidP="00EF7BE6">
            <w:pPr>
              <w:pStyle w:val="Odstavecseseznamem"/>
              <w:numPr>
                <w:ilvl w:val="0"/>
                <w:numId w:val="183"/>
              </w:numPr>
              <w:spacing w:before="0" w:line="240" w:lineRule="auto"/>
            </w:pPr>
            <w:r w:rsidRPr="00A34764">
              <w:t>Neprojevení zájmu poskytovatelů stávajících služeb o plnění cíle a</w:t>
            </w:r>
            <w:r w:rsidR="000B266F">
              <w:t> </w:t>
            </w:r>
            <w:r w:rsidRPr="00A34764">
              <w:t>opatření</w:t>
            </w:r>
          </w:p>
          <w:p w:rsidR="00FB1999" w:rsidRPr="00A34764" w:rsidRDefault="00FB1999" w:rsidP="00EF7BE6">
            <w:pPr>
              <w:pStyle w:val="Odstavecseseznamem"/>
              <w:numPr>
                <w:ilvl w:val="0"/>
                <w:numId w:val="183"/>
              </w:numPr>
              <w:spacing w:before="0" w:line="240" w:lineRule="auto"/>
            </w:pPr>
            <w:r w:rsidRPr="00A34764">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83"/>
              </w:numPr>
              <w:spacing w:before="0" w:line="240" w:lineRule="auto"/>
            </w:pPr>
            <w:r w:rsidRPr="001870CD">
              <w:t>Nesplnění podmínek registrace poskytovaných sociálních služeb</w:t>
            </w:r>
          </w:p>
          <w:p w:rsidR="00FB1999" w:rsidRPr="00A34764" w:rsidRDefault="00FB1999" w:rsidP="00EF7BE6">
            <w:pPr>
              <w:pStyle w:val="Odstavecseseznamem"/>
              <w:numPr>
                <w:ilvl w:val="0"/>
                <w:numId w:val="183"/>
              </w:numPr>
              <w:spacing w:before="0" w:line="240" w:lineRule="auto"/>
            </w:pPr>
            <w:r w:rsidRPr="00A34764">
              <w:t>Nedostatek lidských zdrojů</w:t>
            </w:r>
          </w:p>
          <w:p w:rsidR="00FB1999" w:rsidRPr="00A34764" w:rsidRDefault="00FB1999" w:rsidP="00EF7BE6">
            <w:pPr>
              <w:pStyle w:val="Odstavecseseznamem"/>
              <w:numPr>
                <w:ilvl w:val="0"/>
                <w:numId w:val="183"/>
              </w:numPr>
              <w:spacing w:before="0" w:line="240" w:lineRule="auto"/>
            </w:pPr>
            <w:r w:rsidRPr="00A34764">
              <w:t>Nedostatek finančních prostředků z veřejných zdrojů</w:t>
            </w:r>
          </w:p>
          <w:p w:rsidR="00FB1999" w:rsidRPr="00A34764" w:rsidRDefault="00FB1999" w:rsidP="00EF7BE6">
            <w:pPr>
              <w:pStyle w:val="Odstavecseseznamem"/>
              <w:numPr>
                <w:ilvl w:val="0"/>
                <w:numId w:val="183"/>
              </w:numPr>
              <w:spacing w:before="0" w:line="240" w:lineRule="auto"/>
            </w:pPr>
            <w:r w:rsidRPr="00A34764">
              <w:t>Legislativní změny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 xml:space="preserve">Předpokládaní realizátoři </w:t>
            </w:r>
            <w:r w:rsidRPr="00EF7BE6">
              <w:rPr>
                <w:rFonts w:eastAsia="Arial Unicode MS"/>
                <w:b/>
                <w:lang w:eastAsia="cs-CZ"/>
              </w:rPr>
              <w:br/>
              <w:t>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806448">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806448">
            <w:pPr>
              <w:keepNext/>
              <w:spacing w:before="0"/>
              <w:rPr>
                <w:rFonts w:eastAsia="Arial Unicode MS"/>
                <w:b/>
                <w:lang w:eastAsia="cs-CZ"/>
              </w:rPr>
            </w:pPr>
            <w:r w:rsidRPr="00EF7BE6">
              <w:rPr>
                <w:rFonts w:eastAsia="Arial Unicode MS"/>
                <w:b/>
                <w:lang w:eastAsia="cs-CZ"/>
              </w:rPr>
              <w:t>3.6.2</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806448">
            <w:pPr>
              <w:keepNext/>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FB1999" w:rsidP="00806448">
            <w:pPr>
              <w:keepNext/>
              <w:spacing w:before="0"/>
              <w:rPr>
                <w:rFonts w:eastAsia="Arial Unicode MS"/>
                <w:b/>
                <w:lang w:eastAsia="cs-CZ"/>
              </w:rPr>
            </w:pPr>
            <w:r w:rsidRPr="00EF7BE6">
              <w:rPr>
                <w:rFonts w:eastAsia="Arial Unicode MS"/>
                <w:b/>
                <w:lang w:eastAsia="cs-CZ"/>
              </w:rPr>
              <w:t>Zajištění pobytové služby pro specifické skupiny osob s chronickým onemocněním (</w:t>
            </w:r>
            <w:proofErr w:type="spellStart"/>
            <w:r w:rsidRPr="00EF7BE6">
              <w:rPr>
                <w:rFonts w:eastAsia="Arial Unicode MS"/>
                <w:b/>
                <w:lang w:eastAsia="cs-CZ"/>
              </w:rPr>
              <w:t>neurodegenerativní</w:t>
            </w:r>
            <w:proofErr w:type="spellEnd"/>
            <w:r w:rsidRPr="00EF7BE6">
              <w:rPr>
                <w:rFonts w:eastAsia="Arial Unicode MS"/>
                <w:b/>
                <w:lang w:eastAsia="cs-CZ"/>
              </w:rPr>
              <w:t xml:space="preserve"> onemocnění – např. Parkinsonova nemoc, </w:t>
            </w:r>
            <w:proofErr w:type="spellStart"/>
            <w:r w:rsidRPr="00EF7BE6">
              <w:rPr>
                <w:rFonts w:eastAsia="Arial Unicode MS"/>
                <w:b/>
                <w:lang w:eastAsia="cs-CZ"/>
              </w:rPr>
              <w:t>Huntingtonova</w:t>
            </w:r>
            <w:proofErr w:type="spellEnd"/>
            <w:r w:rsidRPr="00EF7BE6">
              <w:rPr>
                <w:rFonts w:eastAsia="Arial Unicode MS"/>
                <w:b/>
                <w:lang w:eastAsia="cs-CZ"/>
              </w:rPr>
              <w:t xml:space="preserve"> nemoc</w:t>
            </w:r>
            <w:r w:rsidR="00D65C87" w:rsidRPr="00EF7BE6">
              <w:rPr>
                <w:rFonts w:eastAsia="Arial Unicode MS"/>
                <w:b/>
                <w:lang w:eastAsia="cs-CZ"/>
              </w:rPr>
              <w:t>,</w:t>
            </w:r>
            <w:r w:rsidR="00326174" w:rsidRPr="00EF7BE6">
              <w:rPr>
                <w:rFonts w:eastAsia="Arial Unicode MS"/>
                <w:b/>
                <w:lang w:eastAsia="cs-CZ"/>
              </w:rPr>
              <w:t xml:space="preserve"> roztroušená skleróza</w:t>
            </w:r>
            <w:r w:rsidR="005A64EB" w:rsidRPr="00EF7BE6">
              <w:rPr>
                <w:rFonts w:eastAsia="Arial Unicode MS"/>
                <w:b/>
                <w:lang w:eastAsia="cs-CZ"/>
              </w:rPr>
              <w:t>) s navýšením o 22</w:t>
            </w:r>
            <w:r w:rsidRPr="00EF7BE6">
              <w:rPr>
                <w:rFonts w:eastAsia="Arial Unicode MS"/>
                <w:b/>
                <w:lang w:eastAsia="cs-CZ"/>
              </w:rPr>
              <w:t xml:space="preserve"> lůžek v ORP Litovel</w:t>
            </w:r>
            <w:r w:rsidR="005A64EB" w:rsidRPr="00EF7BE6">
              <w:rPr>
                <w:rFonts w:eastAsia="Arial Unicode MS"/>
                <w:b/>
                <w:lang w:eastAsia="cs-CZ"/>
              </w:rPr>
              <w:t xml:space="preserve"> a ORP Prostějov</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směřuje k zajištění lůžkových kapacit pro osoby s chronickým onemocněním</w:t>
            </w:r>
            <w:r w:rsidR="00AE2497">
              <w:rPr>
                <w:rFonts w:eastAsia="Arial Unicode MS"/>
                <w:lang w:eastAsia="cs-CZ"/>
              </w:rPr>
              <w:t>:</w:t>
            </w:r>
            <w:r w:rsidRPr="001870CD">
              <w:rPr>
                <w:rFonts w:eastAsia="Arial Unicode MS"/>
                <w:lang w:eastAsia="cs-CZ"/>
              </w:rPr>
              <w:t xml:space="preserve"> </w:t>
            </w:r>
            <w:proofErr w:type="spellStart"/>
            <w:r w:rsidRPr="001870CD">
              <w:rPr>
                <w:rFonts w:eastAsia="Arial Unicode MS"/>
                <w:lang w:eastAsia="cs-CZ"/>
              </w:rPr>
              <w:t>neurodegenerativní</w:t>
            </w:r>
            <w:proofErr w:type="spellEnd"/>
            <w:r w:rsidRPr="001870CD">
              <w:rPr>
                <w:rFonts w:eastAsia="Arial Unicode MS"/>
                <w:lang w:eastAsia="cs-CZ"/>
              </w:rPr>
              <w:t xml:space="preserve"> onemocnění</w:t>
            </w:r>
            <w:r w:rsidR="00AE2497">
              <w:rPr>
                <w:rFonts w:eastAsia="Arial Unicode MS"/>
                <w:lang w:eastAsia="cs-CZ"/>
              </w:rPr>
              <w:t xml:space="preserve"> –</w:t>
            </w:r>
            <w:r w:rsidRPr="001870CD">
              <w:rPr>
                <w:rFonts w:eastAsia="Arial Unicode MS"/>
                <w:lang w:eastAsia="cs-CZ"/>
              </w:rPr>
              <w:t xml:space="preserve"> např. Parkinsonova nemoc, </w:t>
            </w:r>
            <w:proofErr w:type="spellStart"/>
            <w:r w:rsidRPr="001870CD">
              <w:rPr>
                <w:rFonts w:eastAsia="Arial Unicode MS"/>
                <w:lang w:eastAsia="cs-CZ"/>
              </w:rPr>
              <w:t>Huntingtonova</w:t>
            </w:r>
            <w:proofErr w:type="spellEnd"/>
            <w:r w:rsidRPr="001870CD">
              <w:rPr>
                <w:rFonts w:eastAsia="Arial Unicode MS"/>
                <w:lang w:eastAsia="cs-CZ"/>
              </w:rPr>
              <w:t xml:space="preserve"> nemoc</w:t>
            </w:r>
            <w:r w:rsidR="00326174">
              <w:rPr>
                <w:rFonts w:eastAsia="Arial Unicode MS"/>
                <w:lang w:eastAsia="cs-CZ"/>
              </w:rPr>
              <w:t xml:space="preserve">, </w:t>
            </w:r>
            <w:r w:rsidR="00326174" w:rsidRPr="00326174">
              <w:rPr>
                <w:rFonts w:eastAsia="Arial Unicode MS"/>
                <w:lang w:eastAsia="cs-CZ"/>
              </w:rPr>
              <w:t>roztroušená skleróza</w:t>
            </w:r>
            <w:r w:rsidR="00AE2497">
              <w:rPr>
                <w:rFonts w:eastAsia="Arial Unicode MS"/>
                <w:lang w:eastAsia="cs-CZ"/>
              </w:rPr>
              <w:t>;</w:t>
            </w:r>
            <w:r w:rsidRPr="001870CD">
              <w:rPr>
                <w:rFonts w:eastAsia="Arial Unicode MS"/>
                <w:lang w:eastAsia="cs-CZ"/>
              </w:rPr>
              <w:t xml:space="preserve"> v ORP, kde jsou nedostatečně pokryty potřeby pro seniory vyžadující specifickou nepřetržitou pomoc jiné fyzické osoby.</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tcBorders>
              <w:bottom w:val="single" w:sz="4" w:space="0" w:color="auto"/>
            </w:tcBorders>
          </w:tcPr>
          <w:p w:rsidR="00FB1999" w:rsidRPr="001870CD" w:rsidRDefault="00FB1999" w:rsidP="00EF7BE6">
            <w:pPr>
              <w:spacing w:before="0"/>
              <w:rPr>
                <w:rFonts w:eastAsia="Arial Unicode MS"/>
                <w:lang w:eastAsia="cs-CZ"/>
              </w:rPr>
            </w:pPr>
            <w:r w:rsidRPr="001870CD">
              <w:rPr>
                <w:rFonts w:eastAsia="Arial Unicode MS"/>
                <w:lang w:eastAsia="cs-CZ"/>
              </w:rPr>
              <w:t xml:space="preserve">Osoby s chronickým onemocněním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shd w:val="clear" w:color="auto" w:fill="FFFFFF" w:themeFill="background1"/>
          </w:tcPr>
          <w:p w:rsidR="00FB1999" w:rsidRPr="001870CD" w:rsidRDefault="00FB1999" w:rsidP="00EF7BE6">
            <w:pPr>
              <w:spacing w:before="0"/>
              <w:rPr>
                <w:rFonts w:eastAsia="Arial Unicode MS"/>
                <w:lang w:eastAsia="cs-CZ"/>
              </w:rPr>
            </w:pPr>
            <w:r w:rsidRPr="001870CD">
              <w:rPr>
                <w:rFonts w:eastAsia="Arial Unicode MS"/>
                <w:lang w:eastAsia="cs-CZ"/>
              </w:rPr>
              <w:t>Domovy pro seniory (§ 49)</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Pobytová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Vymezení územního dopadu opatření</w:t>
            </w:r>
          </w:p>
        </w:tc>
        <w:tc>
          <w:tcPr>
            <w:tcW w:w="3673" w:type="pct"/>
          </w:tcPr>
          <w:p w:rsidR="00FB1999" w:rsidRDefault="00FB1999" w:rsidP="00EF7BE6">
            <w:pPr>
              <w:spacing w:before="0"/>
              <w:rPr>
                <w:rFonts w:eastAsia="Arial Unicode MS"/>
                <w:lang w:eastAsia="cs-CZ"/>
              </w:rPr>
            </w:pPr>
            <w:r w:rsidRPr="001870CD">
              <w:rPr>
                <w:rFonts w:eastAsia="Arial Unicode MS"/>
                <w:lang w:eastAsia="cs-CZ"/>
              </w:rPr>
              <w:t xml:space="preserve">ORP Litovel </w:t>
            </w:r>
          </w:p>
          <w:p w:rsidR="00FB1999" w:rsidRPr="001870CD" w:rsidRDefault="005A64EB" w:rsidP="00EF7BE6">
            <w:pPr>
              <w:spacing w:before="0"/>
              <w:rPr>
                <w:rFonts w:eastAsia="Arial Unicode MS"/>
                <w:lang w:eastAsia="cs-CZ"/>
              </w:rPr>
            </w:pPr>
            <w:r>
              <w:rPr>
                <w:rFonts w:eastAsia="Arial Unicode MS"/>
                <w:lang w:eastAsia="cs-CZ"/>
              </w:rPr>
              <w:t>ORP Prostějov</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 xml:space="preserve">Osoby se sníženou soběstačností z důvodu chronického onemocnění, </w:t>
            </w:r>
            <w:proofErr w:type="spellStart"/>
            <w:r w:rsidRPr="001870CD">
              <w:rPr>
                <w:rFonts w:eastAsia="Arial Unicode MS"/>
                <w:lang w:eastAsia="cs-CZ"/>
              </w:rPr>
              <w:t>neurodegenerativního</w:t>
            </w:r>
            <w:proofErr w:type="spellEnd"/>
            <w:r w:rsidRPr="001870CD">
              <w:rPr>
                <w:rFonts w:eastAsia="Arial Unicode MS"/>
                <w:lang w:eastAsia="cs-CZ"/>
              </w:rPr>
              <w:t xml:space="preserve"> onemocnění</w:t>
            </w:r>
            <w:r w:rsidR="00AE2497">
              <w:rPr>
                <w:rFonts w:eastAsia="Arial Unicode MS"/>
                <w:lang w:eastAsia="cs-CZ"/>
              </w:rPr>
              <w:t xml:space="preserve"> –</w:t>
            </w:r>
            <w:r w:rsidRPr="001870CD">
              <w:rPr>
                <w:rFonts w:eastAsia="Arial Unicode MS"/>
                <w:lang w:eastAsia="cs-CZ"/>
              </w:rPr>
              <w:t xml:space="preserve"> např. Parkinsonova nemoc, </w:t>
            </w:r>
            <w:proofErr w:type="spellStart"/>
            <w:r w:rsidRPr="001870CD">
              <w:rPr>
                <w:rFonts w:eastAsia="Arial Unicode MS"/>
                <w:lang w:eastAsia="cs-CZ"/>
              </w:rPr>
              <w:t>Huntingtonova</w:t>
            </w:r>
            <w:proofErr w:type="spellEnd"/>
            <w:r w:rsidRPr="001870CD">
              <w:rPr>
                <w:rFonts w:eastAsia="Arial Unicode MS"/>
                <w:lang w:eastAsia="cs-CZ"/>
              </w:rPr>
              <w:t xml:space="preserve"> nemoc,</w:t>
            </w:r>
            <w:r w:rsidR="00CC2C0F">
              <w:rPr>
                <w:rFonts w:eastAsia="Arial Unicode MS"/>
                <w:lang w:eastAsia="cs-CZ"/>
              </w:rPr>
              <w:t xml:space="preserve"> roztroušená skleróza,</w:t>
            </w:r>
            <w:r w:rsidRPr="001870CD">
              <w:rPr>
                <w:rFonts w:eastAsia="Arial Unicode MS"/>
                <w:lang w:eastAsia="cs-CZ"/>
              </w:rPr>
              <w:t xml:space="preserve"> žijící na území OK</w:t>
            </w:r>
            <w:r w:rsidR="00AE2497">
              <w:rPr>
                <w:rFonts w:eastAsia="Arial Unicode MS"/>
                <w:lang w:eastAsia="cs-CZ"/>
              </w:rPr>
              <w:t>,</w:t>
            </w:r>
            <w:r w:rsidRPr="001870CD">
              <w:rPr>
                <w:rFonts w:eastAsia="Arial Unicode MS"/>
                <w:lang w:eastAsia="cs-CZ"/>
              </w:rPr>
              <w:t xml:space="preserve"> mají zajištěnu odpovídající podporu a pomoc v rozsahu základních činností daných registrací služby, která vyhovuje jejich individuálně určeným potřebám.</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Aktivity vedoucí k naplnění opatření</w:t>
            </w:r>
          </w:p>
          <w:p w:rsidR="00FB1999" w:rsidRPr="00EF7BE6" w:rsidRDefault="00FB1999" w:rsidP="00EF7BE6">
            <w:pPr>
              <w:spacing w:before="0"/>
              <w:jc w:val="left"/>
              <w:rPr>
                <w:rFonts w:eastAsia="Arial Unicode MS"/>
                <w:b/>
                <w:lang w:eastAsia="cs-CZ"/>
              </w:rPr>
            </w:pPr>
          </w:p>
        </w:tc>
        <w:tc>
          <w:tcPr>
            <w:tcW w:w="3673" w:type="pct"/>
          </w:tcPr>
          <w:p w:rsidR="00FB1999" w:rsidRPr="001870CD" w:rsidRDefault="00FB1999" w:rsidP="00EF7BE6">
            <w:pPr>
              <w:pStyle w:val="Odstavecseseznamem"/>
              <w:numPr>
                <w:ilvl w:val="0"/>
                <w:numId w:val="184"/>
              </w:numPr>
              <w:spacing w:before="0" w:line="240" w:lineRule="auto"/>
            </w:pPr>
            <w:r w:rsidRPr="001870CD">
              <w:t>Projednání předloženého záměru poskytovatele sociálních služeb v</w:t>
            </w:r>
            <w:r w:rsidR="000B266F">
              <w:t> </w:t>
            </w:r>
            <w:r w:rsidRPr="001870CD">
              <w:t>souladu se schválenými postupy pro aktualizaci sítě sociálních služeb OK</w:t>
            </w:r>
          </w:p>
          <w:p w:rsidR="00FB1999" w:rsidRPr="001870CD" w:rsidRDefault="00FB1999" w:rsidP="00EF7BE6">
            <w:pPr>
              <w:pStyle w:val="Odstavecseseznamem"/>
              <w:numPr>
                <w:ilvl w:val="0"/>
                <w:numId w:val="184"/>
              </w:numPr>
              <w:spacing w:before="0" w:line="240" w:lineRule="auto"/>
            </w:pPr>
            <w:r w:rsidRPr="001870CD">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b/>
              </w:rPr>
            </w:pPr>
            <w:r w:rsidRPr="00EF7BE6">
              <w:rPr>
                <w:b/>
              </w:rPr>
              <w:t>Rizika a ohrožení naplnění opatření</w:t>
            </w:r>
          </w:p>
        </w:tc>
        <w:tc>
          <w:tcPr>
            <w:tcW w:w="3673" w:type="pct"/>
          </w:tcPr>
          <w:p w:rsidR="00FB1999" w:rsidRPr="001870CD" w:rsidRDefault="00FB1999" w:rsidP="00EF7BE6">
            <w:pPr>
              <w:pStyle w:val="Odstavecseseznamem"/>
              <w:numPr>
                <w:ilvl w:val="0"/>
                <w:numId w:val="185"/>
              </w:numPr>
              <w:spacing w:before="0" w:line="240" w:lineRule="auto"/>
            </w:pPr>
            <w:r w:rsidRPr="001870CD">
              <w:t>Neprojevení zájmu poskytovatelů stávajících služeb o plnění cíle a</w:t>
            </w:r>
            <w:r w:rsidR="000B266F">
              <w:t> </w:t>
            </w:r>
            <w:r w:rsidRPr="001870CD">
              <w:t>opatření</w:t>
            </w:r>
          </w:p>
          <w:p w:rsidR="00FB1999" w:rsidRPr="001870CD" w:rsidRDefault="00FB1999" w:rsidP="00EF7BE6">
            <w:pPr>
              <w:pStyle w:val="Odstavecseseznamem"/>
              <w:numPr>
                <w:ilvl w:val="0"/>
                <w:numId w:val="185"/>
              </w:numPr>
              <w:spacing w:before="0" w:line="240" w:lineRule="auto"/>
            </w:pPr>
            <w:r w:rsidRPr="001870CD">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85"/>
              </w:numPr>
              <w:spacing w:before="0" w:line="240" w:lineRule="auto"/>
            </w:pPr>
            <w:r w:rsidRPr="001870CD">
              <w:t>Nesplnění podmínek registrace poskytovaných sociálních služeb</w:t>
            </w:r>
          </w:p>
          <w:p w:rsidR="00FB1999" w:rsidRPr="001870CD" w:rsidRDefault="00FB1999" w:rsidP="00EF7BE6">
            <w:pPr>
              <w:pStyle w:val="Odstavecseseznamem"/>
              <w:numPr>
                <w:ilvl w:val="0"/>
                <w:numId w:val="185"/>
              </w:numPr>
              <w:spacing w:before="0" w:line="240" w:lineRule="auto"/>
            </w:pPr>
            <w:r w:rsidRPr="001870CD">
              <w:t>Nedostatek lidských zdrojů</w:t>
            </w:r>
          </w:p>
          <w:p w:rsidR="00FB1999" w:rsidRPr="001870CD" w:rsidRDefault="00FB1999" w:rsidP="00EF7BE6">
            <w:pPr>
              <w:pStyle w:val="Odstavecseseznamem"/>
              <w:numPr>
                <w:ilvl w:val="0"/>
                <w:numId w:val="185"/>
              </w:numPr>
              <w:spacing w:before="0" w:line="240" w:lineRule="auto"/>
            </w:pPr>
            <w:r w:rsidRPr="001870CD">
              <w:t>Nedostatek finančních prostředků z veřejných zdrojů</w:t>
            </w:r>
          </w:p>
          <w:p w:rsidR="00FB1999" w:rsidRPr="001870CD" w:rsidRDefault="00FB1999" w:rsidP="00EF7BE6">
            <w:pPr>
              <w:pStyle w:val="Odstavecseseznamem"/>
              <w:numPr>
                <w:ilvl w:val="0"/>
                <w:numId w:val="185"/>
              </w:numPr>
              <w:spacing w:before="0" w:line="240" w:lineRule="auto"/>
            </w:pPr>
            <w:r w:rsidRPr="001870CD">
              <w:lastRenderedPageBreak/>
              <w:t>Legislativní změny</w:t>
            </w:r>
          </w:p>
        </w:tc>
      </w:tr>
      <w:tr w:rsidR="00FB1999" w:rsidRPr="001870CD" w:rsidTr="00EF7BE6">
        <w:trPr>
          <w:trHeight w:val="397"/>
          <w:jc w:val="center"/>
        </w:trPr>
        <w:tc>
          <w:tcPr>
            <w:tcW w:w="1327" w:type="pct"/>
            <w:shd w:val="clear" w:color="auto" w:fill="CCECFF"/>
          </w:tcPr>
          <w:p w:rsidR="00FB1999" w:rsidRPr="00CC2C0F" w:rsidRDefault="00FB1999" w:rsidP="00EF7BE6">
            <w:pPr>
              <w:spacing w:before="0"/>
              <w:jc w:val="left"/>
              <w:rPr>
                <w:rFonts w:eastAsia="Arial Unicode MS"/>
                <w:b/>
                <w:sz w:val="18"/>
                <w:szCs w:val="18"/>
                <w:lang w:eastAsia="cs-CZ"/>
              </w:rPr>
            </w:pPr>
            <w:r w:rsidRPr="00CC2C0F">
              <w:rPr>
                <w:rFonts w:eastAsia="Arial Unicode MS"/>
                <w:b/>
                <w:sz w:val="18"/>
                <w:szCs w:val="18"/>
                <w:lang w:eastAsia="cs-CZ"/>
              </w:rPr>
              <w:lastRenderedPageBreak/>
              <w:t xml:space="preserve">Předpokládaní realizátoři </w:t>
            </w:r>
            <w:r w:rsidRPr="00CC2C0F">
              <w:rPr>
                <w:rFonts w:eastAsia="Arial Unicode MS"/>
                <w:b/>
                <w:sz w:val="18"/>
                <w:szCs w:val="18"/>
                <w:lang w:eastAsia="cs-CZ"/>
              </w:rPr>
              <w:br/>
              <w:t>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bl>
    <w:p w:rsidR="006F0BCD" w:rsidRDefault="006F0BCD" w:rsidP="00EF7BE6">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657"/>
      </w:tblGrid>
      <w:tr w:rsidR="00FB1999" w:rsidRPr="001870CD" w:rsidTr="00EF7BE6">
        <w:trPr>
          <w:trHeight w:val="397"/>
          <w:jc w:val="center"/>
        </w:trPr>
        <w:tc>
          <w:tcPr>
            <w:tcW w:w="1327"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Cíl 3.7</w:t>
            </w:r>
          </w:p>
        </w:tc>
        <w:tc>
          <w:tcPr>
            <w:tcW w:w="3673" w:type="pct"/>
            <w:tcBorders>
              <w:top w:val="single" w:sz="4" w:space="0" w:color="auto"/>
              <w:left w:val="single" w:sz="4" w:space="0" w:color="auto"/>
              <w:bottom w:val="single" w:sz="4" w:space="0" w:color="auto"/>
              <w:right w:val="single" w:sz="4" w:space="0" w:color="auto"/>
            </w:tcBorders>
            <w:shd w:val="clear" w:color="auto" w:fill="FABF8F"/>
          </w:tcPr>
          <w:p w:rsidR="00FB1999" w:rsidRPr="00EF7BE6" w:rsidRDefault="00326174" w:rsidP="00EF7BE6">
            <w:pPr>
              <w:keepNext/>
              <w:spacing w:before="0"/>
              <w:rPr>
                <w:rFonts w:eastAsia="Arial Unicode MS"/>
                <w:b/>
                <w:lang w:eastAsia="cs-CZ"/>
              </w:rPr>
            </w:pPr>
            <w:r w:rsidRPr="00EF7BE6">
              <w:rPr>
                <w:rFonts w:eastAsia="Arial Unicode MS"/>
                <w:b/>
                <w:lang w:eastAsia="cs-CZ"/>
              </w:rPr>
              <w:t>Zajištění potřebného rozsahu služby denní stacionáře v OK</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 xml:space="preserve">Kód opatření </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r w:rsidRPr="00EF7BE6">
              <w:rPr>
                <w:rFonts w:eastAsia="Arial Unicode MS"/>
                <w:b/>
                <w:lang w:eastAsia="cs-CZ"/>
              </w:rPr>
              <w:t>3.7.1</w:t>
            </w:r>
          </w:p>
        </w:tc>
      </w:tr>
      <w:tr w:rsidR="00FB1999" w:rsidRPr="001870CD" w:rsidTr="00EF7BE6">
        <w:trPr>
          <w:trHeight w:val="397"/>
          <w:jc w:val="center"/>
        </w:trPr>
        <w:tc>
          <w:tcPr>
            <w:tcW w:w="1327" w:type="pct"/>
            <w:shd w:val="clear" w:color="auto" w:fill="E2EFD9" w:themeFill="accent6" w:themeFillTint="33"/>
          </w:tcPr>
          <w:p w:rsidR="00FB1999" w:rsidRPr="00EF7BE6" w:rsidRDefault="00FB1999" w:rsidP="00EF7BE6">
            <w:pPr>
              <w:keepNext/>
              <w:spacing w:before="0"/>
              <w:jc w:val="left"/>
              <w:rPr>
                <w:rFonts w:eastAsia="Arial Unicode MS"/>
                <w:b/>
                <w:lang w:eastAsia="cs-CZ"/>
              </w:rPr>
            </w:pPr>
            <w:r w:rsidRPr="00EF7BE6">
              <w:rPr>
                <w:rFonts w:eastAsia="Arial Unicode MS"/>
                <w:b/>
                <w:lang w:eastAsia="cs-CZ"/>
              </w:rPr>
              <w:t>Název opatření</w:t>
            </w:r>
          </w:p>
        </w:tc>
        <w:tc>
          <w:tcPr>
            <w:tcW w:w="3673" w:type="pct"/>
            <w:shd w:val="clear" w:color="auto" w:fill="E2EFD9" w:themeFill="accent6" w:themeFillTint="33"/>
          </w:tcPr>
          <w:p w:rsidR="00FB1999" w:rsidRPr="00EF7BE6" w:rsidRDefault="00FB1999" w:rsidP="00EF7BE6">
            <w:pPr>
              <w:keepNext/>
              <w:spacing w:before="0"/>
              <w:rPr>
                <w:rFonts w:eastAsia="Arial Unicode MS"/>
                <w:b/>
                <w:lang w:eastAsia="cs-CZ"/>
              </w:rPr>
            </w:pPr>
            <w:r w:rsidRPr="00EF7BE6">
              <w:rPr>
                <w:rFonts w:eastAsia="Arial Unicode MS"/>
                <w:b/>
                <w:lang w:eastAsia="cs-CZ"/>
              </w:rPr>
              <w:t>Zajištění služby denního stacionáře pro seniory, osoby s</w:t>
            </w:r>
            <w:r w:rsidR="00D65C87" w:rsidRPr="00EF7BE6">
              <w:rPr>
                <w:rFonts w:eastAsia="Arial Unicode MS"/>
                <w:b/>
                <w:lang w:eastAsia="cs-CZ"/>
              </w:rPr>
              <w:t> </w:t>
            </w:r>
            <w:r w:rsidRPr="00EF7BE6">
              <w:rPr>
                <w:rFonts w:eastAsia="Arial Unicode MS"/>
                <w:b/>
                <w:lang w:eastAsia="cs-CZ"/>
              </w:rPr>
              <w:t>chronickým duševním onemocněním 2,7 pracovními úvazky pracovníků v přímé péči v ORP Jeseník a ORP Lipník nad Bečvou</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Charakteristika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směřuje k zajištění služby denní stacionáře pro seniory a</w:t>
            </w:r>
            <w:r w:rsidR="00AE2497">
              <w:rPr>
                <w:rFonts w:eastAsia="Arial Unicode MS"/>
                <w:lang w:eastAsia="cs-CZ"/>
              </w:rPr>
              <w:t> </w:t>
            </w:r>
            <w:r w:rsidRPr="001870CD">
              <w:rPr>
                <w:rFonts w:eastAsia="Arial Unicode MS"/>
                <w:lang w:eastAsia="cs-CZ"/>
              </w:rPr>
              <w:t>osoby s chronickým duševním onemocněním (typu demence) na základě zjištěné potřebnosti v ORP Jeseník a Lipník nad Bečvou.</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Cílová skupina</w:t>
            </w:r>
          </w:p>
        </w:tc>
        <w:tc>
          <w:tcPr>
            <w:tcW w:w="3673" w:type="pct"/>
            <w:tcBorders>
              <w:bottom w:val="single" w:sz="4" w:space="0" w:color="auto"/>
            </w:tcBorders>
          </w:tcPr>
          <w:p w:rsidR="00FB1999" w:rsidRPr="001870CD" w:rsidRDefault="00FB1999" w:rsidP="00EF7BE6">
            <w:pPr>
              <w:spacing w:before="0"/>
              <w:rPr>
                <w:rFonts w:eastAsia="Arial Unicode MS"/>
                <w:lang w:eastAsia="cs-CZ"/>
              </w:rPr>
            </w:pPr>
            <w:r w:rsidRPr="001870CD">
              <w:rPr>
                <w:rFonts w:eastAsia="Arial Unicode MS"/>
                <w:lang w:eastAsia="cs-CZ"/>
              </w:rPr>
              <w:t>Osoby s chronickým duševním onemocněním</w:t>
            </w:r>
          </w:p>
          <w:p w:rsidR="00FB1999" w:rsidRPr="001870CD" w:rsidRDefault="00AE2497" w:rsidP="00EF7BE6">
            <w:pPr>
              <w:spacing w:before="0"/>
              <w:rPr>
                <w:rFonts w:eastAsia="Arial Unicode MS"/>
                <w:lang w:eastAsia="cs-CZ"/>
              </w:rPr>
            </w:pPr>
            <w:r>
              <w:rPr>
                <w:rFonts w:eastAsia="Arial Unicode MS"/>
                <w:lang w:eastAsia="cs-CZ"/>
              </w:rPr>
              <w:t>S</w:t>
            </w:r>
            <w:r w:rsidR="00FB1999" w:rsidRPr="001870CD">
              <w:rPr>
                <w:rFonts w:eastAsia="Arial Unicode MS"/>
                <w:lang w:eastAsia="cs-CZ"/>
              </w:rPr>
              <w:t xml:space="preserve">enioři </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Druh služby</w:t>
            </w:r>
          </w:p>
        </w:tc>
        <w:tc>
          <w:tcPr>
            <w:tcW w:w="3673" w:type="pct"/>
            <w:shd w:val="clear" w:color="auto" w:fill="FFFFFF" w:themeFill="background1"/>
          </w:tcPr>
          <w:p w:rsidR="00FB1999" w:rsidRPr="001870CD" w:rsidRDefault="00FB1999" w:rsidP="00EF7BE6">
            <w:pPr>
              <w:spacing w:before="0"/>
              <w:rPr>
                <w:rFonts w:eastAsia="Arial Unicode MS"/>
                <w:lang w:eastAsia="cs-CZ"/>
              </w:rPr>
            </w:pPr>
            <w:r w:rsidRPr="001870CD">
              <w:rPr>
                <w:rFonts w:eastAsia="Arial Unicode MS"/>
                <w:lang w:eastAsia="cs-CZ"/>
              </w:rPr>
              <w:t>Denní stacionáře (§</w:t>
            </w:r>
            <w:r w:rsidR="00AE2497">
              <w:rPr>
                <w:rFonts w:eastAsia="Arial Unicode MS"/>
                <w:lang w:eastAsia="cs-CZ"/>
              </w:rPr>
              <w:t xml:space="preserve"> 46</w:t>
            </w:r>
            <w:r w:rsidRPr="001870CD">
              <w:rPr>
                <w:rFonts w:eastAsia="Arial Unicode MS"/>
                <w:lang w:eastAsia="cs-CZ"/>
              </w:rPr>
              <w:t>)</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Forma služby</w:t>
            </w:r>
          </w:p>
        </w:tc>
        <w:tc>
          <w:tcPr>
            <w:tcW w:w="3673" w:type="pct"/>
          </w:tcPr>
          <w:p w:rsidR="00FB1999" w:rsidRPr="001870CD" w:rsidRDefault="00AE2497" w:rsidP="00EF7BE6">
            <w:pPr>
              <w:spacing w:before="0"/>
              <w:rPr>
                <w:rFonts w:eastAsia="Arial Unicode MS"/>
                <w:lang w:eastAsia="cs-CZ"/>
              </w:rPr>
            </w:pPr>
            <w:r>
              <w:rPr>
                <w:rFonts w:eastAsia="Arial Unicode MS"/>
                <w:lang w:eastAsia="cs-CZ"/>
              </w:rPr>
              <w:t>A</w:t>
            </w:r>
            <w:r w:rsidR="00FB1999" w:rsidRPr="001870CD">
              <w:rPr>
                <w:rFonts w:eastAsia="Arial Unicode MS"/>
                <w:lang w:eastAsia="cs-CZ"/>
              </w:rPr>
              <w:t>mbulantní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Vymezení územního dopadu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ORP Jeseník</w:t>
            </w:r>
          </w:p>
          <w:p w:rsidR="00FB1999" w:rsidRPr="001870CD" w:rsidRDefault="00FB1999" w:rsidP="00EF7BE6">
            <w:pPr>
              <w:spacing w:before="0"/>
              <w:rPr>
                <w:rFonts w:eastAsia="Arial Unicode MS"/>
                <w:lang w:eastAsia="cs-CZ"/>
              </w:rPr>
            </w:pPr>
            <w:r w:rsidRPr="001870CD">
              <w:rPr>
                <w:rFonts w:eastAsia="Arial Unicode MS"/>
                <w:lang w:eastAsia="cs-CZ"/>
              </w:rPr>
              <w:t>ORP Lipník Nad Bečvou</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Předpokládaný dopad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Opatření má dopad na zajištění poptávky po službě denní stacionář pro seniory a osoby s chronickým duševním onemocněním v rozsahu základních činností daných registrací v ORP Jeseník a ORP Lipník nad Bečvou.</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Aktivity vedoucí k naplnění opatření</w:t>
            </w:r>
          </w:p>
          <w:p w:rsidR="00FB1999" w:rsidRPr="00EF7BE6" w:rsidRDefault="00FB1999" w:rsidP="00EF7BE6">
            <w:pPr>
              <w:spacing w:before="0"/>
              <w:jc w:val="left"/>
              <w:rPr>
                <w:rFonts w:eastAsia="Arial Unicode MS"/>
                <w:b/>
                <w:lang w:eastAsia="cs-CZ"/>
              </w:rPr>
            </w:pPr>
          </w:p>
        </w:tc>
        <w:tc>
          <w:tcPr>
            <w:tcW w:w="3673" w:type="pct"/>
          </w:tcPr>
          <w:p w:rsidR="00FB1999" w:rsidRPr="001870CD" w:rsidRDefault="00FB1999" w:rsidP="00EF7BE6">
            <w:pPr>
              <w:pStyle w:val="Odstavecseseznamem"/>
              <w:numPr>
                <w:ilvl w:val="0"/>
                <w:numId w:val="186"/>
              </w:numPr>
              <w:spacing w:before="0" w:line="240" w:lineRule="auto"/>
            </w:pPr>
            <w:r w:rsidRPr="001870CD">
              <w:t>Projednání předloženého záměru poskytovatele sociálních služeb v</w:t>
            </w:r>
            <w:r w:rsidR="000B266F">
              <w:t> </w:t>
            </w:r>
            <w:r w:rsidRPr="001870CD">
              <w:t>souladu se schválenými postupy pro aktualizaci sítě sociálních služeb OK</w:t>
            </w:r>
          </w:p>
          <w:p w:rsidR="00FB1999" w:rsidRPr="001870CD" w:rsidRDefault="00FB1999" w:rsidP="00EF7BE6">
            <w:pPr>
              <w:pStyle w:val="Odstavecseseznamem"/>
              <w:numPr>
                <w:ilvl w:val="0"/>
                <w:numId w:val="186"/>
              </w:numPr>
              <w:spacing w:before="0" w:line="240" w:lineRule="auto"/>
            </w:pPr>
            <w:r w:rsidRPr="001870CD">
              <w:t>Při vyjádření pozitivního stanoviska OK aktualizace sítě sociálních služeb dle schválených změn</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b/>
              </w:rPr>
            </w:pPr>
            <w:r w:rsidRPr="00EF7BE6">
              <w:rPr>
                <w:b/>
              </w:rPr>
              <w:t>Rizika a ohrožení naplnění opatření</w:t>
            </w:r>
          </w:p>
        </w:tc>
        <w:tc>
          <w:tcPr>
            <w:tcW w:w="3673" w:type="pct"/>
          </w:tcPr>
          <w:p w:rsidR="00FB1999" w:rsidRPr="001870CD" w:rsidRDefault="00FB1999" w:rsidP="00EF7BE6">
            <w:pPr>
              <w:pStyle w:val="Odstavecseseznamem"/>
              <w:numPr>
                <w:ilvl w:val="0"/>
                <w:numId w:val="187"/>
              </w:numPr>
              <w:spacing w:before="0" w:line="240" w:lineRule="auto"/>
            </w:pPr>
            <w:r w:rsidRPr="001870CD">
              <w:t>Neprojevení zájmu poskytovatelů stávajících služeb o plnění cíle a</w:t>
            </w:r>
            <w:r w:rsidR="000B266F">
              <w:t> </w:t>
            </w:r>
            <w:r w:rsidRPr="001870CD">
              <w:t>opatření</w:t>
            </w:r>
          </w:p>
          <w:p w:rsidR="00FB1999" w:rsidRPr="001870CD" w:rsidRDefault="00FB1999" w:rsidP="00EF7BE6">
            <w:pPr>
              <w:pStyle w:val="Odstavecseseznamem"/>
              <w:numPr>
                <w:ilvl w:val="0"/>
                <w:numId w:val="187"/>
              </w:numPr>
              <w:spacing w:before="0" w:line="240" w:lineRule="auto"/>
            </w:pPr>
            <w:r w:rsidRPr="001870CD">
              <w:t>Nesplnění kritérií dle Postupu pro aktualizaci sítě sociálních služeb OK vedoucí k neschválení žádosti poskytovatele</w:t>
            </w:r>
          </w:p>
          <w:p w:rsidR="00FB1999" w:rsidRPr="001870CD" w:rsidRDefault="00FB1999" w:rsidP="00EF7BE6">
            <w:pPr>
              <w:pStyle w:val="Odstavecseseznamem"/>
              <w:numPr>
                <w:ilvl w:val="0"/>
                <w:numId w:val="187"/>
              </w:numPr>
              <w:spacing w:before="0" w:line="240" w:lineRule="auto"/>
            </w:pPr>
            <w:r w:rsidRPr="001870CD">
              <w:t>Nesplnění podmínek registrace poskytovaných sociálních služeb</w:t>
            </w:r>
          </w:p>
          <w:p w:rsidR="00FB1999" w:rsidRPr="001870CD" w:rsidRDefault="00FB1999" w:rsidP="00EF7BE6">
            <w:pPr>
              <w:pStyle w:val="Odstavecseseznamem"/>
              <w:numPr>
                <w:ilvl w:val="0"/>
                <w:numId w:val="187"/>
              </w:numPr>
              <w:spacing w:before="0" w:line="240" w:lineRule="auto"/>
            </w:pPr>
            <w:r w:rsidRPr="001870CD">
              <w:t>Nedostatek lidských zdrojů</w:t>
            </w:r>
          </w:p>
          <w:p w:rsidR="00FB1999" w:rsidRPr="001870CD" w:rsidRDefault="00FB1999" w:rsidP="00EF7BE6">
            <w:pPr>
              <w:pStyle w:val="Odstavecseseznamem"/>
              <w:numPr>
                <w:ilvl w:val="0"/>
                <w:numId w:val="187"/>
              </w:numPr>
              <w:spacing w:before="0" w:line="240" w:lineRule="auto"/>
            </w:pPr>
            <w:r w:rsidRPr="001870CD">
              <w:t>Nedostatek finančních prostředků z veřejných zdrojů</w:t>
            </w:r>
          </w:p>
          <w:p w:rsidR="00FB1999" w:rsidRPr="001870CD" w:rsidRDefault="00FB1999" w:rsidP="00EF7BE6">
            <w:pPr>
              <w:pStyle w:val="Odstavecseseznamem"/>
              <w:numPr>
                <w:ilvl w:val="0"/>
                <w:numId w:val="187"/>
              </w:numPr>
              <w:spacing w:before="0" w:line="240" w:lineRule="auto"/>
            </w:pPr>
            <w:r w:rsidRPr="001870CD">
              <w:t>Legislativní změny</w:t>
            </w:r>
          </w:p>
        </w:tc>
      </w:tr>
      <w:tr w:rsidR="00FB1999" w:rsidRPr="001870CD" w:rsidTr="00EF7BE6">
        <w:trPr>
          <w:trHeight w:val="397"/>
          <w:jc w:val="center"/>
        </w:trPr>
        <w:tc>
          <w:tcPr>
            <w:tcW w:w="1327" w:type="pct"/>
            <w:shd w:val="clear" w:color="auto" w:fill="CCECFF"/>
          </w:tcPr>
          <w:p w:rsidR="00FB1999" w:rsidRPr="00CC2C0F" w:rsidRDefault="00FB1999" w:rsidP="00CC2C0F">
            <w:pPr>
              <w:spacing w:before="0"/>
              <w:jc w:val="left"/>
              <w:rPr>
                <w:rFonts w:eastAsia="Arial Unicode MS"/>
                <w:b/>
                <w:sz w:val="18"/>
                <w:szCs w:val="18"/>
                <w:lang w:eastAsia="cs-CZ"/>
              </w:rPr>
            </w:pPr>
            <w:r w:rsidRPr="00CC2C0F">
              <w:rPr>
                <w:rFonts w:eastAsia="Arial Unicode MS"/>
                <w:b/>
                <w:sz w:val="18"/>
                <w:szCs w:val="18"/>
                <w:lang w:eastAsia="cs-CZ"/>
              </w:rPr>
              <w:t>Předpokládaní realizátoři a partneři opatření</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Poskytovatelé sociálních služeb pro dané cílové skupiny osob, kraj, obce</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Časový harmonogram</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2024–2026</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Předpokládané finanční zdroje</w:t>
            </w:r>
          </w:p>
        </w:tc>
        <w:tc>
          <w:tcPr>
            <w:tcW w:w="3673" w:type="pct"/>
          </w:tcPr>
          <w:p w:rsidR="00FB1999" w:rsidRPr="001870CD" w:rsidRDefault="00FB1999" w:rsidP="00EF7BE6">
            <w:pPr>
              <w:spacing w:before="0"/>
              <w:rPr>
                <w:rFonts w:eastAsia="Arial Unicode MS"/>
                <w:lang w:eastAsia="cs-CZ"/>
              </w:rPr>
            </w:pPr>
            <w:r w:rsidRPr="001870CD">
              <w:rPr>
                <w:rFonts w:eastAsia="Arial Unicode MS"/>
                <w:lang w:eastAsia="cs-CZ"/>
              </w:rPr>
              <w:t>Veřejné zdroje, evropské zdroje a ostatní zdroje financování</w:t>
            </w:r>
          </w:p>
        </w:tc>
      </w:tr>
      <w:tr w:rsidR="00FB1999" w:rsidRPr="001870CD" w:rsidTr="00EF7BE6">
        <w:trPr>
          <w:trHeight w:val="397"/>
          <w:jc w:val="center"/>
        </w:trPr>
        <w:tc>
          <w:tcPr>
            <w:tcW w:w="1327" w:type="pct"/>
            <w:shd w:val="clear" w:color="auto" w:fill="CCECFF"/>
          </w:tcPr>
          <w:p w:rsidR="00FB1999" w:rsidRPr="00EF7BE6" w:rsidRDefault="00FB1999" w:rsidP="00EF7BE6">
            <w:pPr>
              <w:spacing w:before="0"/>
              <w:jc w:val="left"/>
              <w:rPr>
                <w:rFonts w:eastAsia="Arial Unicode MS"/>
                <w:b/>
                <w:lang w:eastAsia="cs-CZ"/>
              </w:rPr>
            </w:pPr>
            <w:r w:rsidRPr="00EF7BE6">
              <w:rPr>
                <w:rFonts w:eastAsia="Arial Unicode MS"/>
                <w:b/>
                <w:lang w:eastAsia="cs-CZ"/>
              </w:rPr>
              <w:t>Hodnotící indikátory výstupů a výsledků</w:t>
            </w:r>
          </w:p>
        </w:tc>
        <w:tc>
          <w:tcPr>
            <w:tcW w:w="3673" w:type="pct"/>
          </w:tcPr>
          <w:p w:rsidR="00FB1999" w:rsidRPr="00A34764" w:rsidRDefault="00FB1999" w:rsidP="00EF7BE6">
            <w:pPr>
              <w:pStyle w:val="Odstavecseseznamem"/>
              <w:numPr>
                <w:ilvl w:val="0"/>
                <w:numId w:val="15"/>
              </w:numPr>
              <w:spacing w:before="0" w:line="240" w:lineRule="auto"/>
            </w:pPr>
            <w:r w:rsidRPr="00A34764">
              <w:t>Zajištění sociální služby v daném regionu</w:t>
            </w:r>
          </w:p>
          <w:p w:rsidR="00FB1999" w:rsidRPr="00A34764" w:rsidRDefault="00FB1999" w:rsidP="00EF7BE6">
            <w:pPr>
              <w:pStyle w:val="Odstavecseseznamem"/>
              <w:numPr>
                <w:ilvl w:val="0"/>
                <w:numId w:val="15"/>
              </w:numPr>
              <w:spacing w:before="0" w:line="240" w:lineRule="auto"/>
            </w:pPr>
            <w:r w:rsidRPr="00A34764">
              <w:t>Aktualizace sítě sociálních služeb dle schválených změn</w:t>
            </w:r>
          </w:p>
        </w:tc>
      </w:tr>
    </w:tbl>
    <w:p w:rsidR="00FB1999" w:rsidRPr="00FB7DCA" w:rsidRDefault="00FB1999" w:rsidP="00A34764">
      <w:pPr>
        <w:rPr>
          <w:rFonts w:eastAsia="Arial Unicode MS"/>
          <w:lang w:eastAsia="cs-CZ"/>
        </w:rPr>
      </w:pPr>
      <w:r w:rsidRPr="00FB7DCA">
        <w:rPr>
          <w:rFonts w:eastAsia="Arial Unicode MS"/>
          <w:lang w:eastAsia="cs-CZ"/>
        </w:rPr>
        <w:br w:type="page"/>
      </w:r>
    </w:p>
    <w:p w:rsidR="00FB1999" w:rsidRPr="007C2EB2" w:rsidRDefault="00FB1999" w:rsidP="00A34764">
      <w:pPr>
        <w:pStyle w:val="Nadpis2"/>
      </w:pPr>
      <w:bookmarkStart w:id="219" w:name="_Toc22896392"/>
      <w:bookmarkStart w:id="220" w:name="_Toc111537481"/>
      <w:bookmarkStart w:id="221" w:name="_Toc113622089"/>
      <w:bookmarkStart w:id="222" w:name="_Toc117607002"/>
      <w:r w:rsidRPr="007C2EB2">
        <w:lastRenderedPageBreak/>
        <w:t>Pracovní skupina č. 4: ETNICKÉ MENŠINY A CIZINCI</w:t>
      </w:r>
      <w:bookmarkEnd w:id="219"/>
      <w:bookmarkEnd w:id="220"/>
      <w:bookmarkEnd w:id="221"/>
      <w:bookmarkEnd w:id="222"/>
    </w:p>
    <w:p w:rsidR="00FB1999" w:rsidRPr="007C2EB2" w:rsidRDefault="00FB1999" w:rsidP="0066316A">
      <w:pPr>
        <w:pStyle w:val="Tun"/>
      </w:pPr>
      <w:r w:rsidRPr="007C2EB2">
        <w:t>Popis cílové skupiny, vymezení okruhu osob</w:t>
      </w:r>
    </w:p>
    <w:p w:rsidR="00FB1999" w:rsidRPr="007C2EB2" w:rsidRDefault="00FB1999" w:rsidP="00A34764">
      <w:pPr>
        <w:rPr>
          <w:rFonts w:eastAsia="Arial Unicode MS"/>
          <w:lang w:eastAsia="cs-CZ"/>
        </w:rPr>
      </w:pPr>
      <w:r w:rsidRPr="007C2EB2">
        <w:rPr>
          <w:rFonts w:eastAsia="Arial Unicode MS"/>
          <w:lang w:eastAsia="cs-CZ"/>
        </w:rPr>
        <w:t>Pracovní skupina se zabývala problematikou vztahující se k životu příslušníků:</w:t>
      </w:r>
    </w:p>
    <w:p w:rsidR="00FB1999" w:rsidRPr="00A34764" w:rsidRDefault="00FB1999" w:rsidP="00A34764">
      <w:pPr>
        <w:pStyle w:val="Odstavecseseznamem"/>
        <w:numPr>
          <w:ilvl w:val="0"/>
          <w:numId w:val="74"/>
        </w:numPr>
      </w:pPr>
      <w:r w:rsidRPr="00A34764">
        <w:t>etnických menšin</w:t>
      </w:r>
      <w:r w:rsidR="00006B57" w:rsidRPr="00A34764">
        <w:t>,</w:t>
      </w:r>
    </w:p>
    <w:p w:rsidR="00FB1999" w:rsidRPr="00A34764" w:rsidRDefault="00FB1999" w:rsidP="00A34764">
      <w:pPr>
        <w:pStyle w:val="Odstavecseseznamem"/>
        <w:numPr>
          <w:ilvl w:val="0"/>
          <w:numId w:val="74"/>
        </w:numPr>
      </w:pPr>
      <w:r w:rsidRPr="00A34764">
        <w:t>romského etnika</w:t>
      </w:r>
      <w:r w:rsidR="00006B57" w:rsidRPr="00A34764">
        <w:t>,</w:t>
      </w:r>
    </w:p>
    <w:p w:rsidR="00FB1999" w:rsidRPr="00A34764" w:rsidRDefault="00FB1999" w:rsidP="00A34764">
      <w:pPr>
        <w:pStyle w:val="Odstavecseseznamem"/>
        <w:numPr>
          <w:ilvl w:val="0"/>
          <w:numId w:val="74"/>
        </w:numPr>
      </w:pPr>
      <w:r w:rsidRPr="00A34764">
        <w:t>cizinců</w:t>
      </w:r>
      <w:r w:rsidR="00006B57" w:rsidRPr="00A34764">
        <w:t>.</w:t>
      </w:r>
    </w:p>
    <w:p w:rsidR="00FB1999" w:rsidRPr="007C2EB2" w:rsidRDefault="00FB1999" w:rsidP="00A34764">
      <w:pPr>
        <w:rPr>
          <w:rFonts w:eastAsia="Arial Unicode MS"/>
          <w:lang w:eastAsia="cs-CZ"/>
        </w:rPr>
      </w:pPr>
      <w:r w:rsidRPr="007C2EB2">
        <w:rPr>
          <w:rFonts w:eastAsia="Arial Unicode MS"/>
          <w:lang w:eastAsia="cs-CZ"/>
        </w:rPr>
        <w:t>Etnickou menšinu lze definovat jako minoritní skupinu občanů, kterou spojuje společný rodový původ, národnost, historické zkušenosti, náboženství, sociální a kulturní znaky – především jazyk, obyčeje, tradice, sociální rituály, tabu, životní styl, motivační a hodnotové struktury, mentalita a psychické zvláštnosti. V OK se významněji organizuje bulharská, řecká národnostní menšina, u kterých nebyly identifikovány specifické potřeby související se sociálními službami. Za příslušníky romského etnika – menšiny, pro účely vymezení cílové skupiny, jsou považováni občané, kteří se buď hlásí k romskému etniku – národnosti, nebo jsou za Romy považováni příslušníky majoritní společnosti a současně jde o sociálně vyloučené či sociálním vyloučením ohrožené občany. Charakteristikou cílové skupiny je kumulace handicapů a potřeba komplexního řešení přesahující poskytování sociálních služeb. Za hlavní problémy je možno považovat:</w:t>
      </w:r>
    </w:p>
    <w:p w:rsidR="00FB1999" w:rsidRPr="00A34764" w:rsidRDefault="00FB1999" w:rsidP="00A34764">
      <w:pPr>
        <w:pStyle w:val="Odstavecseseznamem"/>
        <w:numPr>
          <w:ilvl w:val="0"/>
          <w:numId w:val="74"/>
        </w:numPr>
      </w:pPr>
      <w:r w:rsidRPr="00A34764">
        <w:t>nízkou úroveň vzdělání</w:t>
      </w:r>
      <w:r w:rsidR="00006B57" w:rsidRPr="00A34764">
        <w:t>,</w:t>
      </w:r>
    </w:p>
    <w:p w:rsidR="00FB1999" w:rsidRPr="00A34764" w:rsidRDefault="00FB1999" w:rsidP="00A34764">
      <w:pPr>
        <w:pStyle w:val="Odstavecseseznamem"/>
        <w:numPr>
          <w:ilvl w:val="0"/>
          <w:numId w:val="74"/>
        </w:numPr>
      </w:pPr>
      <w:r w:rsidRPr="00A34764">
        <w:t>vysokou nezaměstnanost</w:t>
      </w:r>
      <w:r w:rsidR="00006B57" w:rsidRPr="00A34764">
        <w:t>,</w:t>
      </w:r>
    </w:p>
    <w:p w:rsidR="00FB1999" w:rsidRPr="00A34764" w:rsidRDefault="00FB1999" w:rsidP="00A34764">
      <w:pPr>
        <w:pStyle w:val="Odstavecseseznamem"/>
        <w:numPr>
          <w:ilvl w:val="0"/>
          <w:numId w:val="74"/>
        </w:numPr>
      </w:pPr>
      <w:r w:rsidRPr="00A34764">
        <w:t>zadluženost</w:t>
      </w:r>
      <w:r w:rsidR="00006B57" w:rsidRPr="00A34764">
        <w:t>,</w:t>
      </w:r>
    </w:p>
    <w:p w:rsidR="00FB1999" w:rsidRPr="00A34764" w:rsidRDefault="00FB1999" w:rsidP="00A34764">
      <w:pPr>
        <w:pStyle w:val="Odstavecseseznamem"/>
        <w:numPr>
          <w:ilvl w:val="0"/>
          <w:numId w:val="74"/>
        </w:numPr>
      </w:pPr>
      <w:r w:rsidRPr="00A34764">
        <w:t>nevyhovující bydlení, vysoké ohrožení ztrátou bydlení, nedostupnost trhu s</w:t>
      </w:r>
      <w:r w:rsidR="00006B57" w:rsidRPr="00A34764">
        <w:t> </w:t>
      </w:r>
      <w:r w:rsidRPr="00A34764">
        <w:t>byty</w:t>
      </w:r>
      <w:r w:rsidR="00006B57" w:rsidRPr="00A34764">
        <w:t>,</w:t>
      </w:r>
    </w:p>
    <w:p w:rsidR="00FB1999" w:rsidRPr="00A34764" w:rsidRDefault="00FB1999" w:rsidP="00A34764">
      <w:pPr>
        <w:pStyle w:val="Odstavecseseznamem"/>
        <w:numPr>
          <w:ilvl w:val="0"/>
          <w:numId w:val="74"/>
        </w:numPr>
      </w:pPr>
      <w:r w:rsidRPr="00A34764">
        <w:t>dlouhodobou závislost na dávkách hmotné nouze</w:t>
      </w:r>
      <w:r w:rsidR="00006B57" w:rsidRPr="00A34764">
        <w:t>,</w:t>
      </w:r>
    </w:p>
    <w:p w:rsidR="00FB1999" w:rsidRPr="00A34764" w:rsidRDefault="00FB1999" w:rsidP="00A34764">
      <w:pPr>
        <w:pStyle w:val="Odstavecseseznamem"/>
        <w:numPr>
          <w:ilvl w:val="0"/>
          <w:numId w:val="74"/>
        </w:numPr>
      </w:pPr>
      <w:r w:rsidRPr="00A34764">
        <w:t>skrytou diskriminaci na trhu práce a trhu s</w:t>
      </w:r>
      <w:r w:rsidR="00006B57" w:rsidRPr="00A34764">
        <w:t> </w:t>
      </w:r>
      <w:r w:rsidRPr="00A34764">
        <w:t>byty</w:t>
      </w:r>
      <w:r w:rsidR="00006B57" w:rsidRPr="00A34764">
        <w:t>,</w:t>
      </w:r>
    </w:p>
    <w:p w:rsidR="00FB1999" w:rsidRPr="00A34764" w:rsidRDefault="00FB1999" w:rsidP="00A34764">
      <w:pPr>
        <w:pStyle w:val="Odstavecseseznamem"/>
        <w:numPr>
          <w:ilvl w:val="0"/>
          <w:numId w:val="74"/>
        </w:numPr>
      </w:pPr>
      <w:r w:rsidRPr="00A34764">
        <w:t>sociálně patologické jevy – rizikové chování (záškoláctví u dětí, závislosti, trestná činnost)</w:t>
      </w:r>
      <w:r w:rsidR="00006B57" w:rsidRPr="00A34764">
        <w:t>.</w:t>
      </w:r>
    </w:p>
    <w:p w:rsidR="00FB1999" w:rsidRPr="007C2EB2" w:rsidRDefault="00FB1999" w:rsidP="00A34764">
      <w:pPr>
        <w:rPr>
          <w:rFonts w:eastAsia="Arial Unicode MS"/>
          <w:lang w:eastAsia="cs-CZ"/>
        </w:rPr>
      </w:pPr>
      <w:r w:rsidRPr="007C2EB2">
        <w:rPr>
          <w:rFonts w:eastAsia="Arial Unicode MS"/>
          <w:lang w:eastAsia="cs-CZ"/>
        </w:rPr>
        <w:t>Za cizince jsou v České republice považovány osoby s jiným než českým státním občanstvím. Pojem „cizinec“ zahrnuje:</w:t>
      </w:r>
    </w:p>
    <w:p w:rsidR="00FB1999" w:rsidRPr="00A94F32" w:rsidRDefault="00FB1999" w:rsidP="00A34764">
      <w:pPr>
        <w:pStyle w:val="Odstavecseseznamem"/>
        <w:numPr>
          <w:ilvl w:val="0"/>
          <w:numId w:val="74"/>
        </w:numPr>
      </w:pPr>
      <w:r w:rsidRPr="00A94F32">
        <w:t>občany EU a jejich rodinné příslušníky</w:t>
      </w:r>
      <w:r w:rsidR="00006B57">
        <w:t>,</w:t>
      </w:r>
    </w:p>
    <w:p w:rsidR="00FB1999" w:rsidRPr="00A94F32" w:rsidRDefault="00FB1999" w:rsidP="00A34764">
      <w:pPr>
        <w:pStyle w:val="Odstavecseseznamem"/>
        <w:numPr>
          <w:ilvl w:val="0"/>
          <w:numId w:val="74"/>
        </w:numPr>
      </w:pPr>
      <w:r w:rsidRPr="00A94F32">
        <w:t>občany tzv. třetích zemí</w:t>
      </w:r>
      <w:r w:rsidR="00006B57">
        <w:t>.</w:t>
      </w:r>
    </w:p>
    <w:p w:rsidR="00FB1999" w:rsidRPr="007C2EB2" w:rsidRDefault="00FB1999" w:rsidP="00A34764">
      <w:pPr>
        <w:rPr>
          <w:rFonts w:eastAsia="Arial Unicode MS"/>
          <w:lang w:eastAsia="cs-CZ"/>
        </w:rPr>
      </w:pPr>
      <w:r w:rsidRPr="007C2EB2">
        <w:rPr>
          <w:rFonts w:eastAsia="Arial Unicode MS"/>
          <w:lang w:eastAsia="cs-CZ"/>
        </w:rPr>
        <w:t xml:space="preserve">Specifickou skupinu cizinců představují osoby, které požádaly Českou republiku o mezinárodní ochranu, resp. osoby, kterým byla tato mezinárodní ochrana přiznána. V porovnání s ostatními regiony České republiky patří OK spodní příčky co do počtu cizinců žijících na jeho území. </w:t>
      </w:r>
    </w:p>
    <w:p w:rsidR="00FB1999" w:rsidRPr="007C2EB2" w:rsidRDefault="00FB1999" w:rsidP="00A34764">
      <w:pPr>
        <w:rPr>
          <w:rFonts w:eastAsia="Arial Unicode MS"/>
          <w:lang w:eastAsia="cs-CZ"/>
        </w:rPr>
      </w:pPr>
      <w:r w:rsidRPr="007C2EB2">
        <w:rPr>
          <w:rFonts w:eastAsia="Arial Unicode MS"/>
          <w:lang w:eastAsia="cs-CZ"/>
        </w:rPr>
        <w:t>V souvislosti s pracovní migrací lze pozorovat i v OK příliv zahraničních pracovníků především z Ukrajiny, Slovenska a Ruska. V závislosti na vývoji pracovního trhu lze předpokládat poptávku po poradenských službách (sloučení rodiny, zaměstnání, bydlení, vzdělávací systém, lékařská péče a další oblasti).</w:t>
      </w:r>
    </w:p>
    <w:p w:rsidR="00FB1999" w:rsidRPr="007C2EB2" w:rsidRDefault="00FB1999" w:rsidP="00A34764">
      <w:pPr>
        <w:rPr>
          <w:rFonts w:eastAsia="Arial Unicode MS"/>
          <w:lang w:eastAsia="cs-CZ"/>
        </w:rPr>
      </w:pPr>
      <w:r w:rsidRPr="007C2EB2">
        <w:rPr>
          <w:rFonts w:eastAsia="Arial Unicode MS"/>
          <w:lang w:eastAsia="cs-CZ"/>
        </w:rPr>
        <w:t>Pracovní skupina se s ohledem na vymezenou cílovou skupinu zaměřila zejména na následující služby definované zákonem o sociálních službách:</w:t>
      </w:r>
    </w:p>
    <w:p w:rsidR="00FB1999" w:rsidRPr="00A34764" w:rsidRDefault="00FB1999" w:rsidP="00A34764">
      <w:pPr>
        <w:pStyle w:val="Odstavecseseznamem"/>
        <w:numPr>
          <w:ilvl w:val="0"/>
          <w:numId w:val="74"/>
        </w:numPr>
      </w:pPr>
      <w:r w:rsidRPr="00A34764">
        <w:t>sociální poradenství</w:t>
      </w:r>
      <w:r w:rsidR="00006B57" w:rsidRPr="00A34764">
        <w:t>,</w:t>
      </w:r>
    </w:p>
    <w:p w:rsidR="00FB1999" w:rsidRPr="00A34764" w:rsidRDefault="00FB1999" w:rsidP="00A34764">
      <w:pPr>
        <w:pStyle w:val="Odstavecseseznamem"/>
        <w:numPr>
          <w:ilvl w:val="0"/>
          <w:numId w:val="74"/>
        </w:numPr>
      </w:pPr>
      <w:r w:rsidRPr="00A34764">
        <w:t>sociálně aktivizační služby pro rodiny s</w:t>
      </w:r>
      <w:r w:rsidR="00006B57" w:rsidRPr="00A34764">
        <w:t> </w:t>
      </w:r>
      <w:r w:rsidRPr="00A34764">
        <w:t>dětmi</w:t>
      </w:r>
      <w:r w:rsidR="00006B57" w:rsidRPr="00A34764">
        <w:t>,</w:t>
      </w:r>
    </w:p>
    <w:p w:rsidR="00FB1999" w:rsidRPr="00A34764" w:rsidRDefault="00FB1999" w:rsidP="00A34764">
      <w:pPr>
        <w:pStyle w:val="Odstavecseseznamem"/>
        <w:numPr>
          <w:ilvl w:val="0"/>
          <w:numId w:val="74"/>
        </w:numPr>
      </w:pPr>
      <w:r w:rsidRPr="00A34764">
        <w:t>sociální rehabilitace</w:t>
      </w:r>
      <w:r w:rsidR="00006B57" w:rsidRPr="00A34764">
        <w:t>,</w:t>
      </w:r>
    </w:p>
    <w:p w:rsidR="00FB1999" w:rsidRPr="00A34764" w:rsidRDefault="00FB1999" w:rsidP="00A34764">
      <w:pPr>
        <w:pStyle w:val="Odstavecseseznamem"/>
        <w:numPr>
          <w:ilvl w:val="0"/>
          <w:numId w:val="74"/>
        </w:numPr>
      </w:pPr>
      <w:r w:rsidRPr="00A34764">
        <w:t>terénní programy</w:t>
      </w:r>
      <w:r w:rsidR="00006B57" w:rsidRPr="00A34764">
        <w:t>.</w:t>
      </w:r>
    </w:p>
    <w:p w:rsidR="00FB1999" w:rsidRPr="007C2EB2" w:rsidRDefault="00FB1999" w:rsidP="00A34764">
      <w:pPr>
        <w:rPr>
          <w:rFonts w:eastAsia="Arial Unicode MS"/>
          <w:lang w:eastAsia="cs-CZ"/>
        </w:rPr>
      </w:pPr>
      <w:r w:rsidRPr="007C2EB2">
        <w:rPr>
          <w:rFonts w:eastAsia="Arial Unicode MS"/>
          <w:lang w:eastAsia="cs-CZ"/>
        </w:rPr>
        <w:t>Je třeba zmínit, že cílová skupina etnické menšiny a cizinci je provázána s dalšími cílovými skupinami sociálních služeb, které jsou explicitně řešeny v rámci dalších pracovních skupin. Jedná se zejména o skupinu rodin s dětmi a skupinu osob sociálně vyloučených a v krizi.</w:t>
      </w:r>
    </w:p>
    <w:p w:rsidR="00FB1999" w:rsidRPr="007C2EB2" w:rsidRDefault="00FB1999" w:rsidP="00A34764">
      <w:pPr>
        <w:rPr>
          <w:rFonts w:eastAsia="Arial Unicode MS"/>
          <w:lang w:eastAsia="cs-CZ"/>
        </w:rPr>
      </w:pPr>
      <w:r w:rsidRPr="007C2EB2">
        <w:rPr>
          <w:rFonts w:eastAsia="Arial Unicode MS"/>
          <w:lang w:eastAsia="cs-CZ"/>
        </w:rPr>
        <w:t xml:space="preserve">Významným posunem při řešení situace cílové skupiny je zlepšení </w:t>
      </w:r>
      <w:proofErr w:type="spellStart"/>
      <w:r w:rsidRPr="007C2EB2">
        <w:rPr>
          <w:rFonts w:eastAsia="Arial Unicode MS"/>
          <w:lang w:eastAsia="cs-CZ"/>
        </w:rPr>
        <w:t>provazby</w:t>
      </w:r>
      <w:proofErr w:type="spellEnd"/>
      <w:r w:rsidRPr="007C2EB2">
        <w:rPr>
          <w:rFonts w:eastAsia="Arial Unicode MS"/>
          <w:lang w:eastAsia="cs-CZ"/>
        </w:rPr>
        <w:t xml:space="preserve"> poskytování sociálních služeb se sociální prací v rámci přenesené působnosti na obce II. a III. typu a </w:t>
      </w:r>
      <w:r w:rsidR="00006B57">
        <w:rPr>
          <w:rFonts w:eastAsia="Arial Unicode MS"/>
          <w:lang w:eastAsia="cs-CZ"/>
        </w:rPr>
        <w:t xml:space="preserve">s </w:t>
      </w:r>
      <w:r w:rsidRPr="007C2EB2">
        <w:rPr>
          <w:rFonts w:eastAsia="Arial Unicode MS"/>
          <w:lang w:eastAsia="cs-CZ"/>
        </w:rPr>
        <w:t xml:space="preserve">pracovníky zajišťujícími integraci příslušníků romské menšiny ve správních obvodech jednotlivých OÚORP. </w:t>
      </w:r>
    </w:p>
    <w:p w:rsidR="00FB1999" w:rsidRPr="007C2EB2" w:rsidRDefault="00FB1999" w:rsidP="00A34764">
      <w:pPr>
        <w:rPr>
          <w:rFonts w:eastAsia="Arial Unicode MS"/>
          <w:lang w:eastAsia="cs-CZ"/>
        </w:rPr>
      </w:pPr>
      <w:r>
        <w:rPr>
          <w:rFonts w:eastAsia="Arial Unicode MS"/>
          <w:lang w:eastAsia="cs-CZ"/>
        </w:rPr>
        <w:lastRenderedPageBreak/>
        <w:t>OK</w:t>
      </w:r>
      <w:r w:rsidR="00006B57">
        <w:rPr>
          <w:rFonts w:eastAsia="Arial Unicode MS"/>
          <w:lang w:eastAsia="cs-CZ"/>
        </w:rPr>
        <w:t>,</w:t>
      </w:r>
      <w:r w:rsidRPr="007C2EB2">
        <w:rPr>
          <w:rFonts w:eastAsia="Arial Unicode MS"/>
          <w:lang w:eastAsia="cs-CZ"/>
        </w:rPr>
        <w:t xml:space="preserve"> podpisem Memoranda s Agenturou pro sociální začl</w:t>
      </w:r>
      <w:r>
        <w:rPr>
          <w:rFonts w:eastAsia="Arial Unicode MS"/>
          <w:lang w:eastAsia="cs-CZ"/>
        </w:rPr>
        <w:t>eňování o vzájemném partnerství</w:t>
      </w:r>
      <w:r w:rsidR="00006B57">
        <w:rPr>
          <w:rFonts w:eastAsia="Arial Unicode MS"/>
          <w:lang w:eastAsia="cs-CZ"/>
        </w:rPr>
        <w:t>,</w:t>
      </w:r>
      <w:r w:rsidRPr="007C2EB2">
        <w:rPr>
          <w:rFonts w:eastAsia="Arial Unicode MS"/>
          <w:lang w:eastAsia="cs-CZ"/>
        </w:rPr>
        <w:t xml:space="preserve"> se chce zaměřit na prevenci sociálního vyloučení v</w:t>
      </w:r>
      <w:r w:rsidR="00006B57">
        <w:rPr>
          <w:rFonts w:eastAsia="Arial Unicode MS"/>
          <w:lang w:eastAsia="cs-CZ"/>
        </w:rPr>
        <w:t> </w:t>
      </w:r>
      <w:r w:rsidRPr="007C2EB2">
        <w:rPr>
          <w:rFonts w:eastAsia="Arial Unicode MS"/>
          <w:lang w:eastAsia="cs-CZ"/>
        </w:rPr>
        <w:t>oblastech</w:t>
      </w:r>
      <w:r w:rsidR="00006B57">
        <w:rPr>
          <w:rFonts w:eastAsia="Arial Unicode MS"/>
          <w:lang w:eastAsia="cs-CZ"/>
        </w:rPr>
        <w:t>,</w:t>
      </w:r>
      <w:r w:rsidRPr="007C2EB2">
        <w:rPr>
          <w:rFonts w:eastAsia="Arial Unicode MS"/>
          <w:lang w:eastAsia="cs-CZ"/>
        </w:rPr>
        <w:t xml:space="preserve"> jako je bydlení, zaměstnanost nebo vzdělávání, ale také na podporu subjektů poskytujících služby v oblasti sociálního začleňování.</w:t>
      </w:r>
    </w:p>
    <w:p w:rsidR="00FB1999" w:rsidRPr="007C2EB2" w:rsidRDefault="00FB1999" w:rsidP="0066316A">
      <w:pPr>
        <w:pStyle w:val="Tun"/>
      </w:pPr>
      <w:r w:rsidRPr="007C2EB2">
        <w:t>SWOT analýza PS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634"/>
      </w:tblGrid>
      <w:tr w:rsidR="0066316A" w:rsidRPr="0066316A" w:rsidTr="00587061">
        <w:trPr>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66316A" w:rsidRPr="0066316A" w:rsidRDefault="0066316A" w:rsidP="0066316A">
            <w:pPr>
              <w:tabs>
                <w:tab w:val="left" w:pos="2520"/>
              </w:tabs>
              <w:spacing w:before="0"/>
              <w:jc w:val="center"/>
              <w:rPr>
                <w:rFonts w:cs="Segoe UI"/>
                <w:sz w:val="18"/>
                <w:szCs w:val="18"/>
              </w:rPr>
            </w:pPr>
            <w:r w:rsidRPr="0066316A">
              <w:rPr>
                <w:rFonts w:cs="Segoe UI"/>
                <w:b/>
                <w:sz w:val="18"/>
                <w:szCs w:val="18"/>
              </w:rPr>
              <w:t>Silné stránky</w:t>
            </w:r>
            <w:r w:rsidRPr="0066316A">
              <w:rPr>
                <w:rFonts w:cs="Segoe UI"/>
                <w:sz w:val="18"/>
                <w:szCs w:val="18"/>
              </w:rPr>
              <w:t xml:space="preserve"> </w:t>
            </w:r>
          </w:p>
        </w:tc>
        <w:tc>
          <w:tcPr>
            <w:tcW w:w="4634" w:type="dxa"/>
            <w:tcBorders>
              <w:top w:val="single" w:sz="4" w:space="0" w:color="auto"/>
              <w:left w:val="single" w:sz="4" w:space="0" w:color="auto"/>
              <w:bottom w:val="single" w:sz="4" w:space="0" w:color="auto"/>
              <w:right w:val="single" w:sz="4" w:space="0" w:color="auto"/>
            </w:tcBorders>
            <w:shd w:val="clear" w:color="auto" w:fill="auto"/>
            <w:hideMark/>
          </w:tcPr>
          <w:p w:rsidR="0066316A" w:rsidRPr="0066316A" w:rsidRDefault="0066316A" w:rsidP="0066316A">
            <w:pPr>
              <w:tabs>
                <w:tab w:val="left" w:pos="2520"/>
              </w:tabs>
              <w:spacing w:before="0"/>
              <w:jc w:val="center"/>
              <w:rPr>
                <w:rFonts w:cs="Segoe UI"/>
                <w:sz w:val="18"/>
                <w:szCs w:val="18"/>
              </w:rPr>
            </w:pPr>
            <w:r w:rsidRPr="0066316A">
              <w:rPr>
                <w:rFonts w:cs="Segoe UI"/>
                <w:b/>
                <w:sz w:val="18"/>
                <w:szCs w:val="18"/>
              </w:rPr>
              <w:t>Slabé stránky</w:t>
            </w:r>
          </w:p>
        </w:tc>
      </w:tr>
      <w:tr w:rsidR="0066316A" w:rsidRPr="0066316A" w:rsidTr="00587061">
        <w:trPr>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66316A" w:rsidRPr="0066316A" w:rsidRDefault="0066316A" w:rsidP="00CC2C0F">
            <w:pPr>
              <w:pStyle w:val="odrkaSWOT"/>
              <w:jc w:val="both"/>
              <w:rPr>
                <w:rFonts w:eastAsia="Calibri"/>
              </w:rPr>
            </w:pPr>
            <w:r w:rsidRPr="0066316A">
              <w:rPr>
                <w:rFonts w:eastAsia="Calibri"/>
              </w:rPr>
              <w:t>Kvalita komunikace a spolupráce mezi neziskovými službami a KÚOK</w:t>
            </w:r>
          </w:p>
          <w:p w:rsidR="0066316A" w:rsidRPr="0066316A" w:rsidRDefault="0066316A" w:rsidP="00CC2C0F">
            <w:pPr>
              <w:pStyle w:val="odrkaSWOT"/>
              <w:jc w:val="both"/>
              <w:rPr>
                <w:rFonts w:eastAsia="Calibri"/>
              </w:rPr>
            </w:pPr>
            <w:r w:rsidRPr="0066316A">
              <w:rPr>
                <w:rFonts w:eastAsia="Calibri"/>
              </w:rPr>
              <w:t>Existence fungujících stabilních poskytovatelů sociálních služeb</w:t>
            </w:r>
          </w:p>
          <w:p w:rsidR="0066316A" w:rsidRPr="0066316A" w:rsidRDefault="0066316A" w:rsidP="00CC2C0F">
            <w:pPr>
              <w:pStyle w:val="odrkaSWOT"/>
              <w:jc w:val="both"/>
              <w:rPr>
                <w:rFonts w:eastAsia="Calibri"/>
              </w:rPr>
            </w:pPr>
            <w:r w:rsidRPr="0066316A">
              <w:rPr>
                <w:rFonts w:eastAsia="Calibri"/>
              </w:rPr>
              <w:t xml:space="preserve">Flexibilně reagující služby na vznikající krizové situace </w:t>
            </w:r>
          </w:p>
          <w:p w:rsidR="0066316A" w:rsidRPr="0066316A" w:rsidRDefault="0066316A" w:rsidP="00CC2C0F">
            <w:pPr>
              <w:pStyle w:val="odrkaSWOT"/>
              <w:jc w:val="both"/>
              <w:rPr>
                <w:rFonts w:eastAsia="Calibri"/>
              </w:rPr>
            </w:pPr>
            <w:r w:rsidRPr="0066316A">
              <w:rPr>
                <w:rFonts w:eastAsia="Calibri"/>
              </w:rPr>
              <w:t xml:space="preserve">Poskytovatelé sociálních služeb se podíleli na zmírnění dopadu </w:t>
            </w:r>
            <w:proofErr w:type="spellStart"/>
            <w:r w:rsidRPr="0066316A">
              <w:rPr>
                <w:rFonts w:eastAsia="Calibri"/>
              </w:rPr>
              <w:t>covidové</w:t>
            </w:r>
            <w:proofErr w:type="spellEnd"/>
            <w:r w:rsidRPr="0066316A">
              <w:rPr>
                <w:rFonts w:eastAsia="Calibri"/>
              </w:rPr>
              <w:t xml:space="preserve"> pandemie zajištěním podpory v oblasti vzdělávání dětí a mládeže z cílové skupiny</w:t>
            </w:r>
          </w:p>
          <w:p w:rsidR="0066316A" w:rsidRPr="0066316A" w:rsidRDefault="0066316A" w:rsidP="00CC2C0F">
            <w:pPr>
              <w:pStyle w:val="odrkaSWOT"/>
              <w:jc w:val="both"/>
              <w:rPr>
                <w:rFonts w:eastAsia="Calibri"/>
              </w:rPr>
            </w:pPr>
            <w:r w:rsidRPr="0066316A">
              <w:rPr>
                <w:rFonts w:eastAsia="Calibri"/>
              </w:rPr>
              <w:t xml:space="preserve">Rozšíření spolupráce s dobrovolníky v rámci </w:t>
            </w:r>
            <w:proofErr w:type="spellStart"/>
            <w:r w:rsidRPr="0066316A">
              <w:rPr>
                <w:rFonts w:eastAsia="Calibri"/>
              </w:rPr>
              <w:t>covidové</w:t>
            </w:r>
            <w:proofErr w:type="spellEnd"/>
            <w:r w:rsidRPr="0066316A">
              <w:rPr>
                <w:rFonts w:eastAsia="Calibri"/>
              </w:rPr>
              <w:t xml:space="preserve"> pandemie</w:t>
            </w:r>
          </w:p>
          <w:p w:rsidR="0066316A" w:rsidRPr="0066316A" w:rsidRDefault="0066316A" w:rsidP="00CC2C0F">
            <w:pPr>
              <w:pStyle w:val="odrkaSWOT"/>
              <w:jc w:val="both"/>
              <w:rPr>
                <w:rFonts w:eastAsia="Calibri"/>
              </w:rPr>
            </w:pPr>
            <w:r w:rsidRPr="0066316A">
              <w:rPr>
                <w:rFonts w:eastAsia="Calibri"/>
              </w:rPr>
              <w:t>Zvyšující se počet Romů se středoškolským i vysokoškolským vzděláním</w:t>
            </w:r>
          </w:p>
          <w:p w:rsidR="0066316A" w:rsidRPr="0066316A" w:rsidRDefault="0066316A" w:rsidP="00CC2C0F">
            <w:pPr>
              <w:pStyle w:val="odrkaSWOT"/>
              <w:jc w:val="both"/>
              <w:rPr>
                <w:rFonts w:eastAsia="Calibri"/>
              </w:rPr>
            </w:pPr>
            <w:r w:rsidRPr="0066316A">
              <w:rPr>
                <w:rFonts w:eastAsia="Calibri"/>
              </w:rPr>
              <w:t>Stipendijní podpora vybraných oborů vzdělávání pro cílovou skupinu mládeže ze strany kraje</w:t>
            </w:r>
          </w:p>
          <w:p w:rsidR="0066316A" w:rsidRPr="0066316A" w:rsidRDefault="0066316A" w:rsidP="00CC2C0F">
            <w:pPr>
              <w:pStyle w:val="odrkaSWOT"/>
              <w:jc w:val="both"/>
              <w:rPr>
                <w:rFonts w:eastAsia="Calibri"/>
              </w:rPr>
            </w:pPr>
            <w:r w:rsidRPr="0066316A">
              <w:rPr>
                <w:rFonts w:eastAsia="Calibri"/>
              </w:rPr>
              <w:t xml:space="preserve">Dobře fungující informační servis v rámci </w:t>
            </w:r>
            <w:proofErr w:type="spellStart"/>
            <w:r w:rsidRPr="0066316A">
              <w:rPr>
                <w:rFonts w:eastAsia="Calibri"/>
              </w:rPr>
              <w:t>KISSoS</w:t>
            </w:r>
            <w:proofErr w:type="spellEnd"/>
            <w:r w:rsidRPr="0066316A">
              <w:rPr>
                <w:rFonts w:eastAsia="Calibri"/>
              </w:rPr>
              <w:t xml:space="preserve"> </w:t>
            </w:r>
          </w:p>
          <w:p w:rsidR="0066316A" w:rsidRPr="0066316A" w:rsidRDefault="0066316A" w:rsidP="00CC2C0F">
            <w:pPr>
              <w:pStyle w:val="odrkaSWOT"/>
              <w:numPr>
                <w:ilvl w:val="0"/>
                <w:numId w:val="0"/>
              </w:numPr>
              <w:ind w:left="357"/>
              <w:rPr>
                <w:rFonts w:eastAsia="Calibri"/>
              </w:rPr>
            </w:pPr>
          </w:p>
        </w:tc>
        <w:tc>
          <w:tcPr>
            <w:tcW w:w="4634" w:type="dxa"/>
            <w:tcBorders>
              <w:top w:val="single" w:sz="4" w:space="0" w:color="auto"/>
              <w:left w:val="single" w:sz="4" w:space="0" w:color="auto"/>
              <w:bottom w:val="single" w:sz="4" w:space="0" w:color="auto"/>
              <w:right w:val="single" w:sz="4" w:space="0" w:color="auto"/>
            </w:tcBorders>
            <w:shd w:val="clear" w:color="auto" w:fill="auto"/>
          </w:tcPr>
          <w:p w:rsidR="0066316A" w:rsidRPr="0066316A" w:rsidRDefault="0066316A" w:rsidP="00CC2C0F">
            <w:pPr>
              <w:pStyle w:val="odrkaSWOT"/>
              <w:jc w:val="both"/>
              <w:rPr>
                <w:rFonts w:eastAsia="Calibri"/>
              </w:rPr>
            </w:pPr>
            <w:r w:rsidRPr="0066316A">
              <w:rPr>
                <w:rFonts w:eastAsia="Calibri"/>
              </w:rPr>
              <w:t>Nízký zájem obcí podílet se na spolufinancování sociálních služeb pro tuto cílovou skupinu</w:t>
            </w:r>
          </w:p>
          <w:p w:rsidR="0066316A" w:rsidRPr="0066316A" w:rsidRDefault="0066316A" w:rsidP="00CC2C0F">
            <w:pPr>
              <w:pStyle w:val="odrkaSWOT"/>
              <w:jc w:val="both"/>
              <w:rPr>
                <w:rFonts w:eastAsia="Calibri"/>
              </w:rPr>
            </w:pPr>
            <w:r w:rsidRPr="0066316A">
              <w:rPr>
                <w:rFonts w:eastAsia="Calibri"/>
              </w:rPr>
              <w:t>Nezájem některých obcí řešit sociální začleňování osob ze sociálně vyloučených lokalit</w:t>
            </w:r>
          </w:p>
          <w:p w:rsidR="0066316A" w:rsidRPr="0066316A" w:rsidRDefault="0066316A" w:rsidP="00CC2C0F">
            <w:pPr>
              <w:pStyle w:val="odrkaSWOT"/>
              <w:jc w:val="both"/>
              <w:rPr>
                <w:rFonts w:eastAsia="Calibri"/>
              </w:rPr>
            </w:pPr>
            <w:r w:rsidRPr="0066316A">
              <w:rPr>
                <w:rFonts w:eastAsia="Calibri"/>
              </w:rPr>
              <w:t>Nerovnoměrné rozložení působnosti poskytovatelů služeb sociální prevence</w:t>
            </w:r>
          </w:p>
          <w:p w:rsidR="0066316A" w:rsidRPr="0066316A" w:rsidRDefault="0066316A" w:rsidP="00CC2C0F">
            <w:pPr>
              <w:pStyle w:val="odrkaSWOT"/>
              <w:jc w:val="both"/>
              <w:rPr>
                <w:rFonts w:eastAsia="Calibri"/>
              </w:rPr>
            </w:pPr>
            <w:r w:rsidRPr="0066316A">
              <w:rPr>
                <w:rFonts w:eastAsia="Calibri"/>
              </w:rPr>
              <w:t xml:space="preserve">Problematická spolupráce s některými školami v oblasti společné podpory sociálně znevýhodněných rodin s dětmi a v oblasti podpory začleňování dětí z cílové skupiny do vzdělávacího systému </w:t>
            </w:r>
          </w:p>
          <w:p w:rsidR="0066316A" w:rsidRPr="0066316A" w:rsidRDefault="0066316A" w:rsidP="00CC2C0F">
            <w:pPr>
              <w:pStyle w:val="odrkaSWOT"/>
              <w:jc w:val="both"/>
              <w:rPr>
                <w:rFonts w:eastAsia="Calibri"/>
              </w:rPr>
            </w:pPr>
            <w:r w:rsidRPr="0066316A">
              <w:rPr>
                <w:rFonts w:eastAsia="Calibri"/>
              </w:rPr>
              <w:t>Nemožnost pružně reagovat na aktuální změny v regionech změnami v síti sociálních služeb kraje z důvodu nastavených procesních pravidel financování sítě</w:t>
            </w:r>
          </w:p>
          <w:p w:rsidR="0066316A" w:rsidRPr="0066316A" w:rsidRDefault="0066316A" w:rsidP="00CC2C0F">
            <w:pPr>
              <w:pStyle w:val="odrkaSWOT"/>
              <w:jc w:val="both"/>
              <w:rPr>
                <w:rFonts w:eastAsia="Calibri"/>
              </w:rPr>
            </w:pPr>
            <w:r w:rsidRPr="0066316A">
              <w:rPr>
                <w:rFonts w:eastAsia="Calibri"/>
              </w:rPr>
              <w:t>Absence kontroly poskytování sociálních služeb ze strany KÚOK</w:t>
            </w:r>
          </w:p>
          <w:p w:rsidR="0066316A" w:rsidRPr="0066316A" w:rsidRDefault="0066316A" w:rsidP="00CC2C0F">
            <w:pPr>
              <w:pStyle w:val="odrkaSWOT"/>
              <w:jc w:val="both"/>
              <w:rPr>
                <w:rFonts w:eastAsia="Calibri"/>
              </w:rPr>
            </w:pPr>
            <w:r w:rsidRPr="0066316A">
              <w:rPr>
                <w:rFonts w:eastAsia="Calibri"/>
              </w:rPr>
              <w:t>Absence nástrojů k řešení obchodu s chudobou (výkup zchátralých nemovitostí za účelem pronájmu, lichva)</w:t>
            </w:r>
          </w:p>
          <w:p w:rsidR="0066316A" w:rsidRPr="0066316A" w:rsidRDefault="0066316A" w:rsidP="00CC2C0F">
            <w:pPr>
              <w:pStyle w:val="odrkaSWOT"/>
              <w:jc w:val="both"/>
              <w:rPr>
                <w:rFonts w:eastAsia="Calibri"/>
              </w:rPr>
            </w:pPr>
            <w:r w:rsidRPr="0066316A">
              <w:rPr>
                <w:rFonts w:eastAsia="Calibri"/>
              </w:rPr>
              <w:t xml:space="preserve">Nenaplnění stanovených cílů v rámci Střednědobého plánu 2021–2023 z důvodu </w:t>
            </w:r>
            <w:r w:rsidR="00E00EA8" w:rsidRPr="00E00EA8">
              <w:rPr>
                <w:rFonts w:eastAsia="Calibri"/>
              </w:rPr>
              <w:t>pandemie Covid-19</w:t>
            </w:r>
          </w:p>
          <w:p w:rsidR="0066316A" w:rsidRPr="0066316A" w:rsidRDefault="0066316A" w:rsidP="00CC2C0F">
            <w:pPr>
              <w:pStyle w:val="odrkaSWOT"/>
              <w:jc w:val="both"/>
            </w:pPr>
            <w:r w:rsidRPr="0066316A">
              <w:rPr>
                <w:rFonts w:eastAsia="Calibri"/>
              </w:rPr>
              <w:t>Absence detailních informací o fungování, využití komunitních center</w:t>
            </w:r>
          </w:p>
        </w:tc>
      </w:tr>
      <w:tr w:rsidR="0066316A" w:rsidRPr="0066316A" w:rsidTr="00587061">
        <w:trPr>
          <w:tblHeader/>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66316A" w:rsidRPr="0066316A" w:rsidRDefault="0066316A" w:rsidP="0066316A">
            <w:pPr>
              <w:tabs>
                <w:tab w:val="left" w:pos="2520"/>
              </w:tabs>
              <w:spacing w:before="0"/>
              <w:jc w:val="center"/>
              <w:rPr>
                <w:rFonts w:cs="Segoe UI"/>
                <w:b/>
                <w:sz w:val="18"/>
                <w:szCs w:val="18"/>
              </w:rPr>
            </w:pPr>
            <w:r w:rsidRPr="0066316A">
              <w:rPr>
                <w:rFonts w:cs="Segoe UI"/>
                <w:b/>
                <w:sz w:val="18"/>
                <w:szCs w:val="18"/>
              </w:rPr>
              <w:t xml:space="preserve">Příležitosti </w:t>
            </w:r>
          </w:p>
        </w:tc>
        <w:tc>
          <w:tcPr>
            <w:tcW w:w="4634" w:type="dxa"/>
            <w:tcBorders>
              <w:top w:val="single" w:sz="4" w:space="0" w:color="auto"/>
              <w:left w:val="single" w:sz="4" w:space="0" w:color="auto"/>
              <w:bottom w:val="single" w:sz="4" w:space="0" w:color="auto"/>
              <w:right w:val="single" w:sz="4" w:space="0" w:color="auto"/>
            </w:tcBorders>
            <w:shd w:val="clear" w:color="auto" w:fill="auto"/>
            <w:hideMark/>
          </w:tcPr>
          <w:p w:rsidR="0066316A" w:rsidRPr="0066316A" w:rsidRDefault="0066316A" w:rsidP="0066316A">
            <w:pPr>
              <w:tabs>
                <w:tab w:val="left" w:pos="2520"/>
              </w:tabs>
              <w:spacing w:before="0"/>
              <w:jc w:val="center"/>
              <w:rPr>
                <w:rFonts w:cs="Segoe UI"/>
                <w:b/>
                <w:sz w:val="18"/>
                <w:szCs w:val="18"/>
              </w:rPr>
            </w:pPr>
            <w:r w:rsidRPr="0066316A">
              <w:rPr>
                <w:rFonts w:cs="Segoe UI"/>
                <w:b/>
                <w:sz w:val="18"/>
                <w:szCs w:val="18"/>
              </w:rPr>
              <w:t>Hrozby</w:t>
            </w:r>
          </w:p>
        </w:tc>
      </w:tr>
      <w:tr w:rsidR="0066316A" w:rsidRPr="0066316A" w:rsidTr="00587061">
        <w:trPr>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66316A" w:rsidRPr="0066316A" w:rsidRDefault="0066316A" w:rsidP="00CC2C0F">
            <w:pPr>
              <w:pStyle w:val="odrkaSWOT"/>
              <w:jc w:val="both"/>
            </w:pPr>
            <w:r w:rsidRPr="0066316A">
              <w:t>Rozvoj spolupráce a přenos dobré praxe mezi poskytovateli služe</w:t>
            </w:r>
            <w:r w:rsidR="000B266F">
              <w:t>b a sociálními pracovníky obcí II. a III</w:t>
            </w:r>
            <w:r w:rsidRPr="0066316A">
              <w:t>. typu ve všech lokalitách OK například formou lokálního partnerství, komunitního plánování, spolupráce s MAS a mikroregiony apod.</w:t>
            </w:r>
          </w:p>
          <w:p w:rsidR="0066316A" w:rsidRPr="0066316A" w:rsidRDefault="0066316A" w:rsidP="00CC2C0F">
            <w:pPr>
              <w:pStyle w:val="odrkaSWOT"/>
              <w:jc w:val="both"/>
            </w:pPr>
            <w:r w:rsidRPr="0066316A">
              <w:t>Obnovení aktivit mobilního týmu</w:t>
            </w:r>
          </w:p>
          <w:p w:rsidR="0066316A" w:rsidRPr="0066316A" w:rsidRDefault="0066316A" w:rsidP="00CC2C0F">
            <w:pPr>
              <w:pStyle w:val="odrkaSWOT"/>
              <w:jc w:val="both"/>
            </w:pPr>
            <w:r w:rsidRPr="0066316A">
              <w:t>Využití aktivit Agentury pro sociální začleňování v OK a aplikace výstupů jejích zkušeností</w:t>
            </w:r>
          </w:p>
          <w:p w:rsidR="0066316A" w:rsidRPr="0066316A" w:rsidRDefault="0066316A" w:rsidP="00CC2C0F">
            <w:pPr>
              <w:pStyle w:val="odrkaSWOT"/>
              <w:jc w:val="both"/>
            </w:pPr>
            <w:r w:rsidRPr="0066316A">
              <w:t>Větší využití komunitních center – zázemí poskytovatelů sociálních služeb a fakultativních služeb</w:t>
            </w:r>
          </w:p>
          <w:p w:rsidR="0066316A" w:rsidRPr="0066316A" w:rsidRDefault="0066316A" w:rsidP="00CC2C0F">
            <w:pPr>
              <w:pStyle w:val="odrkaSWOT"/>
              <w:jc w:val="both"/>
            </w:pPr>
            <w:r w:rsidRPr="0066316A">
              <w:t>Možnost financování komunitní (sociální) práce</w:t>
            </w:r>
          </w:p>
          <w:p w:rsidR="0066316A" w:rsidRPr="0066316A" w:rsidRDefault="0066316A" w:rsidP="00CC2C0F">
            <w:pPr>
              <w:pStyle w:val="odrkaSWOT"/>
              <w:jc w:val="both"/>
            </w:pPr>
            <w:r w:rsidRPr="0066316A">
              <w:t xml:space="preserve">Rozvoj a využití </w:t>
            </w:r>
            <w:proofErr w:type="spellStart"/>
            <w:r w:rsidRPr="0066316A">
              <w:t>service</w:t>
            </w:r>
            <w:proofErr w:type="spellEnd"/>
            <w:r w:rsidRPr="0066316A">
              <w:t xml:space="preserve"> e-</w:t>
            </w:r>
            <w:proofErr w:type="spellStart"/>
            <w:r w:rsidRPr="0066316A">
              <w:t>learningu</w:t>
            </w:r>
            <w:proofErr w:type="spellEnd"/>
            <w:r w:rsidRPr="0066316A">
              <w:t xml:space="preserve"> pro poskytovatele sociálních služeb a sociální pracovníky obcí</w:t>
            </w:r>
          </w:p>
          <w:p w:rsidR="0066316A" w:rsidRPr="0066316A" w:rsidRDefault="0066316A" w:rsidP="00CC2C0F">
            <w:pPr>
              <w:pStyle w:val="odrkaSWOT"/>
              <w:jc w:val="both"/>
            </w:pPr>
            <w:r w:rsidRPr="0066316A">
              <w:t xml:space="preserve">Vytvořit cestu k metodické podpoře a následné kontrole poskytovatelů sociálních služeb ze strany kraje ve vztahu k síti, a to nejen na základě kvantitativních, ale i kvalitativních ukazatelů </w:t>
            </w:r>
          </w:p>
          <w:p w:rsidR="0066316A" w:rsidRPr="0066316A" w:rsidRDefault="0066316A" w:rsidP="00CC2C0F">
            <w:pPr>
              <w:pStyle w:val="odrkaSWOT"/>
              <w:jc w:val="both"/>
            </w:pPr>
            <w:r w:rsidRPr="0066316A">
              <w:t xml:space="preserve">Podpora synergické spolupráce mezi poskytovateli sociálních služeb, ORP, ÚP v rámci řešení sociálního vyloučení </w:t>
            </w:r>
          </w:p>
          <w:p w:rsidR="0066316A" w:rsidRPr="0066316A" w:rsidRDefault="0066316A" w:rsidP="00CC2C0F">
            <w:pPr>
              <w:pStyle w:val="odrkaSWOT"/>
              <w:jc w:val="both"/>
            </w:pPr>
            <w:r w:rsidRPr="0066316A">
              <w:rPr>
                <w:bCs/>
              </w:rPr>
              <w:t xml:space="preserve">Využít stávajících možností působit ze strany obcí i kraje na stát za účelem nastavení nástrojů k </w:t>
            </w:r>
            <w:r w:rsidRPr="0066316A">
              <w:rPr>
                <w:bCs/>
              </w:rPr>
              <w:lastRenderedPageBreak/>
              <w:t>řešení obchodu s chudobou a řešení sociálního začleňování</w:t>
            </w:r>
          </w:p>
          <w:p w:rsidR="0066316A" w:rsidRPr="0066316A" w:rsidRDefault="0066316A" w:rsidP="00CC2C0F">
            <w:pPr>
              <w:pStyle w:val="odrkaSWOT"/>
              <w:jc w:val="both"/>
            </w:pPr>
            <w:r w:rsidRPr="0066316A">
              <w:t>Další rozvoj spolupráce s dobrovolníky a dobrovolnickými centry</w:t>
            </w:r>
          </w:p>
          <w:p w:rsidR="0066316A" w:rsidRPr="0066316A" w:rsidRDefault="0066316A" w:rsidP="00CC2C0F">
            <w:pPr>
              <w:pStyle w:val="odrkaSWOT"/>
              <w:jc w:val="both"/>
            </w:pPr>
            <w:r w:rsidRPr="0066316A">
              <w:t>Další rozvoj dluhové platformy v rámci spolupráce s Agenturou pro sociální začleňování</w:t>
            </w:r>
          </w:p>
          <w:p w:rsidR="0066316A" w:rsidRPr="0066316A" w:rsidRDefault="0066316A" w:rsidP="00CC2C0F">
            <w:pPr>
              <w:pStyle w:val="odrkaSWOT"/>
              <w:jc w:val="both"/>
            </w:pPr>
            <w:r w:rsidRPr="0066316A">
              <w:t>Pořádání aktivit směřujících k podpoře vzájemného interkulturního dialogu</w:t>
            </w:r>
          </w:p>
          <w:p w:rsidR="0066316A" w:rsidRPr="0066316A" w:rsidRDefault="0066316A" w:rsidP="00CC2C0F">
            <w:pPr>
              <w:pStyle w:val="odrkaSWOT"/>
              <w:jc w:val="both"/>
            </w:pPr>
            <w:r w:rsidRPr="0066316A">
              <w:t xml:space="preserve">Zvýšit společenskou prestiž sociální práce </w:t>
            </w:r>
          </w:p>
        </w:tc>
        <w:tc>
          <w:tcPr>
            <w:tcW w:w="4634" w:type="dxa"/>
            <w:tcBorders>
              <w:top w:val="single" w:sz="4" w:space="0" w:color="auto"/>
              <w:left w:val="single" w:sz="4" w:space="0" w:color="auto"/>
              <w:bottom w:val="single" w:sz="4" w:space="0" w:color="auto"/>
              <w:right w:val="single" w:sz="4" w:space="0" w:color="auto"/>
            </w:tcBorders>
            <w:shd w:val="clear" w:color="auto" w:fill="auto"/>
            <w:hideMark/>
          </w:tcPr>
          <w:p w:rsidR="0066316A" w:rsidRPr="0066316A" w:rsidRDefault="0066316A" w:rsidP="00CC2C0F">
            <w:pPr>
              <w:pStyle w:val="odrkaSWOT"/>
              <w:jc w:val="both"/>
            </w:pPr>
            <w:r w:rsidRPr="0066316A">
              <w:lastRenderedPageBreak/>
              <w:t>Vznik dalších segregovaných škol</w:t>
            </w:r>
          </w:p>
          <w:p w:rsidR="0066316A" w:rsidRPr="0066316A" w:rsidRDefault="0066316A" w:rsidP="00CC2C0F">
            <w:pPr>
              <w:pStyle w:val="odrkaSWOT"/>
              <w:jc w:val="both"/>
            </w:pPr>
            <w:r w:rsidRPr="0066316A">
              <w:t>Neřešení bytových potřeb cílové skupiny (sociální bydlení, řešení akutních situací)</w:t>
            </w:r>
          </w:p>
          <w:p w:rsidR="0066316A" w:rsidRPr="0066316A" w:rsidRDefault="0066316A" w:rsidP="00CC2C0F">
            <w:pPr>
              <w:pStyle w:val="odrkaSWOT"/>
              <w:jc w:val="both"/>
            </w:pPr>
            <w:r w:rsidRPr="0066316A">
              <w:t>Neochota a nezájem některých obcí spolupracovat (podávání informací, depistáže, monitoring sociálně ohrožených)</w:t>
            </w:r>
          </w:p>
          <w:p w:rsidR="0066316A" w:rsidRPr="0066316A" w:rsidRDefault="0066316A" w:rsidP="00CC2C0F">
            <w:pPr>
              <w:pStyle w:val="odrkaSWOT"/>
              <w:jc w:val="both"/>
            </w:pPr>
            <w:r w:rsidRPr="0066316A">
              <w:t>Zvýšení interetnického napětí (cizinci, SVL)</w:t>
            </w:r>
          </w:p>
          <w:p w:rsidR="0066316A" w:rsidRPr="0066316A" w:rsidRDefault="0066316A" w:rsidP="00CC2C0F">
            <w:pPr>
              <w:pStyle w:val="odrkaSWOT"/>
              <w:jc w:val="both"/>
            </w:pPr>
            <w:r w:rsidRPr="0066316A">
              <w:t xml:space="preserve">Agenturní zaměstnávání – legislativa neřeší </w:t>
            </w:r>
          </w:p>
          <w:p w:rsidR="0066316A" w:rsidRPr="0066316A" w:rsidRDefault="0066316A" w:rsidP="00CC2C0F">
            <w:pPr>
              <w:pStyle w:val="odrkaSWOT"/>
              <w:jc w:val="both"/>
            </w:pPr>
            <w:r w:rsidRPr="0066316A">
              <w:t xml:space="preserve">Podhodnocení financování sociálních služeb, nejistota ve financích na začátku roku </w:t>
            </w:r>
          </w:p>
          <w:p w:rsidR="0066316A" w:rsidRPr="0066316A" w:rsidRDefault="0066316A" w:rsidP="00CC2C0F">
            <w:pPr>
              <w:pStyle w:val="odrkaSWOT"/>
              <w:jc w:val="both"/>
            </w:pPr>
            <w:r w:rsidRPr="0066316A">
              <w:t>Ztížená možnost získat a udržet si kvalitní zaměstnance (nízká společenská prestiž, vysoká administrativní zátěž, nejistota v zachování pracovního místa a další)</w:t>
            </w:r>
          </w:p>
          <w:p w:rsidR="0066316A" w:rsidRPr="0066316A" w:rsidRDefault="0066316A" w:rsidP="00CC2C0F">
            <w:pPr>
              <w:pStyle w:val="odrkaSWOT"/>
              <w:jc w:val="both"/>
            </w:pPr>
            <w:r w:rsidRPr="0066316A">
              <w:t>Nejsou vytvořeny mechanismy monitoringu nelegálních cizinců a jejich možných problémů (týká se cizinců jak z EU, tak z třetích zemí)</w:t>
            </w:r>
          </w:p>
          <w:p w:rsidR="0066316A" w:rsidRPr="0066316A" w:rsidRDefault="0066316A" w:rsidP="00CC2C0F">
            <w:pPr>
              <w:pStyle w:val="odrkaSWOT"/>
              <w:jc w:val="both"/>
            </w:pPr>
            <w:r w:rsidRPr="0066316A">
              <w:t>Současný systém nastavení financování sociálních služeb neumožňuje kvalitní vzdělávání odpovídající potřebám pracovníka i poskytovatele</w:t>
            </w:r>
          </w:p>
          <w:p w:rsidR="0066316A" w:rsidRPr="0066316A" w:rsidRDefault="0066316A" w:rsidP="00CC2C0F">
            <w:pPr>
              <w:pStyle w:val="odrkaSWOT"/>
              <w:jc w:val="both"/>
            </w:pPr>
            <w:r w:rsidRPr="0066316A">
              <w:t>Absence dostatečných kapacit sociálních služeb pro cizince v kontextu možných krizových migračních vln</w:t>
            </w:r>
          </w:p>
          <w:p w:rsidR="0066316A" w:rsidRPr="0066316A" w:rsidRDefault="0066316A" w:rsidP="00CC2C0F">
            <w:pPr>
              <w:pStyle w:val="odrkaSWOT"/>
              <w:jc w:val="both"/>
            </w:pPr>
            <w:r w:rsidRPr="0066316A">
              <w:t>Nepříznivé epidemiologické podmínky – návrat pandemie Covid-19</w:t>
            </w:r>
          </w:p>
          <w:p w:rsidR="0066316A" w:rsidRPr="0066316A" w:rsidRDefault="0066316A" w:rsidP="00CC2C0F">
            <w:pPr>
              <w:pStyle w:val="odrkaSWOT"/>
              <w:jc w:val="both"/>
            </w:pPr>
            <w:r w:rsidRPr="0066316A">
              <w:t xml:space="preserve">Dopady energetické chudoby a Green </w:t>
            </w:r>
            <w:proofErr w:type="spellStart"/>
            <w:r w:rsidRPr="0066316A">
              <w:t>Dealu</w:t>
            </w:r>
            <w:proofErr w:type="spellEnd"/>
          </w:p>
          <w:p w:rsidR="0066316A" w:rsidRPr="0066316A" w:rsidRDefault="0066316A" w:rsidP="00CC2C0F">
            <w:pPr>
              <w:pStyle w:val="odrkaSWOT"/>
              <w:jc w:val="both"/>
            </w:pPr>
            <w:r w:rsidRPr="0066316A">
              <w:lastRenderedPageBreak/>
              <w:t>Dopady válečného konfliktu na Ukrajině</w:t>
            </w:r>
          </w:p>
        </w:tc>
      </w:tr>
    </w:tbl>
    <w:p w:rsidR="00FB1999" w:rsidRPr="007C2EB2" w:rsidRDefault="00FB1999" w:rsidP="00A34764"/>
    <w:p w:rsidR="00FB1999" w:rsidRDefault="00FB1999" w:rsidP="00A34764">
      <w:pPr>
        <w:pStyle w:val="Nadpis3"/>
      </w:pPr>
      <w:bookmarkStart w:id="223" w:name="_Toc113622090"/>
      <w:bookmarkStart w:id="224" w:name="_Toc117607003"/>
      <w:r w:rsidRPr="007C2EB2">
        <w:t>Seznam cílů a opatření</w:t>
      </w:r>
      <w:bookmarkEnd w:id="223"/>
      <w:bookmarkEnd w:id="224"/>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077"/>
      </w:tblGrid>
      <w:tr w:rsidR="00FB1999" w:rsidRPr="007C71CE" w:rsidTr="0066316A">
        <w:trPr>
          <w:trHeight w:val="397"/>
        </w:trPr>
        <w:tc>
          <w:tcPr>
            <w:tcW w:w="1095" w:type="pct"/>
            <w:shd w:val="clear" w:color="auto" w:fill="FABF8F"/>
          </w:tcPr>
          <w:p w:rsidR="00FB1999" w:rsidRPr="0066316A" w:rsidRDefault="00FB1999" w:rsidP="0066316A">
            <w:pPr>
              <w:spacing w:before="0"/>
              <w:rPr>
                <w:rFonts w:eastAsia="Arial Unicode MS"/>
                <w:b/>
                <w:lang w:eastAsia="cs-CZ"/>
              </w:rPr>
            </w:pPr>
            <w:r w:rsidRPr="0066316A">
              <w:rPr>
                <w:rFonts w:eastAsia="Arial Unicode MS"/>
                <w:b/>
                <w:lang w:eastAsia="cs-CZ"/>
              </w:rPr>
              <w:t>Cíl 4.1</w:t>
            </w:r>
          </w:p>
        </w:tc>
        <w:tc>
          <w:tcPr>
            <w:tcW w:w="3905" w:type="pct"/>
            <w:shd w:val="clear" w:color="auto" w:fill="FABF8F"/>
          </w:tcPr>
          <w:p w:rsidR="00FB1999" w:rsidRPr="0066316A" w:rsidRDefault="00FB1999" w:rsidP="0066316A">
            <w:pPr>
              <w:spacing w:before="0"/>
              <w:rPr>
                <w:rFonts w:eastAsia="Arial Unicode MS"/>
                <w:b/>
                <w:color w:val="FF0000"/>
                <w:lang w:eastAsia="cs-CZ"/>
              </w:rPr>
            </w:pPr>
            <w:r w:rsidRPr="0066316A">
              <w:rPr>
                <w:rFonts w:eastAsia="Arial Unicode MS"/>
                <w:b/>
                <w:lang w:eastAsia="cs-CZ"/>
              </w:rPr>
              <w:t>Zajištění potřebného rozsahu sociálních služeb napomáhající</w:t>
            </w:r>
            <w:r w:rsidR="00E00EA8">
              <w:rPr>
                <w:rFonts w:eastAsia="Arial Unicode MS"/>
                <w:b/>
                <w:lang w:eastAsia="cs-CZ"/>
              </w:rPr>
              <w:t>ch</w:t>
            </w:r>
            <w:r w:rsidRPr="0066316A">
              <w:rPr>
                <w:rFonts w:eastAsia="Arial Unicode MS"/>
                <w:b/>
                <w:lang w:eastAsia="cs-CZ"/>
              </w:rPr>
              <w:t xml:space="preserve"> k integraci cílových skupin v OK</w:t>
            </w:r>
          </w:p>
        </w:tc>
      </w:tr>
      <w:tr w:rsidR="00FB1999" w:rsidRPr="007C71CE" w:rsidTr="0066316A">
        <w:trPr>
          <w:trHeight w:val="397"/>
        </w:trPr>
        <w:tc>
          <w:tcPr>
            <w:tcW w:w="1095" w:type="pct"/>
            <w:shd w:val="clear" w:color="auto" w:fill="E2EFD9" w:themeFill="accent6" w:themeFillTint="33"/>
          </w:tcPr>
          <w:p w:rsidR="00FB1999" w:rsidRPr="0066316A" w:rsidRDefault="00FB1999" w:rsidP="0066316A">
            <w:pPr>
              <w:spacing w:before="0"/>
              <w:rPr>
                <w:rFonts w:eastAsia="Arial Unicode MS"/>
                <w:b/>
                <w:lang w:eastAsia="cs-CZ"/>
              </w:rPr>
            </w:pPr>
            <w:r w:rsidRPr="0066316A">
              <w:rPr>
                <w:rFonts w:eastAsia="Arial Unicode MS"/>
                <w:b/>
                <w:lang w:eastAsia="cs-CZ"/>
              </w:rPr>
              <w:t>Opatření 4.1.1</w:t>
            </w:r>
          </w:p>
        </w:tc>
        <w:tc>
          <w:tcPr>
            <w:tcW w:w="3905" w:type="pct"/>
            <w:shd w:val="clear" w:color="auto" w:fill="E2EFD9" w:themeFill="accent6" w:themeFillTint="33"/>
          </w:tcPr>
          <w:p w:rsidR="00FB1999" w:rsidRPr="00BA6C31" w:rsidRDefault="00FB1999" w:rsidP="0066316A">
            <w:pPr>
              <w:spacing w:before="0"/>
              <w:rPr>
                <w:rFonts w:ascii="Times New Roman" w:hAnsi="Times New Roman"/>
                <w:color w:val="000000"/>
              </w:rPr>
            </w:pPr>
            <w:r w:rsidRPr="00BA6C31">
              <w:rPr>
                <w:rFonts w:eastAsia="Arial Unicode MS"/>
                <w:lang w:eastAsia="cs-CZ"/>
              </w:rPr>
              <w:t>Zajištění služeb podporující integraci národnostních menšin a cizinců, prevence vzniku a řešení stávajících vyloučených lokalit, vzniklých sociálních potřeb</w:t>
            </w:r>
          </w:p>
        </w:tc>
      </w:tr>
    </w:tbl>
    <w:p w:rsidR="00FB1999" w:rsidRPr="007C2EB2" w:rsidRDefault="00FB1999" w:rsidP="00A34764">
      <w:pPr>
        <w:pStyle w:val="Nadpis3"/>
      </w:pPr>
      <w:bookmarkStart w:id="225" w:name="_Toc117607004"/>
      <w:r>
        <w:t>Popis cílů a opatření</w:t>
      </w:r>
      <w:bookmarkEnd w:id="225"/>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077"/>
      </w:tblGrid>
      <w:tr w:rsidR="00FB1999" w:rsidRPr="007C71CE" w:rsidTr="0066316A">
        <w:trPr>
          <w:trHeight w:val="397"/>
        </w:trPr>
        <w:tc>
          <w:tcPr>
            <w:tcW w:w="1095" w:type="pct"/>
            <w:shd w:val="clear" w:color="auto" w:fill="FABF8F"/>
          </w:tcPr>
          <w:p w:rsidR="00FB1999" w:rsidRPr="0066316A" w:rsidRDefault="00FB1999" w:rsidP="00D41DBC">
            <w:pPr>
              <w:keepNext/>
              <w:spacing w:before="0"/>
              <w:jc w:val="left"/>
              <w:rPr>
                <w:rFonts w:eastAsia="Arial Unicode MS"/>
                <w:b/>
                <w:lang w:eastAsia="cs-CZ"/>
              </w:rPr>
            </w:pPr>
            <w:r w:rsidRPr="0066316A">
              <w:rPr>
                <w:rFonts w:eastAsia="Arial Unicode MS"/>
                <w:b/>
                <w:lang w:eastAsia="cs-CZ"/>
              </w:rPr>
              <w:t>Cíl 4.1</w:t>
            </w:r>
          </w:p>
        </w:tc>
        <w:tc>
          <w:tcPr>
            <w:tcW w:w="3905" w:type="pct"/>
            <w:shd w:val="clear" w:color="auto" w:fill="FABF8F"/>
          </w:tcPr>
          <w:p w:rsidR="00FB1999" w:rsidRPr="0066316A" w:rsidRDefault="00FB1999" w:rsidP="00D41DBC">
            <w:pPr>
              <w:keepNext/>
              <w:spacing w:before="0"/>
              <w:rPr>
                <w:rFonts w:eastAsia="Arial Unicode MS"/>
                <w:b/>
                <w:color w:val="FF0000"/>
                <w:lang w:eastAsia="cs-CZ"/>
              </w:rPr>
            </w:pPr>
            <w:r w:rsidRPr="0066316A">
              <w:rPr>
                <w:rFonts w:eastAsia="Arial Unicode MS"/>
                <w:b/>
                <w:lang w:eastAsia="cs-CZ"/>
              </w:rPr>
              <w:t>Zajištění potřebného rozsahu sociálních služeb napomáhající</w:t>
            </w:r>
            <w:r w:rsidR="00E00EA8">
              <w:rPr>
                <w:rFonts w:eastAsia="Arial Unicode MS"/>
                <w:b/>
                <w:lang w:eastAsia="cs-CZ"/>
              </w:rPr>
              <w:t>ch</w:t>
            </w:r>
            <w:r w:rsidRPr="0066316A">
              <w:rPr>
                <w:rFonts w:eastAsia="Arial Unicode MS"/>
                <w:b/>
                <w:lang w:eastAsia="cs-CZ"/>
              </w:rPr>
              <w:t xml:space="preserve"> k integraci cílových skupin v OK</w:t>
            </w:r>
          </w:p>
        </w:tc>
      </w:tr>
      <w:tr w:rsidR="00FB1999" w:rsidRPr="007C71CE" w:rsidTr="0066316A">
        <w:trPr>
          <w:trHeight w:val="397"/>
        </w:trPr>
        <w:tc>
          <w:tcPr>
            <w:tcW w:w="1095" w:type="pct"/>
            <w:shd w:val="clear" w:color="auto" w:fill="E2EFD9" w:themeFill="accent6" w:themeFillTint="33"/>
          </w:tcPr>
          <w:p w:rsidR="00FB1999" w:rsidRPr="0066316A" w:rsidRDefault="00FB1999" w:rsidP="00D41DBC">
            <w:pPr>
              <w:keepNext/>
              <w:spacing w:before="0"/>
              <w:jc w:val="left"/>
              <w:rPr>
                <w:rFonts w:eastAsia="Arial Unicode MS"/>
                <w:b/>
                <w:lang w:eastAsia="cs-CZ"/>
              </w:rPr>
            </w:pPr>
            <w:r w:rsidRPr="0066316A">
              <w:rPr>
                <w:rFonts w:eastAsia="Arial Unicode MS"/>
                <w:b/>
                <w:lang w:eastAsia="cs-CZ"/>
              </w:rPr>
              <w:t xml:space="preserve">Kód opatření </w:t>
            </w:r>
          </w:p>
        </w:tc>
        <w:tc>
          <w:tcPr>
            <w:tcW w:w="3905" w:type="pct"/>
            <w:shd w:val="clear" w:color="auto" w:fill="E2EFD9" w:themeFill="accent6" w:themeFillTint="33"/>
          </w:tcPr>
          <w:p w:rsidR="00FB1999" w:rsidRPr="0066316A" w:rsidRDefault="00FB1999" w:rsidP="00D41DBC">
            <w:pPr>
              <w:keepNext/>
              <w:spacing w:before="0"/>
              <w:rPr>
                <w:rFonts w:eastAsia="Arial Unicode MS"/>
                <w:b/>
                <w:lang w:eastAsia="cs-CZ"/>
              </w:rPr>
            </w:pPr>
            <w:r w:rsidRPr="0066316A">
              <w:rPr>
                <w:rFonts w:eastAsia="Arial Unicode MS"/>
                <w:b/>
                <w:lang w:eastAsia="cs-CZ"/>
              </w:rPr>
              <w:t>4.1.1</w:t>
            </w:r>
          </w:p>
        </w:tc>
      </w:tr>
      <w:tr w:rsidR="00FB1999" w:rsidRPr="007C71CE" w:rsidTr="0066316A">
        <w:trPr>
          <w:trHeight w:val="397"/>
        </w:trPr>
        <w:tc>
          <w:tcPr>
            <w:tcW w:w="1095" w:type="pct"/>
            <w:shd w:val="clear" w:color="auto" w:fill="E2EFD9" w:themeFill="accent6" w:themeFillTint="33"/>
          </w:tcPr>
          <w:p w:rsidR="00FB1999" w:rsidRPr="0066316A" w:rsidRDefault="00FB1999" w:rsidP="00D41DBC">
            <w:pPr>
              <w:keepNext/>
              <w:spacing w:before="0"/>
              <w:jc w:val="left"/>
              <w:rPr>
                <w:rFonts w:eastAsia="Arial Unicode MS"/>
                <w:b/>
                <w:lang w:eastAsia="cs-CZ"/>
              </w:rPr>
            </w:pPr>
            <w:r w:rsidRPr="0066316A">
              <w:rPr>
                <w:rFonts w:eastAsia="Arial Unicode MS"/>
                <w:b/>
                <w:lang w:eastAsia="cs-CZ"/>
              </w:rPr>
              <w:t>Název opatření</w:t>
            </w:r>
          </w:p>
        </w:tc>
        <w:tc>
          <w:tcPr>
            <w:tcW w:w="3905" w:type="pct"/>
            <w:shd w:val="clear" w:color="auto" w:fill="E2EFD9" w:themeFill="accent6" w:themeFillTint="33"/>
          </w:tcPr>
          <w:p w:rsidR="00FB1999" w:rsidRPr="0066316A" w:rsidRDefault="00FB1999" w:rsidP="00D41DBC">
            <w:pPr>
              <w:keepNext/>
              <w:spacing w:before="0"/>
              <w:rPr>
                <w:rFonts w:ascii="Times New Roman" w:hAnsi="Times New Roman"/>
                <w:b/>
                <w:color w:val="000000"/>
              </w:rPr>
            </w:pPr>
            <w:r w:rsidRPr="0066316A">
              <w:rPr>
                <w:rFonts w:eastAsia="Arial Unicode MS"/>
                <w:b/>
                <w:lang w:eastAsia="cs-CZ"/>
              </w:rPr>
              <w:t>Zajištění služeb podporující</w:t>
            </w:r>
            <w:r w:rsidR="00E00EA8">
              <w:rPr>
                <w:rFonts w:eastAsia="Arial Unicode MS"/>
                <w:b/>
                <w:lang w:eastAsia="cs-CZ"/>
              </w:rPr>
              <w:t>ch</w:t>
            </w:r>
            <w:r w:rsidRPr="0066316A">
              <w:rPr>
                <w:rFonts w:eastAsia="Arial Unicode MS"/>
                <w:b/>
                <w:lang w:eastAsia="cs-CZ"/>
              </w:rPr>
              <w:t xml:space="preserve"> integraci národnostních menšin a cizinců, prevence vzniku a řešení stávajících vyloučených lokalit, vzniklých sociálních potřeb</w:t>
            </w:r>
          </w:p>
        </w:tc>
      </w:tr>
      <w:tr w:rsidR="00FB1999" w:rsidRPr="007C71CE" w:rsidTr="0066316A">
        <w:trPr>
          <w:trHeight w:val="397"/>
        </w:trPr>
        <w:tc>
          <w:tcPr>
            <w:tcW w:w="1095" w:type="pct"/>
            <w:shd w:val="clear" w:color="auto" w:fill="CCECFF"/>
          </w:tcPr>
          <w:p w:rsidR="00FB1999" w:rsidRPr="0066316A" w:rsidRDefault="00FB1999" w:rsidP="0066316A">
            <w:pPr>
              <w:spacing w:before="0"/>
              <w:jc w:val="left"/>
              <w:rPr>
                <w:rFonts w:eastAsia="Arial Unicode MS"/>
                <w:b/>
                <w:lang w:eastAsia="cs-CZ"/>
              </w:rPr>
            </w:pPr>
            <w:r w:rsidRPr="0066316A">
              <w:rPr>
                <w:rFonts w:eastAsia="Arial Unicode MS"/>
                <w:b/>
                <w:lang w:eastAsia="cs-CZ"/>
              </w:rPr>
              <w:t>Charakteristika opatření</w:t>
            </w:r>
          </w:p>
        </w:tc>
        <w:tc>
          <w:tcPr>
            <w:tcW w:w="3905" w:type="pct"/>
          </w:tcPr>
          <w:p w:rsidR="00FB1999" w:rsidRPr="007C71CE" w:rsidRDefault="00FB1999" w:rsidP="0066316A">
            <w:pPr>
              <w:spacing w:before="0"/>
              <w:rPr>
                <w:rFonts w:eastAsia="Arial Unicode MS"/>
                <w:lang w:eastAsia="cs-CZ"/>
              </w:rPr>
            </w:pPr>
            <w:r w:rsidRPr="00544AF9">
              <w:rPr>
                <w:rFonts w:eastAsia="Arial Unicode MS"/>
                <w:lang w:eastAsia="cs-CZ"/>
              </w:rPr>
              <w:t>Opatření směřuje k optimalizaci (pozn. k přesunu nevyužitých kapacit služby do území, kde se vyskytla poptávka po službě) a k</w:t>
            </w:r>
            <w:r w:rsidR="00151403">
              <w:rPr>
                <w:rFonts w:eastAsia="Arial Unicode MS"/>
                <w:lang w:eastAsia="cs-CZ"/>
              </w:rPr>
              <w:t> </w:t>
            </w:r>
            <w:r w:rsidRPr="00544AF9">
              <w:rPr>
                <w:rFonts w:eastAsia="Arial Unicode MS"/>
                <w:lang w:eastAsia="cs-CZ"/>
              </w:rPr>
              <w:t>případnému</w:t>
            </w:r>
            <w:r w:rsidR="00151403">
              <w:rPr>
                <w:rFonts w:eastAsia="Arial Unicode MS"/>
                <w:lang w:eastAsia="cs-CZ"/>
              </w:rPr>
              <w:t xml:space="preserve"> </w:t>
            </w:r>
            <w:r w:rsidRPr="00544AF9">
              <w:rPr>
                <w:rFonts w:eastAsia="Arial Unicode MS"/>
                <w:lang w:eastAsia="cs-CZ"/>
              </w:rPr>
              <w:t xml:space="preserve">rozvoji kapacit </w:t>
            </w:r>
            <w:r w:rsidRPr="001870CD">
              <w:rPr>
                <w:rFonts w:eastAsia="Arial Unicode MS"/>
                <w:lang w:eastAsia="cs-CZ"/>
              </w:rPr>
              <w:t>služeb podporující integraci národnostních menšin a cizinců, prevence vzniku a řešení stávajících vyloučených lokalit, vzniklých sociálních potřeb.</w:t>
            </w:r>
            <w:r w:rsidRPr="00544AF9">
              <w:rPr>
                <w:rFonts w:eastAsia="Arial Unicode MS"/>
                <w:lang w:eastAsia="cs-CZ"/>
              </w:rPr>
              <w:t xml:space="preserve"> </w:t>
            </w:r>
            <w:r w:rsidRPr="007C71CE">
              <w:rPr>
                <w:rFonts w:eastAsia="Arial Unicode MS"/>
                <w:lang w:eastAsia="cs-CZ"/>
              </w:rPr>
              <w:t>Cílem integrace je oboustranně přínosné nekonfliktní soužití cílových skupin a</w:t>
            </w:r>
            <w:r w:rsidR="00E00EA8">
              <w:rPr>
                <w:rFonts w:eastAsia="Arial Unicode MS"/>
                <w:lang w:eastAsia="cs-CZ"/>
              </w:rPr>
              <w:t> </w:t>
            </w:r>
            <w:r w:rsidRPr="007C71CE">
              <w:rPr>
                <w:rFonts w:eastAsia="Arial Unicode MS"/>
                <w:lang w:eastAsia="cs-CZ"/>
              </w:rPr>
              <w:t>majoritní společnosti. Opatření směřuje na realizaci dle Postupu aktualizované Koncepce integrace cizinců</w:t>
            </w:r>
            <w:r w:rsidR="00151403">
              <w:rPr>
                <w:rFonts w:eastAsia="Arial Unicode MS"/>
                <w:lang w:eastAsia="cs-CZ"/>
              </w:rPr>
              <w:t xml:space="preserve"> </w:t>
            </w:r>
            <w:r w:rsidRPr="007C71CE">
              <w:rPr>
                <w:rFonts w:eastAsia="Arial Unicode MS"/>
                <w:lang w:eastAsia="cs-CZ"/>
              </w:rPr>
              <w:t>v</w:t>
            </w:r>
            <w:r w:rsidR="00151403">
              <w:rPr>
                <w:rFonts w:eastAsia="Arial Unicode MS"/>
                <w:lang w:eastAsia="cs-CZ"/>
              </w:rPr>
              <w:t> </w:t>
            </w:r>
            <w:r w:rsidRPr="007C71CE">
              <w:rPr>
                <w:rFonts w:eastAsia="Arial Unicode MS"/>
                <w:lang w:eastAsia="cs-CZ"/>
              </w:rPr>
              <w:t>oblasti poskytování sociálních služeb a systémové podpory; na spolupráci s Agenturou pro sociální začleňování v rámci KPSVL při realizaci naplňování plánů sociálního začleňování na základě OK podepsaného Memoranda o vzájemné spolupráci (2019). Opatření směřuje k řešení vzniklé sociální potřeby v daném regionu OK.</w:t>
            </w:r>
          </w:p>
        </w:tc>
      </w:tr>
      <w:tr w:rsidR="00FB1999" w:rsidRPr="007C71CE" w:rsidTr="0066316A">
        <w:trPr>
          <w:trHeight w:val="397"/>
        </w:trPr>
        <w:tc>
          <w:tcPr>
            <w:tcW w:w="1095" w:type="pct"/>
            <w:shd w:val="clear" w:color="auto" w:fill="CCECFF"/>
          </w:tcPr>
          <w:p w:rsidR="00FB1999" w:rsidRPr="0066316A" w:rsidRDefault="00FB1999" w:rsidP="0066316A">
            <w:pPr>
              <w:spacing w:before="0"/>
              <w:jc w:val="left"/>
              <w:rPr>
                <w:rFonts w:eastAsia="Arial Unicode MS"/>
                <w:b/>
                <w:lang w:eastAsia="cs-CZ"/>
              </w:rPr>
            </w:pPr>
            <w:r w:rsidRPr="0066316A">
              <w:rPr>
                <w:rFonts w:eastAsia="Arial Unicode MS"/>
                <w:b/>
                <w:lang w:eastAsia="cs-CZ"/>
              </w:rPr>
              <w:t>Cílová skupina</w:t>
            </w:r>
          </w:p>
        </w:tc>
        <w:tc>
          <w:tcPr>
            <w:tcW w:w="3905" w:type="pct"/>
          </w:tcPr>
          <w:p w:rsidR="00FB1999" w:rsidRPr="007C71CE" w:rsidRDefault="00FB1999" w:rsidP="0066316A">
            <w:pPr>
              <w:spacing w:before="0"/>
              <w:rPr>
                <w:rFonts w:eastAsia="Arial Unicode MS"/>
                <w:lang w:eastAsia="cs-CZ"/>
              </w:rPr>
            </w:pPr>
            <w:r w:rsidRPr="007C71CE">
              <w:rPr>
                <w:rFonts w:eastAsia="Arial Unicode MS"/>
                <w:lang w:eastAsia="cs-CZ"/>
              </w:rPr>
              <w:t>Etnické menšiny</w:t>
            </w:r>
          </w:p>
          <w:p w:rsidR="00FB1999" w:rsidRPr="007C71CE" w:rsidRDefault="00FB1999" w:rsidP="0066316A">
            <w:pPr>
              <w:spacing w:before="0"/>
              <w:rPr>
                <w:rFonts w:eastAsia="Arial Unicode MS"/>
                <w:lang w:eastAsia="cs-CZ"/>
              </w:rPr>
            </w:pPr>
            <w:r>
              <w:rPr>
                <w:rFonts w:eastAsia="Arial Unicode MS"/>
                <w:lang w:eastAsia="cs-CZ"/>
              </w:rPr>
              <w:t>Imigranti, azylanti, běženci</w:t>
            </w:r>
          </w:p>
          <w:p w:rsidR="00FB1999" w:rsidRPr="007C71CE" w:rsidRDefault="00FB1999" w:rsidP="0066316A">
            <w:pPr>
              <w:spacing w:before="0"/>
              <w:rPr>
                <w:rFonts w:eastAsia="Arial Unicode MS"/>
                <w:lang w:eastAsia="cs-CZ"/>
              </w:rPr>
            </w:pPr>
            <w:r w:rsidRPr="007C71CE">
              <w:rPr>
                <w:rFonts w:eastAsia="Arial Unicode MS"/>
                <w:lang w:eastAsia="cs-CZ"/>
              </w:rPr>
              <w:t>Osoby žijící v sociálně vyloučených lokalitách</w:t>
            </w:r>
          </w:p>
        </w:tc>
      </w:tr>
      <w:tr w:rsidR="00FB1999" w:rsidRPr="007C71CE" w:rsidTr="0066316A">
        <w:trPr>
          <w:trHeight w:val="397"/>
        </w:trPr>
        <w:tc>
          <w:tcPr>
            <w:tcW w:w="1095" w:type="pct"/>
            <w:shd w:val="clear" w:color="auto" w:fill="CCECFF"/>
          </w:tcPr>
          <w:p w:rsidR="00FB1999" w:rsidRPr="0066316A" w:rsidRDefault="00FB1999" w:rsidP="0066316A">
            <w:pPr>
              <w:spacing w:before="0"/>
              <w:jc w:val="left"/>
              <w:rPr>
                <w:rFonts w:eastAsia="Arial Unicode MS"/>
                <w:b/>
                <w:lang w:eastAsia="cs-CZ"/>
              </w:rPr>
            </w:pPr>
            <w:r w:rsidRPr="0066316A">
              <w:rPr>
                <w:rFonts w:eastAsia="Arial Unicode MS"/>
                <w:b/>
                <w:lang w:eastAsia="cs-CZ"/>
              </w:rPr>
              <w:t>Druh služby</w:t>
            </w:r>
          </w:p>
        </w:tc>
        <w:tc>
          <w:tcPr>
            <w:tcW w:w="3905" w:type="pct"/>
          </w:tcPr>
          <w:p w:rsidR="00FB1999" w:rsidRPr="007C71CE" w:rsidRDefault="00FB1999" w:rsidP="0066316A">
            <w:pPr>
              <w:spacing w:before="0"/>
              <w:rPr>
                <w:rFonts w:eastAsia="Arial Unicode MS"/>
                <w:lang w:eastAsia="cs-CZ"/>
              </w:rPr>
            </w:pPr>
            <w:r w:rsidRPr="007C71CE">
              <w:rPr>
                <w:rFonts w:eastAsia="Arial Unicode MS"/>
                <w:lang w:eastAsia="cs-CZ"/>
              </w:rPr>
              <w:t>Odborné sociální poradenství (§ 37)</w:t>
            </w:r>
          </w:p>
          <w:p w:rsidR="00FB1999" w:rsidRPr="007C71CE" w:rsidRDefault="00FB1999" w:rsidP="0066316A">
            <w:pPr>
              <w:spacing w:before="0"/>
              <w:rPr>
                <w:rFonts w:eastAsia="Arial Unicode MS"/>
                <w:lang w:eastAsia="cs-CZ"/>
              </w:rPr>
            </w:pPr>
            <w:r w:rsidRPr="007C71CE">
              <w:rPr>
                <w:rFonts w:eastAsia="Arial Unicode MS"/>
                <w:lang w:eastAsia="cs-CZ"/>
              </w:rPr>
              <w:t>Sociálně aktivizační služby pro rodiny s dětmi (§ 65)</w:t>
            </w:r>
          </w:p>
          <w:p w:rsidR="00FB1999" w:rsidRPr="007C71CE" w:rsidRDefault="00FB1999" w:rsidP="0066316A">
            <w:pPr>
              <w:spacing w:before="0"/>
              <w:rPr>
                <w:rFonts w:eastAsia="Arial Unicode MS"/>
                <w:lang w:eastAsia="cs-CZ"/>
              </w:rPr>
            </w:pPr>
            <w:r w:rsidRPr="007C71CE">
              <w:rPr>
                <w:rFonts w:eastAsia="Arial Unicode MS"/>
                <w:lang w:eastAsia="cs-CZ"/>
              </w:rPr>
              <w:t xml:space="preserve">Sociální rehabilitace (§ 70) </w:t>
            </w:r>
          </w:p>
          <w:p w:rsidR="00FB1999" w:rsidRPr="007C71CE" w:rsidRDefault="00FB1999" w:rsidP="0066316A">
            <w:pPr>
              <w:spacing w:before="0"/>
              <w:rPr>
                <w:rFonts w:eastAsia="Arial Unicode MS"/>
                <w:lang w:eastAsia="cs-CZ"/>
              </w:rPr>
            </w:pPr>
            <w:r w:rsidRPr="007C71CE">
              <w:rPr>
                <w:rFonts w:eastAsia="Arial Unicode MS"/>
                <w:lang w:eastAsia="cs-CZ"/>
              </w:rPr>
              <w:t>Terénní programy (§ 69)</w:t>
            </w:r>
          </w:p>
        </w:tc>
      </w:tr>
      <w:tr w:rsidR="00FB1999" w:rsidRPr="007C71CE" w:rsidTr="0066316A">
        <w:trPr>
          <w:trHeight w:val="397"/>
        </w:trPr>
        <w:tc>
          <w:tcPr>
            <w:tcW w:w="1095" w:type="pct"/>
            <w:shd w:val="clear" w:color="auto" w:fill="CCECFF"/>
          </w:tcPr>
          <w:p w:rsidR="00FB1999" w:rsidRPr="0066316A" w:rsidRDefault="00FB1999" w:rsidP="0066316A">
            <w:pPr>
              <w:spacing w:before="0"/>
              <w:jc w:val="left"/>
              <w:rPr>
                <w:rFonts w:eastAsia="Arial Unicode MS"/>
                <w:b/>
                <w:lang w:eastAsia="cs-CZ"/>
              </w:rPr>
            </w:pPr>
            <w:r w:rsidRPr="0066316A">
              <w:rPr>
                <w:rFonts w:eastAsia="Arial Unicode MS"/>
                <w:b/>
                <w:lang w:eastAsia="cs-CZ"/>
              </w:rPr>
              <w:t>Forma služby</w:t>
            </w:r>
          </w:p>
        </w:tc>
        <w:tc>
          <w:tcPr>
            <w:tcW w:w="3905" w:type="pct"/>
          </w:tcPr>
          <w:p w:rsidR="00FB1999" w:rsidRPr="007C71CE" w:rsidRDefault="00FB1999" w:rsidP="0066316A">
            <w:pPr>
              <w:spacing w:before="0"/>
              <w:rPr>
                <w:rFonts w:eastAsia="Arial Unicode MS"/>
                <w:lang w:eastAsia="cs-CZ"/>
              </w:rPr>
            </w:pPr>
            <w:r w:rsidRPr="007C71CE">
              <w:rPr>
                <w:rFonts w:eastAsia="Arial Unicode MS"/>
                <w:lang w:eastAsia="cs-CZ"/>
              </w:rPr>
              <w:t>Ambulantní, terénní</w:t>
            </w:r>
          </w:p>
        </w:tc>
      </w:tr>
      <w:tr w:rsidR="00FB1999" w:rsidRPr="007C71CE" w:rsidTr="0066316A">
        <w:trPr>
          <w:trHeight w:val="397"/>
        </w:trPr>
        <w:tc>
          <w:tcPr>
            <w:tcW w:w="1095" w:type="pct"/>
            <w:shd w:val="clear" w:color="auto" w:fill="CCECFF"/>
          </w:tcPr>
          <w:p w:rsidR="00FB1999" w:rsidRPr="0066316A" w:rsidRDefault="00FB1999" w:rsidP="0066316A">
            <w:pPr>
              <w:spacing w:before="0"/>
              <w:jc w:val="left"/>
              <w:rPr>
                <w:rFonts w:eastAsia="Arial Unicode MS"/>
                <w:b/>
                <w:lang w:eastAsia="cs-CZ"/>
              </w:rPr>
            </w:pPr>
            <w:r w:rsidRPr="0066316A">
              <w:rPr>
                <w:rFonts w:eastAsia="Arial Unicode MS"/>
                <w:b/>
                <w:lang w:eastAsia="cs-CZ"/>
              </w:rPr>
              <w:t>Vymezení územního dopadu opatření</w:t>
            </w:r>
          </w:p>
        </w:tc>
        <w:tc>
          <w:tcPr>
            <w:tcW w:w="3905" w:type="pct"/>
          </w:tcPr>
          <w:p w:rsidR="00FB1999" w:rsidRPr="007C71CE" w:rsidRDefault="00FB1999" w:rsidP="0066316A">
            <w:pPr>
              <w:spacing w:before="0"/>
              <w:rPr>
                <w:rFonts w:eastAsia="Arial Unicode MS"/>
                <w:lang w:eastAsia="cs-CZ"/>
              </w:rPr>
            </w:pPr>
            <w:r w:rsidRPr="007C71CE">
              <w:rPr>
                <w:rFonts w:eastAsia="Arial Unicode MS"/>
                <w:lang w:eastAsia="cs-CZ"/>
              </w:rPr>
              <w:t>OK</w:t>
            </w:r>
          </w:p>
        </w:tc>
      </w:tr>
      <w:tr w:rsidR="00FB1999" w:rsidRPr="007C71CE" w:rsidTr="0066316A">
        <w:trPr>
          <w:trHeight w:val="397"/>
        </w:trPr>
        <w:tc>
          <w:tcPr>
            <w:tcW w:w="1095" w:type="pct"/>
            <w:shd w:val="clear" w:color="auto" w:fill="CCECFF"/>
          </w:tcPr>
          <w:p w:rsidR="00FB1999" w:rsidRPr="0066316A" w:rsidRDefault="00FB1999" w:rsidP="0066316A">
            <w:pPr>
              <w:spacing w:before="0"/>
              <w:jc w:val="left"/>
              <w:rPr>
                <w:rFonts w:eastAsia="Arial Unicode MS"/>
                <w:b/>
                <w:lang w:eastAsia="cs-CZ"/>
              </w:rPr>
            </w:pPr>
            <w:r w:rsidRPr="0066316A">
              <w:rPr>
                <w:rFonts w:eastAsia="Arial Unicode MS"/>
                <w:b/>
                <w:lang w:eastAsia="cs-CZ"/>
              </w:rPr>
              <w:t>Předpokládaný dopad opatření</w:t>
            </w:r>
          </w:p>
        </w:tc>
        <w:tc>
          <w:tcPr>
            <w:tcW w:w="3905" w:type="pct"/>
          </w:tcPr>
          <w:p w:rsidR="00FB1999" w:rsidRPr="007C71CE" w:rsidRDefault="00FB1999" w:rsidP="0066316A">
            <w:pPr>
              <w:spacing w:before="0"/>
              <w:rPr>
                <w:rFonts w:eastAsia="Arial Unicode MS"/>
                <w:lang w:eastAsia="cs-CZ"/>
              </w:rPr>
            </w:pPr>
            <w:r w:rsidRPr="00544AF9">
              <w:rPr>
                <w:rFonts w:eastAsia="Arial Unicode MS"/>
                <w:lang w:eastAsia="cs-CZ"/>
              </w:rPr>
              <w:t xml:space="preserve">Opatření má dopad na </w:t>
            </w:r>
            <w:r>
              <w:rPr>
                <w:rFonts w:eastAsia="Arial Unicode MS"/>
                <w:lang w:eastAsia="cs-CZ"/>
              </w:rPr>
              <w:t>zajištění poptávky po službách zaměřené na dané cílové skupiny, n</w:t>
            </w:r>
            <w:r w:rsidRPr="007C71CE">
              <w:rPr>
                <w:rFonts w:eastAsia="Arial Unicode MS"/>
                <w:lang w:eastAsia="cs-CZ"/>
              </w:rPr>
              <w:t>a</w:t>
            </w:r>
            <w:r>
              <w:rPr>
                <w:rFonts w:eastAsia="Arial Unicode MS"/>
                <w:lang w:eastAsia="cs-CZ"/>
              </w:rPr>
              <w:t xml:space="preserve"> jejich</w:t>
            </w:r>
            <w:r w:rsidRPr="007C71CE">
              <w:rPr>
                <w:rFonts w:eastAsia="Arial Unicode MS"/>
                <w:lang w:eastAsia="cs-CZ"/>
              </w:rPr>
              <w:t xml:space="preserve"> </w:t>
            </w:r>
            <w:r>
              <w:rPr>
                <w:rFonts w:eastAsia="Arial Unicode MS"/>
                <w:lang w:eastAsia="cs-CZ"/>
              </w:rPr>
              <w:t>optimalizaci, dostupnost a zkvalitňování</w:t>
            </w:r>
            <w:r w:rsidRPr="007C71CE">
              <w:rPr>
                <w:rFonts w:eastAsia="Arial Unicode MS"/>
                <w:lang w:eastAsia="cs-CZ"/>
              </w:rPr>
              <w:t>.</w:t>
            </w:r>
          </w:p>
        </w:tc>
      </w:tr>
      <w:tr w:rsidR="00FB1999" w:rsidRPr="007C71CE" w:rsidTr="0066316A">
        <w:trPr>
          <w:trHeight w:val="397"/>
        </w:trPr>
        <w:tc>
          <w:tcPr>
            <w:tcW w:w="1095" w:type="pct"/>
            <w:shd w:val="clear" w:color="auto" w:fill="CCECFF"/>
          </w:tcPr>
          <w:p w:rsidR="00FB1999" w:rsidRPr="0066316A" w:rsidRDefault="00FB1999" w:rsidP="0066316A">
            <w:pPr>
              <w:spacing w:before="0"/>
              <w:jc w:val="left"/>
              <w:rPr>
                <w:rFonts w:eastAsia="Arial Unicode MS"/>
                <w:b/>
                <w:lang w:eastAsia="cs-CZ"/>
              </w:rPr>
            </w:pPr>
            <w:r w:rsidRPr="0066316A">
              <w:rPr>
                <w:rFonts w:eastAsia="Arial Unicode MS"/>
                <w:b/>
                <w:lang w:eastAsia="cs-CZ"/>
              </w:rPr>
              <w:lastRenderedPageBreak/>
              <w:t xml:space="preserve">Aktivity vedoucí k naplnění opatření </w:t>
            </w:r>
          </w:p>
        </w:tc>
        <w:tc>
          <w:tcPr>
            <w:tcW w:w="3905" w:type="pct"/>
          </w:tcPr>
          <w:p w:rsidR="00FB1999" w:rsidRPr="00FE1BE7" w:rsidRDefault="00FB1999" w:rsidP="0066316A">
            <w:pPr>
              <w:pStyle w:val="Odstavecseseznamem"/>
              <w:numPr>
                <w:ilvl w:val="0"/>
                <w:numId w:val="71"/>
              </w:numPr>
              <w:spacing w:before="0" w:line="240" w:lineRule="auto"/>
            </w:pPr>
            <w:r w:rsidRPr="00FE1BE7">
              <w:t>Monitoring jednotek zařazených v síti sociálních služeb</w:t>
            </w:r>
          </w:p>
          <w:p w:rsidR="00FB1999" w:rsidRPr="00FE1BE7" w:rsidRDefault="00FB1999" w:rsidP="0066316A">
            <w:pPr>
              <w:pStyle w:val="Odstavecseseznamem"/>
              <w:numPr>
                <w:ilvl w:val="0"/>
                <w:numId w:val="71"/>
              </w:numPr>
              <w:spacing w:before="0" w:line="240" w:lineRule="auto"/>
            </w:pPr>
            <w:r w:rsidRPr="00FE1BE7">
              <w:t xml:space="preserve">Projednání předloženého záměru poskytovatele sociálních služeb v souladu se schválenými postupy pro aktualizaci sítě sociálních služeb OK </w:t>
            </w:r>
          </w:p>
          <w:p w:rsidR="00FB1999" w:rsidRDefault="00FB1999" w:rsidP="0066316A">
            <w:pPr>
              <w:pStyle w:val="Odstavecseseznamem"/>
              <w:numPr>
                <w:ilvl w:val="0"/>
                <w:numId w:val="71"/>
              </w:numPr>
              <w:spacing w:before="0" w:line="240" w:lineRule="auto"/>
            </w:pPr>
            <w:r w:rsidRPr="00FE1BE7">
              <w:t>Při vyjádření pozitivního stanoviska OK aktualizace sítě sociálních služeb dle schválených změn</w:t>
            </w:r>
          </w:p>
          <w:p w:rsidR="00FB1999" w:rsidRPr="007C71CE" w:rsidRDefault="00FB1999" w:rsidP="0066316A">
            <w:pPr>
              <w:pStyle w:val="Odstavecseseznamem"/>
              <w:numPr>
                <w:ilvl w:val="0"/>
                <w:numId w:val="71"/>
              </w:numPr>
              <w:spacing w:before="0" w:line="240" w:lineRule="auto"/>
            </w:pPr>
            <w:r w:rsidRPr="007C71CE">
              <w:t>Efektivní nastavení terénní práce v ohrožených</w:t>
            </w:r>
            <w:r w:rsidR="00151403">
              <w:t xml:space="preserve"> </w:t>
            </w:r>
            <w:r w:rsidRPr="007C71CE">
              <w:t>a v sociálně vyloučených lokalitách (romských a jiných)</w:t>
            </w:r>
          </w:p>
          <w:p w:rsidR="00FB1999" w:rsidRPr="007C71CE" w:rsidRDefault="00FB1999" w:rsidP="0066316A">
            <w:pPr>
              <w:pStyle w:val="Odstavecseseznamem"/>
              <w:numPr>
                <w:ilvl w:val="0"/>
                <w:numId w:val="71"/>
              </w:numPr>
              <w:spacing w:before="0" w:line="240" w:lineRule="auto"/>
            </w:pPr>
            <w:r w:rsidRPr="007C71CE">
              <w:t xml:space="preserve">Optimalizace a zkvalitňování dostupnosti a propojenosti sociálních služeb v sociálně vyloučených lokalitách v rámci </w:t>
            </w:r>
            <w:r w:rsidRPr="007C71CE">
              <w:br/>
              <w:t xml:space="preserve">ASZ - KPSVL </w:t>
            </w:r>
          </w:p>
          <w:p w:rsidR="00FB1999" w:rsidRPr="007C71CE" w:rsidRDefault="00FB1999" w:rsidP="0066316A">
            <w:pPr>
              <w:pStyle w:val="Odstavecseseznamem"/>
              <w:numPr>
                <w:ilvl w:val="0"/>
                <w:numId w:val="71"/>
              </w:numPr>
              <w:spacing w:before="0" w:line="240" w:lineRule="auto"/>
            </w:pPr>
            <w:r w:rsidRPr="007C71CE">
              <w:t>Poskytování odborného sociálního poradenství a dalších služeb podporujících integraci cílové skupiny v ČR, realizace regionálních platforem, podpora a zkvalitňování vzdělávacích aktivit (CPIC) a dalších služeb napomáhajících k integraci cílových skupin (bydlení, právní a</w:t>
            </w:r>
            <w:r w:rsidR="00E00EA8">
              <w:t> </w:t>
            </w:r>
            <w:r w:rsidRPr="007C71CE">
              <w:t>dluhové poradenství, nezaměstnanost, zdravotní péče a další)</w:t>
            </w:r>
          </w:p>
          <w:p w:rsidR="00FB1999" w:rsidRPr="007C71CE" w:rsidRDefault="00FB1999" w:rsidP="0066316A">
            <w:pPr>
              <w:pStyle w:val="Odstavecseseznamem"/>
              <w:numPr>
                <w:ilvl w:val="0"/>
                <w:numId w:val="71"/>
              </w:numPr>
              <w:spacing w:before="0" w:line="240" w:lineRule="auto"/>
            </w:pPr>
            <w:r w:rsidRPr="007C71CE">
              <w:t>Spolupráce s návaznými službami a dalšími subjekty (OSPOD, Policie ČR, ÚP, školy, obce a další)</w:t>
            </w:r>
          </w:p>
          <w:p w:rsidR="00FB1999" w:rsidRPr="00FE1BE7" w:rsidRDefault="00FB1999" w:rsidP="0066316A">
            <w:pPr>
              <w:pStyle w:val="Odstavecseseznamem"/>
              <w:numPr>
                <w:ilvl w:val="0"/>
                <w:numId w:val="71"/>
              </w:numPr>
              <w:spacing w:before="0" w:line="240" w:lineRule="auto"/>
            </w:pPr>
            <w:r w:rsidRPr="007C71CE">
              <w:t>Činnost koordinátora pro záležitosti národnostních menšin a</w:t>
            </w:r>
            <w:r w:rsidR="00151403">
              <w:t> </w:t>
            </w:r>
            <w:r w:rsidRPr="007C71CE">
              <w:t>cizinců</w:t>
            </w:r>
          </w:p>
        </w:tc>
      </w:tr>
      <w:tr w:rsidR="00FB1999" w:rsidRPr="007C71CE" w:rsidTr="0066316A">
        <w:trPr>
          <w:trHeight w:val="397"/>
        </w:trPr>
        <w:tc>
          <w:tcPr>
            <w:tcW w:w="1095" w:type="pct"/>
            <w:shd w:val="clear" w:color="auto" w:fill="CCECFF"/>
          </w:tcPr>
          <w:p w:rsidR="00FB1999" w:rsidRPr="0066316A" w:rsidRDefault="00FB1999" w:rsidP="0066316A">
            <w:pPr>
              <w:spacing w:before="0"/>
              <w:jc w:val="left"/>
              <w:rPr>
                <w:rFonts w:eastAsia="Arial Unicode MS"/>
                <w:b/>
                <w:lang w:eastAsia="cs-CZ"/>
              </w:rPr>
            </w:pPr>
            <w:r w:rsidRPr="0066316A">
              <w:rPr>
                <w:b/>
              </w:rPr>
              <w:t>Rizika a ohrožení naplnění opatření</w:t>
            </w:r>
          </w:p>
        </w:tc>
        <w:tc>
          <w:tcPr>
            <w:tcW w:w="3905" w:type="pct"/>
          </w:tcPr>
          <w:p w:rsidR="00FB1999" w:rsidRPr="00A34764" w:rsidRDefault="00FB1999" w:rsidP="0066316A">
            <w:pPr>
              <w:pStyle w:val="Odstavecseseznamem"/>
              <w:numPr>
                <w:ilvl w:val="0"/>
                <w:numId w:val="72"/>
              </w:numPr>
              <w:spacing w:before="0" w:line="240" w:lineRule="auto"/>
            </w:pPr>
            <w:r w:rsidRPr="00A34764">
              <w:t>Neprojevení zájmu poskytovatelů stávajících služeb o plnění cíle a opatření</w:t>
            </w:r>
          </w:p>
          <w:p w:rsidR="00FB1999" w:rsidRPr="00A34764" w:rsidRDefault="00FB1999" w:rsidP="0066316A">
            <w:pPr>
              <w:pStyle w:val="Odstavecseseznamem"/>
              <w:numPr>
                <w:ilvl w:val="0"/>
                <w:numId w:val="72"/>
              </w:numPr>
              <w:spacing w:before="0" w:line="240" w:lineRule="auto"/>
            </w:pPr>
            <w:r w:rsidRPr="00A34764">
              <w:t>Nesplnění kritérií dle Postupu pro aktualizaci sítě sociálních služeb OK vedoucí k neschválení žádosti poskytovatele</w:t>
            </w:r>
          </w:p>
          <w:p w:rsidR="00FB1999" w:rsidRPr="00A34764" w:rsidRDefault="00FB1999" w:rsidP="0066316A">
            <w:pPr>
              <w:pStyle w:val="Odstavecseseznamem"/>
              <w:numPr>
                <w:ilvl w:val="0"/>
                <w:numId w:val="72"/>
              </w:numPr>
              <w:spacing w:before="0" w:line="240" w:lineRule="auto"/>
            </w:pPr>
            <w:r w:rsidRPr="00A34764">
              <w:t>Nesplnění podmínek registrace poskytovaných sociálních služeb</w:t>
            </w:r>
          </w:p>
          <w:p w:rsidR="00FB1999" w:rsidRPr="00A34764" w:rsidRDefault="00FB1999" w:rsidP="0066316A">
            <w:pPr>
              <w:pStyle w:val="Odstavecseseznamem"/>
              <w:numPr>
                <w:ilvl w:val="0"/>
                <w:numId w:val="72"/>
              </w:numPr>
              <w:spacing w:before="0" w:line="240" w:lineRule="auto"/>
            </w:pPr>
            <w:r w:rsidRPr="00A34764">
              <w:t>Nedostatek lidských zdrojů</w:t>
            </w:r>
          </w:p>
          <w:p w:rsidR="00FB1999" w:rsidRPr="00A34764" w:rsidRDefault="00FB1999" w:rsidP="0066316A">
            <w:pPr>
              <w:pStyle w:val="Odstavecseseznamem"/>
              <w:numPr>
                <w:ilvl w:val="0"/>
                <w:numId w:val="72"/>
              </w:numPr>
              <w:spacing w:before="0" w:line="240" w:lineRule="auto"/>
            </w:pPr>
            <w:r w:rsidRPr="00A34764">
              <w:t>Nedostatek finančních prostředků z veřejných zdrojů</w:t>
            </w:r>
          </w:p>
          <w:p w:rsidR="00FB1999" w:rsidRPr="00A34764" w:rsidRDefault="00FB1999" w:rsidP="0066316A">
            <w:pPr>
              <w:pStyle w:val="Odstavecseseznamem"/>
              <w:numPr>
                <w:ilvl w:val="0"/>
                <w:numId w:val="72"/>
              </w:numPr>
              <w:spacing w:before="0" w:line="240" w:lineRule="auto"/>
            </w:pPr>
            <w:r w:rsidRPr="00A34764">
              <w:t>Legislativní změny</w:t>
            </w:r>
          </w:p>
        </w:tc>
      </w:tr>
      <w:tr w:rsidR="00FB1999" w:rsidRPr="007C71CE" w:rsidTr="0066316A">
        <w:trPr>
          <w:trHeight w:val="397"/>
        </w:trPr>
        <w:tc>
          <w:tcPr>
            <w:tcW w:w="1095" w:type="pct"/>
            <w:shd w:val="clear" w:color="auto" w:fill="CCECFF"/>
          </w:tcPr>
          <w:p w:rsidR="00FB1999" w:rsidRPr="0066316A" w:rsidRDefault="00FB1999" w:rsidP="0066316A">
            <w:pPr>
              <w:spacing w:before="0"/>
              <w:jc w:val="left"/>
              <w:rPr>
                <w:rFonts w:eastAsia="Arial Unicode MS"/>
                <w:b/>
                <w:lang w:eastAsia="cs-CZ"/>
              </w:rPr>
            </w:pPr>
            <w:r w:rsidRPr="0066316A">
              <w:rPr>
                <w:rFonts w:eastAsia="Arial Unicode MS"/>
                <w:b/>
                <w:lang w:eastAsia="cs-CZ"/>
              </w:rPr>
              <w:t xml:space="preserve">Předpokládaní realizátoři </w:t>
            </w:r>
            <w:r w:rsidRPr="0066316A">
              <w:rPr>
                <w:rFonts w:eastAsia="Arial Unicode MS"/>
                <w:b/>
                <w:lang w:eastAsia="cs-CZ"/>
              </w:rPr>
              <w:br/>
              <w:t>a partneři opatření</w:t>
            </w:r>
          </w:p>
        </w:tc>
        <w:tc>
          <w:tcPr>
            <w:tcW w:w="3905" w:type="pct"/>
          </w:tcPr>
          <w:p w:rsidR="00FB1999" w:rsidRPr="007C71CE" w:rsidRDefault="00FB1999" w:rsidP="0066316A">
            <w:pPr>
              <w:spacing w:before="0"/>
              <w:rPr>
                <w:rFonts w:eastAsia="Arial Unicode MS"/>
                <w:lang w:eastAsia="cs-CZ"/>
              </w:rPr>
            </w:pPr>
            <w:r>
              <w:rPr>
                <w:rFonts w:eastAsia="Arial Unicode MS"/>
                <w:lang w:eastAsia="cs-CZ"/>
              </w:rPr>
              <w:t>P</w:t>
            </w:r>
            <w:r w:rsidRPr="007C71CE">
              <w:rPr>
                <w:rFonts w:eastAsia="Arial Unicode MS"/>
                <w:lang w:eastAsia="cs-CZ"/>
              </w:rPr>
              <w:t>oskytovatelé sociálních služeb pro dané cílové skupiny osob, kraj, obce, úřady, školy a další subjekty</w:t>
            </w:r>
          </w:p>
        </w:tc>
      </w:tr>
      <w:tr w:rsidR="00FB1999" w:rsidRPr="007C71CE" w:rsidTr="0066316A">
        <w:trPr>
          <w:trHeight w:val="397"/>
        </w:trPr>
        <w:tc>
          <w:tcPr>
            <w:tcW w:w="1095" w:type="pct"/>
            <w:shd w:val="clear" w:color="auto" w:fill="CCECFF"/>
          </w:tcPr>
          <w:p w:rsidR="00FB1999" w:rsidRPr="0066316A" w:rsidRDefault="00FB1999" w:rsidP="0066316A">
            <w:pPr>
              <w:spacing w:before="0"/>
              <w:jc w:val="left"/>
              <w:rPr>
                <w:rFonts w:eastAsia="Arial Unicode MS"/>
                <w:b/>
                <w:lang w:eastAsia="cs-CZ"/>
              </w:rPr>
            </w:pPr>
            <w:r w:rsidRPr="0066316A">
              <w:rPr>
                <w:rFonts w:eastAsia="Arial Unicode MS"/>
                <w:b/>
                <w:lang w:eastAsia="cs-CZ"/>
              </w:rPr>
              <w:t>Časový harmonogram</w:t>
            </w:r>
          </w:p>
        </w:tc>
        <w:tc>
          <w:tcPr>
            <w:tcW w:w="3905" w:type="pct"/>
          </w:tcPr>
          <w:p w:rsidR="00FB1999" w:rsidRPr="007C71CE" w:rsidRDefault="00FB1999" w:rsidP="0066316A">
            <w:pPr>
              <w:spacing w:before="0"/>
              <w:rPr>
                <w:rFonts w:eastAsia="Arial Unicode MS"/>
                <w:lang w:eastAsia="cs-CZ"/>
              </w:rPr>
            </w:pPr>
            <w:r w:rsidRPr="007C71CE">
              <w:rPr>
                <w:rFonts w:eastAsia="Arial Unicode MS"/>
                <w:lang w:eastAsia="cs-CZ"/>
              </w:rPr>
              <w:t>2024–2026</w:t>
            </w:r>
          </w:p>
        </w:tc>
      </w:tr>
      <w:tr w:rsidR="00FB1999" w:rsidRPr="007C71CE" w:rsidTr="0066316A">
        <w:trPr>
          <w:trHeight w:val="397"/>
        </w:trPr>
        <w:tc>
          <w:tcPr>
            <w:tcW w:w="1095" w:type="pct"/>
            <w:shd w:val="clear" w:color="auto" w:fill="CCECFF"/>
          </w:tcPr>
          <w:p w:rsidR="00FB1999" w:rsidRPr="0066316A" w:rsidRDefault="00FB1999" w:rsidP="0066316A">
            <w:pPr>
              <w:spacing w:before="0"/>
              <w:jc w:val="left"/>
              <w:rPr>
                <w:rFonts w:eastAsia="Arial Unicode MS"/>
                <w:b/>
                <w:lang w:eastAsia="cs-CZ"/>
              </w:rPr>
            </w:pPr>
            <w:r w:rsidRPr="0066316A">
              <w:rPr>
                <w:rFonts w:eastAsia="Arial Unicode MS"/>
                <w:b/>
                <w:lang w:eastAsia="cs-CZ"/>
              </w:rPr>
              <w:t>Předpokládané finanční zdroje</w:t>
            </w:r>
          </w:p>
        </w:tc>
        <w:tc>
          <w:tcPr>
            <w:tcW w:w="3905" w:type="pct"/>
          </w:tcPr>
          <w:p w:rsidR="00FB1999" w:rsidRPr="007C71CE" w:rsidRDefault="00FB1999" w:rsidP="0066316A">
            <w:pPr>
              <w:spacing w:before="0"/>
              <w:rPr>
                <w:rFonts w:eastAsia="Arial Unicode MS"/>
                <w:lang w:eastAsia="cs-CZ"/>
              </w:rPr>
            </w:pPr>
            <w:r w:rsidRPr="007C71CE">
              <w:rPr>
                <w:rFonts w:eastAsia="Arial Unicode MS"/>
                <w:lang w:eastAsia="cs-CZ"/>
              </w:rPr>
              <w:t>Veřejné zdroje, evropské zdroje a nadace, ostatní zdroje financování</w:t>
            </w:r>
          </w:p>
        </w:tc>
      </w:tr>
      <w:tr w:rsidR="00FB1999" w:rsidRPr="007C71CE" w:rsidTr="0066316A">
        <w:trPr>
          <w:trHeight w:val="611"/>
        </w:trPr>
        <w:tc>
          <w:tcPr>
            <w:tcW w:w="1095" w:type="pct"/>
            <w:shd w:val="clear" w:color="auto" w:fill="CCECFF"/>
          </w:tcPr>
          <w:p w:rsidR="00FB1999" w:rsidRPr="0066316A" w:rsidRDefault="00FB1999" w:rsidP="0066316A">
            <w:pPr>
              <w:spacing w:before="0"/>
              <w:jc w:val="left"/>
              <w:rPr>
                <w:rFonts w:eastAsia="Arial Unicode MS"/>
                <w:b/>
                <w:lang w:eastAsia="cs-CZ"/>
              </w:rPr>
            </w:pPr>
            <w:r w:rsidRPr="0066316A">
              <w:rPr>
                <w:rFonts w:eastAsia="Arial Unicode MS"/>
                <w:b/>
                <w:lang w:eastAsia="cs-CZ"/>
              </w:rPr>
              <w:t>Hodnotící indikátory výstupů a výsledků</w:t>
            </w:r>
          </w:p>
        </w:tc>
        <w:tc>
          <w:tcPr>
            <w:tcW w:w="3905" w:type="pct"/>
          </w:tcPr>
          <w:p w:rsidR="00FB1999" w:rsidRPr="004C340F" w:rsidRDefault="00FB1999" w:rsidP="0066316A">
            <w:pPr>
              <w:pStyle w:val="Odstavecseseznamem"/>
              <w:numPr>
                <w:ilvl w:val="0"/>
                <w:numId w:val="70"/>
              </w:numPr>
              <w:spacing w:before="0" w:line="240" w:lineRule="auto"/>
            </w:pPr>
            <w:r w:rsidRPr="004C340F">
              <w:t>Zajištění, optimalizace a dostupnost sociálních služeb v daném regionu OK</w:t>
            </w:r>
          </w:p>
          <w:p w:rsidR="00FB1999" w:rsidRPr="004C340F" w:rsidRDefault="00FB1999" w:rsidP="0066316A">
            <w:pPr>
              <w:pStyle w:val="Odstavecseseznamem"/>
              <w:numPr>
                <w:ilvl w:val="0"/>
                <w:numId w:val="70"/>
              </w:numPr>
              <w:spacing w:before="0" w:line="240" w:lineRule="auto"/>
            </w:pPr>
            <w:r w:rsidRPr="004C340F">
              <w:t>Naplnění Memoranda s ASZ o vzájemné spolupráci</w:t>
            </w:r>
          </w:p>
        </w:tc>
      </w:tr>
    </w:tbl>
    <w:p w:rsidR="00FB1999" w:rsidRPr="007C2EB2" w:rsidRDefault="00FB1999" w:rsidP="00A34764">
      <w:r w:rsidRPr="007C2EB2">
        <w:br w:type="page"/>
      </w:r>
    </w:p>
    <w:p w:rsidR="00FB1999" w:rsidRPr="007C2EB2" w:rsidRDefault="00FB1999" w:rsidP="00A34764">
      <w:pPr>
        <w:pStyle w:val="Nadpis2"/>
      </w:pPr>
      <w:bookmarkStart w:id="226" w:name="_Toc22896395"/>
      <w:bookmarkStart w:id="227" w:name="_Toc111537484"/>
      <w:bookmarkStart w:id="228" w:name="_Toc113622091"/>
      <w:bookmarkStart w:id="229" w:name="_Toc117607005"/>
      <w:r w:rsidRPr="007C2EB2">
        <w:lastRenderedPageBreak/>
        <w:t>Pracovní skupina č. 5: OSOBY V KRIZI A OSOBY SOCIÁLNĚ VYLOUČENÉ</w:t>
      </w:r>
      <w:bookmarkEnd w:id="226"/>
      <w:bookmarkEnd w:id="227"/>
      <w:bookmarkEnd w:id="228"/>
      <w:bookmarkEnd w:id="229"/>
    </w:p>
    <w:p w:rsidR="00FB1999" w:rsidRPr="007C2EB2" w:rsidRDefault="00FB1999" w:rsidP="00587061">
      <w:pPr>
        <w:pStyle w:val="Tun"/>
      </w:pPr>
      <w:r w:rsidRPr="007C2EB2">
        <w:t>Popis cílové skupiny, vymezení okruhu osob</w:t>
      </w:r>
    </w:p>
    <w:p w:rsidR="00FB1999" w:rsidRPr="00A72CDF" w:rsidRDefault="00FB1999" w:rsidP="00A34764">
      <w:r w:rsidRPr="00A72CDF">
        <w:t xml:space="preserve">Věkově nevyhraněná cílová skupina zahrnuje děti, mládež, dospělé, jednotlivce i rodiny. Jedná se o osoby vyčleněné ze společenských sítí, které jsou limitovány komplexem různorodých problémů a bez pomoci a podpory nejsou schopny řešit svoji nepříznivou sociální situaci. </w:t>
      </w:r>
    </w:p>
    <w:p w:rsidR="00FB1999" w:rsidRPr="00A72CDF" w:rsidRDefault="00FB1999" w:rsidP="00A34764">
      <w:r w:rsidRPr="00A72CDF">
        <w:t>Jde rovněž o osoby, které v důsledku náhlých mimořádných životních změn či krizových situací (krátkodobých a časově ohraničených událostí) potřebují rychlou a přiměřenou pomoc</w:t>
      </w:r>
      <w:r w:rsidR="00C97EC9">
        <w:t>,</w:t>
      </w:r>
      <w:r w:rsidRPr="00A72CDF">
        <w:t xml:space="preserve"> neboť nejsou schopny situaci neprodleně řešit vlastními silami a vyrovnávacími strategiemi. </w:t>
      </w:r>
    </w:p>
    <w:p w:rsidR="00FB1999" w:rsidRPr="00A72CDF" w:rsidRDefault="00FB1999" w:rsidP="00587061">
      <w:pPr>
        <w:pStyle w:val="Tun"/>
      </w:pPr>
      <w:r w:rsidRPr="00A72CDF">
        <w:t xml:space="preserve">Pracovní skupina se v rámci své činnosti zabývá zejm. cílovými skupinami definovanými tiskopisem o registraci sociální služby MPSV: </w:t>
      </w:r>
    </w:p>
    <w:p w:rsidR="00FB1999" w:rsidRPr="00A72CDF" w:rsidRDefault="00FB1999" w:rsidP="00A34764">
      <w:pPr>
        <w:pStyle w:val="Odstavecseseznamem"/>
        <w:numPr>
          <w:ilvl w:val="0"/>
          <w:numId w:val="83"/>
        </w:numPr>
      </w:pPr>
      <w:r w:rsidRPr="00A72CDF">
        <w:t>oběti domácího násilí</w:t>
      </w:r>
      <w:r w:rsidR="00CC5D38">
        <w:t>,</w:t>
      </w:r>
    </w:p>
    <w:p w:rsidR="00FB1999" w:rsidRPr="00A72CDF" w:rsidRDefault="00FB1999" w:rsidP="00A34764">
      <w:pPr>
        <w:pStyle w:val="Odstavecseseznamem"/>
        <w:numPr>
          <w:ilvl w:val="0"/>
          <w:numId w:val="83"/>
        </w:numPr>
      </w:pPr>
      <w:r w:rsidRPr="00A72CDF">
        <w:t>oběti obchodu s</w:t>
      </w:r>
      <w:r w:rsidR="00CC5D38">
        <w:t> </w:t>
      </w:r>
      <w:r w:rsidRPr="00A72CDF">
        <w:t>lidmi</w:t>
      </w:r>
      <w:r w:rsidR="00CC5D38">
        <w:t>,</w:t>
      </w:r>
      <w:r w:rsidRPr="00A72CDF">
        <w:t xml:space="preserve"> </w:t>
      </w:r>
    </w:p>
    <w:p w:rsidR="00FB1999" w:rsidRPr="00A72CDF" w:rsidRDefault="00FB1999" w:rsidP="00A34764">
      <w:pPr>
        <w:pStyle w:val="Odstavecseseznamem"/>
        <w:numPr>
          <w:ilvl w:val="0"/>
          <w:numId w:val="83"/>
        </w:numPr>
      </w:pPr>
      <w:r w:rsidRPr="00A72CDF">
        <w:t>oběti trestné činnosti</w:t>
      </w:r>
      <w:r w:rsidR="00CC5D38">
        <w:t>,</w:t>
      </w:r>
    </w:p>
    <w:p w:rsidR="00FB1999" w:rsidRPr="00A72CDF" w:rsidRDefault="00FB1999" w:rsidP="00A34764">
      <w:pPr>
        <w:pStyle w:val="Odstavecseseznamem"/>
        <w:numPr>
          <w:ilvl w:val="0"/>
          <w:numId w:val="83"/>
        </w:numPr>
      </w:pPr>
      <w:r w:rsidRPr="00A72CDF">
        <w:t>osoby bez přístřeší</w:t>
      </w:r>
      <w:r w:rsidR="00CC5D38">
        <w:t>,</w:t>
      </w:r>
    </w:p>
    <w:p w:rsidR="00FB1999" w:rsidRPr="00A72CDF" w:rsidRDefault="00FB1999" w:rsidP="00A34764">
      <w:pPr>
        <w:pStyle w:val="Odstavecseseznamem"/>
        <w:numPr>
          <w:ilvl w:val="0"/>
          <w:numId w:val="83"/>
        </w:numPr>
      </w:pPr>
      <w:r w:rsidRPr="00A72CDF">
        <w:t>osoby komerčně zneužívané</w:t>
      </w:r>
      <w:r w:rsidR="00CC5D38">
        <w:t>,</w:t>
      </w:r>
    </w:p>
    <w:p w:rsidR="00FB1999" w:rsidRPr="00A72CDF" w:rsidRDefault="00FB1999" w:rsidP="00A34764">
      <w:pPr>
        <w:pStyle w:val="Odstavecseseznamem"/>
        <w:numPr>
          <w:ilvl w:val="0"/>
          <w:numId w:val="83"/>
        </w:numPr>
      </w:pPr>
      <w:r w:rsidRPr="00A72CDF">
        <w:t>osoby v</w:t>
      </w:r>
      <w:r w:rsidR="00CC5D38">
        <w:t> </w:t>
      </w:r>
      <w:r w:rsidRPr="00A72CDF">
        <w:t>krizi</w:t>
      </w:r>
      <w:r w:rsidR="00CC5D38">
        <w:t>,</w:t>
      </w:r>
    </w:p>
    <w:p w:rsidR="00FB1999" w:rsidRPr="00A72CDF" w:rsidRDefault="00FB1999" w:rsidP="00A34764">
      <w:pPr>
        <w:pStyle w:val="Odstavecseseznamem"/>
        <w:numPr>
          <w:ilvl w:val="0"/>
          <w:numId w:val="83"/>
        </w:numPr>
      </w:pPr>
      <w:r w:rsidRPr="00A72CDF">
        <w:t>osoby žijící v sociálně vyloučených komunitách</w:t>
      </w:r>
      <w:r w:rsidR="00CC5D38">
        <w:t>,</w:t>
      </w:r>
    </w:p>
    <w:p w:rsidR="00FB1999" w:rsidRPr="00A72CDF" w:rsidRDefault="00FB1999" w:rsidP="00A34764">
      <w:pPr>
        <w:pStyle w:val="Odstavecseseznamem"/>
        <w:numPr>
          <w:ilvl w:val="0"/>
          <w:numId w:val="83"/>
        </w:numPr>
      </w:pPr>
      <w:r w:rsidRPr="00A72CDF">
        <w:t>osoby, které vedou rizikový způsob života nebo jsou tímto způsobem života ohroženy</w:t>
      </w:r>
      <w:r w:rsidR="00CC5D38">
        <w:t>,</w:t>
      </w:r>
    </w:p>
    <w:p w:rsidR="00FB1999" w:rsidRPr="00A72CDF" w:rsidRDefault="00FB1999" w:rsidP="00A34764">
      <w:pPr>
        <w:pStyle w:val="Odstavecseseznamem"/>
        <w:numPr>
          <w:ilvl w:val="0"/>
          <w:numId w:val="83"/>
        </w:numPr>
      </w:pPr>
      <w:r w:rsidRPr="00A72CDF">
        <w:t>pachatelé trestné činnosti</w:t>
      </w:r>
      <w:r w:rsidR="00CC5D38">
        <w:t>,</w:t>
      </w:r>
    </w:p>
    <w:p w:rsidR="00FB1999" w:rsidRPr="00A72CDF" w:rsidRDefault="00FB1999" w:rsidP="00A34764">
      <w:pPr>
        <w:pStyle w:val="Odstavecseseznamem"/>
        <w:numPr>
          <w:ilvl w:val="0"/>
          <w:numId w:val="83"/>
        </w:numPr>
      </w:pPr>
      <w:r w:rsidRPr="00A72CDF">
        <w:t>rodiny s dítětem/dětmi</w:t>
      </w:r>
      <w:r w:rsidR="00CC5D38">
        <w:t>.</w:t>
      </w:r>
    </w:p>
    <w:p w:rsidR="00FB1999" w:rsidRPr="00A72CDF" w:rsidRDefault="00FB1999" w:rsidP="00A34764">
      <w:pPr>
        <w:rPr>
          <w:color w:val="000000"/>
        </w:rPr>
      </w:pPr>
      <w:r w:rsidRPr="00A72CDF">
        <w:t>Témata pracovní skupiny se týkají nepříznivých sociálních situací spojených s dalšími skupinami osob, jako jsou děti a mládež ve věku od 6 do 26 let ohrožen</w:t>
      </w:r>
      <w:r w:rsidR="00CC5D38">
        <w:t>í</w:t>
      </w:r>
      <w:r w:rsidRPr="00A72CDF">
        <w:t xml:space="preserve"> společensky nežádoucími jevy, </w:t>
      </w:r>
      <w:r w:rsidRPr="00A72CDF">
        <w:rPr>
          <w:color w:val="000000"/>
        </w:rPr>
        <w:t>osob</w:t>
      </w:r>
      <w:r w:rsidR="009505E2">
        <w:rPr>
          <w:color w:val="000000"/>
        </w:rPr>
        <w:t>ami</w:t>
      </w:r>
      <w:r w:rsidRPr="00A72CDF">
        <w:rPr>
          <w:color w:val="000000"/>
        </w:rPr>
        <w:t xml:space="preserve"> do 26</w:t>
      </w:r>
      <w:r w:rsidR="009505E2">
        <w:rPr>
          <w:color w:val="000000"/>
        </w:rPr>
        <w:t> </w:t>
      </w:r>
      <w:r w:rsidRPr="00A72CDF">
        <w:rPr>
          <w:color w:val="000000"/>
        </w:rPr>
        <w:t>let věku opouštějícími školská zařízení pro výkon ústavní péče</w:t>
      </w:r>
      <w:r w:rsidRPr="00A72CDF">
        <w:t>, senior</w:t>
      </w:r>
      <w:r w:rsidR="009505E2">
        <w:t>y</w:t>
      </w:r>
      <w:r w:rsidRPr="00A72CDF">
        <w:t xml:space="preserve"> a osob</w:t>
      </w:r>
      <w:r w:rsidR="009505E2">
        <w:t>ami</w:t>
      </w:r>
      <w:r w:rsidRPr="00A72CDF">
        <w:t xml:space="preserve"> se zdravotním postižením, etnický</w:t>
      </w:r>
      <w:r w:rsidR="009505E2">
        <w:t>mi</w:t>
      </w:r>
      <w:r w:rsidRPr="00A72CDF">
        <w:t xml:space="preserve"> menšin</w:t>
      </w:r>
      <w:r w:rsidR="009505E2">
        <w:t>ami</w:t>
      </w:r>
      <w:r w:rsidRPr="00A72CDF">
        <w:t>, cizinc</w:t>
      </w:r>
      <w:r w:rsidR="009505E2">
        <w:t>i</w:t>
      </w:r>
      <w:r w:rsidRPr="00A72CDF">
        <w:t xml:space="preserve">, </w:t>
      </w:r>
      <w:r w:rsidRPr="00A72CDF">
        <w:rPr>
          <w:color w:val="000000"/>
        </w:rPr>
        <w:t>osob</w:t>
      </w:r>
      <w:r w:rsidR="009505E2">
        <w:rPr>
          <w:color w:val="000000"/>
        </w:rPr>
        <w:t>ami</w:t>
      </w:r>
      <w:r w:rsidRPr="00A72CDF">
        <w:rPr>
          <w:color w:val="000000"/>
        </w:rPr>
        <w:t xml:space="preserve"> vracející</w:t>
      </w:r>
      <w:r w:rsidR="009505E2">
        <w:rPr>
          <w:color w:val="000000"/>
        </w:rPr>
        <w:t>mi</w:t>
      </w:r>
      <w:r w:rsidRPr="00A72CDF">
        <w:rPr>
          <w:color w:val="000000"/>
        </w:rPr>
        <w:t xml:space="preserve"> se z výkonu trestu.</w:t>
      </w:r>
      <w:r w:rsidRPr="00A72CDF">
        <w:t xml:space="preserve"> V rámci sociálních služeb je patrné zvyšující se zastoupení osob se zdravotním omezením, s duševním onemocněním, psychiatrickými diagnózami.</w:t>
      </w:r>
    </w:p>
    <w:p w:rsidR="00FB1999" w:rsidRPr="00A72CDF" w:rsidRDefault="00FB1999" w:rsidP="00A34764"/>
    <w:p w:rsidR="00FB1999" w:rsidRPr="00A72CDF" w:rsidRDefault="00FB1999" w:rsidP="00587061">
      <w:pPr>
        <w:pStyle w:val="Tun"/>
      </w:pPr>
      <w:r w:rsidRPr="00A72CDF">
        <w:t xml:space="preserve">Pracovní skupina se v rámci své činnosti zabývá mj. těmito tématy: </w:t>
      </w:r>
    </w:p>
    <w:p w:rsidR="00FB1999" w:rsidRPr="00A72CDF" w:rsidRDefault="00FB1999" w:rsidP="00A34764">
      <w:pPr>
        <w:pStyle w:val="Odstavecseseznamem"/>
        <w:numPr>
          <w:ilvl w:val="0"/>
          <w:numId w:val="84"/>
        </w:numPr>
      </w:pPr>
      <w:r w:rsidRPr="00A72CDF">
        <w:t xml:space="preserve">sociálním vyloučením spojeným s absencí bydlení: </w:t>
      </w:r>
    </w:p>
    <w:p w:rsidR="00FB1999" w:rsidRPr="00A72CDF" w:rsidRDefault="00FB1999" w:rsidP="00A34764">
      <w:pPr>
        <w:pStyle w:val="Odstavecseseznamem"/>
        <w:numPr>
          <w:ilvl w:val="1"/>
          <w:numId w:val="84"/>
        </w:numPr>
      </w:pPr>
      <w:r w:rsidRPr="00A72CDF">
        <w:t xml:space="preserve">z důvodu ohrožení ztrátou bydlení, nevyhovujícího nebo přechodného bydlení </w:t>
      </w:r>
    </w:p>
    <w:p w:rsidR="00FB1999" w:rsidRPr="00A72CDF" w:rsidRDefault="00FB1999" w:rsidP="00A34764">
      <w:pPr>
        <w:pStyle w:val="Odstavecseseznamem"/>
        <w:numPr>
          <w:ilvl w:val="1"/>
          <w:numId w:val="84"/>
        </w:numPr>
      </w:pPr>
      <w:r w:rsidRPr="00A72CDF">
        <w:t>z důvodu ztráty bydlení (osoby žijící na ubytovnách, v azylových domech, v noclehárnách, v</w:t>
      </w:r>
      <w:r w:rsidR="00E00EA8">
        <w:t> </w:t>
      </w:r>
      <w:r w:rsidRPr="00A72CDF">
        <w:t xml:space="preserve">domech na půli cesty) </w:t>
      </w:r>
    </w:p>
    <w:p w:rsidR="00FB1999" w:rsidRPr="00A72CDF" w:rsidRDefault="00FB1999" w:rsidP="00A34764">
      <w:pPr>
        <w:pStyle w:val="Odstavecseseznamem"/>
        <w:numPr>
          <w:ilvl w:val="1"/>
          <w:numId w:val="84"/>
        </w:numPr>
      </w:pPr>
      <w:r w:rsidRPr="00A72CDF">
        <w:t xml:space="preserve">z důvodu návratu z institucí různého charakteru (věznice, vazební věznice, zdravotnická zařízení, zařízení pro výkon ústavní a ochranné výchovy, zařízení pro výkon ochranné léčby) </w:t>
      </w:r>
    </w:p>
    <w:p w:rsidR="00FB1999" w:rsidRPr="00A72CDF" w:rsidRDefault="00FB1999" w:rsidP="00A34764">
      <w:pPr>
        <w:pStyle w:val="Odstavecseseznamem"/>
        <w:numPr>
          <w:ilvl w:val="0"/>
          <w:numId w:val="84"/>
        </w:numPr>
      </w:pPr>
      <w:r w:rsidRPr="00A72CDF">
        <w:t xml:space="preserve">ohrožením jednotlivců a rodin zadlužeností a chudobou </w:t>
      </w:r>
    </w:p>
    <w:p w:rsidR="00FB1999" w:rsidRPr="00A72CDF" w:rsidRDefault="00FB1999" w:rsidP="00A34764">
      <w:pPr>
        <w:pStyle w:val="Odstavecseseznamem"/>
        <w:numPr>
          <w:ilvl w:val="0"/>
          <w:numId w:val="84"/>
        </w:numPr>
      </w:pPr>
      <w:r w:rsidRPr="00A72CDF">
        <w:t xml:space="preserve">ohrožením jednotlivců a rodin z důvodu nepředvídatelných obtížných životních situací individuálního či hromadného charakteru ohrožujících zdraví a život </w:t>
      </w:r>
    </w:p>
    <w:p w:rsidR="00FB1999" w:rsidRPr="00A72CDF" w:rsidRDefault="009505E2" w:rsidP="00A34764">
      <w:pPr>
        <w:pStyle w:val="Odstavecseseznamem"/>
        <w:numPr>
          <w:ilvl w:val="0"/>
          <w:numId w:val="84"/>
        </w:numPr>
      </w:pPr>
      <w:r w:rsidRPr="00A72CDF">
        <w:t>dopad</w:t>
      </w:r>
      <w:r>
        <w:t>y</w:t>
      </w:r>
      <w:r w:rsidRPr="00A72CDF">
        <w:t xml:space="preserve"> </w:t>
      </w:r>
      <w:r w:rsidR="00FB1999" w:rsidRPr="00A72CDF">
        <w:t xml:space="preserve">násilí a další trestné činnosti na jednotlivce či rodiny </w:t>
      </w:r>
    </w:p>
    <w:p w:rsidR="00BE3436" w:rsidRDefault="00BE3436" w:rsidP="00A34764"/>
    <w:p w:rsidR="00FB1999" w:rsidRPr="00A72CDF" w:rsidRDefault="00FB1999" w:rsidP="00587061">
      <w:pPr>
        <w:pStyle w:val="Tun"/>
      </w:pPr>
      <w:r w:rsidRPr="00A72CDF">
        <w:t xml:space="preserve">Pracovní skupina se s ohledem na vymezenou cílovou skupinu zaměřuje zejména na následující služby definované zákonem o sociálních službách: </w:t>
      </w:r>
    </w:p>
    <w:p w:rsidR="00FB1999" w:rsidRPr="00A72CDF" w:rsidRDefault="00FB1999" w:rsidP="00A34764">
      <w:pPr>
        <w:pStyle w:val="Odstavecseseznamem"/>
        <w:numPr>
          <w:ilvl w:val="0"/>
          <w:numId w:val="85"/>
        </w:numPr>
      </w:pPr>
      <w:r w:rsidRPr="00A72CDF">
        <w:t xml:space="preserve">odborné sociální poradenství </w:t>
      </w:r>
    </w:p>
    <w:p w:rsidR="00FB1999" w:rsidRPr="00A72CDF" w:rsidRDefault="00FB1999" w:rsidP="00A34764">
      <w:pPr>
        <w:pStyle w:val="Odstavecseseznamem"/>
        <w:numPr>
          <w:ilvl w:val="0"/>
          <w:numId w:val="85"/>
        </w:numPr>
      </w:pPr>
      <w:r w:rsidRPr="00A72CDF">
        <w:t xml:space="preserve">azylové domy </w:t>
      </w:r>
    </w:p>
    <w:p w:rsidR="00FB1999" w:rsidRPr="00A72CDF" w:rsidRDefault="00FB1999" w:rsidP="00A34764">
      <w:pPr>
        <w:pStyle w:val="Odstavecseseznamem"/>
        <w:numPr>
          <w:ilvl w:val="0"/>
          <w:numId w:val="85"/>
        </w:numPr>
      </w:pPr>
      <w:r w:rsidRPr="00A72CDF">
        <w:lastRenderedPageBreak/>
        <w:t xml:space="preserve">nízkoprahová denní centra </w:t>
      </w:r>
    </w:p>
    <w:p w:rsidR="00FB1999" w:rsidRPr="00A72CDF" w:rsidRDefault="00FB1999" w:rsidP="00A34764">
      <w:pPr>
        <w:pStyle w:val="Odstavecseseznamem"/>
        <w:numPr>
          <w:ilvl w:val="0"/>
          <w:numId w:val="85"/>
        </w:numPr>
      </w:pPr>
      <w:r w:rsidRPr="00A72CDF">
        <w:t xml:space="preserve">noclehárny </w:t>
      </w:r>
    </w:p>
    <w:p w:rsidR="00FB1999" w:rsidRPr="00A72CDF" w:rsidRDefault="00FB1999" w:rsidP="00A34764">
      <w:pPr>
        <w:pStyle w:val="Odstavecseseznamem"/>
        <w:numPr>
          <w:ilvl w:val="0"/>
          <w:numId w:val="85"/>
        </w:numPr>
      </w:pPr>
      <w:r w:rsidRPr="00A72CDF">
        <w:t xml:space="preserve">terénní programy </w:t>
      </w:r>
    </w:p>
    <w:p w:rsidR="00FB1999" w:rsidRPr="00A72CDF" w:rsidRDefault="00FB1999" w:rsidP="00A34764">
      <w:pPr>
        <w:pStyle w:val="Odstavecseseznamem"/>
        <w:numPr>
          <w:ilvl w:val="0"/>
          <w:numId w:val="85"/>
        </w:numPr>
      </w:pPr>
      <w:r w:rsidRPr="00A72CDF">
        <w:t xml:space="preserve">krizová pomoc </w:t>
      </w:r>
    </w:p>
    <w:p w:rsidR="00FB1999" w:rsidRPr="00A72CDF" w:rsidRDefault="00FB1999" w:rsidP="00A34764">
      <w:pPr>
        <w:pStyle w:val="Odstavecseseznamem"/>
        <w:numPr>
          <w:ilvl w:val="0"/>
          <w:numId w:val="85"/>
        </w:numPr>
      </w:pPr>
      <w:r w:rsidRPr="00A72CDF">
        <w:t xml:space="preserve">telefonická krizová pomoc </w:t>
      </w:r>
    </w:p>
    <w:p w:rsidR="00FB1999" w:rsidRPr="00A72CDF" w:rsidRDefault="00FB1999" w:rsidP="00A34764">
      <w:pPr>
        <w:pStyle w:val="Odstavecseseznamem"/>
        <w:numPr>
          <w:ilvl w:val="0"/>
          <w:numId w:val="85"/>
        </w:numPr>
      </w:pPr>
      <w:r w:rsidRPr="00A72CDF">
        <w:t xml:space="preserve">intervenční centra </w:t>
      </w:r>
    </w:p>
    <w:p w:rsidR="00FB1999" w:rsidRPr="00A72CDF" w:rsidRDefault="00FB1999" w:rsidP="00A34764">
      <w:pPr>
        <w:pStyle w:val="Odstavecseseznamem"/>
        <w:numPr>
          <w:ilvl w:val="0"/>
          <w:numId w:val="85"/>
        </w:numPr>
      </w:pPr>
      <w:r w:rsidRPr="00A72CDF">
        <w:t>domy na půl cesty</w:t>
      </w:r>
    </w:p>
    <w:p w:rsidR="00FB1999" w:rsidRPr="00A72CDF" w:rsidRDefault="00FB1999" w:rsidP="00A34764">
      <w:r w:rsidRPr="00A72CDF">
        <w:t>V návaznosti na povahu sociální služby a její zaměření – pečovatelská služba, domovy se zvláštním režimem a sociální rehabilitace.</w:t>
      </w:r>
    </w:p>
    <w:p w:rsidR="00FB1999" w:rsidRPr="007C2EB2" w:rsidRDefault="00FB1999" w:rsidP="00587061">
      <w:pPr>
        <w:pStyle w:val="Tun"/>
      </w:pPr>
      <w:r w:rsidRPr="007C2EB2">
        <w:t>SWOT analýza PS 5:</w:t>
      </w:r>
    </w:p>
    <w:tbl>
      <w:tblPr>
        <w:tblStyle w:val="Mkatabulky19"/>
        <w:tblW w:w="0" w:type="auto"/>
        <w:tblLook w:val="04A0" w:firstRow="1" w:lastRow="0" w:firstColumn="1" w:lastColumn="0" w:noHBand="0" w:noVBand="1"/>
      </w:tblPr>
      <w:tblGrid>
        <w:gridCol w:w="4262"/>
        <w:gridCol w:w="4338"/>
      </w:tblGrid>
      <w:tr w:rsidR="00587061" w:rsidRPr="00587061" w:rsidTr="00587061">
        <w:trPr>
          <w:trHeight w:val="270"/>
        </w:trPr>
        <w:tc>
          <w:tcPr>
            <w:tcW w:w="4262" w:type="dxa"/>
            <w:shd w:val="clear" w:color="auto" w:fill="auto"/>
          </w:tcPr>
          <w:p w:rsidR="00587061" w:rsidRPr="00587061" w:rsidRDefault="00587061" w:rsidP="00CC2C0F">
            <w:pPr>
              <w:spacing w:before="0" w:line="240" w:lineRule="atLeast"/>
              <w:rPr>
                <w:rFonts w:cs="Segoe UI"/>
                <w:b/>
                <w:spacing w:val="-6"/>
                <w:sz w:val="18"/>
                <w:szCs w:val="19"/>
              </w:rPr>
            </w:pPr>
            <w:r w:rsidRPr="00587061">
              <w:rPr>
                <w:rFonts w:cs="Segoe UI"/>
                <w:b/>
                <w:spacing w:val="-6"/>
                <w:sz w:val="18"/>
                <w:szCs w:val="19"/>
              </w:rPr>
              <w:t xml:space="preserve">Silné stránky </w:t>
            </w:r>
          </w:p>
        </w:tc>
        <w:tc>
          <w:tcPr>
            <w:tcW w:w="4338" w:type="dxa"/>
            <w:shd w:val="clear" w:color="auto" w:fill="auto"/>
          </w:tcPr>
          <w:p w:rsidR="00587061" w:rsidRPr="00587061" w:rsidRDefault="00587061" w:rsidP="00CC2C0F">
            <w:pPr>
              <w:spacing w:before="0"/>
              <w:rPr>
                <w:rFonts w:cs="Segoe UI"/>
                <w:b/>
                <w:spacing w:val="-6"/>
                <w:sz w:val="18"/>
                <w:szCs w:val="19"/>
              </w:rPr>
            </w:pPr>
            <w:r w:rsidRPr="00587061">
              <w:rPr>
                <w:rFonts w:cs="Segoe UI"/>
                <w:b/>
                <w:spacing w:val="-6"/>
                <w:sz w:val="18"/>
                <w:szCs w:val="19"/>
              </w:rPr>
              <w:t xml:space="preserve">Slabé stránky </w:t>
            </w:r>
          </w:p>
        </w:tc>
      </w:tr>
      <w:tr w:rsidR="00587061" w:rsidRPr="00587061" w:rsidTr="00587061">
        <w:trPr>
          <w:trHeight w:val="4228"/>
        </w:trPr>
        <w:tc>
          <w:tcPr>
            <w:tcW w:w="4262" w:type="dxa"/>
            <w:shd w:val="clear" w:color="auto" w:fill="auto"/>
          </w:tcPr>
          <w:p w:rsidR="00587061" w:rsidRPr="00587061" w:rsidRDefault="00587061" w:rsidP="00CC2C0F">
            <w:pPr>
              <w:pStyle w:val="odrkaSWOT"/>
              <w:jc w:val="both"/>
            </w:pPr>
            <w:r w:rsidRPr="00587061">
              <w:t>Působnost stabilních a zavedených sociálních služeb pro cílové skupiny osob na území OK</w:t>
            </w:r>
          </w:p>
          <w:p w:rsidR="00587061" w:rsidRPr="00587061" w:rsidRDefault="00587061" w:rsidP="00CC2C0F">
            <w:pPr>
              <w:pStyle w:val="odrkaSWOT"/>
              <w:jc w:val="both"/>
              <w:rPr>
                <w:spacing w:val="-4"/>
              </w:rPr>
            </w:pPr>
            <w:r w:rsidRPr="00587061">
              <w:t>Existence sítě sociálních služeb specializujících se na dluhovou problematiku</w:t>
            </w:r>
          </w:p>
          <w:p w:rsidR="00587061" w:rsidRPr="00587061" w:rsidRDefault="00587061" w:rsidP="00CC2C0F">
            <w:pPr>
              <w:pStyle w:val="odrkaSWOT"/>
              <w:jc w:val="both"/>
            </w:pPr>
            <w:r w:rsidRPr="00587061">
              <w:t>Dobrá spolupráce mezi potravinovou bankou a poskytovateli sociálních služeb</w:t>
            </w:r>
          </w:p>
          <w:p w:rsidR="00587061" w:rsidRPr="00587061" w:rsidRDefault="00587061" w:rsidP="00CC2C0F">
            <w:pPr>
              <w:pStyle w:val="odrkaSWOT"/>
              <w:jc w:val="both"/>
            </w:pPr>
            <w:r w:rsidRPr="00587061">
              <w:rPr>
                <w:spacing w:val="-4"/>
              </w:rPr>
              <w:t>Dobrá spolupráce mezi poskytovateli sociálních služeb</w:t>
            </w:r>
          </w:p>
          <w:p w:rsidR="00587061" w:rsidRPr="00587061" w:rsidRDefault="00587061" w:rsidP="00CC2C0F">
            <w:pPr>
              <w:pStyle w:val="odrkaSWOT"/>
              <w:jc w:val="both"/>
            </w:pPr>
            <w:r w:rsidRPr="00587061">
              <w:t>Pořádání vzdělávacích aktivit pro odborníky pracující s cílovými skupinami</w:t>
            </w:r>
          </w:p>
          <w:p w:rsidR="00587061" w:rsidRPr="00587061" w:rsidRDefault="00587061" w:rsidP="00CC2C0F">
            <w:pPr>
              <w:pStyle w:val="odrkaSWOT"/>
              <w:jc w:val="both"/>
            </w:pPr>
            <w:r w:rsidRPr="00587061">
              <w:t xml:space="preserve">Nastavení funkčního přenosu aktuálních informací mezi krajem a poskytovateli sociálních služeb pomocí Krajského informačního systému sociálních služeb Olomouckého kraje – </w:t>
            </w:r>
            <w:proofErr w:type="spellStart"/>
            <w:r w:rsidRPr="00587061">
              <w:t>KISSoS</w:t>
            </w:r>
            <w:proofErr w:type="spellEnd"/>
          </w:p>
        </w:tc>
        <w:tc>
          <w:tcPr>
            <w:tcW w:w="4338" w:type="dxa"/>
            <w:shd w:val="clear" w:color="auto" w:fill="auto"/>
            <w:vAlign w:val="center"/>
          </w:tcPr>
          <w:p w:rsidR="00587061" w:rsidRPr="00587061" w:rsidRDefault="00587061" w:rsidP="00CC2C0F">
            <w:pPr>
              <w:pStyle w:val="odrkaSWOT"/>
              <w:jc w:val="both"/>
            </w:pPr>
            <w:r w:rsidRPr="00587061">
              <w:rPr>
                <w:bCs/>
              </w:rPr>
              <w:t>Chybějící pobytové sociální služby pro rodiny s dětmi ohrožené ztrátou bydlení</w:t>
            </w:r>
          </w:p>
          <w:p w:rsidR="00587061" w:rsidRPr="00587061" w:rsidRDefault="00587061" w:rsidP="00CC2C0F">
            <w:pPr>
              <w:pStyle w:val="odrkaSWOT"/>
              <w:jc w:val="both"/>
              <w:rPr>
                <w:bCs/>
              </w:rPr>
            </w:pPr>
            <w:r w:rsidRPr="00587061">
              <w:t>Chybějící návazné bydlení po ukončení pobytu klientů azylových zařízení, krizové pomoci, osob vracejících se z výkonu trestu</w:t>
            </w:r>
          </w:p>
          <w:p w:rsidR="00587061" w:rsidRPr="00587061" w:rsidRDefault="00587061" w:rsidP="00CC2C0F">
            <w:pPr>
              <w:pStyle w:val="odrkaSWOT"/>
              <w:jc w:val="both"/>
            </w:pPr>
            <w:r w:rsidRPr="00587061">
              <w:rPr>
                <w:bCs/>
              </w:rPr>
              <w:t>Nedostatečná kapacita služeb při řešení krizových situací náhlých i dopředu očekávaných</w:t>
            </w:r>
          </w:p>
          <w:p w:rsidR="00587061" w:rsidRPr="00587061" w:rsidRDefault="00587061" w:rsidP="00CC2C0F">
            <w:pPr>
              <w:pStyle w:val="odrkaSWOT"/>
              <w:jc w:val="both"/>
              <w:rPr>
                <w:bCs/>
              </w:rPr>
            </w:pPr>
            <w:r w:rsidRPr="00587061">
              <w:rPr>
                <w:bCs/>
              </w:rPr>
              <w:t>Některá města a obce se dostatečně nepodílejí na financování sociálních služeb</w:t>
            </w:r>
          </w:p>
          <w:p w:rsidR="00587061" w:rsidRPr="00587061" w:rsidRDefault="00587061" w:rsidP="00CC2C0F">
            <w:pPr>
              <w:pStyle w:val="odrkaSWOT"/>
              <w:jc w:val="both"/>
              <w:rPr>
                <w:bCs/>
              </w:rPr>
            </w:pPr>
            <w:r w:rsidRPr="00587061">
              <w:rPr>
                <w:bCs/>
              </w:rPr>
              <w:t>Neúměrná administrativní zátěž a ekonomická nerentabilita spojená s vyúčtováním menších příspěvků donátorů na sociální služby</w:t>
            </w:r>
          </w:p>
          <w:p w:rsidR="00587061" w:rsidRPr="00587061" w:rsidRDefault="00587061" w:rsidP="00CC2C0F">
            <w:pPr>
              <w:pStyle w:val="odrkaSWOT"/>
              <w:jc w:val="both"/>
              <w:rPr>
                <w:bCs/>
              </w:rPr>
            </w:pPr>
            <w:r w:rsidRPr="00587061">
              <w:rPr>
                <w:bCs/>
              </w:rPr>
              <w:t>Špatná dostupnost specifických sociálních služeb a návazných aktivit vč. zdravotnických služeb pro osoby bez přístřeší</w:t>
            </w:r>
          </w:p>
          <w:p w:rsidR="00587061" w:rsidRPr="00587061" w:rsidRDefault="00587061" w:rsidP="00CC2C0F">
            <w:pPr>
              <w:pStyle w:val="odrkaSWOT"/>
              <w:jc w:val="both"/>
            </w:pPr>
            <w:r w:rsidRPr="00587061">
              <w:rPr>
                <w:bCs/>
              </w:rPr>
              <w:t>Nízká spolupráce resp. zapojení MAS do podpory zajištění sociálních služeb v regionu</w:t>
            </w:r>
          </w:p>
        </w:tc>
      </w:tr>
      <w:tr w:rsidR="00587061" w:rsidRPr="00587061" w:rsidTr="00587061">
        <w:tc>
          <w:tcPr>
            <w:tcW w:w="4262" w:type="dxa"/>
            <w:shd w:val="clear" w:color="auto" w:fill="auto"/>
          </w:tcPr>
          <w:p w:rsidR="00587061" w:rsidRPr="00587061" w:rsidRDefault="00587061" w:rsidP="00CC2C0F">
            <w:pPr>
              <w:keepNext/>
              <w:spacing w:before="0"/>
              <w:rPr>
                <w:rFonts w:cs="Segoe UI"/>
                <w:b/>
                <w:color w:val="000000" w:themeColor="text1"/>
                <w:spacing w:val="-6"/>
                <w:sz w:val="18"/>
                <w:szCs w:val="19"/>
              </w:rPr>
            </w:pPr>
            <w:r w:rsidRPr="00587061">
              <w:rPr>
                <w:rFonts w:cs="Segoe UI"/>
                <w:b/>
                <w:color w:val="000000" w:themeColor="text1"/>
                <w:spacing w:val="-6"/>
                <w:sz w:val="18"/>
                <w:szCs w:val="19"/>
              </w:rPr>
              <w:t xml:space="preserve">Příležitosti </w:t>
            </w:r>
          </w:p>
        </w:tc>
        <w:tc>
          <w:tcPr>
            <w:tcW w:w="4338" w:type="dxa"/>
            <w:shd w:val="clear" w:color="auto" w:fill="auto"/>
          </w:tcPr>
          <w:p w:rsidR="00587061" w:rsidRPr="00587061" w:rsidRDefault="00587061" w:rsidP="00CC2C0F">
            <w:pPr>
              <w:keepNext/>
              <w:spacing w:before="0"/>
              <w:rPr>
                <w:rFonts w:cs="Segoe UI"/>
                <w:color w:val="000000" w:themeColor="text1"/>
                <w:spacing w:val="-6"/>
                <w:sz w:val="18"/>
                <w:szCs w:val="19"/>
              </w:rPr>
            </w:pPr>
            <w:r w:rsidRPr="00587061">
              <w:rPr>
                <w:rFonts w:cs="Segoe UI"/>
                <w:b/>
                <w:color w:val="000000" w:themeColor="text1"/>
                <w:spacing w:val="-6"/>
                <w:sz w:val="18"/>
                <w:szCs w:val="19"/>
              </w:rPr>
              <w:t>Hrozby</w:t>
            </w:r>
          </w:p>
        </w:tc>
      </w:tr>
      <w:tr w:rsidR="00587061" w:rsidRPr="00587061" w:rsidTr="00587061">
        <w:trPr>
          <w:trHeight w:val="2397"/>
        </w:trPr>
        <w:tc>
          <w:tcPr>
            <w:tcW w:w="4262" w:type="dxa"/>
            <w:shd w:val="clear" w:color="auto" w:fill="auto"/>
          </w:tcPr>
          <w:p w:rsidR="00587061" w:rsidRPr="00587061" w:rsidRDefault="00587061" w:rsidP="00CC2C0F">
            <w:pPr>
              <w:pStyle w:val="odrkaSWOT"/>
              <w:jc w:val="both"/>
            </w:pPr>
            <w:r w:rsidRPr="00587061">
              <w:t>Podpora komunitní práce na obcích</w:t>
            </w:r>
          </w:p>
          <w:p w:rsidR="00587061" w:rsidRPr="00587061" w:rsidRDefault="00587061" w:rsidP="00CC2C0F">
            <w:pPr>
              <w:pStyle w:val="odrkaSWOT"/>
              <w:jc w:val="both"/>
            </w:pPr>
            <w:r w:rsidRPr="00587061">
              <w:t>Navýšení kapacity zdravotnických služeb pro lidi bez domova (např. spolupráce s nemocnicemi v rámci poskytnutí zázemí a odborné pracovní síly)</w:t>
            </w:r>
          </w:p>
          <w:p w:rsidR="00587061" w:rsidRPr="00587061" w:rsidRDefault="00587061" w:rsidP="00CC2C0F">
            <w:pPr>
              <w:pStyle w:val="odrkaSWOT"/>
              <w:jc w:val="both"/>
            </w:pPr>
            <w:r w:rsidRPr="00587061">
              <w:t>Podpora materiálové a potravinové formy pomoci, možnost zvýšení další efektivity služby pro poskytovatele sociálních služeb</w:t>
            </w:r>
          </w:p>
          <w:p w:rsidR="00587061" w:rsidRPr="00587061" w:rsidRDefault="00587061" w:rsidP="00CC2C0F">
            <w:pPr>
              <w:pStyle w:val="odrkaSWOT"/>
              <w:jc w:val="both"/>
            </w:pPr>
            <w:r w:rsidRPr="00587061">
              <w:t>Zaměření na preventivní práci s rodinami s dětmi již ve školách (finanční gramotnost, spolupráce se školami, s úřady práce, podpora zaměstnavatelnosti rodičů)</w:t>
            </w:r>
          </w:p>
          <w:p w:rsidR="00587061" w:rsidRPr="00587061" w:rsidRDefault="00587061" w:rsidP="00CC2C0F">
            <w:pPr>
              <w:pStyle w:val="odrkaSWOT"/>
              <w:jc w:val="both"/>
            </w:pPr>
            <w:r w:rsidRPr="00587061">
              <w:t>Zpřehlednění stávajícího systému informovanosti veřejnosti o sociálních službách</w:t>
            </w:r>
          </w:p>
          <w:p w:rsidR="00587061" w:rsidRPr="00587061" w:rsidRDefault="00587061" w:rsidP="00CC2C0F">
            <w:pPr>
              <w:pStyle w:val="odrkaSWOT"/>
              <w:jc w:val="both"/>
            </w:pPr>
            <w:r w:rsidRPr="00587061">
              <w:t xml:space="preserve">Zlepšení využívání dotačních titulů (např. výzev ESF), </w:t>
            </w:r>
            <w:proofErr w:type="spellStart"/>
            <w:r w:rsidRPr="00587061">
              <w:t>fundraisingu</w:t>
            </w:r>
            <w:proofErr w:type="spellEnd"/>
          </w:p>
          <w:p w:rsidR="00587061" w:rsidRPr="00587061" w:rsidRDefault="00587061" w:rsidP="00CC2C0F">
            <w:pPr>
              <w:pStyle w:val="odrkaSWOT"/>
              <w:jc w:val="both"/>
            </w:pPr>
            <w:r w:rsidRPr="00587061">
              <w:t>Podpora rozvoje dobrovolnické práce pro cílovou skupinu osob</w:t>
            </w:r>
          </w:p>
        </w:tc>
        <w:tc>
          <w:tcPr>
            <w:tcW w:w="4338" w:type="dxa"/>
            <w:shd w:val="clear" w:color="auto" w:fill="auto"/>
            <w:vAlign w:val="center"/>
          </w:tcPr>
          <w:p w:rsidR="00587061" w:rsidRPr="00587061" w:rsidRDefault="00587061" w:rsidP="00CC2C0F">
            <w:pPr>
              <w:pStyle w:val="odrkaSWOT"/>
              <w:jc w:val="both"/>
            </w:pPr>
            <w:r w:rsidRPr="00587061">
              <w:t>Nedostatečná bytová politika měst a obcí, není postupováno koncepčně. Absence dostupného bydlení na území celého kraje</w:t>
            </w:r>
          </w:p>
          <w:p w:rsidR="00587061" w:rsidRPr="00587061" w:rsidRDefault="00587061" w:rsidP="00CC2C0F">
            <w:pPr>
              <w:pStyle w:val="odrkaSWOT"/>
              <w:jc w:val="both"/>
            </w:pPr>
            <w:r w:rsidRPr="00587061">
              <w:t>Nárůst počtu osob ohrožených ztrátou bydlení s potřebou dalších sociálních služeb</w:t>
            </w:r>
          </w:p>
          <w:p w:rsidR="00587061" w:rsidRPr="00587061" w:rsidRDefault="00587061" w:rsidP="00CC2C0F">
            <w:pPr>
              <w:pStyle w:val="odrkaSWOT"/>
              <w:jc w:val="both"/>
              <w:rPr>
                <w:bCs/>
              </w:rPr>
            </w:pPr>
            <w:r w:rsidRPr="00587061">
              <w:rPr>
                <w:spacing w:val="-4"/>
              </w:rPr>
              <w:t>Zvyšující se počet osob se zdravotním omezením, s duševním onemocněním, psychiatrickými diagnózami mezi osobami bez domova a osobami ohroženými ztrátou bydlení</w:t>
            </w:r>
          </w:p>
          <w:p w:rsidR="00587061" w:rsidRPr="00587061" w:rsidRDefault="00587061" w:rsidP="00CC2C0F">
            <w:pPr>
              <w:pStyle w:val="odrkaSWOT"/>
              <w:jc w:val="both"/>
              <w:rPr>
                <w:bCs/>
              </w:rPr>
            </w:pPr>
            <w:r w:rsidRPr="00587061">
              <w:rPr>
                <w:bCs/>
              </w:rPr>
              <w:t>Zvyšující se počet zastoupení uživatelů a případných dalších zájemců o sociální služby</w:t>
            </w:r>
          </w:p>
          <w:p w:rsidR="00587061" w:rsidRPr="00587061" w:rsidRDefault="00587061" w:rsidP="00CC2C0F">
            <w:pPr>
              <w:pStyle w:val="odrkaSWOT"/>
              <w:jc w:val="both"/>
            </w:pPr>
            <w:r w:rsidRPr="00587061">
              <w:t>Změna legislativy a s tím spojená zátěž pracovníků, problematické plánování sociálních služeb</w:t>
            </w:r>
          </w:p>
          <w:p w:rsidR="00587061" w:rsidRPr="00587061" w:rsidRDefault="00587061" w:rsidP="00CC2C0F">
            <w:pPr>
              <w:pStyle w:val="odrkaSWOT"/>
              <w:jc w:val="both"/>
            </w:pPr>
            <w:r w:rsidRPr="00587061">
              <w:t>Negativní dopad pozdního financování na chod organizace (může znamenat vážné ohrožení provozu organizace i její zánik)</w:t>
            </w:r>
          </w:p>
          <w:p w:rsidR="00587061" w:rsidRPr="00587061" w:rsidRDefault="00587061" w:rsidP="00CC2C0F">
            <w:pPr>
              <w:pStyle w:val="odrkaSWOT"/>
              <w:jc w:val="both"/>
              <w:rPr>
                <w:strike/>
              </w:rPr>
            </w:pPr>
            <w:r w:rsidRPr="00587061">
              <w:t>Zneužívání systému sociálního zabezpečení ze strany spekulantů a obchodníků s chudobou</w:t>
            </w:r>
          </w:p>
          <w:p w:rsidR="00587061" w:rsidRPr="00587061" w:rsidRDefault="00587061" w:rsidP="00CC2C0F">
            <w:pPr>
              <w:pStyle w:val="odrkaSWOT"/>
              <w:jc w:val="both"/>
              <w:rPr>
                <w:strike/>
              </w:rPr>
            </w:pPr>
            <w:r w:rsidRPr="00587061">
              <w:t>Financování sociálních služeb po ukončení  časově vymezené podpory (KPSVL, MAS)</w:t>
            </w:r>
          </w:p>
          <w:p w:rsidR="00587061" w:rsidRPr="00587061" w:rsidRDefault="00587061" w:rsidP="00CC2C0F">
            <w:pPr>
              <w:pStyle w:val="odrkaSWOT"/>
              <w:jc w:val="both"/>
            </w:pPr>
            <w:r w:rsidRPr="00587061">
              <w:t xml:space="preserve">Ohrožení energetickou chudobou/inflací, potřeba sociálních služeb poradenského </w:t>
            </w:r>
            <w:r w:rsidRPr="00587061">
              <w:lastRenderedPageBreak/>
              <w:t>charakteru v souvislosti řešením dluhové problematiky</w:t>
            </w:r>
          </w:p>
          <w:p w:rsidR="00587061" w:rsidRPr="00587061" w:rsidRDefault="00587061" w:rsidP="00CC2C0F">
            <w:pPr>
              <w:pStyle w:val="odrkaSWOT"/>
              <w:jc w:val="both"/>
            </w:pPr>
            <w:r w:rsidRPr="00587061">
              <w:t>Výskyt sociálně patologických jevů jako riziko kriminality. Z cílové skupiny se nezanedbatelná část stává pachatelem nebo obětí trestné činnosti</w:t>
            </w:r>
          </w:p>
        </w:tc>
      </w:tr>
    </w:tbl>
    <w:p w:rsidR="009505E2" w:rsidRPr="007C2EB2" w:rsidRDefault="009505E2" w:rsidP="00A34764">
      <w:pPr>
        <w:rPr>
          <w:rFonts w:eastAsia="Arial Unicode MS"/>
          <w:lang w:eastAsia="cs-CZ"/>
        </w:rPr>
      </w:pPr>
    </w:p>
    <w:p w:rsidR="00FB1999" w:rsidRDefault="00FB1999" w:rsidP="00A34764">
      <w:pPr>
        <w:pStyle w:val="Nadpis3"/>
      </w:pPr>
      <w:bookmarkStart w:id="230" w:name="_Toc113622092"/>
      <w:bookmarkStart w:id="231" w:name="_Toc117607006"/>
      <w:r w:rsidRPr="007C2EB2">
        <w:t>Seznam cílů a opatření</w:t>
      </w:r>
      <w:bookmarkEnd w:id="230"/>
      <w:bookmarkEnd w:id="231"/>
    </w:p>
    <w:tbl>
      <w:tblPr>
        <w:tblStyle w:val="Mkatabulky"/>
        <w:tblW w:w="0" w:type="auto"/>
        <w:tblLook w:val="04A0" w:firstRow="1" w:lastRow="0" w:firstColumn="1" w:lastColumn="0" w:noHBand="0" w:noVBand="1"/>
      </w:tblPr>
      <w:tblGrid>
        <w:gridCol w:w="1838"/>
        <w:gridCol w:w="7224"/>
      </w:tblGrid>
      <w:tr w:rsidR="00FB1999" w:rsidRPr="00D3714C" w:rsidTr="00587061">
        <w:trPr>
          <w:trHeight w:val="601"/>
        </w:trPr>
        <w:tc>
          <w:tcPr>
            <w:tcW w:w="1838" w:type="dxa"/>
            <w:tcBorders>
              <w:top w:val="single" w:sz="4" w:space="0" w:color="auto"/>
              <w:left w:val="single" w:sz="4" w:space="0" w:color="auto"/>
              <w:bottom w:val="single" w:sz="4" w:space="0" w:color="auto"/>
              <w:right w:val="single" w:sz="4" w:space="0" w:color="auto"/>
            </w:tcBorders>
            <w:shd w:val="clear" w:color="auto" w:fill="FABF8F"/>
            <w:hideMark/>
          </w:tcPr>
          <w:p w:rsidR="00FB1999" w:rsidRPr="00587061" w:rsidRDefault="00FB1999" w:rsidP="00587061">
            <w:pPr>
              <w:spacing w:before="0"/>
              <w:rPr>
                <w:b/>
              </w:rPr>
            </w:pPr>
            <w:r w:rsidRPr="00587061">
              <w:rPr>
                <w:b/>
              </w:rPr>
              <w:t>Cíl 5.1</w:t>
            </w:r>
          </w:p>
        </w:tc>
        <w:tc>
          <w:tcPr>
            <w:tcW w:w="7224" w:type="dxa"/>
            <w:tcBorders>
              <w:top w:val="single" w:sz="4" w:space="0" w:color="auto"/>
              <w:left w:val="single" w:sz="4" w:space="0" w:color="auto"/>
              <w:bottom w:val="single" w:sz="4" w:space="0" w:color="auto"/>
              <w:right w:val="single" w:sz="4" w:space="0" w:color="auto"/>
            </w:tcBorders>
            <w:shd w:val="clear" w:color="auto" w:fill="FABF8F"/>
            <w:hideMark/>
          </w:tcPr>
          <w:p w:rsidR="00FB1999" w:rsidRPr="00587061" w:rsidRDefault="00FB1999" w:rsidP="00587061">
            <w:pPr>
              <w:spacing w:before="0"/>
              <w:rPr>
                <w:b/>
              </w:rPr>
            </w:pPr>
            <w:r w:rsidRPr="00587061">
              <w:rPr>
                <w:b/>
              </w:rPr>
              <w:t>Zajištění potřebného rozsahu služby odborného sociálního poradenství v OK</w:t>
            </w:r>
          </w:p>
        </w:tc>
      </w:tr>
      <w:tr w:rsidR="00FB1999" w:rsidRPr="00D3714C" w:rsidTr="00587061">
        <w:tc>
          <w:tcPr>
            <w:tcW w:w="18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587061">
            <w:pPr>
              <w:spacing w:before="0"/>
              <w:rPr>
                <w:b/>
              </w:rPr>
            </w:pPr>
            <w:r w:rsidRPr="00587061">
              <w:rPr>
                <w:b/>
              </w:rPr>
              <w:t>Opatření 5.1.1</w:t>
            </w:r>
          </w:p>
        </w:tc>
        <w:tc>
          <w:tcPr>
            <w:tcW w:w="72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D3714C" w:rsidRDefault="00FB1999" w:rsidP="00587061">
            <w:pPr>
              <w:spacing w:before="0"/>
            </w:pPr>
            <w:r w:rsidRPr="00D3714C">
              <w:t>Zajištění ambulantní nebo terénní formy sociální služby odborného sociálního poradenství 1,5 pracovním úvazkem pracovníků v přímé péči v</w:t>
            </w:r>
            <w:r w:rsidR="004D7EB4">
              <w:t> </w:t>
            </w:r>
            <w:r w:rsidRPr="00D3714C">
              <w:t>ORP Šumperk pro osoby žijící v sociálně vyloučených komunitách</w:t>
            </w:r>
          </w:p>
        </w:tc>
      </w:tr>
      <w:tr w:rsidR="00FB1999" w:rsidRPr="00D3714C" w:rsidTr="00587061">
        <w:tc>
          <w:tcPr>
            <w:tcW w:w="18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587061">
            <w:pPr>
              <w:spacing w:before="0"/>
              <w:rPr>
                <w:b/>
              </w:rPr>
            </w:pPr>
            <w:r w:rsidRPr="00587061">
              <w:rPr>
                <w:b/>
              </w:rPr>
              <w:t>Opatření 5.1.2</w:t>
            </w:r>
          </w:p>
        </w:tc>
        <w:tc>
          <w:tcPr>
            <w:tcW w:w="72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D3714C" w:rsidRDefault="00FB1999" w:rsidP="00587061">
            <w:pPr>
              <w:spacing w:before="0"/>
            </w:pPr>
            <w:r w:rsidRPr="00D3714C">
              <w:t>Zajištění ambulantní formy sociální služby odborného sociálního poradenství 1</w:t>
            </w:r>
            <w:r>
              <w:t> </w:t>
            </w:r>
            <w:r w:rsidRPr="00D3714C">
              <w:t>pracovním úvazkem pracovníků v přímé péči v ORP Uničov a ORP Litovel pro osoby, které vedou rizikový způsob života nebo jsou tímto způsobem života ohroženy</w:t>
            </w:r>
          </w:p>
        </w:tc>
      </w:tr>
      <w:tr w:rsidR="00FB1999" w:rsidRPr="00D3714C" w:rsidTr="00587061">
        <w:tc>
          <w:tcPr>
            <w:tcW w:w="183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587061">
            <w:pPr>
              <w:spacing w:before="0"/>
              <w:rPr>
                <w:b/>
              </w:rPr>
            </w:pPr>
            <w:r w:rsidRPr="00587061">
              <w:rPr>
                <w:b/>
              </w:rPr>
              <w:t>Opatření 5.1.3</w:t>
            </w:r>
          </w:p>
        </w:tc>
        <w:tc>
          <w:tcPr>
            <w:tcW w:w="722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D3714C" w:rsidRDefault="00FB1999" w:rsidP="00587061">
            <w:pPr>
              <w:spacing w:before="0"/>
            </w:pPr>
            <w:r w:rsidRPr="00D3714C">
              <w:t>Zajištění ambulantní nebo terénní formy sociální služby odborného sociálního poradenství 2 pracovními úvazky pracovníků v přímé péči v ORP Lipník nad Bečvou a ORP Hranice pro oběti domácího násilí, oběti obchodu s lidmi a oběti trestné činnosti</w:t>
            </w:r>
          </w:p>
        </w:tc>
      </w:tr>
      <w:tr w:rsidR="00FB1999" w:rsidRPr="00D3714C" w:rsidTr="00587061">
        <w:trPr>
          <w:trHeight w:val="397"/>
        </w:trPr>
        <w:tc>
          <w:tcPr>
            <w:tcW w:w="1838" w:type="dxa"/>
            <w:tcBorders>
              <w:bottom w:val="single" w:sz="4" w:space="0" w:color="auto"/>
            </w:tcBorders>
            <w:shd w:val="clear" w:color="auto" w:fill="FABF8F"/>
          </w:tcPr>
          <w:p w:rsidR="00FB1999" w:rsidRPr="00587061" w:rsidRDefault="00FB1999" w:rsidP="00587061">
            <w:pPr>
              <w:spacing w:before="0"/>
              <w:rPr>
                <w:b/>
              </w:rPr>
            </w:pPr>
            <w:r w:rsidRPr="00587061">
              <w:rPr>
                <w:b/>
              </w:rPr>
              <w:t>Cíl 5.2</w:t>
            </w:r>
          </w:p>
        </w:tc>
        <w:tc>
          <w:tcPr>
            <w:tcW w:w="7224" w:type="dxa"/>
            <w:tcBorders>
              <w:bottom w:val="single" w:sz="4" w:space="0" w:color="auto"/>
            </w:tcBorders>
            <w:shd w:val="clear" w:color="auto" w:fill="FABF8F"/>
          </w:tcPr>
          <w:p w:rsidR="00FB1999" w:rsidRPr="00587061" w:rsidRDefault="00FB1999" w:rsidP="00587061">
            <w:pPr>
              <w:spacing w:before="0"/>
              <w:rPr>
                <w:b/>
              </w:rPr>
            </w:pPr>
            <w:r w:rsidRPr="00587061">
              <w:rPr>
                <w:b/>
              </w:rPr>
              <w:t>Zajištění potřebného rozsahu služby domova se zvláštním režimem v OK</w:t>
            </w:r>
          </w:p>
        </w:tc>
      </w:tr>
      <w:tr w:rsidR="00FB1999" w:rsidRPr="00D3714C" w:rsidTr="00587061">
        <w:trPr>
          <w:trHeight w:val="397"/>
        </w:trPr>
        <w:tc>
          <w:tcPr>
            <w:tcW w:w="1838" w:type="dxa"/>
            <w:tcBorders>
              <w:bottom w:val="single" w:sz="4" w:space="0" w:color="auto"/>
            </w:tcBorders>
            <w:shd w:val="clear" w:color="auto" w:fill="E2EFD9" w:themeFill="accent6" w:themeFillTint="33"/>
          </w:tcPr>
          <w:p w:rsidR="00FB1999" w:rsidRPr="00587061" w:rsidRDefault="00FB1999" w:rsidP="00587061">
            <w:pPr>
              <w:spacing w:before="0"/>
              <w:rPr>
                <w:b/>
              </w:rPr>
            </w:pPr>
            <w:r w:rsidRPr="00587061">
              <w:rPr>
                <w:b/>
              </w:rPr>
              <w:t>Opatření 5.2.1</w:t>
            </w:r>
          </w:p>
        </w:tc>
        <w:tc>
          <w:tcPr>
            <w:tcW w:w="7224" w:type="dxa"/>
            <w:tcBorders>
              <w:bottom w:val="single" w:sz="4" w:space="0" w:color="auto"/>
            </w:tcBorders>
            <w:shd w:val="clear" w:color="auto" w:fill="E2EFD9" w:themeFill="accent6" w:themeFillTint="33"/>
          </w:tcPr>
          <w:p w:rsidR="00FB1999" w:rsidRPr="00D3714C" w:rsidRDefault="00B831D6" w:rsidP="00587061">
            <w:pPr>
              <w:spacing w:before="0"/>
            </w:pPr>
            <w:r w:rsidRPr="00B831D6">
              <w:t>Zajištění pobytové formy sociální služby domova se zvláštním režimem v počtu max. 30 lůžek v OK pro osoby s chronickým duševním onemocněním (demence, psychózy) a pro osoby ohrožené závislostí nebo závislé na návykových látkách, jejichž situace vyžaduje pravidelnou pomoc jiné fyzické osoby a současně jsou bez přístřeší či ohrožené ztrátou přístřeší</w:t>
            </w:r>
          </w:p>
        </w:tc>
      </w:tr>
      <w:tr w:rsidR="00FB1999" w:rsidRPr="00D3714C" w:rsidTr="00587061">
        <w:trPr>
          <w:trHeight w:val="397"/>
        </w:trPr>
        <w:tc>
          <w:tcPr>
            <w:tcW w:w="1838" w:type="dxa"/>
            <w:tcBorders>
              <w:bottom w:val="single" w:sz="4" w:space="0" w:color="auto"/>
            </w:tcBorders>
            <w:shd w:val="clear" w:color="auto" w:fill="FABF8F"/>
          </w:tcPr>
          <w:p w:rsidR="00FB1999" w:rsidRPr="00587061" w:rsidRDefault="00FB1999" w:rsidP="00587061">
            <w:pPr>
              <w:spacing w:before="0"/>
              <w:rPr>
                <w:b/>
              </w:rPr>
            </w:pPr>
            <w:r w:rsidRPr="00587061">
              <w:rPr>
                <w:b/>
              </w:rPr>
              <w:t>Cíl 5.3</w:t>
            </w:r>
          </w:p>
        </w:tc>
        <w:tc>
          <w:tcPr>
            <w:tcW w:w="7224" w:type="dxa"/>
            <w:tcBorders>
              <w:bottom w:val="single" w:sz="4" w:space="0" w:color="auto"/>
            </w:tcBorders>
            <w:shd w:val="clear" w:color="auto" w:fill="FABF8F"/>
          </w:tcPr>
          <w:p w:rsidR="00FB1999" w:rsidRPr="00587061" w:rsidRDefault="00FB1999" w:rsidP="00587061">
            <w:pPr>
              <w:spacing w:before="0"/>
              <w:rPr>
                <w:b/>
              </w:rPr>
            </w:pPr>
            <w:r w:rsidRPr="00587061">
              <w:rPr>
                <w:b/>
              </w:rPr>
              <w:t>Zajištění potřebného rozsahu služeb azylových domů v OK</w:t>
            </w:r>
          </w:p>
        </w:tc>
      </w:tr>
      <w:tr w:rsidR="00FB1999" w:rsidRPr="00D3714C" w:rsidTr="00587061">
        <w:trPr>
          <w:trHeight w:val="397"/>
        </w:trPr>
        <w:tc>
          <w:tcPr>
            <w:tcW w:w="1838" w:type="dxa"/>
            <w:tcBorders>
              <w:bottom w:val="single" w:sz="4" w:space="0" w:color="auto"/>
            </w:tcBorders>
            <w:shd w:val="clear" w:color="auto" w:fill="E2EFD9" w:themeFill="accent6" w:themeFillTint="33"/>
          </w:tcPr>
          <w:p w:rsidR="00FB1999" w:rsidRPr="00587061" w:rsidRDefault="00FB1999" w:rsidP="00587061">
            <w:pPr>
              <w:spacing w:before="0"/>
              <w:rPr>
                <w:b/>
              </w:rPr>
            </w:pPr>
            <w:r w:rsidRPr="00587061">
              <w:rPr>
                <w:b/>
              </w:rPr>
              <w:t>Opatření 5.3.1</w:t>
            </w:r>
          </w:p>
        </w:tc>
        <w:tc>
          <w:tcPr>
            <w:tcW w:w="7224" w:type="dxa"/>
            <w:tcBorders>
              <w:bottom w:val="single" w:sz="4" w:space="0" w:color="auto"/>
            </w:tcBorders>
            <w:shd w:val="clear" w:color="auto" w:fill="E2EFD9" w:themeFill="accent6" w:themeFillTint="33"/>
          </w:tcPr>
          <w:p w:rsidR="00FB1999" w:rsidRPr="00D3714C" w:rsidRDefault="00FB1999" w:rsidP="00587061">
            <w:pPr>
              <w:spacing w:before="0"/>
            </w:pPr>
            <w:r w:rsidRPr="00D3714C">
              <w:t>Zajištění pobytové formy sociální služby azylového domu v počtu max. 30</w:t>
            </w:r>
            <w:r w:rsidR="004348BF">
              <w:t> </w:t>
            </w:r>
            <w:r w:rsidRPr="00D3714C">
              <w:t>lůžek v</w:t>
            </w:r>
            <w:r>
              <w:t> </w:t>
            </w:r>
            <w:r w:rsidRPr="00D3714C">
              <w:t>OK pro osoby bez přístřeší (s vysokými zdravotně-sociálními potřebami)</w:t>
            </w:r>
          </w:p>
        </w:tc>
      </w:tr>
      <w:tr w:rsidR="00FB1999" w:rsidRPr="00D3714C" w:rsidTr="00587061">
        <w:trPr>
          <w:trHeight w:val="397"/>
        </w:trPr>
        <w:tc>
          <w:tcPr>
            <w:tcW w:w="1838" w:type="dxa"/>
            <w:tcBorders>
              <w:bottom w:val="single" w:sz="4" w:space="0" w:color="auto"/>
            </w:tcBorders>
            <w:shd w:val="clear" w:color="auto" w:fill="E2EFD9" w:themeFill="accent6" w:themeFillTint="33"/>
          </w:tcPr>
          <w:p w:rsidR="00FB1999" w:rsidRPr="00587061" w:rsidRDefault="00FB1999" w:rsidP="00587061">
            <w:pPr>
              <w:spacing w:before="0"/>
              <w:rPr>
                <w:b/>
              </w:rPr>
            </w:pPr>
            <w:r w:rsidRPr="00587061">
              <w:rPr>
                <w:b/>
              </w:rPr>
              <w:t>Opatření 5.3.2</w:t>
            </w:r>
          </w:p>
        </w:tc>
        <w:tc>
          <w:tcPr>
            <w:tcW w:w="7224" w:type="dxa"/>
            <w:tcBorders>
              <w:bottom w:val="single" w:sz="4" w:space="0" w:color="auto"/>
            </w:tcBorders>
            <w:shd w:val="clear" w:color="auto" w:fill="E2EFD9" w:themeFill="accent6" w:themeFillTint="33"/>
          </w:tcPr>
          <w:p w:rsidR="00FB1999" w:rsidRPr="00D3714C" w:rsidRDefault="00FB1999" w:rsidP="00587061">
            <w:pPr>
              <w:spacing w:before="0"/>
            </w:pPr>
            <w:r w:rsidRPr="00D3714C">
              <w:t>Zajištění pobytové formy sociální služby azylového domu v počtu max. 30</w:t>
            </w:r>
            <w:r w:rsidR="004348BF">
              <w:t> </w:t>
            </w:r>
            <w:r w:rsidRPr="00D3714C">
              <w:t>lůžek v</w:t>
            </w:r>
            <w:r>
              <w:t> </w:t>
            </w:r>
            <w:r w:rsidRPr="00D3714C">
              <w:t>ORP Přerov pro osoby bez přístřeší</w:t>
            </w:r>
          </w:p>
        </w:tc>
      </w:tr>
      <w:tr w:rsidR="00FB1999" w:rsidRPr="00D3714C" w:rsidTr="00587061">
        <w:trPr>
          <w:trHeight w:val="397"/>
        </w:trPr>
        <w:tc>
          <w:tcPr>
            <w:tcW w:w="1838" w:type="dxa"/>
            <w:tcBorders>
              <w:bottom w:val="single" w:sz="4" w:space="0" w:color="auto"/>
            </w:tcBorders>
            <w:shd w:val="clear" w:color="auto" w:fill="E2EFD9" w:themeFill="accent6" w:themeFillTint="33"/>
          </w:tcPr>
          <w:p w:rsidR="00FB1999" w:rsidRPr="00587061" w:rsidRDefault="00FB1999" w:rsidP="00587061">
            <w:pPr>
              <w:spacing w:before="0"/>
              <w:rPr>
                <w:b/>
              </w:rPr>
            </w:pPr>
            <w:r w:rsidRPr="00587061">
              <w:rPr>
                <w:b/>
              </w:rPr>
              <w:t>Opatření 5.3.3</w:t>
            </w:r>
          </w:p>
        </w:tc>
        <w:tc>
          <w:tcPr>
            <w:tcW w:w="7224" w:type="dxa"/>
            <w:tcBorders>
              <w:bottom w:val="single" w:sz="4" w:space="0" w:color="auto"/>
            </w:tcBorders>
            <w:shd w:val="clear" w:color="auto" w:fill="E2EFD9" w:themeFill="accent6" w:themeFillTint="33"/>
          </w:tcPr>
          <w:p w:rsidR="00FB1999" w:rsidRPr="00D3714C" w:rsidRDefault="00FB1999" w:rsidP="00587061">
            <w:pPr>
              <w:spacing w:before="0"/>
            </w:pPr>
            <w:r w:rsidRPr="00D3714C">
              <w:t>Zajištění pobytové formy služby azylového domu v počtu max. 8 lůžek v</w:t>
            </w:r>
            <w:r w:rsidR="004348BF">
              <w:t> </w:t>
            </w:r>
            <w:r w:rsidRPr="00D3714C">
              <w:t>ORP Prostějov pro osoby bez přístřeší, rodiny s dítětem či dětmi, pro oběti domácího násilí a osoby v krizi</w:t>
            </w:r>
          </w:p>
        </w:tc>
      </w:tr>
      <w:tr w:rsidR="00FB1999" w:rsidRPr="00D3714C" w:rsidTr="00587061">
        <w:trPr>
          <w:trHeight w:val="397"/>
        </w:trPr>
        <w:tc>
          <w:tcPr>
            <w:tcW w:w="1838" w:type="dxa"/>
            <w:tcBorders>
              <w:bottom w:val="single" w:sz="4" w:space="0" w:color="auto"/>
            </w:tcBorders>
            <w:shd w:val="clear" w:color="auto" w:fill="FABF8F"/>
          </w:tcPr>
          <w:p w:rsidR="00FB1999" w:rsidRPr="00587061" w:rsidRDefault="00FB1999" w:rsidP="00587061">
            <w:pPr>
              <w:spacing w:before="0"/>
              <w:rPr>
                <w:b/>
              </w:rPr>
            </w:pPr>
            <w:r w:rsidRPr="00587061">
              <w:rPr>
                <w:b/>
              </w:rPr>
              <w:t>Cíl 5.4</w:t>
            </w:r>
          </w:p>
        </w:tc>
        <w:tc>
          <w:tcPr>
            <w:tcW w:w="7224" w:type="dxa"/>
            <w:tcBorders>
              <w:bottom w:val="single" w:sz="4" w:space="0" w:color="auto"/>
            </w:tcBorders>
            <w:shd w:val="clear" w:color="auto" w:fill="FABF8F"/>
          </w:tcPr>
          <w:p w:rsidR="00FB1999" w:rsidRPr="00587061" w:rsidRDefault="00FB1999" w:rsidP="00587061">
            <w:pPr>
              <w:spacing w:before="0"/>
              <w:rPr>
                <w:b/>
              </w:rPr>
            </w:pPr>
            <w:r w:rsidRPr="00587061">
              <w:rPr>
                <w:b/>
              </w:rPr>
              <w:t>Zajištění potřebného rozsahu služby krizové pomoci v OK</w:t>
            </w:r>
          </w:p>
        </w:tc>
      </w:tr>
      <w:tr w:rsidR="00FB1999" w:rsidRPr="00D3714C" w:rsidTr="00587061">
        <w:trPr>
          <w:trHeight w:val="397"/>
        </w:trPr>
        <w:tc>
          <w:tcPr>
            <w:tcW w:w="1838" w:type="dxa"/>
            <w:tcBorders>
              <w:bottom w:val="single" w:sz="4" w:space="0" w:color="auto"/>
            </w:tcBorders>
            <w:shd w:val="clear" w:color="auto" w:fill="E2EFD9" w:themeFill="accent6" w:themeFillTint="33"/>
          </w:tcPr>
          <w:p w:rsidR="00FB1999" w:rsidRPr="00587061" w:rsidRDefault="00FB1999" w:rsidP="00587061">
            <w:pPr>
              <w:spacing w:before="0"/>
              <w:rPr>
                <w:b/>
              </w:rPr>
            </w:pPr>
            <w:r w:rsidRPr="00587061">
              <w:rPr>
                <w:b/>
              </w:rPr>
              <w:t>Opatření 5.4.1</w:t>
            </w:r>
          </w:p>
        </w:tc>
        <w:tc>
          <w:tcPr>
            <w:tcW w:w="7224" w:type="dxa"/>
            <w:tcBorders>
              <w:bottom w:val="single" w:sz="4" w:space="0" w:color="auto"/>
            </w:tcBorders>
            <w:shd w:val="clear" w:color="auto" w:fill="E2EFD9" w:themeFill="accent6" w:themeFillTint="33"/>
          </w:tcPr>
          <w:p w:rsidR="00FB1999" w:rsidRPr="00D3714C" w:rsidRDefault="00FB1999" w:rsidP="00587061">
            <w:pPr>
              <w:spacing w:before="0"/>
            </w:pPr>
            <w:r w:rsidRPr="00D3714C">
              <w:t>Zajištění ambulantní, terénní nebo pobytové formy sociální služby krizové pomoci max. 5 pracovními úvazky pracovníků v přímé péči v OK pro oběti domácího násilí, oběti trestné činnosti a pro osoby v krizi</w:t>
            </w:r>
          </w:p>
        </w:tc>
      </w:tr>
      <w:tr w:rsidR="00FB1999" w:rsidRPr="00D3714C" w:rsidTr="00587061">
        <w:trPr>
          <w:trHeight w:val="397"/>
        </w:trPr>
        <w:tc>
          <w:tcPr>
            <w:tcW w:w="1838" w:type="dxa"/>
            <w:tcBorders>
              <w:bottom w:val="single" w:sz="4" w:space="0" w:color="auto"/>
            </w:tcBorders>
            <w:shd w:val="clear" w:color="auto" w:fill="FABF8F"/>
          </w:tcPr>
          <w:p w:rsidR="00FB1999" w:rsidRPr="00587061" w:rsidRDefault="00FB1999" w:rsidP="00587061">
            <w:pPr>
              <w:spacing w:before="0"/>
              <w:rPr>
                <w:b/>
              </w:rPr>
            </w:pPr>
            <w:r w:rsidRPr="00587061">
              <w:rPr>
                <w:b/>
              </w:rPr>
              <w:t>Cíl 5.5</w:t>
            </w:r>
          </w:p>
        </w:tc>
        <w:tc>
          <w:tcPr>
            <w:tcW w:w="7224" w:type="dxa"/>
            <w:tcBorders>
              <w:bottom w:val="single" w:sz="4" w:space="0" w:color="auto"/>
            </w:tcBorders>
            <w:shd w:val="clear" w:color="auto" w:fill="FABF8F"/>
          </w:tcPr>
          <w:p w:rsidR="00FB1999" w:rsidRPr="00587061" w:rsidRDefault="00FB1999" w:rsidP="00587061">
            <w:pPr>
              <w:spacing w:before="0"/>
              <w:rPr>
                <w:b/>
              </w:rPr>
            </w:pPr>
            <w:r w:rsidRPr="00587061">
              <w:rPr>
                <w:b/>
              </w:rPr>
              <w:t>Zajištění potřebného rozsahu služby nízkoprahového denního centra v OK</w:t>
            </w:r>
          </w:p>
        </w:tc>
      </w:tr>
      <w:tr w:rsidR="00FB1999" w:rsidRPr="00D3714C" w:rsidTr="00587061">
        <w:trPr>
          <w:trHeight w:val="397"/>
        </w:trPr>
        <w:tc>
          <w:tcPr>
            <w:tcW w:w="1838" w:type="dxa"/>
            <w:tcBorders>
              <w:bottom w:val="single" w:sz="4" w:space="0" w:color="auto"/>
            </w:tcBorders>
            <w:shd w:val="clear" w:color="auto" w:fill="E2EFD9" w:themeFill="accent6" w:themeFillTint="33"/>
          </w:tcPr>
          <w:p w:rsidR="00FB1999" w:rsidRPr="00587061" w:rsidRDefault="00FB1999" w:rsidP="00587061">
            <w:pPr>
              <w:spacing w:before="0"/>
              <w:rPr>
                <w:b/>
              </w:rPr>
            </w:pPr>
            <w:r w:rsidRPr="00587061">
              <w:rPr>
                <w:b/>
              </w:rPr>
              <w:t>Opatření 5.5.1</w:t>
            </w:r>
          </w:p>
        </w:tc>
        <w:tc>
          <w:tcPr>
            <w:tcW w:w="7224" w:type="dxa"/>
            <w:tcBorders>
              <w:bottom w:val="single" w:sz="4" w:space="0" w:color="auto"/>
            </w:tcBorders>
            <w:shd w:val="clear" w:color="auto" w:fill="E2EFD9" w:themeFill="accent6" w:themeFillTint="33"/>
          </w:tcPr>
          <w:p w:rsidR="00FB1999" w:rsidRPr="00D3714C" w:rsidRDefault="00FB1999" w:rsidP="00587061">
            <w:pPr>
              <w:spacing w:before="0"/>
            </w:pPr>
            <w:r w:rsidRPr="00D3714C">
              <w:t>Zajištění ambulantní nebo terénní formy sociální služby nízkoprahového denního centra 6,5 pracovními úvazky pracovníků v přímé péči v ORP Zábřeh, ORP Mo</w:t>
            </w:r>
            <w:r w:rsidR="00326174">
              <w:t>helnice a ORP Přerov</w:t>
            </w:r>
            <w:r w:rsidRPr="00D3714C">
              <w:t xml:space="preserve"> pro osoby bez přístřeší</w:t>
            </w:r>
          </w:p>
        </w:tc>
      </w:tr>
      <w:tr w:rsidR="00FB1999" w:rsidRPr="00D3714C" w:rsidTr="00587061">
        <w:trPr>
          <w:trHeight w:val="397"/>
        </w:trPr>
        <w:tc>
          <w:tcPr>
            <w:tcW w:w="1838" w:type="dxa"/>
            <w:tcBorders>
              <w:bottom w:val="single" w:sz="4" w:space="0" w:color="auto"/>
            </w:tcBorders>
            <w:shd w:val="clear" w:color="auto" w:fill="FABF8F"/>
          </w:tcPr>
          <w:p w:rsidR="00FB1999" w:rsidRPr="00587061" w:rsidRDefault="00FB1999" w:rsidP="00587061">
            <w:pPr>
              <w:spacing w:before="0"/>
              <w:rPr>
                <w:rFonts w:eastAsia="Arial Unicode MS"/>
                <w:b/>
              </w:rPr>
            </w:pPr>
            <w:r w:rsidRPr="00587061">
              <w:rPr>
                <w:rFonts w:eastAsia="Arial Unicode MS"/>
                <w:b/>
              </w:rPr>
              <w:lastRenderedPageBreak/>
              <w:t>Cíl 5.6</w:t>
            </w:r>
          </w:p>
        </w:tc>
        <w:tc>
          <w:tcPr>
            <w:tcW w:w="7224" w:type="dxa"/>
            <w:tcBorders>
              <w:bottom w:val="single" w:sz="4" w:space="0" w:color="auto"/>
            </w:tcBorders>
            <w:shd w:val="clear" w:color="auto" w:fill="FABF8F"/>
          </w:tcPr>
          <w:p w:rsidR="00FB1999" w:rsidRPr="00587061" w:rsidRDefault="00FB1999" w:rsidP="00587061">
            <w:pPr>
              <w:spacing w:before="0"/>
              <w:rPr>
                <w:rFonts w:eastAsia="Arial Unicode MS"/>
                <w:b/>
                <w:color w:val="FF0000"/>
              </w:rPr>
            </w:pPr>
            <w:r w:rsidRPr="00587061">
              <w:rPr>
                <w:b/>
              </w:rPr>
              <w:t>Zajištění potřebného rozsahu služby noclehárny v OK</w:t>
            </w:r>
          </w:p>
        </w:tc>
      </w:tr>
      <w:tr w:rsidR="00FB1999" w:rsidRPr="00D3714C" w:rsidTr="00587061">
        <w:trPr>
          <w:trHeight w:val="397"/>
        </w:trPr>
        <w:tc>
          <w:tcPr>
            <w:tcW w:w="1838" w:type="dxa"/>
            <w:tcBorders>
              <w:bottom w:val="single" w:sz="4" w:space="0" w:color="auto"/>
            </w:tcBorders>
            <w:shd w:val="clear" w:color="auto" w:fill="E2EFD9" w:themeFill="accent6" w:themeFillTint="33"/>
          </w:tcPr>
          <w:p w:rsidR="00FB1999" w:rsidRPr="00587061" w:rsidRDefault="00FB1999" w:rsidP="00587061">
            <w:pPr>
              <w:spacing w:before="0"/>
              <w:rPr>
                <w:b/>
              </w:rPr>
            </w:pPr>
            <w:r w:rsidRPr="00587061">
              <w:rPr>
                <w:b/>
              </w:rPr>
              <w:t>Opatření 5.6.1</w:t>
            </w:r>
          </w:p>
        </w:tc>
        <w:tc>
          <w:tcPr>
            <w:tcW w:w="7224" w:type="dxa"/>
            <w:tcBorders>
              <w:bottom w:val="single" w:sz="4" w:space="0" w:color="auto"/>
            </w:tcBorders>
            <w:shd w:val="clear" w:color="auto" w:fill="E2EFD9" w:themeFill="accent6" w:themeFillTint="33"/>
          </w:tcPr>
          <w:p w:rsidR="00FB1999" w:rsidRPr="00D3714C" w:rsidRDefault="00FB1999" w:rsidP="00587061">
            <w:pPr>
              <w:spacing w:before="0"/>
            </w:pPr>
            <w:r w:rsidRPr="00D3714C">
              <w:t>Zajištění ambulantní formy sociální služby noclehárny v počtu min. 10 lůžek v</w:t>
            </w:r>
            <w:r w:rsidR="00E00EA8">
              <w:t> </w:t>
            </w:r>
            <w:r w:rsidRPr="00D3714C">
              <w:t>ORP Zábřeh pro osoby bez přístřeší</w:t>
            </w:r>
          </w:p>
        </w:tc>
      </w:tr>
      <w:tr w:rsidR="00FB1999" w:rsidRPr="00D3714C" w:rsidTr="00587061">
        <w:trPr>
          <w:trHeight w:val="397"/>
        </w:trPr>
        <w:tc>
          <w:tcPr>
            <w:tcW w:w="1838" w:type="dxa"/>
            <w:tcBorders>
              <w:bottom w:val="single" w:sz="4" w:space="0" w:color="auto"/>
            </w:tcBorders>
            <w:shd w:val="clear" w:color="auto" w:fill="FABF8F"/>
          </w:tcPr>
          <w:p w:rsidR="00FB1999" w:rsidRPr="00587061" w:rsidRDefault="00D27B7C" w:rsidP="00587061">
            <w:pPr>
              <w:spacing w:before="0"/>
              <w:rPr>
                <w:rFonts w:eastAsia="Arial Unicode MS"/>
                <w:b/>
              </w:rPr>
            </w:pPr>
            <w:r w:rsidRPr="00587061">
              <w:rPr>
                <w:rFonts w:eastAsia="Arial Unicode MS"/>
                <w:b/>
              </w:rPr>
              <w:t>Cíl 5.7</w:t>
            </w:r>
          </w:p>
        </w:tc>
        <w:tc>
          <w:tcPr>
            <w:tcW w:w="7224" w:type="dxa"/>
            <w:tcBorders>
              <w:bottom w:val="single" w:sz="4" w:space="0" w:color="auto"/>
            </w:tcBorders>
            <w:shd w:val="clear" w:color="auto" w:fill="FABF8F"/>
          </w:tcPr>
          <w:p w:rsidR="00FB1999" w:rsidRPr="00587061" w:rsidRDefault="00FB1999" w:rsidP="00587061">
            <w:pPr>
              <w:spacing w:before="0"/>
              <w:rPr>
                <w:rFonts w:eastAsia="Arial Unicode MS"/>
                <w:b/>
              </w:rPr>
            </w:pPr>
            <w:r w:rsidRPr="00587061">
              <w:rPr>
                <w:rFonts w:eastAsia="Arial Unicode MS"/>
                <w:b/>
              </w:rPr>
              <w:t>Zajištění potřebného rozsahu služby sociální rehabilitace v OK</w:t>
            </w:r>
          </w:p>
        </w:tc>
      </w:tr>
      <w:tr w:rsidR="00FB1999" w:rsidRPr="00D3714C" w:rsidTr="00587061">
        <w:trPr>
          <w:trHeight w:val="397"/>
        </w:trPr>
        <w:tc>
          <w:tcPr>
            <w:tcW w:w="1838" w:type="dxa"/>
            <w:shd w:val="clear" w:color="auto" w:fill="E2EFD9" w:themeFill="accent6" w:themeFillTint="33"/>
          </w:tcPr>
          <w:p w:rsidR="00FB1999" w:rsidRPr="00587061" w:rsidRDefault="00D27B7C" w:rsidP="00587061">
            <w:pPr>
              <w:spacing w:before="0"/>
              <w:rPr>
                <w:b/>
              </w:rPr>
            </w:pPr>
            <w:r w:rsidRPr="00587061">
              <w:rPr>
                <w:b/>
              </w:rPr>
              <w:t>Opatření 5.7</w:t>
            </w:r>
            <w:r w:rsidR="00FB1999" w:rsidRPr="00587061">
              <w:rPr>
                <w:b/>
              </w:rPr>
              <w:t>.1</w:t>
            </w:r>
          </w:p>
        </w:tc>
        <w:tc>
          <w:tcPr>
            <w:tcW w:w="7224" w:type="dxa"/>
            <w:shd w:val="clear" w:color="auto" w:fill="E2EFD9" w:themeFill="accent6" w:themeFillTint="33"/>
          </w:tcPr>
          <w:p w:rsidR="00FB1999" w:rsidRPr="00D3714C" w:rsidRDefault="00FB1999" w:rsidP="00587061">
            <w:pPr>
              <w:spacing w:before="0"/>
            </w:pPr>
            <w:r w:rsidRPr="00D3714C">
              <w:t>Zajištění ambulantní a terénní formy sociální služby sociální rehabilitace max. 2 pracovními úvazky pracovníků v přímé péči v ORP Šumperk pro osoby, které vedou rizikový způsob života nebo jsou tímto způsobem života ohroženy, osoby do 26 let věku opouštějící školská zařízení pro výkon ústavní péče, imigranty a</w:t>
            </w:r>
            <w:r w:rsidR="00E00EA8">
              <w:t> </w:t>
            </w:r>
            <w:r w:rsidRPr="00D3714C">
              <w:t>azylanty</w:t>
            </w:r>
          </w:p>
        </w:tc>
      </w:tr>
      <w:tr w:rsidR="00FB1999" w:rsidRPr="00D3714C" w:rsidTr="00587061">
        <w:trPr>
          <w:trHeight w:val="397"/>
        </w:trPr>
        <w:tc>
          <w:tcPr>
            <w:tcW w:w="1838" w:type="dxa"/>
            <w:shd w:val="clear" w:color="auto" w:fill="E2EFD9" w:themeFill="accent6" w:themeFillTint="33"/>
          </w:tcPr>
          <w:p w:rsidR="00FB1999" w:rsidRPr="00587061" w:rsidRDefault="00D27B7C" w:rsidP="00587061">
            <w:pPr>
              <w:spacing w:before="0"/>
              <w:rPr>
                <w:b/>
              </w:rPr>
            </w:pPr>
            <w:r w:rsidRPr="00587061">
              <w:rPr>
                <w:b/>
              </w:rPr>
              <w:t>Opatření 5.7</w:t>
            </w:r>
            <w:r w:rsidR="00FB1999" w:rsidRPr="00587061">
              <w:rPr>
                <w:b/>
              </w:rPr>
              <w:t>.2</w:t>
            </w:r>
          </w:p>
        </w:tc>
        <w:tc>
          <w:tcPr>
            <w:tcW w:w="7224" w:type="dxa"/>
            <w:shd w:val="clear" w:color="auto" w:fill="E2EFD9" w:themeFill="accent6" w:themeFillTint="33"/>
          </w:tcPr>
          <w:p w:rsidR="00FB1999" w:rsidRPr="00D3714C" w:rsidRDefault="00FB1999" w:rsidP="00587061">
            <w:pPr>
              <w:spacing w:before="0"/>
            </w:pPr>
            <w:r w:rsidRPr="00D3714C">
              <w:t>Zajištění ambulantní a terénní formy sociální služby sociální rehabilitace max. 2,5 pracovními úvazky pracovníků v přímé péči pro ORP Lipník nad Bečvou a ORP Hranice pro osoby žijící v sociálně vyloučených komunitách</w:t>
            </w:r>
            <w:r w:rsidR="00326174">
              <w:t xml:space="preserve"> </w:t>
            </w:r>
            <w:r w:rsidR="00326174" w:rsidRPr="00326174">
              <w:t xml:space="preserve">(osoby sociálně vyloučené a osoby sociálním vyloučením ohrožené) </w:t>
            </w:r>
            <w:r w:rsidRPr="00D3714C">
              <w:rPr>
                <w:b/>
              </w:rPr>
              <w:t xml:space="preserve"> </w:t>
            </w:r>
          </w:p>
        </w:tc>
      </w:tr>
    </w:tbl>
    <w:p w:rsidR="00FB1999" w:rsidRDefault="00FB1999" w:rsidP="00A34764">
      <w:pPr>
        <w:pStyle w:val="Nadpis3"/>
      </w:pPr>
      <w:bookmarkStart w:id="232" w:name="_Toc117607007"/>
      <w:r>
        <w:t>Popis cílů a opatření</w:t>
      </w:r>
      <w:bookmarkEnd w:id="2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40"/>
      </w:tblGrid>
      <w:tr w:rsidR="00FB1999" w:rsidRPr="00F0722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FABF8F"/>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Cíl 5.1</w:t>
            </w:r>
          </w:p>
        </w:tc>
        <w:tc>
          <w:tcPr>
            <w:tcW w:w="3829" w:type="pct"/>
            <w:tcBorders>
              <w:top w:val="single" w:sz="4" w:space="0" w:color="auto"/>
              <w:left w:val="single" w:sz="4" w:space="0" w:color="auto"/>
              <w:bottom w:val="single" w:sz="4" w:space="0" w:color="auto"/>
              <w:right w:val="single" w:sz="4" w:space="0" w:color="auto"/>
            </w:tcBorders>
            <w:shd w:val="clear" w:color="auto" w:fill="FABF8F"/>
          </w:tcPr>
          <w:p w:rsidR="00FB1999" w:rsidRPr="00587061" w:rsidRDefault="00FB1999" w:rsidP="00D41DBC">
            <w:pPr>
              <w:keepNext/>
              <w:spacing w:before="0"/>
              <w:rPr>
                <w:rFonts w:eastAsia="Arial Unicode MS"/>
                <w:b/>
                <w:lang w:eastAsia="cs-CZ"/>
              </w:rPr>
            </w:pPr>
            <w:r w:rsidRPr="00587061">
              <w:rPr>
                <w:b/>
              </w:rPr>
              <w:t>Zajištění potřebného rozsahu služby odborného sociálního poradenství v OK</w:t>
            </w:r>
          </w:p>
        </w:tc>
      </w:tr>
      <w:tr w:rsidR="00FB1999" w:rsidRPr="006D6CF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 xml:space="preserve">Kód opatření </w:t>
            </w:r>
          </w:p>
        </w:tc>
        <w:tc>
          <w:tcPr>
            <w:tcW w:w="38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keepNext/>
              <w:spacing w:before="0"/>
              <w:rPr>
                <w:rFonts w:eastAsia="Arial Unicode MS"/>
                <w:b/>
                <w:lang w:eastAsia="cs-CZ"/>
              </w:rPr>
            </w:pPr>
            <w:r w:rsidRPr="00587061">
              <w:rPr>
                <w:rFonts w:eastAsia="Arial Unicode MS"/>
                <w:b/>
                <w:lang w:eastAsia="cs-CZ"/>
              </w:rPr>
              <w:t>5.1.1</w:t>
            </w:r>
          </w:p>
        </w:tc>
      </w:tr>
      <w:tr w:rsidR="00FB1999" w:rsidRPr="00F0722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Název opatření</w:t>
            </w:r>
          </w:p>
        </w:tc>
        <w:tc>
          <w:tcPr>
            <w:tcW w:w="38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keepNext/>
              <w:spacing w:before="0"/>
              <w:rPr>
                <w:rFonts w:eastAsia="Arial Unicode MS"/>
                <w:b/>
                <w:lang w:eastAsia="cs-CZ"/>
              </w:rPr>
            </w:pPr>
            <w:r w:rsidRPr="00587061">
              <w:rPr>
                <w:b/>
              </w:rPr>
              <w:t>Zajištění ambulantní nebo terénní formy sociální služby odborného sociálního poradenství 1,5 pracovním úvazkem pracovníků v přímé péči v ORP Šumperk pro osoby žijící v sociálně vyloučených komunitách</w:t>
            </w:r>
          </w:p>
        </w:tc>
      </w:tr>
      <w:tr w:rsidR="00FB1999" w:rsidRPr="003D6A04"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b/>
                <w:color w:val="000000"/>
                <w:spacing w:val="-2"/>
              </w:rPr>
            </w:pPr>
            <w:r w:rsidRPr="00587061">
              <w:rPr>
                <w:rFonts w:eastAsia="Arial Unicode MS"/>
                <w:b/>
                <w:lang w:eastAsia="cs-CZ"/>
              </w:rPr>
              <w:t>Charakteristika opatření</w:t>
            </w:r>
          </w:p>
        </w:tc>
        <w:tc>
          <w:tcPr>
            <w:tcW w:w="3829" w:type="pct"/>
            <w:tcBorders>
              <w:top w:val="single" w:sz="4" w:space="0" w:color="auto"/>
              <w:left w:val="single" w:sz="4" w:space="0" w:color="auto"/>
              <w:bottom w:val="single" w:sz="4" w:space="0" w:color="auto"/>
              <w:right w:val="single" w:sz="4" w:space="0" w:color="auto"/>
            </w:tcBorders>
          </w:tcPr>
          <w:p w:rsidR="00FB1999" w:rsidRPr="00CC2C0F" w:rsidRDefault="00FB1999" w:rsidP="00587061">
            <w:pPr>
              <w:pStyle w:val="Bezmezer"/>
              <w:jc w:val="both"/>
              <w:rPr>
                <w:rFonts w:ascii="Segoe UI" w:hAnsi="Segoe UI" w:cs="Segoe UI"/>
                <w:spacing w:val="-2"/>
                <w:sz w:val="20"/>
                <w:szCs w:val="20"/>
              </w:rPr>
            </w:pPr>
            <w:r w:rsidRPr="00CC2C0F">
              <w:rPr>
                <w:rFonts w:ascii="Segoe UI" w:hAnsi="Segoe UI" w:cs="Segoe UI"/>
                <w:spacing w:val="-2"/>
                <w:sz w:val="20"/>
                <w:szCs w:val="20"/>
              </w:rPr>
              <w:t>Opatření směřuje k zajištění ambulantní nebo terénní formy sociální služby odborného sociálního poradenství v území ORP Šumperk pro osoby žijící v sociálně vyloučených komunitách. Realizátor opatření disponuje akreditací pro poskytování služeb v oblasti oddlužení na základě rozhodnutí Ministerstva spravedlnosti ČR, dle příslušného zákona.</w:t>
            </w:r>
          </w:p>
        </w:tc>
      </w:tr>
      <w:tr w:rsidR="00FB1999" w:rsidRPr="00276153"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Cílová skupina</w:t>
            </w:r>
          </w:p>
        </w:tc>
        <w:tc>
          <w:tcPr>
            <w:tcW w:w="3829" w:type="pct"/>
            <w:tcBorders>
              <w:top w:val="single" w:sz="4" w:space="0" w:color="auto"/>
              <w:left w:val="single" w:sz="4" w:space="0" w:color="auto"/>
              <w:bottom w:val="single" w:sz="4" w:space="0" w:color="auto"/>
              <w:right w:val="single" w:sz="4" w:space="0" w:color="auto"/>
            </w:tcBorders>
          </w:tcPr>
          <w:p w:rsidR="00FB1999" w:rsidRPr="00CC2C0F" w:rsidRDefault="00FB1999" w:rsidP="00587061">
            <w:pPr>
              <w:pStyle w:val="Bezmezer"/>
              <w:rPr>
                <w:rFonts w:ascii="Segoe UI" w:hAnsi="Segoe UI" w:cs="Segoe UI"/>
                <w:sz w:val="20"/>
                <w:szCs w:val="20"/>
              </w:rPr>
            </w:pPr>
            <w:r w:rsidRPr="00CC2C0F">
              <w:rPr>
                <w:rFonts w:ascii="Segoe UI" w:hAnsi="Segoe UI" w:cs="Segoe UI"/>
                <w:sz w:val="20"/>
                <w:szCs w:val="20"/>
              </w:rPr>
              <w:t>Osoby žijící v sociálně vyloučených komunitách</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Druh služby</w:t>
            </w:r>
          </w:p>
        </w:tc>
        <w:tc>
          <w:tcPr>
            <w:tcW w:w="3829" w:type="pct"/>
            <w:tcBorders>
              <w:top w:val="single" w:sz="4" w:space="0" w:color="auto"/>
              <w:left w:val="single" w:sz="4" w:space="0" w:color="auto"/>
              <w:bottom w:val="single" w:sz="4" w:space="0" w:color="auto"/>
              <w:right w:val="single" w:sz="4" w:space="0" w:color="auto"/>
            </w:tcBorders>
          </w:tcPr>
          <w:p w:rsidR="00FB1999" w:rsidRPr="00CC2C0F" w:rsidRDefault="00FB1999" w:rsidP="00587061">
            <w:pPr>
              <w:spacing w:before="0"/>
              <w:rPr>
                <w:rFonts w:eastAsia="Arial Unicode MS" w:cs="Segoe UI"/>
                <w:szCs w:val="20"/>
                <w:lang w:eastAsia="cs-CZ"/>
              </w:rPr>
            </w:pPr>
            <w:r w:rsidRPr="00CC2C0F">
              <w:rPr>
                <w:rFonts w:eastAsia="Arial Unicode MS" w:cs="Segoe UI"/>
                <w:szCs w:val="20"/>
                <w:lang w:eastAsia="cs-CZ"/>
              </w:rPr>
              <w:t xml:space="preserve">Sociální poradenství (§ 37) </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Forma služby</w:t>
            </w:r>
          </w:p>
        </w:tc>
        <w:tc>
          <w:tcPr>
            <w:tcW w:w="3829" w:type="pct"/>
            <w:tcBorders>
              <w:top w:val="single" w:sz="4" w:space="0" w:color="auto"/>
              <w:left w:val="single" w:sz="4" w:space="0" w:color="auto"/>
              <w:bottom w:val="single" w:sz="4" w:space="0" w:color="auto"/>
              <w:right w:val="single" w:sz="4" w:space="0" w:color="auto"/>
            </w:tcBorders>
          </w:tcPr>
          <w:p w:rsidR="00FB1999" w:rsidRPr="00CC2C0F" w:rsidRDefault="00FB1999" w:rsidP="00587061">
            <w:pPr>
              <w:spacing w:before="0"/>
              <w:rPr>
                <w:rFonts w:eastAsia="Arial Unicode MS" w:cs="Segoe UI"/>
                <w:szCs w:val="20"/>
                <w:lang w:eastAsia="cs-CZ"/>
              </w:rPr>
            </w:pPr>
            <w:r w:rsidRPr="00CC2C0F">
              <w:rPr>
                <w:rFonts w:eastAsia="Arial Unicode MS" w:cs="Segoe UI"/>
                <w:szCs w:val="20"/>
                <w:lang w:eastAsia="cs-CZ"/>
              </w:rPr>
              <w:t xml:space="preserve">Terénní </w:t>
            </w:r>
          </w:p>
        </w:tc>
      </w:tr>
      <w:tr w:rsidR="00FB1999" w:rsidRPr="00276153"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Vymezení územního dopadu opatření</w:t>
            </w:r>
          </w:p>
        </w:tc>
        <w:tc>
          <w:tcPr>
            <w:tcW w:w="3829" w:type="pct"/>
            <w:tcBorders>
              <w:top w:val="single" w:sz="4" w:space="0" w:color="auto"/>
              <w:left w:val="single" w:sz="4" w:space="0" w:color="auto"/>
              <w:bottom w:val="single" w:sz="4" w:space="0" w:color="auto"/>
              <w:right w:val="single" w:sz="4" w:space="0" w:color="auto"/>
            </w:tcBorders>
          </w:tcPr>
          <w:p w:rsidR="00FB1999" w:rsidRPr="00CC2C0F" w:rsidRDefault="00FB1999" w:rsidP="00587061">
            <w:pPr>
              <w:spacing w:before="0"/>
              <w:rPr>
                <w:rFonts w:cs="Segoe UI"/>
                <w:szCs w:val="20"/>
              </w:rPr>
            </w:pPr>
            <w:r w:rsidRPr="00CC2C0F">
              <w:rPr>
                <w:rFonts w:cs="Segoe UI"/>
                <w:szCs w:val="20"/>
              </w:rPr>
              <w:t>ORP Šumperk</w:t>
            </w:r>
          </w:p>
        </w:tc>
      </w:tr>
      <w:tr w:rsidR="00FB1999" w:rsidRPr="003D6A04"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Předpokládaný dopad opatření</w:t>
            </w:r>
          </w:p>
        </w:tc>
        <w:tc>
          <w:tcPr>
            <w:tcW w:w="3829" w:type="pct"/>
            <w:tcBorders>
              <w:top w:val="single" w:sz="4" w:space="0" w:color="auto"/>
              <w:left w:val="single" w:sz="4" w:space="0" w:color="auto"/>
              <w:bottom w:val="single" w:sz="4" w:space="0" w:color="auto"/>
              <w:right w:val="single" w:sz="4" w:space="0" w:color="auto"/>
            </w:tcBorders>
          </w:tcPr>
          <w:p w:rsidR="00FB1999" w:rsidRPr="00CC2C0F" w:rsidRDefault="00FB1999" w:rsidP="00587061">
            <w:pPr>
              <w:pStyle w:val="Bezmezer"/>
              <w:jc w:val="both"/>
              <w:rPr>
                <w:rFonts w:ascii="Segoe UI" w:hAnsi="Segoe UI" w:cs="Segoe UI"/>
                <w:color w:val="000000"/>
                <w:spacing w:val="-2"/>
                <w:sz w:val="20"/>
                <w:szCs w:val="20"/>
              </w:rPr>
            </w:pPr>
            <w:r w:rsidRPr="00CC2C0F">
              <w:rPr>
                <w:rFonts w:ascii="Segoe UI" w:hAnsi="Segoe UI" w:cs="Segoe UI"/>
                <w:spacing w:val="-2"/>
                <w:sz w:val="20"/>
                <w:szCs w:val="20"/>
              </w:rPr>
              <w:t>Uživatelé z cílové skupiny mají na území dostupné možnosti řešení nepříznivých sociálních situací, zejména tam, kde je riziko vzniku nebo prohloubení dluhové krize, které povedou k jejich stabilizaci (orientace v dluhovém problému, zvyšování finanční gramotnosti, zlepšení sociálních vazeb v okolí jedince, podpora a motivace k překonání tíživé situace, činnosti poskytované v oblasti oddlužení). Uživatelé jsou na základě působení sociální služby, v rozsahu základních činností daných její registrací, kompetentní k řešení svých osobních záležitostí.</w:t>
            </w:r>
          </w:p>
        </w:tc>
      </w:tr>
      <w:tr w:rsidR="00FB1999" w:rsidRPr="00F0722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 xml:space="preserve">Aktivity vedoucí k naplnění opatření </w:t>
            </w:r>
          </w:p>
        </w:tc>
        <w:tc>
          <w:tcPr>
            <w:tcW w:w="3829" w:type="pct"/>
            <w:tcBorders>
              <w:top w:val="single" w:sz="4" w:space="0" w:color="auto"/>
              <w:left w:val="single" w:sz="4" w:space="0" w:color="auto"/>
              <w:bottom w:val="single" w:sz="4" w:space="0" w:color="auto"/>
              <w:right w:val="single" w:sz="4" w:space="0" w:color="auto"/>
            </w:tcBorders>
          </w:tcPr>
          <w:p w:rsidR="00FB1999" w:rsidRDefault="00FB1999" w:rsidP="00587061">
            <w:pPr>
              <w:pStyle w:val="Odstavecseseznamem"/>
              <w:numPr>
                <w:ilvl w:val="0"/>
                <w:numId w:val="190"/>
              </w:numPr>
              <w:spacing w:before="0" w:line="240" w:lineRule="auto"/>
            </w:pPr>
            <w:r w:rsidRPr="00312774">
              <w:t>Projednání předloženého záměru poskytovatele sociálních služeb v</w:t>
            </w:r>
            <w:r>
              <w:t> </w:t>
            </w:r>
            <w:r w:rsidRPr="00312774">
              <w:t>souladu se schválenými postupy pro aktualizaci sítě sociálních služeb OK</w:t>
            </w:r>
          </w:p>
          <w:p w:rsidR="00FB1999" w:rsidRPr="00D3714C" w:rsidRDefault="00FB1999" w:rsidP="00587061">
            <w:pPr>
              <w:pStyle w:val="Odstavecseseznamem"/>
              <w:numPr>
                <w:ilvl w:val="0"/>
                <w:numId w:val="190"/>
              </w:numPr>
              <w:spacing w:before="0" w:line="240" w:lineRule="auto"/>
            </w:pPr>
            <w:r w:rsidRPr="00D3714C">
              <w:t>Při vyjádření pozitivního stanoviska OK aktualizace sítě sociálních služeb dle schválených změn</w:t>
            </w:r>
          </w:p>
        </w:tc>
      </w:tr>
      <w:tr w:rsidR="00FB1999" w:rsidRPr="00F0722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Rizika a ohrožení naplnění opatření</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pStyle w:val="Odstavecseseznamem"/>
              <w:numPr>
                <w:ilvl w:val="0"/>
                <w:numId w:val="188"/>
              </w:numPr>
              <w:spacing w:before="0" w:line="240" w:lineRule="auto"/>
            </w:pPr>
            <w:r w:rsidRPr="007C5A69">
              <w:t>Neprojevení zájmu poskytovatelů</w:t>
            </w:r>
            <w:r>
              <w:t xml:space="preserve"> sociálních</w:t>
            </w:r>
            <w:r w:rsidRPr="007C5A69">
              <w:t xml:space="preserve"> služeb o plnění cíle a</w:t>
            </w:r>
            <w:r>
              <w:t> </w:t>
            </w:r>
            <w:r w:rsidRPr="007C5A69">
              <w:t>opatření</w:t>
            </w:r>
          </w:p>
          <w:p w:rsidR="00FB1999" w:rsidRPr="007C5A69" w:rsidRDefault="00FB1999" w:rsidP="00587061">
            <w:pPr>
              <w:pStyle w:val="Odstavecseseznamem"/>
              <w:numPr>
                <w:ilvl w:val="0"/>
                <w:numId w:val="188"/>
              </w:numPr>
              <w:spacing w:before="0" w:line="240" w:lineRule="auto"/>
            </w:pPr>
            <w:r w:rsidRPr="007C5A69">
              <w:t>Nesplnění kritérií dle Postupu pro aktualizaci sítě sociálních služeb OK vedoucí k neschválení žádosti poskytovatele</w:t>
            </w:r>
          </w:p>
          <w:p w:rsidR="00FB1999" w:rsidRPr="00752722" w:rsidRDefault="00FB1999" w:rsidP="00587061">
            <w:pPr>
              <w:pStyle w:val="Odstavecseseznamem"/>
              <w:numPr>
                <w:ilvl w:val="0"/>
                <w:numId w:val="188"/>
              </w:numPr>
              <w:spacing w:before="0" w:line="240" w:lineRule="auto"/>
            </w:pPr>
            <w:r w:rsidRPr="00752722">
              <w:lastRenderedPageBreak/>
              <w:t>Nesplnění podmínek registrace poskytovaných sociálních služeb</w:t>
            </w:r>
          </w:p>
          <w:p w:rsidR="00FB1999" w:rsidRPr="007C5A69" w:rsidRDefault="00FB1999" w:rsidP="00587061">
            <w:pPr>
              <w:pStyle w:val="Odstavecseseznamem"/>
              <w:numPr>
                <w:ilvl w:val="0"/>
                <w:numId w:val="188"/>
              </w:numPr>
              <w:spacing w:before="0" w:line="240" w:lineRule="auto"/>
            </w:pPr>
            <w:r w:rsidRPr="007C5A69">
              <w:t>Nedostatek lidských zdrojů</w:t>
            </w:r>
          </w:p>
          <w:p w:rsidR="00FB1999" w:rsidRDefault="00FB1999" w:rsidP="00587061">
            <w:pPr>
              <w:pStyle w:val="Odstavecseseznamem"/>
              <w:numPr>
                <w:ilvl w:val="0"/>
                <w:numId w:val="188"/>
              </w:numPr>
              <w:spacing w:before="0" w:line="240" w:lineRule="auto"/>
            </w:pPr>
            <w:r w:rsidRPr="007C5A69">
              <w:t>Nedostatek finančních prostředků z veřejných zdrojů</w:t>
            </w:r>
          </w:p>
          <w:p w:rsidR="00FB1999" w:rsidRPr="00D3714C" w:rsidRDefault="00FB1999" w:rsidP="00587061">
            <w:pPr>
              <w:pStyle w:val="Odstavecseseznamem"/>
              <w:numPr>
                <w:ilvl w:val="0"/>
                <w:numId w:val="188"/>
              </w:numPr>
              <w:spacing w:before="0" w:line="240" w:lineRule="auto"/>
            </w:pPr>
            <w:r w:rsidRPr="00D3714C">
              <w:t>Legislativní změny</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lastRenderedPageBreak/>
              <w:t xml:space="preserve">Předpokládaní realizátoři </w:t>
            </w:r>
            <w:r w:rsidRPr="00587061">
              <w:rPr>
                <w:rFonts w:eastAsia="Arial Unicode MS"/>
                <w:b/>
                <w:lang w:eastAsia="cs-CZ"/>
              </w:rPr>
              <w:br/>
              <w:t>a partneři opatření</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pStyle w:val="Bezmezer"/>
              <w:jc w:val="both"/>
              <w:rPr>
                <w:lang w:eastAsia="cs-CZ"/>
              </w:rPr>
            </w:pPr>
            <w:r>
              <w:rPr>
                <w:rFonts w:ascii="Segoe UI" w:hAnsi="Segoe UI" w:cs="Segoe UI"/>
                <w:color w:val="000000"/>
                <w:sz w:val="20"/>
                <w:szCs w:val="20"/>
              </w:rPr>
              <w:t>P</w:t>
            </w:r>
            <w:r w:rsidRPr="002423B0">
              <w:rPr>
                <w:rFonts w:ascii="Segoe UI" w:hAnsi="Segoe UI" w:cs="Segoe UI"/>
                <w:color w:val="000000"/>
                <w:sz w:val="20"/>
                <w:szCs w:val="20"/>
              </w:rPr>
              <w:t xml:space="preserve">oskytovatelé </w:t>
            </w:r>
            <w:r>
              <w:rPr>
                <w:rFonts w:ascii="Segoe UI" w:hAnsi="Segoe UI" w:cs="Segoe UI"/>
                <w:color w:val="000000"/>
                <w:sz w:val="20"/>
                <w:szCs w:val="20"/>
              </w:rPr>
              <w:t xml:space="preserve">sociálních služeb </w:t>
            </w:r>
            <w:r w:rsidRPr="002423B0">
              <w:rPr>
                <w:rFonts w:ascii="Segoe UI" w:hAnsi="Segoe UI" w:cs="Segoe UI"/>
                <w:color w:val="000000"/>
                <w:sz w:val="20"/>
                <w:szCs w:val="20"/>
              </w:rPr>
              <w:t xml:space="preserve">pro dané </w:t>
            </w:r>
            <w:r>
              <w:rPr>
                <w:rFonts w:ascii="Segoe UI" w:hAnsi="Segoe UI" w:cs="Segoe UI"/>
                <w:color w:val="000000"/>
                <w:sz w:val="20"/>
                <w:szCs w:val="20"/>
              </w:rPr>
              <w:t>cílové skupiny osob, kraj, obce</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Časový harmonogram</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spacing w:before="0"/>
              <w:rPr>
                <w:rFonts w:eastAsia="Arial Unicode MS"/>
                <w:lang w:eastAsia="cs-CZ"/>
              </w:rPr>
            </w:pPr>
            <w:r w:rsidRPr="007C5A69">
              <w:rPr>
                <w:rFonts w:eastAsia="Arial Unicode MS"/>
                <w:lang w:eastAsia="cs-CZ"/>
              </w:rPr>
              <w:t>202</w:t>
            </w:r>
            <w:r>
              <w:rPr>
                <w:rFonts w:eastAsia="Arial Unicode MS"/>
                <w:lang w:eastAsia="cs-CZ"/>
              </w:rPr>
              <w:t>4–</w:t>
            </w:r>
            <w:r w:rsidRPr="007C5A69">
              <w:rPr>
                <w:rFonts w:eastAsia="Arial Unicode MS"/>
                <w:lang w:eastAsia="cs-CZ"/>
              </w:rPr>
              <w:t>202</w:t>
            </w:r>
            <w:r>
              <w:rPr>
                <w:rFonts w:eastAsia="Arial Unicode MS"/>
                <w:lang w:eastAsia="cs-CZ"/>
              </w:rPr>
              <w:t>6</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Předpokládané finanční zdroje</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spacing w:before="0"/>
              <w:rPr>
                <w:rFonts w:eastAsia="Arial Unicode MS"/>
                <w:lang w:eastAsia="cs-CZ"/>
              </w:rPr>
            </w:pPr>
            <w:r w:rsidRPr="007C5A69">
              <w:rPr>
                <w:rFonts w:eastAsia="Arial Unicode MS"/>
                <w:lang w:eastAsia="cs-CZ"/>
              </w:rPr>
              <w:t>Veřejné zdroje, evropské zdroje a ostatní zdroje financování</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Hodnotící indikátory výstupů a výsledků</w:t>
            </w:r>
          </w:p>
        </w:tc>
        <w:tc>
          <w:tcPr>
            <w:tcW w:w="3829" w:type="pct"/>
            <w:tcBorders>
              <w:top w:val="single" w:sz="4" w:space="0" w:color="auto"/>
              <w:left w:val="single" w:sz="4" w:space="0" w:color="auto"/>
              <w:bottom w:val="single" w:sz="4" w:space="0" w:color="auto"/>
              <w:right w:val="single" w:sz="4" w:space="0" w:color="auto"/>
            </w:tcBorders>
          </w:tcPr>
          <w:p w:rsidR="00FB1999" w:rsidRPr="00A34764" w:rsidRDefault="00FB1999" w:rsidP="00587061">
            <w:pPr>
              <w:pStyle w:val="Odstavecseseznamem"/>
              <w:numPr>
                <w:ilvl w:val="0"/>
                <w:numId w:val="15"/>
              </w:numPr>
              <w:spacing w:before="0" w:line="240" w:lineRule="auto"/>
            </w:pPr>
            <w:r w:rsidRPr="00A34764">
              <w:t>Zajištění rozvoje sociální služby v daném regionu</w:t>
            </w:r>
          </w:p>
          <w:p w:rsidR="00FB1999" w:rsidRPr="00A34764" w:rsidRDefault="00FB1999" w:rsidP="00587061">
            <w:pPr>
              <w:pStyle w:val="Odstavecseseznamem"/>
              <w:numPr>
                <w:ilvl w:val="0"/>
                <w:numId w:val="15"/>
              </w:numPr>
              <w:spacing w:before="0" w:line="240" w:lineRule="auto"/>
            </w:pPr>
            <w:r w:rsidRPr="00A34764">
              <w:t>Aktualizace sítě sociálních služeb dle schválených změn</w:t>
            </w:r>
          </w:p>
        </w:tc>
      </w:tr>
      <w:tr w:rsidR="00FB1999" w:rsidRPr="006D6CF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 xml:space="preserve">Kód opatření </w:t>
            </w:r>
          </w:p>
        </w:tc>
        <w:tc>
          <w:tcPr>
            <w:tcW w:w="38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keepNext/>
              <w:spacing w:before="0"/>
              <w:rPr>
                <w:rFonts w:eastAsia="Arial Unicode MS"/>
                <w:b/>
                <w:lang w:eastAsia="cs-CZ"/>
              </w:rPr>
            </w:pPr>
            <w:r w:rsidRPr="00587061">
              <w:rPr>
                <w:rFonts w:eastAsia="Arial Unicode MS"/>
                <w:b/>
                <w:lang w:eastAsia="cs-CZ"/>
              </w:rPr>
              <w:t>5.1.2</w:t>
            </w:r>
          </w:p>
        </w:tc>
      </w:tr>
      <w:tr w:rsidR="00FB1999" w:rsidRPr="00F0722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Název opatření</w:t>
            </w:r>
          </w:p>
        </w:tc>
        <w:tc>
          <w:tcPr>
            <w:tcW w:w="38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keepNext/>
              <w:spacing w:before="0"/>
              <w:rPr>
                <w:rFonts w:eastAsia="Arial Unicode MS"/>
                <w:b/>
                <w:lang w:eastAsia="cs-CZ"/>
              </w:rPr>
            </w:pPr>
            <w:r w:rsidRPr="00587061">
              <w:rPr>
                <w:b/>
              </w:rPr>
              <w:t>Zajištění ambulantní formy sociální služby odborného sociálního poradenství 1 pracovním úvazkem pracovníků v přímé péči v ORP Uničov a ORP Litovel pro osoby, které vedou rizikový způsob života nebo jsou tímto způsobem života ohroženy</w:t>
            </w:r>
          </w:p>
        </w:tc>
      </w:tr>
      <w:tr w:rsidR="00FB1999" w:rsidRPr="006D6CF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b/>
                <w:color w:val="000000"/>
                <w:spacing w:val="-2"/>
              </w:rPr>
            </w:pPr>
            <w:r w:rsidRPr="00587061">
              <w:rPr>
                <w:rFonts w:eastAsia="Arial Unicode MS"/>
                <w:b/>
                <w:lang w:eastAsia="cs-CZ"/>
              </w:rPr>
              <w:t>Charakteristika opatření</w:t>
            </w:r>
          </w:p>
        </w:tc>
        <w:tc>
          <w:tcPr>
            <w:tcW w:w="3829" w:type="pct"/>
            <w:tcBorders>
              <w:top w:val="single" w:sz="4" w:space="0" w:color="auto"/>
              <w:left w:val="single" w:sz="4" w:space="0" w:color="auto"/>
              <w:bottom w:val="single" w:sz="4" w:space="0" w:color="auto"/>
              <w:right w:val="single" w:sz="4" w:space="0" w:color="auto"/>
            </w:tcBorders>
          </w:tcPr>
          <w:p w:rsidR="00FB1999" w:rsidRPr="00984F77" w:rsidRDefault="00FB1999" w:rsidP="00587061">
            <w:pPr>
              <w:pStyle w:val="Bezmezer"/>
              <w:jc w:val="both"/>
              <w:rPr>
                <w:rFonts w:ascii="Segoe UI" w:hAnsi="Segoe UI" w:cs="Segoe UI"/>
                <w:sz w:val="20"/>
                <w:szCs w:val="20"/>
              </w:rPr>
            </w:pPr>
            <w:r w:rsidRPr="00984F77">
              <w:rPr>
                <w:rFonts w:ascii="Segoe UI" w:hAnsi="Segoe UI" w:cs="Segoe UI"/>
                <w:sz w:val="20"/>
                <w:szCs w:val="20"/>
              </w:rPr>
              <w:t>Opatření směřuje k zajištění ambulantní formy sociální služby odborného sociálního poradenství v území ORP Uničov a ORP Litovel pro osoby, které vedou rizikový způsob života nebo jsou tímto způsobem života ohroženy. Realizátor opatření disponuje akreditací pro poskytování služeb v oblasti oddlužení na základě rozhodnutí Ministerstva spravedlnosti ČR, dle příslušného zákona.</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Cílová skupina</w:t>
            </w:r>
          </w:p>
        </w:tc>
        <w:tc>
          <w:tcPr>
            <w:tcW w:w="3829" w:type="pct"/>
            <w:tcBorders>
              <w:top w:val="single" w:sz="4" w:space="0" w:color="auto"/>
              <w:left w:val="single" w:sz="4" w:space="0" w:color="auto"/>
              <w:bottom w:val="single" w:sz="4" w:space="0" w:color="auto"/>
              <w:right w:val="single" w:sz="4" w:space="0" w:color="auto"/>
            </w:tcBorders>
          </w:tcPr>
          <w:p w:rsidR="00FB1999" w:rsidRPr="00984F77" w:rsidRDefault="00FB1999" w:rsidP="00587061">
            <w:pPr>
              <w:pStyle w:val="Bezmezer"/>
              <w:rPr>
                <w:rFonts w:ascii="Segoe UI" w:hAnsi="Segoe UI" w:cs="Segoe UI"/>
                <w:sz w:val="20"/>
                <w:szCs w:val="20"/>
              </w:rPr>
            </w:pPr>
            <w:r w:rsidRPr="00984F77">
              <w:rPr>
                <w:rFonts w:ascii="Segoe UI" w:hAnsi="Segoe UI" w:cs="Segoe UI"/>
                <w:sz w:val="20"/>
                <w:szCs w:val="20"/>
              </w:rPr>
              <w:t>Osoby, které vedou rizikový způsob života nebo jsou tímto způsobem života ohroženy</w:t>
            </w:r>
          </w:p>
        </w:tc>
      </w:tr>
      <w:tr w:rsidR="00FB1999" w:rsidRPr="007C5A69" w:rsidTr="009240D1">
        <w:trPr>
          <w:trHeight w:val="186"/>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Druh služby</w:t>
            </w:r>
          </w:p>
        </w:tc>
        <w:tc>
          <w:tcPr>
            <w:tcW w:w="3829" w:type="pct"/>
            <w:tcBorders>
              <w:top w:val="single" w:sz="4" w:space="0" w:color="auto"/>
              <w:left w:val="single" w:sz="4" w:space="0" w:color="auto"/>
              <w:bottom w:val="single" w:sz="4" w:space="0" w:color="auto"/>
              <w:right w:val="single" w:sz="4" w:space="0" w:color="auto"/>
            </w:tcBorders>
          </w:tcPr>
          <w:p w:rsidR="00FB1999" w:rsidRPr="00984F77" w:rsidRDefault="00FB1999" w:rsidP="00587061">
            <w:pPr>
              <w:spacing w:before="0"/>
              <w:rPr>
                <w:rFonts w:eastAsia="Arial Unicode MS" w:cs="Segoe UI"/>
                <w:szCs w:val="20"/>
                <w:lang w:eastAsia="cs-CZ"/>
              </w:rPr>
            </w:pPr>
            <w:r w:rsidRPr="00984F77">
              <w:rPr>
                <w:rFonts w:eastAsia="Arial Unicode MS" w:cs="Segoe UI"/>
                <w:szCs w:val="20"/>
                <w:lang w:eastAsia="cs-CZ"/>
              </w:rPr>
              <w:t xml:space="preserve">Sociální poradenství (§ 37) </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Forma služby</w:t>
            </w:r>
          </w:p>
        </w:tc>
        <w:tc>
          <w:tcPr>
            <w:tcW w:w="3829" w:type="pct"/>
            <w:tcBorders>
              <w:top w:val="single" w:sz="4" w:space="0" w:color="auto"/>
              <w:left w:val="single" w:sz="4" w:space="0" w:color="auto"/>
              <w:bottom w:val="single" w:sz="4" w:space="0" w:color="auto"/>
              <w:right w:val="single" w:sz="4" w:space="0" w:color="auto"/>
            </w:tcBorders>
          </w:tcPr>
          <w:p w:rsidR="00FB1999" w:rsidRPr="00984F77" w:rsidRDefault="00FB1999" w:rsidP="00587061">
            <w:pPr>
              <w:spacing w:before="0"/>
              <w:rPr>
                <w:rFonts w:eastAsia="Arial Unicode MS" w:cs="Segoe UI"/>
                <w:szCs w:val="20"/>
                <w:lang w:eastAsia="cs-CZ"/>
              </w:rPr>
            </w:pPr>
            <w:r w:rsidRPr="00984F77">
              <w:rPr>
                <w:rFonts w:eastAsia="Arial Unicode MS" w:cs="Segoe UI"/>
                <w:szCs w:val="20"/>
                <w:lang w:eastAsia="cs-CZ"/>
              </w:rPr>
              <w:t>Ambulantní</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Vymezení územního dopadu opatření</w:t>
            </w:r>
          </w:p>
        </w:tc>
        <w:tc>
          <w:tcPr>
            <w:tcW w:w="3829" w:type="pct"/>
            <w:tcBorders>
              <w:top w:val="single" w:sz="4" w:space="0" w:color="auto"/>
              <w:left w:val="single" w:sz="4" w:space="0" w:color="auto"/>
              <w:bottom w:val="single" w:sz="4" w:space="0" w:color="auto"/>
              <w:right w:val="single" w:sz="4" w:space="0" w:color="auto"/>
            </w:tcBorders>
          </w:tcPr>
          <w:p w:rsidR="00FB1999" w:rsidRPr="00984F77" w:rsidRDefault="00FB1999" w:rsidP="00587061">
            <w:pPr>
              <w:spacing w:before="0"/>
              <w:rPr>
                <w:rFonts w:cs="Segoe UI"/>
                <w:szCs w:val="20"/>
              </w:rPr>
            </w:pPr>
            <w:r w:rsidRPr="00984F77">
              <w:rPr>
                <w:rFonts w:cs="Segoe UI"/>
                <w:szCs w:val="20"/>
              </w:rPr>
              <w:t>ORP Uničov</w:t>
            </w:r>
          </w:p>
          <w:p w:rsidR="00FB1999" w:rsidRPr="00984F77" w:rsidRDefault="00FB1999" w:rsidP="00587061">
            <w:pPr>
              <w:spacing w:before="0"/>
              <w:rPr>
                <w:rFonts w:cs="Segoe UI"/>
                <w:szCs w:val="20"/>
              </w:rPr>
            </w:pPr>
            <w:r w:rsidRPr="00984F77">
              <w:rPr>
                <w:rFonts w:cs="Segoe UI"/>
                <w:szCs w:val="20"/>
              </w:rPr>
              <w:t>ORP Litovel</w:t>
            </w:r>
          </w:p>
        </w:tc>
      </w:tr>
      <w:tr w:rsidR="00FB1999" w:rsidRPr="00791DEA"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Předpokládaný dopad opatření</w:t>
            </w:r>
          </w:p>
        </w:tc>
        <w:tc>
          <w:tcPr>
            <w:tcW w:w="3829" w:type="pct"/>
            <w:tcBorders>
              <w:top w:val="single" w:sz="4" w:space="0" w:color="auto"/>
              <w:left w:val="single" w:sz="4" w:space="0" w:color="auto"/>
              <w:bottom w:val="single" w:sz="4" w:space="0" w:color="auto"/>
              <w:right w:val="single" w:sz="4" w:space="0" w:color="auto"/>
            </w:tcBorders>
          </w:tcPr>
          <w:p w:rsidR="00FB1999" w:rsidRPr="00791DEA" w:rsidRDefault="00FB1999" w:rsidP="00587061">
            <w:pPr>
              <w:spacing w:before="0"/>
              <w:rPr>
                <w:rFonts w:cs="Segoe UI"/>
                <w:color w:val="000000"/>
                <w:szCs w:val="20"/>
              </w:rPr>
            </w:pPr>
            <w:r w:rsidRPr="003D6A04">
              <w:t>Uživatelé z cílové sku</w:t>
            </w:r>
            <w:r>
              <w:t xml:space="preserve">piny mají na území </w:t>
            </w:r>
            <w:r w:rsidRPr="003D6A04">
              <w:t>dostupné možnosti řešení nepříznivých sociálních situací, zejména tam, kde je riziko vzniku nebo prohloubení dluhové krize, které povedou k jejich stabilizaci</w:t>
            </w:r>
            <w:r>
              <w:t xml:space="preserve"> </w:t>
            </w:r>
            <w:r w:rsidRPr="003D6A04">
              <w:t>(orientace v dluhovém problému, zvyšování finanční gramotnosti, zlepšení sociálních vazeb v okolí jedince, podpora a motivace k překonání tíživé situace, činnosti poskytované v oblasti oddlužení)</w:t>
            </w:r>
            <w:r>
              <w:t xml:space="preserve">. </w:t>
            </w:r>
            <w:r w:rsidRPr="003D6A04">
              <w:t>Uživatelé jsou na základě působení sociální služby, v rozsahu základních činností daných její registrací, kompetentní k řešení svých osobních záležitostí.</w:t>
            </w:r>
          </w:p>
        </w:tc>
      </w:tr>
      <w:tr w:rsidR="00FB1999" w:rsidRPr="00F0722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 xml:space="preserve">Aktivity vedoucí k naplnění opatření </w:t>
            </w:r>
          </w:p>
        </w:tc>
        <w:tc>
          <w:tcPr>
            <w:tcW w:w="3829" w:type="pct"/>
            <w:tcBorders>
              <w:top w:val="single" w:sz="4" w:space="0" w:color="auto"/>
              <w:left w:val="single" w:sz="4" w:space="0" w:color="auto"/>
              <w:bottom w:val="single" w:sz="4" w:space="0" w:color="auto"/>
              <w:right w:val="single" w:sz="4" w:space="0" w:color="auto"/>
            </w:tcBorders>
          </w:tcPr>
          <w:p w:rsidR="00FB1999" w:rsidRDefault="00FB1999" w:rsidP="00587061">
            <w:pPr>
              <w:pStyle w:val="Odstavecseseznamem"/>
              <w:numPr>
                <w:ilvl w:val="0"/>
                <w:numId w:val="191"/>
              </w:numPr>
              <w:spacing w:before="0" w:line="240" w:lineRule="auto"/>
            </w:pPr>
            <w:r w:rsidRPr="00312774">
              <w:t>Projednání předloženého záměru poskytovatele sociálních služeb v</w:t>
            </w:r>
            <w:r>
              <w:t> </w:t>
            </w:r>
            <w:r w:rsidRPr="00312774">
              <w:t>souladu se schválenými postupy pro aktualizaci sítě sociálních služeb OK</w:t>
            </w:r>
          </w:p>
          <w:p w:rsidR="00FB1999" w:rsidRPr="00D3714C" w:rsidRDefault="00FB1999" w:rsidP="00587061">
            <w:pPr>
              <w:pStyle w:val="Odstavecseseznamem"/>
              <w:numPr>
                <w:ilvl w:val="0"/>
                <w:numId w:val="191"/>
              </w:numPr>
              <w:spacing w:before="0" w:line="240" w:lineRule="auto"/>
            </w:pPr>
            <w:r w:rsidRPr="00D3714C">
              <w:t>Při vyjádření pozitivního stanoviska OK aktualizace sítě sociálních služeb dle schválených změn</w:t>
            </w:r>
          </w:p>
        </w:tc>
      </w:tr>
      <w:tr w:rsidR="00FB1999" w:rsidRPr="00F0722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Rizika a ohrožení naplnění opatření</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pStyle w:val="Odstavecseseznamem"/>
              <w:numPr>
                <w:ilvl w:val="0"/>
                <w:numId w:val="189"/>
              </w:numPr>
              <w:spacing w:before="0" w:line="240" w:lineRule="auto"/>
            </w:pPr>
            <w:r w:rsidRPr="007C5A69">
              <w:t>Neprojevení zájmu poskytovatelů</w:t>
            </w:r>
            <w:r>
              <w:t xml:space="preserve"> sociálních</w:t>
            </w:r>
            <w:r w:rsidRPr="007C5A69">
              <w:t xml:space="preserve"> služeb o plnění cíle a</w:t>
            </w:r>
            <w:r>
              <w:t> </w:t>
            </w:r>
            <w:r w:rsidRPr="007C5A69">
              <w:t>opatření</w:t>
            </w:r>
          </w:p>
          <w:p w:rsidR="00FB1999" w:rsidRPr="007C5A69" w:rsidRDefault="00FB1999" w:rsidP="00587061">
            <w:pPr>
              <w:pStyle w:val="Odstavecseseznamem"/>
              <w:numPr>
                <w:ilvl w:val="0"/>
                <w:numId w:val="189"/>
              </w:numPr>
              <w:spacing w:before="0" w:line="240" w:lineRule="auto"/>
            </w:pPr>
            <w:r w:rsidRPr="007C5A69">
              <w:t>Nesplnění kritérií dle Postupu pro aktualizaci sítě sociálních služeb OK vedoucí k neschválení žádosti poskytovatele</w:t>
            </w:r>
          </w:p>
          <w:p w:rsidR="00FB1999" w:rsidRPr="00752722" w:rsidRDefault="00FB1999" w:rsidP="00587061">
            <w:pPr>
              <w:pStyle w:val="Odstavecseseznamem"/>
              <w:numPr>
                <w:ilvl w:val="0"/>
                <w:numId w:val="189"/>
              </w:numPr>
              <w:spacing w:before="0" w:line="240" w:lineRule="auto"/>
            </w:pPr>
            <w:r w:rsidRPr="00752722">
              <w:t>Nesplnění podmínek registrace poskytovaných sociálních služeb</w:t>
            </w:r>
          </w:p>
          <w:p w:rsidR="00FB1999" w:rsidRPr="007C5A69" w:rsidRDefault="00FB1999" w:rsidP="00587061">
            <w:pPr>
              <w:pStyle w:val="Odstavecseseznamem"/>
              <w:numPr>
                <w:ilvl w:val="0"/>
                <w:numId w:val="189"/>
              </w:numPr>
              <w:spacing w:before="0" w:line="240" w:lineRule="auto"/>
            </w:pPr>
            <w:r w:rsidRPr="007C5A69">
              <w:t>Nedostatek lidských zdrojů</w:t>
            </w:r>
          </w:p>
          <w:p w:rsidR="00FB1999" w:rsidRDefault="00FB1999" w:rsidP="00587061">
            <w:pPr>
              <w:pStyle w:val="Odstavecseseznamem"/>
              <w:numPr>
                <w:ilvl w:val="0"/>
                <w:numId w:val="189"/>
              </w:numPr>
              <w:spacing w:before="0" w:line="240" w:lineRule="auto"/>
            </w:pPr>
            <w:r w:rsidRPr="007C5A69">
              <w:t>Nedostatek finančních prostředků z veřejných zdrojů</w:t>
            </w:r>
          </w:p>
          <w:p w:rsidR="00FB1999" w:rsidRPr="00D3714C" w:rsidRDefault="00FB1999" w:rsidP="00587061">
            <w:pPr>
              <w:pStyle w:val="Odstavecseseznamem"/>
              <w:numPr>
                <w:ilvl w:val="0"/>
                <w:numId w:val="189"/>
              </w:numPr>
              <w:spacing w:before="0" w:line="240" w:lineRule="auto"/>
            </w:pPr>
            <w:r w:rsidRPr="00D3714C">
              <w:lastRenderedPageBreak/>
              <w:t>Legislativní změny</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lastRenderedPageBreak/>
              <w:t xml:space="preserve">Předpokládaní realizátoři </w:t>
            </w:r>
            <w:r w:rsidRPr="00587061">
              <w:rPr>
                <w:rFonts w:eastAsia="Arial Unicode MS"/>
                <w:b/>
                <w:lang w:eastAsia="cs-CZ"/>
              </w:rPr>
              <w:br/>
              <w:t>a partneři opatření</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pStyle w:val="Bezmezer"/>
              <w:jc w:val="both"/>
              <w:rPr>
                <w:lang w:eastAsia="cs-CZ"/>
              </w:rPr>
            </w:pPr>
            <w:r>
              <w:rPr>
                <w:rFonts w:ascii="Segoe UI" w:hAnsi="Segoe UI" w:cs="Segoe UI"/>
                <w:color w:val="000000"/>
                <w:sz w:val="20"/>
                <w:szCs w:val="20"/>
              </w:rPr>
              <w:t>P</w:t>
            </w:r>
            <w:r w:rsidRPr="002423B0">
              <w:rPr>
                <w:rFonts w:ascii="Segoe UI" w:hAnsi="Segoe UI" w:cs="Segoe UI"/>
                <w:color w:val="000000"/>
                <w:sz w:val="20"/>
                <w:szCs w:val="20"/>
              </w:rPr>
              <w:t xml:space="preserve">oskytovatelé </w:t>
            </w:r>
            <w:r>
              <w:rPr>
                <w:rFonts w:ascii="Segoe UI" w:hAnsi="Segoe UI" w:cs="Segoe UI"/>
                <w:color w:val="000000"/>
                <w:sz w:val="20"/>
                <w:szCs w:val="20"/>
              </w:rPr>
              <w:t xml:space="preserve">sociálních služeb </w:t>
            </w:r>
            <w:r w:rsidRPr="002423B0">
              <w:rPr>
                <w:rFonts w:ascii="Segoe UI" w:hAnsi="Segoe UI" w:cs="Segoe UI"/>
                <w:color w:val="000000"/>
                <w:sz w:val="20"/>
                <w:szCs w:val="20"/>
              </w:rPr>
              <w:t xml:space="preserve">pro dané </w:t>
            </w:r>
            <w:r>
              <w:rPr>
                <w:rFonts w:ascii="Segoe UI" w:hAnsi="Segoe UI" w:cs="Segoe UI"/>
                <w:color w:val="000000"/>
                <w:sz w:val="20"/>
                <w:szCs w:val="20"/>
              </w:rPr>
              <w:t>cílové skupiny osob, kraj, obce</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Časový harmonogram</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spacing w:before="0"/>
              <w:rPr>
                <w:rFonts w:eastAsia="Arial Unicode MS"/>
                <w:lang w:eastAsia="cs-CZ"/>
              </w:rPr>
            </w:pPr>
            <w:r w:rsidRPr="007C5A69">
              <w:rPr>
                <w:rFonts w:eastAsia="Arial Unicode MS"/>
                <w:lang w:eastAsia="cs-CZ"/>
              </w:rPr>
              <w:t>202</w:t>
            </w:r>
            <w:r>
              <w:rPr>
                <w:rFonts w:eastAsia="Arial Unicode MS"/>
                <w:lang w:eastAsia="cs-CZ"/>
              </w:rPr>
              <w:t>4–</w:t>
            </w:r>
            <w:r w:rsidRPr="007C5A69">
              <w:rPr>
                <w:rFonts w:eastAsia="Arial Unicode MS"/>
                <w:lang w:eastAsia="cs-CZ"/>
              </w:rPr>
              <w:t>202</w:t>
            </w:r>
            <w:r>
              <w:rPr>
                <w:rFonts w:eastAsia="Arial Unicode MS"/>
                <w:lang w:eastAsia="cs-CZ"/>
              </w:rPr>
              <w:t>6</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Předpokládané finanční zdroje</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spacing w:before="0"/>
              <w:rPr>
                <w:rFonts w:eastAsia="Arial Unicode MS"/>
                <w:lang w:eastAsia="cs-CZ"/>
              </w:rPr>
            </w:pPr>
            <w:r w:rsidRPr="007C5A69">
              <w:rPr>
                <w:rFonts w:eastAsia="Arial Unicode MS"/>
                <w:lang w:eastAsia="cs-CZ"/>
              </w:rPr>
              <w:t>Veřejné zdroje, evropské zdroje a ostatní zdroje financování</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Hodnotící indikátory výstupů a výsledků</w:t>
            </w:r>
          </w:p>
        </w:tc>
        <w:tc>
          <w:tcPr>
            <w:tcW w:w="3829" w:type="pct"/>
            <w:tcBorders>
              <w:top w:val="single" w:sz="4" w:space="0" w:color="auto"/>
              <w:left w:val="single" w:sz="4" w:space="0" w:color="auto"/>
              <w:bottom w:val="single" w:sz="4" w:space="0" w:color="auto"/>
              <w:right w:val="single" w:sz="4" w:space="0" w:color="auto"/>
            </w:tcBorders>
          </w:tcPr>
          <w:p w:rsidR="00FB1999" w:rsidRPr="00A34764" w:rsidRDefault="00FB1999" w:rsidP="00587061">
            <w:pPr>
              <w:pStyle w:val="Odstavecseseznamem"/>
              <w:numPr>
                <w:ilvl w:val="0"/>
                <w:numId w:val="15"/>
              </w:numPr>
              <w:spacing w:before="0" w:line="240" w:lineRule="auto"/>
            </w:pPr>
            <w:r w:rsidRPr="00A34764">
              <w:t>Zajištění rozvoje sociální služby v daném regionu</w:t>
            </w:r>
          </w:p>
          <w:p w:rsidR="00FB1999" w:rsidRPr="00A34764" w:rsidRDefault="00FB1999" w:rsidP="00587061">
            <w:pPr>
              <w:pStyle w:val="Odstavecseseznamem"/>
              <w:numPr>
                <w:ilvl w:val="0"/>
                <w:numId w:val="15"/>
              </w:numPr>
              <w:spacing w:before="0" w:line="240" w:lineRule="auto"/>
            </w:pPr>
            <w:r w:rsidRPr="00A34764">
              <w:t>Aktualizace sítě sociálních služeb dle schválených změn</w:t>
            </w:r>
          </w:p>
        </w:tc>
      </w:tr>
      <w:tr w:rsidR="00FB1999" w:rsidRPr="006D6CF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 xml:space="preserve">Kód opatření </w:t>
            </w:r>
          </w:p>
        </w:tc>
        <w:tc>
          <w:tcPr>
            <w:tcW w:w="38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keepNext/>
              <w:spacing w:before="0"/>
              <w:rPr>
                <w:rFonts w:eastAsia="Arial Unicode MS"/>
                <w:b/>
                <w:lang w:eastAsia="cs-CZ"/>
              </w:rPr>
            </w:pPr>
            <w:r w:rsidRPr="00587061">
              <w:rPr>
                <w:rFonts w:eastAsia="Arial Unicode MS"/>
                <w:b/>
                <w:lang w:eastAsia="cs-CZ"/>
              </w:rPr>
              <w:t>5.1.3</w:t>
            </w:r>
          </w:p>
        </w:tc>
      </w:tr>
      <w:tr w:rsidR="00FB1999" w:rsidRPr="00F0722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Název opatření</w:t>
            </w:r>
          </w:p>
        </w:tc>
        <w:tc>
          <w:tcPr>
            <w:tcW w:w="38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keepNext/>
              <w:spacing w:before="0"/>
              <w:rPr>
                <w:rFonts w:eastAsia="Arial Unicode MS"/>
                <w:b/>
                <w:lang w:eastAsia="cs-CZ"/>
              </w:rPr>
            </w:pPr>
            <w:r w:rsidRPr="00587061">
              <w:rPr>
                <w:b/>
              </w:rPr>
              <w:t>Zajištění ambulantní nebo terénní formy sociální služby odborného sociálního poradenství 2 pracovními úvazky pracovníků v přímé péči v ORP Lipník nad Bečvou a ORP Hranice pro oběti domácího násilí, oběti obchodu s lidmi a oběti trestné činnosti</w:t>
            </w:r>
          </w:p>
        </w:tc>
      </w:tr>
      <w:tr w:rsidR="00FB1999" w:rsidRPr="00BA32A8"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b/>
                <w:color w:val="000000"/>
                <w:spacing w:val="-2"/>
              </w:rPr>
            </w:pPr>
            <w:r w:rsidRPr="00587061">
              <w:rPr>
                <w:rFonts w:eastAsia="Arial Unicode MS"/>
                <w:b/>
                <w:lang w:eastAsia="cs-CZ"/>
              </w:rPr>
              <w:t>Charakteristika opatření</w:t>
            </w:r>
          </w:p>
        </w:tc>
        <w:tc>
          <w:tcPr>
            <w:tcW w:w="3829" w:type="pct"/>
            <w:tcBorders>
              <w:top w:val="single" w:sz="4" w:space="0" w:color="auto"/>
              <w:left w:val="single" w:sz="4" w:space="0" w:color="auto"/>
              <w:bottom w:val="single" w:sz="4" w:space="0" w:color="auto"/>
              <w:right w:val="single" w:sz="4" w:space="0" w:color="auto"/>
            </w:tcBorders>
          </w:tcPr>
          <w:p w:rsidR="00FB1999" w:rsidRPr="00BA32A8" w:rsidRDefault="00FB1999" w:rsidP="00587061">
            <w:pPr>
              <w:spacing w:before="0"/>
              <w:rPr>
                <w:rFonts w:cs="Segoe UI"/>
                <w:color w:val="000000"/>
                <w:szCs w:val="20"/>
              </w:rPr>
            </w:pPr>
            <w:r w:rsidRPr="006D6CF9">
              <w:t xml:space="preserve">Opatření směřuje </w:t>
            </w:r>
            <w:r>
              <w:t>k zajištění</w:t>
            </w:r>
            <w:r w:rsidRPr="006D6CF9">
              <w:t xml:space="preserve"> </w:t>
            </w:r>
            <w:r>
              <w:t xml:space="preserve">ambulantní nebo terénní formy </w:t>
            </w:r>
            <w:r w:rsidRPr="006D6CF9">
              <w:t xml:space="preserve">sociální služby odborného sociálního poradenství </w:t>
            </w:r>
            <w:r>
              <w:t>v</w:t>
            </w:r>
            <w:r w:rsidRPr="006D6CF9">
              <w:t xml:space="preserve"> území </w:t>
            </w:r>
            <w:r>
              <w:t>ORP Lipník nad Bečvou a</w:t>
            </w:r>
            <w:r w:rsidRPr="005B73E6">
              <w:t xml:space="preserve"> ORP </w:t>
            </w:r>
            <w:r>
              <w:t xml:space="preserve">Hranice pro </w:t>
            </w:r>
            <w:r w:rsidRPr="003043DB">
              <w:rPr>
                <w:rFonts w:cs="Segoe UI"/>
                <w:color w:val="000000"/>
                <w:szCs w:val="20"/>
              </w:rPr>
              <w:t>oběti domácího násilí</w:t>
            </w:r>
            <w:r>
              <w:rPr>
                <w:rFonts w:cs="Segoe UI"/>
                <w:color w:val="000000"/>
                <w:szCs w:val="20"/>
              </w:rPr>
              <w:t xml:space="preserve">, </w:t>
            </w:r>
            <w:r w:rsidRPr="003043DB">
              <w:rPr>
                <w:rFonts w:cs="Segoe UI"/>
                <w:color w:val="000000"/>
                <w:szCs w:val="20"/>
              </w:rPr>
              <w:t>oběti obchodu s</w:t>
            </w:r>
            <w:r>
              <w:rPr>
                <w:rFonts w:cs="Segoe UI"/>
                <w:color w:val="000000"/>
                <w:szCs w:val="20"/>
              </w:rPr>
              <w:t xml:space="preserve"> lidmi a </w:t>
            </w:r>
            <w:r w:rsidRPr="003043DB">
              <w:rPr>
                <w:rFonts w:cs="Segoe UI"/>
                <w:color w:val="000000"/>
                <w:szCs w:val="20"/>
              </w:rPr>
              <w:t>oběti trestné činnosti</w:t>
            </w:r>
            <w:r>
              <w:rPr>
                <w:rFonts w:cs="Segoe UI"/>
                <w:color w:val="000000"/>
                <w:szCs w:val="20"/>
              </w:rPr>
              <w:t>.</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Cílová skupina</w:t>
            </w:r>
          </w:p>
        </w:tc>
        <w:tc>
          <w:tcPr>
            <w:tcW w:w="3829" w:type="pct"/>
            <w:tcBorders>
              <w:top w:val="single" w:sz="4" w:space="0" w:color="auto"/>
              <w:left w:val="single" w:sz="4" w:space="0" w:color="auto"/>
              <w:bottom w:val="single" w:sz="4" w:space="0" w:color="auto"/>
              <w:right w:val="single" w:sz="4" w:space="0" w:color="auto"/>
            </w:tcBorders>
          </w:tcPr>
          <w:p w:rsidR="00FB1999" w:rsidRPr="003043DB" w:rsidRDefault="00FB1999" w:rsidP="00587061">
            <w:pPr>
              <w:spacing w:before="0"/>
            </w:pPr>
            <w:r>
              <w:t>O</w:t>
            </w:r>
            <w:r w:rsidRPr="003043DB">
              <w:t>běti domácího násilí</w:t>
            </w:r>
          </w:p>
          <w:p w:rsidR="00FB1999" w:rsidRPr="003043DB" w:rsidRDefault="00FB1999" w:rsidP="00587061">
            <w:pPr>
              <w:spacing w:before="0"/>
            </w:pPr>
            <w:r>
              <w:t>O</w:t>
            </w:r>
            <w:r w:rsidRPr="003043DB">
              <w:t>běti obchodu s lidmi</w:t>
            </w:r>
          </w:p>
          <w:p w:rsidR="00FB1999" w:rsidRPr="007C5A69" w:rsidRDefault="00FB1999" w:rsidP="00587061">
            <w:pPr>
              <w:pStyle w:val="Bezmezer"/>
              <w:rPr>
                <w:rFonts w:eastAsia="Arial Unicode MS"/>
                <w:lang w:eastAsia="cs-CZ"/>
              </w:rPr>
            </w:pPr>
            <w:r>
              <w:rPr>
                <w:rFonts w:ascii="Segoe UI" w:hAnsi="Segoe UI" w:cs="Segoe UI"/>
                <w:color w:val="000000"/>
                <w:sz w:val="20"/>
                <w:szCs w:val="20"/>
              </w:rPr>
              <w:t>O</w:t>
            </w:r>
            <w:r w:rsidRPr="003043DB">
              <w:rPr>
                <w:rFonts w:ascii="Segoe UI" w:hAnsi="Segoe UI" w:cs="Segoe UI"/>
                <w:color w:val="000000"/>
                <w:sz w:val="20"/>
                <w:szCs w:val="20"/>
              </w:rPr>
              <w:t>běti trestné činnosti</w:t>
            </w:r>
          </w:p>
        </w:tc>
      </w:tr>
      <w:tr w:rsidR="00FB1999" w:rsidRPr="007C5A69" w:rsidTr="009240D1">
        <w:trPr>
          <w:trHeight w:val="306"/>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Druh služby</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spacing w:before="0"/>
              <w:rPr>
                <w:rFonts w:eastAsia="Arial Unicode MS"/>
                <w:lang w:eastAsia="cs-CZ"/>
              </w:rPr>
            </w:pPr>
            <w:r w:rsidRPr="00F07229">
              <w:rPr>
                <w:rFonts w:eastAsia="Arial Unicode MS"/>
                <w:lang w:eastAsia="cs-CZ"/>
              </w:rPr>
              <w:t xml:space="preserve">Sociální poradenství (§ 37) </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Forma služby</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spacing w:before="0"/>
              <w:rPr>
                <w:rFonts w:eastAsia="Arial Unicode MS"/>
                <w:lang w:eastAsia="cs-CZ"/>
              </w:rPr>
            </w:pPr>
            <w:r>
              <w:rPr>
                <w:rFonts w:eastAsia="Arial Unicode MS"/>
                <w:lang w:eastAsia="cs-CZ"/>
              </w:rPr>
              <w:t xml:space="preserve">Ambulantní, </w:t>
            </w:r>
            <w:r w:rsidRPr="00F07229">
              <w:rPr>
                <w:rFonts w:eastAsia="Arial Unicode MS"/>
                <w:lang w:eastAsia="cs-CZ"/>
              </w:rPr>
              <w:t xml:space="preserve">Terénní </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Vymezení územního dopadu opatření</w:t>
            </w:r>
          </w:p>
        </w:tc>
        <w:tc>
          <w:tcPr>
            <w:tcW w:w="3829" w:type="pct"/>
            <w:tcBorders>
              <w:top w:val="single" w:sz="4" w:space="0" w:color="auto"/>
              <w:left w:val="single" w:sz="4" w:space="0" w:color="auto"/>
              <w:bottom w:val="single" w:sz="4" w:space="0" w:color="auto"/>
              <w:right w:val="single" w:sz="4" w:space="0" w:color="auto"/>
            </w:tcBorders>
          </w:tcPr>
          <w:p w:rsidR="00FB1999" w:rsidRDefault="00FB1999" w:rsidP="00587061">
            <w:pPr>
              <w:spacing w:before="0"/>
            </w:pPr>
            <w:r>
              <w:t>ORP Lipník nad Bečvou</w:t>
            </w:r>
          </w:p>
          <w:p w:rsidR="00FB1999" w:rsidRPr="007C5A69" w:rsidRDefault="00FB1999" w:rsidP="00587061">
            <w:pPr>
              <w:spacing w:before="0"/>
              <w:rPr>
                <w:rFonts w:eastAsia="Arial Unicode MS" w:cs="Segoe UI"/>
                <w:szCs w:val="20"/>
                <w:lang w:eastAsia="cs-CZ"/>
              </w:rPr>
            </w:pPr>
            <w:r>
              <w:t>ORP Hranice</w:t>
            </w:r>
          </w:p>
        </w:tc>
      </w:tr>
      <w:tr w:rsidR="00FB1999" w:rsidRPr="00791DEA"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Předpokládaný dopad opatření</w:t>
            </w:r>
          </w:p>
        </w:tc>
        <w:tc>
          <w:tcPr>
            <w:tcW w:w="3829" w:type="pct"/>
            <w:tcBorders>
              <w:top w:val="single" w:sz="4" w:space="0" w:color="auto"/>
              <w:left w:val="single" w:sz="4" w:space="0" w:color="auto"/>
              <w:bottom w:val="single" w:sz="4" w:space="0" w:color="auto"/>
              <w:right w:val="single" w:sz="4" w:space="0" w:color="auto"/>
            </w:tcBorders>
          </w:tcPr>
          <w:p w:rsidR="00FB1999" w:rsidRPr="00791DEA" w:rsidRDefault="00FB1999" w:rsidP="00587061">
            <w:pPr>
              <w:spacing w:before="0"/>
            </w:pPr>
            <w:r>
              <w:t>Uživatelé z cílových skupin</w:t>
            </w:r>
            <w:r w:rsidRPr="00A244F5">
              <w:t xml:space="preserve"> </w:t>
            </w:r>
            <w:r>
              <w:t>mají na území</w:t>
            </w:r>
            <w:r w:rsidRPr="00A244F5">
              <w:t xml:space="preserve"> dostupné možnosti řešení nepříznivých sociálních situací prostřednictvím sociálně právního poradenství, základního a specializovaného právního poradenství, psychologické pomoci, podpory rozvoje samostatného rozhodování</w:t>
            </w:r>
            <w:r>
              <w:t>, vedoucích k překonání traumat spojených</w:t>
            </w:r>
            <w:r w:rsidRPr="00A244F5">
              <w:t xml:space="preserve"> s trestným činem a jeho následků</w:t>
            </w:r>
            <w:r>
              <w:t xml:space="preserve">. </w:t>
            </w:r>
            <w:r w:rsidRPr="00A244F5">
              <w:t xml:space="preserve">Uživatelé jsou, na základě působení sociální služby, v rozsahu základních činností daných její registrací, </w:t>
            </w:r>
            <w:r>
              <w:t>motivováni</w:t>
            </w:r>
            <w:r w:rsidRPr="00A244F5">
              <w:t xml:space="preserve"> k aktivitě a posilování schopnosti znovu se začlenit do </w:t>
            </w:r>
            <w:r>
              <w:t xml:space="preserve">běžného způsobu života a jsou </w:t>
            </w:r>
            <w:r w:rsidRPr="00B702A0">
              <w:t>kompetentní k řešení svých osobních</w:t>
            </w:r>
            <w:r>
              <w:t xml:space="preserve"> záležitostí.</w:t>
            </w:r>
          </w:p>
        </w:tc>
      </w:tr>
      <w:tr w:rsidR="00FB1999" w:rsidRPr="00F0722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 xml:space="preserve">Aktivity vedoucí k naplnění opatření </w:t>
            </w:r>
          </w:p>
        </w:tc>
        <w:tc>
          <w:tcPr>
            <w:tcW w:w="3829" w:type="pct"/>
            <w:tcBorders>
              <w:top w:val="single" w:sz="4" w:space="0" w:color="auto"/>
              <w:left w:val="single" w:sz="4" w:space="0" w:color="auto"/>
              <w:bottom w:val="single" w:sz="4" w:space="0" w:color="auto"/>
              <w:right w:val="single" w:sz="4" w:space="0" w:color="auto"/>
            </w:tcBorders>
          </w:tcPr>
          <w:p w:rsidR="00FB1999" w:rsidRDefault="00FB1999" w:rsidP="00587061">
            <w:pPr>
              <w:pStyle w:val="Odstavecseseznamem"/>
              <w:numPr>
                <w:ilvl w:val="0"/>
                <w:numId w:val="193"/>
              </w:numPr>
              <w:spacing w:before="0" w:line="240" w:lineRule="auto"/>
            </w:pPr>
            <w:r w:rsidRPr="00312774">
              <w:t>Projednání předloženého záměru poskytovatele sociálních služeb v</w:t>
            </w:r>
            <w:r>
              <w:t> </w:t>
            </w:r>
            <w:r w:rsidRPr="00312774">
              <w:t>souladu se schválenými postupy pro aktualizaci sítě sociálních služeb OK</w:t>
            </w:r>
          </w:p>
          <w:p w:rsidR="00FB1999" w:rsidRPr="002769EC" w:rsidRDefault="00FB1999" w:rsidP="00587061">
            <w:pPr>
              <w:pStyle w:val="Odstavecseseznamem"/>
              <w:numPr>
                <w:ilvl w:val="0"/>
                <w:numId w:val="193"/>
              </w:numPr>
              <w:spacing w:before="0" w:line="240" w:lineRule="auto"/>
            </w:pPr>
            <w:r w:rsidRPr="002769EC">
              <w:t>Při vyjádření pozitivního stanoviska OK aktualizace sítě sociálních služeb dle schválených změn</w:t>
            </w:r>
          </w:p>
        </w:tc>
      </w:tr>
      <w:tr w:rsidR="00FB1999" w:rsidRPr="00F0722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Rizika a ohrožení naplnění opatření</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pStyle w:val="Odstavecseseznamem"/>
              <w:numPr>
                <w:ilvl w:val="0"/>
                <w:numId w:val="192"/>
              </w:numPr>
              <w:spacing w:before="0" w:line="240" w:lineRule="auto"/>
            </w:pPr>
            <w:r w:rsidRPr="007C5A69">
              <w:t>Neprojevení zájmu poskytovatelů</w:t>
            </w:r>
            <w:r>
              <w:t xml:space="preserve"> sociálních</w:t>
            </w:r>
            <w:r w:rsidRPr="007C5A69">
              <w:t xml:space="preserve"> služeb o plnění cíle a</w:t>
            </w:r>
            <w:r>
              <w:t> </w:t>
            </w:r>
            <w:r w:rsidRPr="007C5A69">
              <w:t>opatření</w:t>
            </w:r>
          </w:p>
          <w:p w:rsidR="00FB1999" w:rsidRPr="007C5A69" w:rsidRDefault="00FB1999" w:rsidP="00587061">
            <w:pPr>
              <w:pStyle w:val="Odstavecseseznamem"/>
              <w:numPr>
                <w:ilvl w:val="0"/>
                <w:numId w:val="192"/>
              </w:numPr>
              <w:spacing w:before="0" w:line="240" w:lineRule="auto"/>
            </w:pPr>
            <w:r w:rsidRPr="007C5A69">
              <w:t>Nesplnění kritérií dle Postupu pro aktualizaci sítě sociálních služeb OK vedoucí k neschválení žádosti poskytovatele</w:t>
            </w:r>
          </w:p>
          <w:p w:rsidR="00FB1999" w:rsidRPr="00752722" w:rsidRDefault="00FB1999" w:rsidP="00587061">
            <w:pPr>
              <w:pStyle w:val="Odstavecseseznamem"/>
              <w:numPr>
                <w:ilvl w:val="0"/>
                <w:numId w:val="192"/>
              </w:numPr>
              <w:spacing w:before="0" w:line="240" w:lineRule="auto"/>
            </w:pPr>
            <w:r w:rsidRPr="00752722">
              <w:t>Nesplnění podmínek registrace poskytovaných sociálních služeb</w:t>
            </w:r>
          </w:p>
          <w:p w:rsidR="00FB1999" w:rsidRPr="007C5A69" w:rsidRDefault="00FB1999" w:rsidP="00587061">
            <w:pPr>
              <w:pStyle w:val="Odstavecseseznamem"/>
              <w:numPr>
                <w:ilvl w:val="0"/>
                <w:numId w:val="192"/>
              </w:numPr>
              <w:spacing w:before="0" w:line="240" w:lineRule="auto"/>
            </w:pPr>
            <w:r w:rsidRPr="007C5A69">
              <w:t>Nedostatek lidských zdrojů</w:t>
            </w:r>
          </w:p>
          <w:p w:rsidR="00FB1999" w:rsidRDefault="00FB1999" w:rsidP="00587061">
            <w:pPr>
              <w:pStyle w:val="Odstavecseseznamem"/>
              <w:numPr>
                <w:ilvl w:val="0"/>
                <w:numId w:val="192"/>
              </w:numPr>
              <w:spacing w:before="0" w:line="240" w:lineRule="auto"/>
            </w:pPr>
            <w:r w:rsidRPr="007C5A69">
              <w:t>Nedostatek finančních prostředků z veřejných zdrojů</w:t>
            </w:r>
          </w:p>
          <w:p w:rsidR="00FB1999" w:rsidRPr="002769EC" w:rsidRDefault="00FB1999" w:rsidP="00587061">
            <w:pPr>
              <w:pStyle w:val="Odstavecseseznamem"/>
              <w:numPr>
                <w:ilvl w:val="0"/>
                <w:numId w:val="192"/>
              </w:numPr>
              <w:spacing w:before="0" w:line="240" w:lineRule="auto"/>
            </w:pPr>
            <w:r w:rsidRPr="002769EC">
              <w:t>Legislativní změny</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lastRenderedPageBreak/>
              <w:t xml:space="preserve">Předpokládaní realizátoři </w:t>
            </w:r>
            <w:r w:rsidRPr="00587061">
              <w:rPr>
                <w:rFonts w:eastAsia="Arial Unicode MS"/>
                <w:b/>
                <w:lang w:eastAsia="cs-CZ"/>
              </w:rPr>
              <w:br/>
              <w:t>a partneři opatření</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pStyle w:val="Bezmezer"/>
              <w:jc w:val="both"/>
              <w:rPr>
                <w:lang w:eastAsia="cs-CZ"/>
              </w:rPr>
            </w:pPr>
            <w:r>
              <w:rPr>
                <w:rFonts w:ascii="Segoe UI" w:hAnsi="Segoe UI" w:cs="Segoe UI"/>
                <w:color w:val="000000"/>
                <w:sz w:val="20"/>
                <w:szCs w:val="20"/>
              </w:rPr>
              <w:t>P</w:t>
            </w:r>
            <w:r w:rsidRPr="002423B0">
              <w:rPr>
                <w:rFonts w:ascii="Segoe UI" w:hAnsi="Segoe UI" w:cs="Segoe UI"/>
                <w:color w:val="000000"/>
                <w:sz w:val="20"/>
                <w:szCs w:val="20"/>
              </w:rPr>
              <w:t xml:space="preserve">oskytovatelé </w:t>
            </w:r>
            <w:r>
              <w:rPr>
                <w:rFonts w:ascii="Segoe UI" w:hAnsi="Segoe UI" w:cs="Segoe UI"/>
                <w:color w:val="000000"/>
                <w:sz w:val="20"/>
                <w:szCs w:val="20"/>
              </w:rPr>
              <w:t xml:space="preserve">sociálních služeb </w:t>
            </w:r>
            <w:r w:rsidRPr="002423B0">
              <w:rPr>
                <w:rFonts w:ascii="Segoe UI" w:hAnsi="Segoe UI" w:cs="Segoe UI"/>
                <w:color w:val="000000"/>
                <w:sz w:val="20"/>
                <w:szCs w:val="20"/>
              </w:rPr>
              <w:t xml:space="preserve">pro dané </w:t>
            </w:r>
            <w:r>
              <w:rPr>
                <w:rFonts w:ascii="Segoe UI" w:hAnsi="Segoe UI" w:cs="Segoe UI"/>
                <w:color w:val="000000"/>
                <w:sz w:val="20"/>
                <w:szCs w:val="20"/>
              </w:rPr>
              <w:t>cílové skupiny osob, kraj, obce</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Časový harmonogram</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E213F4" w:rsidP="00587061">
            <w:pPr>
              <w:spacing w:before="0"/>
              <w:rPr>
                <w:rFonts w:eastAsia="Arial Unicode MS"/>
                <w:lang w:eastAsia="cs-CZ"/>
              </w:rPr>
            </w:pPr>
            <w:r>
              <w:rPr>
                <w:rFonts w:eastAsia="Arial Unicode MS"/>
                <w:lang w:eastAsia="cs-CZ"/>
              </w:rPr>
              <w:t>2024–2026</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Předpokládané finanční zdroje</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spacing w:before="0"/>
              <w:rPr>
                <w:rFonts w:eastAsia="Arial Unicode MS"/>
                <w:lang w:eastAsia="cs-CZ"/>
              </w:rPr>
            </w:pPr>
            <w:r w:rsidRPr="007C5A69">
              <w:rPr>
                <w:rFonts w:eastAsia="Arial Unicode MS"/>
                <w:lang w:eastAsia="cs-CZ"/>
              </w:rPr>
              <w:t>Veřejné zdroje, evropské zdroje a ostatní zdroje financování</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Hodnotící indikátory výstupů a výsledků</w:t>
            </w:r>
          </w:p>
        </w:tc>
        <w:tc>
          <w:tcPr>
            <w:tcW w:w="3829" w:type="pct"/>
            <w:tcBorders>
              <w:top w:val="single" w:sz="4" w:space="0" w:color="auto"/>
              <w:left w:val="single" w:sz="4" w:space="0" w:color="auto"/>
              <w:bottom w:val="single" w:sz="4" w:space="0" w:color="auto"/>
              <w:right w:val="single" w:sz="4" w:space="0" w:color="auto"/>
            </w:tcBorders>
          </w:tcPr>
          <w:p w:rsidR="00FB1999" w:rsidRPr="00A34764" w:rsidRDefault="00FB1999" w:rsidP="00587061">
            <w:pPr>
              <w:pStyle w:val="Odstavecseseznamem"/>
              <w:numPr>
                <w:ilvl w:val="0"/>
                <w:numId w:val="15"/>
              </w:numPr>
              <w:spacing w:before="0" w:line="240" w:lineRule="auto"/>
            </w:pPr>
            <w:r w:rsidRPr="00A34764">
              <w:t>Zajištění rozvoje sociální služby v daném regionu</w:t>
            </w:r>
          </w:p>
          <w:p w:rsidR="00FB1999" w:rsidRPr="00A34764" w:rsidRDefault="00FB1999" w:rsidP="00587061">
            <w:pPr>
              <w:pStyle w:val="Odstavecseseznamem"/>
              <w:numPr>
                <w:ilvl w:val="0"/>
                <w:numId w:val="15"/>
              </w:numPr>
              <w:spacing w:before="0" w:line="240" w:lineRule="auto"/>
            </w:pPr>
            <w:r w:rsidRPr="00A34764">
              <w:t>Aktualizace sítě sociálních služeb dle schválených změn</w:t>
            </w:r>
          </w:p>
        </w:tc>
      </w:tr>
    </w:tbl>
    <w:p w:rsidR="00FB1999" w:rsidRDefault="00FB1999" w:rsidP="00587061">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40"/>
      </w:tblGrid>
      <w:tr w:rsidR="00FB1999" w:rsidRPr="007C5A69" w:rsidTr="009240D1">
        <w:trPr>
          <w:trHeight w:val="397"/>
          <w:jc w:val="center"/>
        </w:trPr>
        <w:tc>
          <w:tcPr>
            <w:tcW w:w="1171" w:type="pct"/>
            <w:tcBorders>
              <w:bottom w:val="single" w:sz="4" w:space="0" w:color="auto"/>
            </w:tcBorders>
            <w:shd w:val="clear" w:color="auto" w:fill="FABF8F"/>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Cíl 5.2</w:t>
            </w:r>
          </w:p>
        </w:tc>
        <w:tc>
          <w:tcPr>
            <w:tcW w:w="3829" w:type="pct"/>
            <w:tcBorders>
              <w:bottom w:val="single" w:sz="4" w:space="0" w:color="auto"/>
            </w:tcBorders>
            <w:shd w:val="clear" w:color="auto" w:fill="FABF8F"/>
          </w:tcPr>
          <w:p w:rsidR="00FB1999" w:rsidRPr="00587061" w:rsidRDefault="00FB1999" w:rsidP="00D41DBC">
            <w:pPr>
              <w:keepNext/>
              <w:spacing w:before="0"/>
              <w:rPr>
                <w:rFonts w:eastAsia="Arial Unicode MS"/>
                <w:b/>
                <w:color w:val="FF0000"/>
                <w:lang w:eastAsia="cs-CZ"/>
              </w:rPr>
            </w:pPr>
            <w:r w:rsidRPr="00587061">
              <w:rPr>
                <w:b/>
              </w:rPr>
              <w:t>Zajištění potřebného rozsahu služby domova se zvláštním režimem v OK</w:t>
            </w:r>
          </w:p>
        </w:tc>
      </w:tr>
      <w:tr w:rsidR="00FB1999" w:rsidRPr="007C5A69" w:rsidTr="009240D1">
        <w:trPr>
          <w:trHeight w:val="397"/>
          <w:jc w:val="center"/>
        </w:trPr>
        <w:tc>
          <w:tcPr>
            <w:tcW w:w="1171" w:type="pct"/>
            <w:shd w:val="clear" w:color="auto" w:fill="E2EFD9" w:themeFill="accent6" w:themeFillTint="33"/>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 xml:space="preserve">Kód opatření </w:t>
            </w:r>
          </w:p>
        </w:tc>
        <w:tc>
          <w:tcPr>
            <w:tcW w:w="3829" w:type="pct"/>
            <w:shd w:val="clear" w:color="auto" w:fill="E2EFD9" w:themeFill="accent6" w:themeFillTint="33"/>
          </w:tcPr>
          <w:p w:rsidR="00FB1999" w:rsidRPr="00587061" w:rsidRDefault="00FB1999" w:rsidP="00D41DBC">
            <w:pPr>
              <w:keepNext/>
              <w:spacing w:before="0"/>
              <w:rPr>
                <w:rFonts w:eastAsia="Arial Unicode MS"/>
                <w:b/>
                <w:lang w:eastAsia="cs-CZ"/>
              </w:rPr>
            </w:pPr>
            <w:r w:rsidRPr="00587061">
              <w:rPr>
                <w:b/>
              </w:rPr>
              <w:t xml:space="preserve">5.2.1 </w:t>
            </w:r>
          </w:p>
        </w:tc>
      </w:tr>
      <w:tr w:rsidR="00FB1999" w:rsidRPr="00F07229" w:rsidTr="009240D1">
        <w:trPr>
          <w:trHeight w:val="397"/>
          <w:jc w:val="center"/>
        </w:trPr>
        <w:tc>
          <w:tcPr>
            <w:tcW w:w="1171" w:type="pct"/>
            <w:shd w:val="clear" w:color="auto" w:fill="E2EFD9" w:themeFill="accent6" w:themeFillTint="33"/>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Název opatření</w:t>
            </w:r>
          </w:p>
        </w:tc>
        <w:tc>
          <w:tcPr>
            <w:tcW w:w="3829" w:type="pct"/>
            <w:shd w:val="clear" w:color="auto" w:fill="E2EFD9" w:themeFill="accent6" w:themeFillTint="33"/>
          </w:tcPr>
          <w:p w:rsidR="00FB1999" w:rsidRPr="00587061" w:rsidRDefault="00B831D6" w:rsidP="00D41DBC">
            <w:pPr>
              <w:keepNext/>
              <w:spacing w:before="0"/>
              <w:rPr>
                <w:b/>
              </w:rPr>
            </w:pPr>
            <w:r w:rsidRPr="00587061">
              <w:rPr>
                <w:b/>
              </w:rPr>
              <w:t>Zajištění pobytové formy sociální služby domova se zvláštním režimem v počtu max. 30 lůžek v OK pro osoby s chronickým duševním onemocněním (demence, psychózy) a pro osoby ohrožené závislostí nebo závislé na návykových látkách, jejichž situace vyžaduje pravidelnou pomoc jiné fyzické osoby a současně jsou bez přístřeší či ohrožené ztrátou přístřeší</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Charakteristika opatření</w:t>
            </w:r>
          </w:p>
        </w:tc>
        <w:tc>
          <w:tcPr>
            <w:tcW w:w="3829" w:type="pct"/>
          </w:tcPr>
          <w:p w:rsidR="00FB1999" w:rsidRPr="00B831D6" w:rsidRDefault="00B831D6" w:rsidP="00587061">
            <w:pPr>
              <w:spacing w:before="0"/>
            </w:pPr>
            <w:r w:rsidRPr="00B831D6">
              <w:t xml:space="preserve">Opatření směřuje k zajištění pobytové formy sociální služby domova se zvláštním režimem pro osoby s chronickým duševním onemocněním či osoby ohrožené závislostí nebo závislé na návykových látkách, které mají sníženou soběstačnost z důvodu zdravotního stavu či věku, jejichž situace vyžaduje pravidelnou pomoc jiné fyzické osoby a současně jsou bez přístřeší či ohrožené ztrátou přístřeší s místem poskytování služby na území Olomouckého kraje. Služba poskytne pomoc na nezbytnou dobu (v případě potřeby i dlouhodobě) při zachování snahy o posun uživatelů do jiné sociální služby či běžného sociálního prostředí. </w:t>
            </w:r>
            <w:r w:rsidRPr="00CC2C0F">
              <w:rPr>
                <w:bCs/>
              </w:rPr>
              <w:t>V případě plnění cíle 5.3.1 pro území OK nebude opatření 5.2.1 pro území OK podpořeno v aktuálním plánovacím období.</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Cílová skupina</w:t>
            </w:r>
          </w:p>
        </w:tc>
        <w:tc>
          <w:tcPr>
            <w:tcW w:w="3829" w:type="pct"/>
            <w:shd w:val="clear" w:color="auto" w:fill="auto"/>
          </w:tcPr>
          <w:p w:rsidR="00B831D6" w:rsidRPr="00B831D6" w:rsidRDefault="00B831D6" w:rsidP="00587061">
            <w:pPr>
              <w:spacing w:before="0"/>
            </w:pPr>
            <w:r>
              <w:t>O</w:t>
            </w:r>
            <w:r w:rsidRPr="00B831D6">
              <w:t>soby s chronickým duševním onemocněním (demence, psychózy), jejichž situace vyžaduje pravidelnou pomoc jiné fyzické osoby a současně jsou bez přístřeší či ohrožené ztrátou přístřeší</w:t>
            </w:r>
          </w:p>
          <w:p w:rsidR="00FB1999" w:rsidRPr="00B831D6" w:rsidRDefault="00B831D6" w:rsidP="00587061">
            <w:pPr>
              <w:spacing w:before="0"/>
            </w:pPr>
            <w:r>
              <w:t>O</w:t>
            </w:r>
            <w:r w:rsidRPr="00B831D6">
              <w:t>soby ohrožené závislostí nebo závislé na návykových látkách, jejichž situace vyžaduje pravidelnou pomoc jiné fyzické osoby a současně jsou bez přístřeší či ohrožené ztrátou přístřeší</w:t>
            </w:r>
          </w:p>
        </w:tc>
      </w:tr>
      <w:tr w:rsidR="00FB1999" w:rsidRPr="007C5A69" w:rsidTr="009240D1">
        <w:trPr>
          <w:trHeight w:val="230"/>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Druh služby</w:t>
            </w:r>
          </w:p>
        </w:tc>
        <w:tc>
          <w:tcPr>
            <w:tcW w:w="3829" w:type="pct"/>
          </w:tcPr>
          <w:p w:rsidR="00FB1999" w:rsidRPr="007C5A69" w:rsidRDefault="00FB1999" w:rsidP="00587061">
            <w:pPr>
              <w:spacing w:before="0"/>
              <w:rPr>
                <w:rFonts w:eastAsia="Arial Unicode MS"/>
                <w:lang w:eastAsia="cs-CZ"/>
              </w:rPr>
            </w:pPr>
            <w:r w:rsidRPr="007472DE">
              <w:t xml:space="preserve">Domovy se zvláštním režimem (§ 50) </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Forma služby</w:t>
            </w:r>
          </w:p>
        </w:tc>
        <w:tc>
          <w:tcPr>
            <w:tcW w:w="3829" w:type="pct"/>
          </w:tcPr>
          <w:p w:rsidR="00FB1999" w:rsidRPr="007C5A69" w:rsidRDefault="00FB1999" w:rsidP="00587061">
            <w:pPr>
              <w:spacing w:before="0"/>
              <w:rPr>
                <w:rFonts w:eastAsia="Arial Unicode MS"/>
                <w:lang w:eastAsia="cs-CZ"/>
              </w:rPr>
            </w:pPr>
            <w:r>
              <w:t>P</w:t>
            </w:r>
            <w:r w:rsidRPr="007472DE">
              <w:t xml:space="preserve">obytová </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Vymezení územního dopadu opatření</w:t>
            </w:r>
          </w:p>
        </w:tc>
        <w:tc>
          <w:tcPr>
            <w:tcW w:w="3829" w:type="pct"/>
          </w:tcPr>
          <w:p w:rsidR="00FB1999" w:rsidRPr="007C5A69" w:rsidRDefault="00FB1999" w:rsidP="00587061">
            <w:pPr>
              <w:spacing w:before="0"/>
              <w:rPr>
                <w:rFonts w:eastAsia="Arial Unicode MS"/>
                <w:lang w:eastAsia="cs-CZ"/>
              </w:rPr>
            </w:pPr>
            <w:r>
              <w:t>OK</w:t>
            </w:r>
            <w:r w:rsidRPr="007472DE">
              <w:t xml:space="preserve"> </w:t>
            </w:r>
          </w:p>
        </w:tc>
      </w:tr>
      <w:tr w:rsidR="00FB1999" w:rsidRPr="00F07229" w:rsidTr="009240D1">
        <w:trPr>
          <w:trHeight w:val="596"/>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Předpokládaný dopad opatření</w:t>
            </w:r>
          </w:p>
        </w:tc>
        <w:tc>
          <w:tcPr>
            <w:tcW w:w="3829" w:type="pct"/>
          </w:tcPr>
          <w:p w:rsidR="00FB1999" w:rsidRPr="00F07229" w:rsidRDefault="00FB1999" w:rsidP="00587061">
            <w:pPr>
              <w:spacing w:before="0"/>
              <w:rPr>
                <w:rFonts w:eastAsia="Arial Unicode MS"/>
                <w:spacing w:val="-2"/>
                <w:lang w:eastAsia="cs-CZ"/>
              </w:rPr>
            </w:pPr>
            <w:r w:rsidRPr="00C24657">
              <w:t xml:space="preserve">Uživatelé z cílové skupiny </w:t>
            </w:r>
            <w:r>
              <w:t>mají na území OK potřebnou podporu a pomoc, v rozsahu základních činností daných registrací služby.</w:t>
            </w:r>
          </w:p>
        </w:tc>
      </w:tr>
      <w:tr w:rsidR="00FB1999" w:rsidRPr="00CB3C2C"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 xml:space="preserve">Aktivity vedoucí k naplnění opatření </w:t>
            </w:r>
          </w:p>
        </w:tc>
        <w:tc>
          <w:tcPr>
            <w:tcW w:w="3829" w:type="pct"/>
          </w:tcPr>
          <w:p w:rsidR="00FB1999" w:rsidRDefault="00FB1999" w:rsidP="00587061">
            <w:pPr>
              <w:pStyle w:val="Odstavecseseznamem"/>
              <w:numPr>
                <w:ilvl w:val="0"/>
                <w:numId w:val="194"/>
              </w:numPr>
              <w:spacing w:before="0" w:line="240" w:lineRule="auto"/>
            </w:pPr>
            <w:r w:rsidRPr="002769EC">
              <w:t>Projednání předloženého záměru poskytovatele sociálních služeb v souladu se schválenými postupy pro aktualizaci sítě sociálních služeb OK</w:t>
            </w:r>
          </w:p>
          <w:p w:rsidR="00FB1999" w:rsidRPr="002769EC" w:rsidRDefault="00FB1999" w:rsidP="00587061">
            <w:pPr>
              <w:pStyle w:val="Odstavecseseznamem"/>
              <w:numPr>
                <w:ilvl w:val="0"/>
                <w:numId w:val="194"/>
              </w:numPr>
              <w:spacing w:before="0" w:line="240" w:lineRule="auto"/>
            </w:pPr>
            <w:r w:rsidRPr="002769EC">
              <w:t>Při vyjádření pozitivního stanoviska OK aktualizace sítě sociálních služeb dle schválených změn</w:t>
            </w:r>
          </w:p>
        </w:tc>
      </w:tr>
      <w:tr w:rsidR="00FB1999" w:rsidRPr="009C087A"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b/>
              </w:rPr>
              <w:t>Rizika a ohrožení naplnění opatření</w:t>
            </w:r>
          </w:p>
        </w:tc>
        <w:tc>
          <w:tcPr>
            <w:tcW w:w="3829" w:type="pct"/>
          </w:tcPr>
          <w:p w:rsidR="00FB1999" w:rsidRPr="002769EC" w:rsidRDefault="00FB1999" w:rsidP="00587061">
            <w:pPr>
              <w:pStyle w:val="Odstavecseseznamem"/>
              <w:numPr>
                <w:ilvl w:val="0"/>
                <w:numId w:val="195"/>
              </w:numPr>
              <w:spacing w:before="0" w:line="240" w:lineRule="auto"/>
            </w:pPr>
            <w:r w:rsidRPr="002769EC">
              <w:t xml:space="preserve">Neprojevení zájmu poskytovatelů sociálních </w:t>
            </w:r>
            <w:r>
              <w:t>služeb o plnění cíle a opatření</w:t>
            </w:r>
          </w:p>
          <w:p w:rsidR="00FB1999" w:rsidRPr="002769EC" w:rsidRDefault="00FB1999" w:rsidP="00587061">
            <w:pPr>
              <w:pStyle w:val="Odstavecseseznamem"/>
              <w:numPr>
                <w:ilvl w:val="0"/>
                <w:numId w:val="195"/>
              </w:numPr>
              <w:spacing w:before="0" w:line="240" w:lineRule="auto"/>
            </w:pPr>
            <w:r w:rsidRPr="002769EC">
              <w:lastRenderedPageBreak/>
              <w:t>Nesplnění kritérií dle Postupu pro aktualizaci sítě sociálních služeb OK vedoucí k neschválení žádosti poskytovatel</w:t>
            </w:r>
            <w:r>
              <w:t>e</w:t>
            </w:r>
            <w:r w:rsidRPr="002769EC">
              <w:t xml:space="preserve"> </w:t>
            </w:r>
          </w:p>
          <w:p w:rsidR="00FB1999" w:rsidRPr="002769EC" w:rsidRDefault="00FB1999" w:rsidP="00587061">
            <w:pPr>
              <w:pStyle w:val="Odstavecseseznamem"/>
              <w:numPr>
                <w:ilvl w:val="0"/>
                <w:numId w:val="195"/>
              </w:numPr>
              <w:spacing w:before="0" w:line="240" w:lineRule="auto"/>
            </w:pPr>
            <w:r w:rsidRPr="002769EC">
              <w:t>Nesplnění podmínek registrace poskytovaných sociáln</w:t>
            </w:r>
            <w:r>
              <w:t>ích služeb</w:t>
            </w:r>
          </w:p>
          <w:p w:rsidR="00FB1999" w:rsidRPr="002769EC" w:rsidRDefault="00FB1999" w:rsidP="00587061">
            <w:pPr>
              <w:pStyle w:val="Odstavecseseznamem"/>
              <w:numPr>
                <w:ilvl w:val="0"/>
                <w:numId w:val="195"/>
              </w:numPr>
              <w:spacing w:before="0" w:line="240" w:lineRule="auto"/>
            </w:pPr>
            <w:r w:rsidRPr="002769EC">
              <w:t xml:space="preserve">Nedostatek lidských zdrojů </w:t>
            </w:r>
          </w:p>
          <w:p w:rsidR="00FB1999" w:rsidRPr="002769EC" w:rsidRDefault="00FB1999" w:rsidP="00587061">
            <w:pPr>
              <w:pStyle w:val="Odstavecseseznamem"/>
              <w:numPr>
                <w:ilvl w:val="0"/>
                <w:numId w:val="195"/>
              </w:numPr>
              <w:spacing w:before="0" w:line="240" w:lineRule="auto"/>
            </w:pPr>
            <w:r w:rsidRPr="002769EC">
              <w:t>Nedostatek finančníc</w:t>
            </w:r>
            <w:r>
              <w:t>h prostředků z veřejných zdrojů</w:t>
            </w:r>
          </w:p>
          <w:p w:rsidR="00FB1999" w:rsidRPr="002769EC" w:rsidRDefault="00FB1999" w:rsidP="00587061">
            <w:pPr>
              <w:pStyle w:val="Odstavecseseznamem"/>
              <w:numPr>
                <w:ilvl w:val="0"/>
                <w:numId w:val="195"/>
              </w:numPr>
              <w:spacing w:before="0" w:line="240" w:lineRule="auto"/>
            </w:pPr>
            <w:r>
              <w:t>Legislativní změny</w:t>
            </w:r>
            <w:r w:rsidRPr="002769EC">
              <w:t xml:space="preserve"> </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lastRenderedPageBreak/>
              <w:t xml:space="preserve">Předpokládaní realizátoři </w:t>
            </w:r>
            <w:r w:rsidRPr="00587061">
              <w:rPr>
                <w:rFonts w:eastAsia="Arial Unicode MS"/>
                <w:b/>
                <w:lang w:eastAsia="cs-CZ"/>
              </w:rPr>
              <w:br/>
              <w:t>a partneři opatření</w:t>
            </w:r>
          </w:p>
        </w:tc>
        <w:tc>
          <w:tcPr>
            <w:tcW w:w="3829" w:type="pct"/>
          </w:tcPr>
          <w:p w:rsidR="00FB1999" w:rsidRPr="007C5A69" w:rsidRDefault="00FB1999" w:rsidP="00587061">
            <w:pPr>
              <w:spacing w:before="0"/>
              <w:rPr>
                <w:rFonts w:eastAsia="Arial Unicode MS"/>
                <w:lang w:eastAsia="cs-CZ"/>
              </w:rPr>
            </w:pPr>
            <w:r>
              <w:t>P</w:t>
            </w:r>
            <w:r w:rsidRPr="002423B0">
              <w:t xml:space="preserve">oskytovatelé </w:t>
            </w:r>
            <w:r>
              <w:t xml:space="preserve">sociálních služeb </w:t>
            </w:r>
            <w:r w:rsidRPr="002423B0">
              <w:t xml:space="preserve">pro dané </w:t>
            </w:r>
            <w:r>
              <w:t>cílové skupiny osob, kraj, obce</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Časový harmonogram</w:t>
            </w:r>
          </w:p>
        </w:tc>
        <w:tc>
          <w:tcPr>
            <w:tcW w:w="3829" w:type="pct"/>
          </w:tcPr>
          <w:p w:rsidR="00FB1999" w:rsidRPr="007C5A69" w:rsidRDefault="00E213F4" w:rsidP="00587061">
            <w:pPr>
              <w:spacing w:before="0"/>
              <w:rPr>
                <w:rFonts w:eastAsia="Arial Unicode MS"/>
                <w:lang w:eastAsia="cs-CZ"/>
              </w:rPr>
            </w:pPr>
            <w:r>
              <w:rPr>
                <w:rFonts w:eastAsia="Arial Unicode MS"/>
                <w:lang w:eastAsia="cs-CZ"/>
              </w:rPr>
              <w:t>2024–2026</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Předpokládané finanční zdroje</w:t>
            </w:r>
          </w:p>
        </w:tc>
        <w:tc>
          <w:tcPr>
            <w:tcW w:w="3829" w:type="pct"/>
          </w:tcPr>
          <w:p w:rsidR="00FB1999" w:rsidRPr="007C5A69" w:rsidRDefault="00FB1999" w:rsidP="00587061">
            <w:pPr>
              <w:spacing w:before="0"/>
              <w:rPr>
                <w:rFonts w:eastAsia="Arial Unicode MS"/>
                <w:lang w:eastAsia="cs-CZ"/>
              </w:rPr>
            </w:pPr>
            <w:r w:rsidRPr="007C5A69">
              <w:rPr>
                <w:rFonts w:eastAsia="Arial Unicode MS"/>
                <w:lang w:eastAsia="cs-CZ"/>
              </w:rPr>
              <w:t>Veřejné zdroje, evropské zdroje a ostatní zdroje financování</w:t>
            </w:r>
          </w:p>
        </w:tc>
      </w:tr>
      <w:tr w:rsidR="00FB1999" w:rsidRPr="007C5A69" w:rsidTr="009240D1">
        <w:trPr>
          <w:trHeight w:val="397"/>
          <w:jc w:val="center"/>
        </w:trPr>
        <w:tc>
          <w:tcPr>
            <w:tcW w:w="1171" w:type="pct"/>
            <w:tcBorders>
              <w:bottom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Hodnotící indikátory výstupů a výsledků</w:t>
            </w:r>
          </w:p>
        </w:tc>
        <w:tc>
          <w:tcPr>
            <w:tcW w:w="3829" w:type="pct"/>
            <w:tcBorders>
              <w:bottom w:val="single" w:sz="4" w:space="0" w:color="auto"/>
            </w:tcBorders>
          </w:tcPr>
          <w:p w:rsidR="00FB1999" w:rsidRPr="00A34764" w:rsidRDefault="00FB1999" w:rsidP="00587061">
            <w:pPr>
              <w:pStyle w:val="Odstavecseseznamem"/>
              <w:numPr>
                <w:ilvl w:val="0"/>
                <w:numId w:val="15"/>
              </w:numPr>
              <w:spacing w:before="0" w:line="240" w:lineRule="auto"/>
            </w:pPr>
            <w:r w:rsidRPr="00A34764">
              <w:t>Zajištění rozvoje sociální služby v daném regionu</w:t>
            </w:r>
          </w:p>
          <w:p w:rsidR="00FB1999" w:rsidRPr="00A34764" w:rsidRDefault="00FB1999" w:rsidP="00587061">
            <w:pPr>
              <w:pStyle w:val="Odstavecseseznamem"/>
              <w:numPr>
                <w:ilvl w:val="0"/>
                <w:numId w:val="15"/>
              </w:numPr>
              <w:spacing w:before="0" w:line="240" w:lineRule="auto"/>
            </w:pPr>
            <w:r w:rsidRPr="00A34764">
              <w:t>Aktualizace sítě sociálních služeb dle schválených změn</w:t>
            </w:r>
          </w:p>
        </w:tc>
      </w:tr>
    </w:tbl>
    <w:p w:rsidR="00FB1999" w:rsidRDefault="00FB1999" w:rsidP="00587061">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40"/>
      </w:tblGrid>
      <w:tr w:rsidR="00FB1999" w:rsidRPr="007C5A69" w:rsidTr="009240D1">
        <w:trPr>
          <w:trHeight w:val="397"/>
          <w:jc w:val="center"/>
        </w:trPr>
        <w:tc>
          <w:tcPr>
            <w:tcW w:w="1171" w:type="pct"/>
            <w:tcBorders>
              <w:bottom w:val="single" w:sz="4" w:space="0" w:color="auto"/>
            </w:tcBorders>
            <w:shd w:val="clear" w:color="auto" w:fill="FABF8F"/>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Cíl 5.3</w:t>
            </w:r>
          </w:p>
        </w:tc>
        <w:tc>
          <w:tcPr>
            <w:tcW w:w="3829" w:type="pct"/>
            <w:tcBorders>
              <w:bottom w:val="single" w:sz="4" w:space="0" w:color="auto"/>
            </w:tcBorders>
            <w:shd w:val="clear" w:color="auto" w:fill="FABF8F"/>
          </w:tcPr>
          <w:p w:rsidR="00FB1999" w:rsidRPr="00587061" w:rsidRDefault="00FB1999" w:rsidP="00D41DBC">
            <w:pPr>
              <w:keepNext/>
              <w:spacing w:before="0"/>
              <w:rPr>
                <w:rFonts w:eastAsia="Arial Unicode MS"/>
                <w:b/>
                <w:color w:val="FF0000"/>
                <w:lang w:eastAsia="cs-CZ"/>
              </w:rPr>
            </w:pPr>
            <w:r w:rsidRPr="00587061">
              <w:rPr>
                <w:b/>
              </w:rPr>
              <w:t>Zajištění potřebného rozsahu služeb azylových domů v OK</w:t>
            </w:r>
          </w:p>
        </w:tc>
      </w:tr>
      <w:tr w:rsidR="00FB1999" w:rsidRPr="007C5A69" w:rsidTr="009240D1">
        <w:trPr>
          <w:trHeight w:val="397"/>
          <w:jc w:val="center"/>
        </w:trPr>
        <w:tc>
          <w:tcPr>
            <w:tcW w:w="1171" w:type="pct"/>
            <w:shd w:val="clear" w:color="auto" w:fill="E2EFD9" w:themeFill="accent6" w:themeFillTint="33"/>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 xml:space="preserve">Kód opatření </w:t>
            </w:r>
          </w:p>
        </w:tc>
        <w:tc>
          <w:tcPr>
            <w:tcW w:w="3829" w:type="pct"/>
            <w:shd w:val="clear" w:color="auto" w:fill="E2EFD9" w:themeFill="accent6" w:themeFillTint="33"/>
          </w:tcPr>
          <w:p w:rsidR="00FB1999" w:rsidRPr="00587061" w:rsidRDefault="00FB1999" w:rsidP="00D41DBC">
            <w:pPr>
              <w:keepNext/>
              <w:spacing w:before="0"/>
              <w:rPr>
                <w:rFonts w:eastAsia="Arial Unicode MS"/>
                <w:b/>
                <w:lang w:eastAsia="cs-CZ"/>
              </w:rPr>
            </w:pPr>
            <w:r w:rsidRPr="00587061">
              <w:rPr>
                <w:b/>
              </w:rPr>
              <w:t xml:space="preserve">5.3.1 </w:t>
            </w:r>
          </w:p>
        </w:tc>
      </w:tr>
      <w:tr w:rsidR="00FB1999" w:rsidRPr="00F07229" w:rsidTr="009240D1">
        <w:trPr>
          <w:trHeight w:val="397"/>
          <w:jc w:val="center"/>
        </w:trPr>
        <w:tc>
          <w:tcPr>
            <w:tcW w:w="1171" w:type="pct"/>
            <w:shd w:val="clear" w:color="auto" w:fill="E2EFD9" w:themeFill="accent6" w:themeFillTint="33"/>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Název opatření</w:t>
            </w:r>
          </w:p>
        </w:tc>
        <w:tc>
          <w:tcPr>
            <w:tcW w:w="3829" w:type="pct"/>
            <w:shd w:val="clear" w:color="auto" w:fill="E2EFD9" w:themeFill="accent6" w:themeFillTint="33"/>
          </w:tcPr>
          <w:p w:rsidR="00FB1999" w:rsidRPr="00587061" w:rsidRDefault="00FB1999" w:rsidP="00D41DBC">
            <w:pPr>
              <w:keepNext/>
              <w:spacing w:before="0"/>
              <w:rPr>
                <w:b/>
              </w:rPr>
            </w:pPr>
            <w:r w:rsidRPr="00587061">
              <w:rPr>
                <w:b/>
              </w:rPr>
              <w:t>Zajištění pobytové formy sociální služby azylového domu v počtu max. 30 lůžek v OK pro osoby bez přístřeší (s vysokými zdravotně-sociálními potřebami)</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Charakteristika opatření</w:t>
            </w:r>
          </w:p>
        </w:tc>
        <w:tc>
          <w:tcPr>
            <w:tcW w:w="3829" w:type="pct"/>
          </w:tcPr>
          <w:p w:rsidR="00FB1999" w:rsidRPr="007C5A69" w:rsidRDefault="00FB1999" w:rsidP="00587061">
            <w:pPr>
              <w:spacing w:before="0"/>
              <w:rPr>
                <w:rFonts w:eastAsia="Arial Unicode MS"/>
                <w:lang w:eastAsia="cs-CZ"/>
              </w:rPr>
            </w:pPr>
            <w:r w:rsidRPr="00CD3BC4">
              <w:t xml:space="preserve">Opatření směřuje </w:t>
            </w:r>
            <w:r>
              <w:t>k zajištění</w:t>
            </w:r>
            <w:r w:rsidRPr="00CD3BC4">
              <w:t xml:space="preserve"> </w:t>
            </w:r>
            <w:r>
              <w:t>pobytové formy</w:t>
            </w:r>
            <w:r w:rsidRPr="00E33523">
              <w:t xml:space="preserve"> </w:t>
            </w:r>
            <w:r>
              <w:t xml:space="preserve">sociální služby azylového domu pro osoby bez přístřeší s vysokými zdravotně-sociálními potřebami a sníženou soběstačností z důvodu zdravotního či psychického onemocnění s místem poskytování služby na území OK. Služba poskytne pomoc na nezbytnou dobu (v případě potřeby i dlouhodobě) při zachování snahy o posun uživatelů do jiné sociální služby či běžného sociálního prostředí. </w:t>
            </w:r>
            <w:r w:rsidRPr="00CC2C0F">
              <w:t xml:space="preserve">V případě naplnění cíle 5.2.1 pro území OK nebude podpořeno Střednědobým plánem </w:t>
            </w:r>
            <w:r w:rsidR="00E213F4" w:rsidRPr="00CC2C0F">
              <w:t>2024–2026</w:t>
            </w:r>
            <w:r w:rsidRPr="00CC2C0F">
              <w:t xml:space="preserve"> opatření 5.3.1</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Cílová skupina</w:t>
            </w:r>
          </w:p>
        </w:tc>
        <w:tc>
          <w:tcPr>
            <w:tcW w:w="3829" w:type="pct"/>
          </w:tcPr>
          <w:p w:rsidR="00FB1999" w:rsidRPr="007C5A69" w:rsidRDefault="00FB1999" w:rsidP="00587061">
            <w:pPr>
              <w:spacing w:before="0"/>
              <w:rPr>
                <w:rFonts w:eastAsia="Arial Unicode MS"/>
                <w:lang w:eastAsia="cs-CZ"/>
              </w:rPr>
            </w:pPr>
            <w:r>
              <w:t>O</w:t>
            </w:r>
            <w:r w:rsidRPr="007472DE">
              <w:t>soby bez přístřeší</w:t>
            </w:r>
            <w:r>
              <w:t xml:space="preserve"> (</w:t>
            </w:r>
            <w:r w:rsidRPr="007472DE">
              <w:t>se zhoršenou soběstačností z důvodu zdravotního stavu, věku, duševního onemocnění nebo zdravotních potřeb v důsledku rozvinutých závislostí, jejichž situace vyžaduje pravidelnou pomoc jiné fyzické osoby</w:t>
            </w:r>
            <w:r>
              <w:t>)</w:t>
            </w:r>
          </w:p>
        </w:tc>
      </w:tr>
      <w:tr w:rsidR="00FB1999" w:rsidRPr="007C5A69" w:rsidTr="009240D1">
        <w:trPr>
          <w:trHeight w:val="266"/>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Druh služby</w:t>
            </w:r>
          </w:p>
        </w:tc>
        <w:tc>
          <w:tcPr>
            <w:tcW w:w="3829" w:type="pct"/>
          </w:tcPr>
          <w:p w:rsidR="00FB1999" w:rsidRPr="007C5A69" w:rsidRDefault="00FB1999" w:rsidP="00587061">
            <w:pPr>
              <w:spacing w:before="0"/>
              <w:rPr>
                <w:rFonts w:eastAsia="Arial Unicode MS"/>
                <w:lang w:eastAsia="cs-CZ"/>
              </w:rPr>
            </w:pPr>
            <w:r w:rsidRPr="00322167">
              <w:t>Azylové domy (§ 57)</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Forma služby</w:t>
            </w:r>
          </w:p>
        </w:tc>
        <w:tc>
          <w:tcPr>
            <w:tcW w:w="3829" w:type="pct"/>
          </w:tcPr>
          <w:p w:rsidR="00FB1999" w:rsidRPr="007C5A69" w:rsidRDefault="00FB1999" w:rsidP="00587061">
            <w:pPr>
              <w:spacing w:before="0"/>
              <w:rPr>
                <w:rFonts w:eastAsia="Arial Unicode MS"/>
                <w:lang w:eastAsia="cs-CZ"/>
              </w:rPr>
            </w:pPr>
            <w:r>
              <w:t>P</w:t>
            </w:r>
            <w:r w:rsidRPr="007472DE">
              <w:t xml:space="preserve">obytová </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Vymezení územního dopadu opatření</w:t>
            </w:r>
          </w:p>
        </w:tc>
        <w:tc>
          <w:tcPr>
            <w:tcW w:w="3829" w:type="pct"/>
          </w:tcPr>
          <w:p w:rsidR="00FB1999" w:rsidRPr="007C5A69" w:rsidRDefault="00FB1999" w:rsidP="00587061">
            <w:pPr>
              <w:spacing w:before="0"/>
              <w:rPr>
                <w:rFonts w:eastAsia="Arial Unicode MS"/>
                <w:lang w:eastAsia="cs-CZ"/>
              </w:rPr>
            </w:pPr>
            <w:r>
              <w:t>OK</w:t>
            </w:r>
            <w:r w:rsidRPr="007472DE">
              <w:t xml:space="preserve"> </w:t>
            </w:r>
          </w:p>
        </w:tc>
      </w:tr>
      <w:tr w:rsidR="00FB1999" w:rsidRPr="00F07229" w:rsidTr="009240D1">
        <w:trPr>
          <w:trHeight w:val="596"/>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Předpokládaný dopad opatření</w:t>
            </w:r>
          </w:p>
        </w:tc>
        <w:tc>
          <w:tcPr>
            <w:tcW w:w="3829" w:type="pct"/>
          </w:tcPr>
          <w:p w:rsidR="00FB1999" w:rsidRPr="00F07229" w:rsidRDefault="00FB1999" w:rsidP="00587061">
            <w:pPr>
              <w:spacing w:before="0"/>
              <w:rPr>
                <w:rFonts w:eastAsia="Arial Unicode MS"/>
                <w:spacing w:val="-2"/>
                <w:lang w:eastAsia="cs-CZ"/>
              </w:rPr>
            </w:pPr>
            <w:r w:rsidRPr="00C24657">
              <w:t xml:space="preserve">Uživatelé z cílové skupiny </w:t>
            </w:r>
            <w:r>
              <w:t>mají na území OK potřebnou podporu a pomoc, v rozsahu základních činností daných registrací služby.</w:t>
            </w:r>
          </w:p>
        </w:tc>
      </w:tr>
      <w:tr w:rsidR="00FB1999" w:rsidRPr="00CB3C2C"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 xml:space="preserve">Aktivity vedoucí k naplnění opatření </w:t>
            </w:r>
          </w:p>
        </w:tc>
        <w:tc>
          <w:tcPr>
            <w:tcW w:w="3829" w:type="pct"/>
          </w:tcPr>
          <w:p w:rsidR="00FB1999" w:rsidRPr="00463C3B" w:rsidRDefault="00FB1999" w:rsidP="00587061">
            <w:pPr>
              <w:pStyle w:val="Odstavecseseznamem"/>
              <w:numPr>
                <w:ilvl w:val="0"/>
                <w:numId w:val="196"/>
              </w:numPr>
              <w:spacing w:before="0" w:line="240" w:lineRule="auto"/>
            </w:pPr>
            <w:r w:rsidRPr="00463C3B">
              <w:t>Projednání předloženého záměru poskytovatele sociálních služeb v souladu se schválenými postupy pro aktual</w:t>
            </w:r>
            <w:r>
              <w:t>izaci sítě sociálních služeb OK</w:t>
            </w:r>
          </w:p>
          <w:p w:rsidR="00FB1999" w:rsidRPr="00463C3B" w:rsidRDefault="00FB1999" w:rsidP="00587061">
            <w:pPr>
              <w:pStyle w:val="Odstavecseseznamem"/>
              <w:numPr>
                <w:ilvl w:val="0"/>
                <w:numId w:val="196"/>
              </w:numPr>
              <w:spacing w:before="0" w:line="240" w:lineRule="auto"/>
            </w:pPr>
            <w:r w:rsidRPr="00463C3B">
              <w:t>Při vyjádření pozitivního stanoviska OK aktualizace sítě sociáln</w:t>
            </w:r>
            <w:r>
              <w:t>ích služeb dle schválených změn</w:t>
            </w:r>
          </w:p>
        </w:tc>
      </w:tr>
      <w:tr w:rsidR="00FB1999" w:rsidRPr="009C087A"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b/>
              </w:rPr>
              <w:t>Rizika a ohrožení naplnění opatření</w:t>
            </w:r>
          </w:p>
        </w:tc>
        <w:tc>
          <w:tcPr>
            <w:tcW w:w="3829" w:type="pct"/>
          </w:tcPr>
          <w:p w:rsidR="00FB1999" w:rsidRPr="00463C3B" w:rsidRDefault="00FB1999" w:rsidP="00587061">
            <w:pPr>
              <w:pStyle w:val="Odstavecseseznamem"/>
              <w:numPr>
                <w:ilvl w:val="0"/>
                <w:numId w:val="197"/>
              </w:numPr>
              <w:spacing w:before="0" w:line="240" w:lineRule="auto"/>
            </w:pPr>
            <w:r w:rsidRPr="00463C3B">
              <w:t>Neprojevení zájmu poskytovatelů sociálních služ</w:t>
            </w:r>
            <w:r>
              <w:t>eb o plnění cíle a opatření</w:t>
            </w:r>
          </w:p>
          <w:p w:rsidR="00FB1999" w:rsidRPr="00463C3B" w:rsidRDefault="00FB1999" w:rsidP="00587061">
            <w:pPr>
              <w:pStyle w:val="Odstavecseseznamem"/>
              <w:numPr>
                <w:ilvl w:val="0"/>
                <w:numId w:val="197"/>
              </w:numPr>
              <w:spacing w:before="0" w:line="240" w:lineRule="auto"/>
            </w:pPr>
            <w:r w:rsidRPr="00463C3B">
              <w:t>Nesplnění kritérií dle Postupu pro aktualizaci sítě sociálních služeb OK vedoucí k neschválení žádosti poskytovatel</w:t>
            </w:r>
            <w:r>
              <w:t>e</w:t>
            </w:r>
            <w:r w:rsidRPr="00463C3B">
              <w:t xml:space="preserve"> </w:t>
            </w:r>
          </w:p>
          <w:p w:rsidR="00FB1999" w:rsidRPr="00463C3B" w:rsidRDefault="00FB1999" w:rsidP="00587061">
            <w:pPr>
              <w:pStyle w:val="Odstavecseseznamem"/>
              <w:numPr>
                <w:ilvl w:val="0"/>
                <w:numId w:val="197"/>
              </w:numPr>
              <w:spacing w:before="0" w:line="240" w:lineRule="auto"/>
            </w:pPr>
            <w:r w:rsidRPr="00463C3B">
              <w:t>Nesplnění podmínek registrace poskytovan</w:t>
            </w:r>
            <w:r>
              <w:t>ých sociálních služeb</w:t>
            </w:r>
          </w:p>
          <w:p w:rsidR="00FB1999" w:rsidRPr="00463C3B" w:rsidRDefault="00FB1999" w:rsidP="00587061">
            <w:pPr>
              <w:pStyle w:val="Odstavecseseznamem"/>
              <w:numPr>
                <w:ilvl w:val="0"/>
                <w:numId w:val="197"/>
              </w:numPr>
              <w:spacing w:before="0" w:line="240" w:lineRule="auto"/>
            </w:pPr>
            <w:r w:rsidRPr="00463C3B">
              <w:lastRenderedPageBreak/>
              <w:t xml:space="preserve">Nedostatek lidských zdrojů </w:t>
            </w:r>
          </w:p>
          <w:p w:rsidR="00FB1999" w:rsidRPr="00463C3B" w:rsidRDefault="00FB1999" w:rsidP="00587061">
            <w:pPr>
              <w:pStyle w:val="Odstavecseseznamem"/>
              <w:numPr>
                <w:ilvl w:val="0"/>
                <w:numId w:val="197"/>
              </w:numPr>
              <w:spacing w:before="0" w:line="240" w:lineRule="auto"/>
            </w:pPr>
            <w:r w:rsidRPr="00463C3B">
              <w:t>Nedostatek finančníc</w:t>
            </w:r>
            <w:r>
              <w:t>h prostředků z veřejných zdrojů</w:t>
            </w:r>
          </w:p>
          <w:p w:rsidR="00FB1999" w:rsidRPr="00463C3B" w:rsidRDefault="00FB1999" w:rsidP="00587061">
            <w:pPr>
              <w:pStyle w:val="Odstavecseseznamem"/>
              <w:numPr>
                <w:ilvl w:val="0"/>
                <w:numId w:val="197"/>
              </w:numPr>
              <w:spacing w:before="0" w:line="240" w:lineRule="auto"/>
            </w:pPr>
            <w:r>
              <w:t>Legislativní změny</w:t>
            </w:r>
            <w:r w:rsidRPr="00463C3B">
              <w:t xml:space="preserve"> </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lastRenderedPageBreak/>
              <w:t xml:space="preserve">Předpokládaní realizátoři </w:t>
            </w:r>
            <w:r w:rsidRPr="00587061">
              <w:rPr>
                <w:rFonts w:eastAsia="Arial Unicode MS"/>
                <w:b/>
                <w:lang w:eastAsia="cs-CZ"/>
              </w:rPr>
              <w:br/>
              <w:t>a partneři opatření</w:t>
            </w:r>
          </w:p>
        </w:tc>
        <w:tc>
          <w:tcPr>
            <w:tcW w:w="3829" w:type="pct"/>
          </w:tcPr>
          <w:p w:rsidR="00FB1999" w:rsidRPr="007C5A69" w:rsidRDefault="00FB1999" w:rsidP="00587061">
            <w:pPr>
              <w:spacing w:before="0"/>
              <w:rPr>
                <w:rFonts w:eastAsia="Arial Unicode MS"/>
                <w:lang w:eastAsia="cs-CZ"/>
              </w:rPr>
            </w:pPr>
            <w:r>
              <w:t>P</w:t>
            </w:r>
            <w:r w:rsidRPr="002423B0">
              <w:t xml:space="preserve">oskytovatelé </w:t>
            </w:r>
            <w:r>
              <w:t xml:space="preserve">sociálních služeb </w:t>
            </w:r>
            <w:r w:rsidRPr="002423B0">
              <w:t xml:space="preserve">pro dané </w:t>
            </w:r>
            <w:r>
              <w:t>cílové skupiny osob, kraj, obce</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Časový harmonogram</w:t>
            </w:r>
          </w:p>
        </w:tc>
        <w:tc>
          <w:tcPr>
            <w:tcW w:w="3829" w:type="pct"/>
          </w:tcPr>
          <w:p w:rsidR="00FB1999" w:rsidRPr="007C5A69" w:rsidRDefault="00FB1999" w:rsidP="00587061">
            <w:pPr>
              <w:spacing w:before="0"/>
              <w:rPr>
                <w:rFonts w:eastAsia="Arial Unicode MS"/>
                <w:lang w:eastAsia="cs-CZ"/>
              </w:rPr>
            </w:pPr>
            <w:r w:rsidRPr="007C5A69">
              <w:rPr>
                <w:rFonts w:eastAsia="Arial Unicode MS"/>
                <w:lang w:eastAsia="cs-CZ"/>
              </w:rPr>
              <w:t>202</w:t>
            </w:r>
            <w:r>
              <w:rPr>
                <w:rFonts w:eastAsia="Arial Unicode MS"/>
                <w:lang w:eastAsia="cs-CZ"/>
              </w:rPr>
              <w:t>4–</w:t>
            </w:r>
            <w:r w:rsidRPr="007C5A69">
              <w:rPr>
                <w:rFonts w:eastAsia="Arial Unicode MS"/>
                <w:lang w:eastAsia="cs-CZ"/>
              </w:rPr>
              <w:t>202</w:t>
            </w:r>
            <w:r>
              <w:rPr>
                <w:rFonts w:eastAsia="Arial Unicode MS"/>
                <w:lang w:eastAsia="cs-CZ"/>
              </w:rPr>
              <w:t>6</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Předpokládané finanční zdroje</w:t>
            </w:r>
          </w:p>
        </w:tc>
        <w:tc>
          <w:tcPr>
            <w:tcW w:w="3829" w:type="pct"/>
          </w:tcPr>
          <w:p w:rsidR="00FB1999" w:rsidRPr="007C5A69" w:rsidRDefault="00FB1999" w:rsidP="00587061">
            <w:pPr>
              <w:spacing w:before="0"/>
              <w:rPr>
                <w:rFonts w:eastAsia="Arial Unicode MS"/>
                <w:lang w:eastAsia="cs-CZ"/>
              </w:rPr>
            </w:pPr>
            <w:r w:rsidRPr="007C5A69">
              <w:rPr>
                <w:rFonts w:eastAsia="Arial Unicode MS"/>
                <w:lang w:eastAsia="cs-CZ"/>
              </w:rPr>
              <w:t>Veřejné zdroje, evropské zdroje a ostatní zdroje financování</w:t>
            </w:r>
          </w:p>
        </w:tc>
      </w:tr>
      <w:tr w:rsidR="00FB1999" w:rsidRPr="007C5A69" w:rsidTr="009240D1">
        <w:trPr>
          <w:trHeight w:val="397"/>
          <w:jc w:val="center"/>
        </w:trPr>
        <w:tc>
          <w:tcPr>
            <w:tcW w:w="1171" w:type="pct"/>
            <w:tcBorders>
              <w:bottom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Hodnotící indikátory výstupů a výsledků</w:t>
            </w:r>
          </w:p>
        </w:tc>
        <w:tc>
          <w:tcPr>
            <w:tcW w:w="3829" w:type="pct"/>
            <w:tcBorders>
              <w:bottom w:val="single" w:sz="4" w:space="0" w:color="auto"/>
            </w:tcBorders>
          </w:tcPr>
          <w:p w:rsidR="00FB1999" w:rsidRPr="00A34764" w:rsidRDefault="00FB1999" w:rsidP="00587061">
            <w:pPr>
              <w:pStyle w:val="Odstavecseseznamem"/>
              <w:numPr>
                <w:ilvl w:val="0"/>
                <w:numId w:val="15"/>
              </w:numPr>
              <w:spacing w:before="0" w:line="240" w:lineRule="auto"/>
            </w:pPr>
            <w:r w:rsidRPr="00A34764">
              <w:t>Zajištění rozvoje sociální služby v daném regionu</w:t>
            </w:r>
          </w:p>
          <w:p w:rsidR="00FB1999" w:rsidRPr="00A34764" w:rsidRDefault="00FB1999" w:rsidP="00587061">
            <w:pPr>
              <w:pStyle w:val="Odstavecseseznamem"/>
              <w:numPr>
                <w:ilvl w:val="0"/>
                <w:numId w:val="15"/>
              </w:numPr>
              <w:spacing w:before="0" w:line="240" w:lineRule="auto"/>
            </w:pPr>
            <w:r w:rsidRPr="00A34764">
              <w:t>Aktualizace sítě sociálních služeb dle schválených změn</w:t>
            </w:r>
          </w:p>
        </w:tc>
      </w:tr>
      <w:tr w:rsidR="00FB1999" w:rsidRPr="007C5A69" w:rsidTr="009240D1">
        <w:trPr>
          <w:trHeight w:val="397"/>
          <w:jc w:val="center"/>
        </w:trPr>
        <w:tc>
          <w:tcPr>
            <w:tcW w:w="1171" w:type="pct"/>
            <w:shd w:val="clear" w:color="auto" w:fill="E2EFD9" w:themeFill="accent6" w:themeFillTint="33"/>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 xml:space="preserve">Kód opatření </w:t>
            </w:r>
          </w:p>
        </w:tc>
        <w:tc>
          <w:tcPr>
            <w:tcW w:w="3829" w:type="pct"/>
            <w:shd w:val="clear" w:color="auto" w:fill="E2EFD9" w:themeFill="accent6" w:themeFillTint="33"/>
          </w:tcPr>
          <w:p w:rsidR="00FB1999" w:rsidRPr="00587061" w:rsidRDefault="00FB1999" w:rsidP="00D41DBC">
            <w:pPr>
              <w:keepNext/>
              <w:spacing w:before="0"/>
              <w:rPr>
                <w:rFonts w:eastAsia="Arial Unicode MS"/>
                <w:b/>
                <w:lang w:eastAsia="cs-CZ"/>
              </w:rPr>
            </w:pPr>
            <w:r w:rsidRPr="00587061">
              <w:rPr>
                <w:b/>
              </w:rPr>
              <w:t xml:space="preserve">5.3.2 </w:t>
            </w:r>
          </w:p>
        </w:tc>
      </w:tr>
      <w:tr w:rsidR="00FB1999" w:rsidRPr="007C5A69" w:rsidTr="009240D1">
        <w:trPr>
          <w:trHeight w:val="397"/>
          <w:jc w:val="center"/>
        </w:trPr>
        <w:tc>
          <w:tcPr>
            <w:tcW w:w="1171" w:type="pct"/>
            <w:shd w:val="clear" w:color="auto" w:fill="E2EFD9" w:themeFill="accent6" w:themeFillTint="33"/>
          </w:tcPr>
          <w:p w:rsidR="00FB1999" w:rsidRPr="00587061" w:rsidRDefault="00FB1999" w:rsidP="00D41DBC">
            <w:pPr>
              <w:keepNext/>
              <w:spacing w:before="0"/>
              <w:jc w:val="left"/>
              <w:rPr>
                <w:rFonts w:eastAsia="Arial Unicode MS"/>
                <w:b/>
                <w:lang w:eastAsia="cs-CZ"/>
              </w:rPr>
            </w:pPr>
            <w:r w:rsidRPr="00587061">
              <w:rPr>
                <w:rFonts w:eastAsia="Arial Unicode MS"/>
                <w:b/>
                <w:lang w:eastAsia="cs-CZ"/>
              </w:rPr>
              <w:t>Název opatření</w:t>
            </w:r>
          </w:p>
        </w:tc>
        <w:tc>
          <w:tcPr>
            <w:tcW w:w="3829" w:type="pct"/>
            <w:shd w:val="clear" w:color="auto" w:fill="E2EFD9" w:themeFill="accent6" w:themeFillTint="33"/>
          </w:tcPr>
          <w:p w:rsidR="00FB1999" w:rsidRPr="00587061" w:rsidRDefault="00FB1999" w:rsidP="00D41DBC">
            <w:pPr>
              <w:keepNext/>
              <w:spacing w:before="0"/>
              <w:rPr>
                <w:rFonts w:eastAsia="Arial Unicode MS"/>
                <w:b/>
                <w:lang w:eastAsia="cs-CZ"/>
              </w:rPr>
            </w:pPr>
            <w:r w:rsidRPr="00587061">
              <w:rPr>
                <w:b/>
              </w:rPr>
              <w:t>Zajištění pobytové formy sociální služby azylového domu v počtu max. 30 lůžek v ORP Přerov pro osoby bez přístřeší</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Charakteristika opatření</w:t>
            </w:r>
          </w:p>
        </w:tc>
        <w:tc>
          <w:tcPr>
            <w:tcW w:w="3829" w:type="pct"/>
          </w:tcPr>
          <w:p w:rsidR="00FB1999" w:rsidRPr="007C5A69" w:rsidRDefault="00FB1999" w:rsidP="00587061">
            <w:pPr>
              <w:spacing w:before="0"/>
              <w:rPr>
                <w:rFonts w:eastAsia="Arial Unicode MS"/>
                <w:lang w:eastAsia="cs-CZ"/>
              </w:rPr>
            </w:pPr>
            <w:r w:rsidRPr="00264F2D">
              <w:t>Opatření směřuje k zajištění pobytové</w:t>
            </w:r>
            <w:r>
              <w:t xml:space="preserve"> formy</w:t>
            </w:r>
            <w:r w:rsidRPr="0003135D">
              <w:t xml:space="preserve"> sociální služby azylové</w:t>
            </w:r>
            <w:r>
              <w:t>ho</w:t>
            </w:r>
            <w:r w:rsidRPr="0003135D">
              <w:t xml:space="preserve"> do</w:t>
            </w:r>
            <w:r>
              <w:t>mu</w:t>
            </w:r>
            <w:r w:rsidRPr="0003135D">
              <w:t xml:space="preserve"> </w:t>
            </w:r>
            <w:r>
              <w:t>pro osoby bez přístřeší (10 lůžek pro ženy, 20 lůžek pro muže) v</w:t>
            </w:r>
            <w:r w:rsidRPr="0003135D">
              <w:t xml:space="preserve"> území ORP Přerov</w:t>
            </w:r>
            <w:r>
              <w:t>.</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Cílová skupina</w:t>
            </w:r>
          </w:p>
        </w:tc>
        <w:tc>
          <w:tcPr>
            <w:tcW w:w="3829" w:type="pct"/>
          </w:tcPr>
          <w:p w:rsidR="00FB1999" w:rsidRPr="007C5A69" w:rsidRDefault="00FB1999" w:rsidP="00587061">
            <w:pPr>
              <w:spacing w:before="0"/>
              <w:rPr>
                <w:rFonts w:eastAsia="Arial Unicode MS"/>
                <w:lang w:eastAsia="cs-CZ"/>
              </w:rPr>
            </w:pPr>
            <w:r>
              <w:t>O</w:t>
            </w:r>
            <w:r w:rsidRPr="00322167">
              <w:t xml:space="preserve">soby </w:t>
            </w:r>
            <w:r>
              <w:t>bez přístřeší</w:t>
            </w:r>
          </w:p>
        </w:tc>
      </w:tr>
      <w:tr w:rsidR="00FB1999" w:rsidRPr="007C5A69" w:rsidTr="009240D1">
        <w:trPr>
          <w:trHeight w:val="346"/>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Druh služby</w:t>
            </w:r>
          </w:p>
        </w:tc>
        <w:tc>
          <w:tcPr>
            <w:tcW w:w="3829" w:type="pct"/>
          </w:tcPr>
          <w:p w:rsidR="00FB1999" w:rsidRPr="007C5A69" w:rsidRDefault="00FB1999" w:rsidP="00587061">
            <w:pPr>
              <w:spacing w:before="0"/>
              <w:rPr>
                <w:rFonts w:eastAsia="Arial Unicode MS"/>
                <w:lang w:eastAsia="cs-CZ"/>
              </w:rPr>
            </w:pPr>
            <w:r w:rsidRPr="00322167">
              <w:t xml:space="preserve">Azylové domy (§ 57) </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Forma služby</w:t>
            </w:r>
          </w:p>
        </w:tc>
        <w:tc>
          <w:tcPr>
            <w:tcW w:w="3829" w:type="pct"/>
          </w:tcPr>
          <w:p w:rsidR="00FB1999" w:rsidRPr="007C5A69" w:rsidRDefault="00FB1999" w:rsidP="00587061">
            <w:pPr>
              <w:spacing w:before="0"/>
              <w:rPr>
                <w:rFonts w:eastAsia="Arial Unicode MS"/>
                <w:lang w:eastAsia="cs-CZ"/>
              </w:rPr>
            </w:pPr>
            <w:r w:rsidRPr="00322167">
              <w:t>Pobytová</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Vymezení územního dopadu opatření</w:t>
            </w:r>
          </w:p>
        </w:tc>
        <w:tc>
          <w:tcPr>
            <w:tcW w:w="3829" w:type="pct"/>
          </w:tcPr>
          <w:p w:rsidR="00FB1999" w:rsidRPr="007C5A69" w:rsidRDefault="00FB1999" w:rsidP="00587061">
            <w:pPr>
              <w:spacing w:before="0"/>
              <w:rPr>
                <w:rFonts w:eastAsia="Arial Unicode MS"/>
                <w:lang w:eastAsia="cs-CZ"/>
              </w:rPr>
            </w:pPr>
            <w:r w:rsidRPr="00322167">
              <w:t xml:space="preserve">ORP Přerov </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Předpokládaný dopad opatření</w:t>
            </w:r>
          </w:p>
        </w:tc>
        <w:tc>
          <w:tcPr>
            <w:tcW w:w="3829" w:type="pct"/>
          </w:tcPr>
          <w:p w:rsidR="00FB1999" w:rsidRPr="0019421E" w:rsidRDefault="00FB1999" w:rsidP="00587061">
            <w:pPr>
              <w:spacing w:before="0"/>
              <w:rPr>
                <w:rFonts w:eastAsia="Arial Unicode MS"/>
                <w:spacing w:val="-2"/>
                <w:highlight w:val="yellow"/>
                <w:lang w:eastAsia="cs-CZ"/>
              </w:rPr>
            </w:pPr>
            <w:r w:rsidRPr="0003135D">
              <w:t xml:space="preserve">Uživatelé z cílové skupiny </w:t>
            </w:r>
            <w:r>
              <w:t>mají na území, na základě působení sociální služby, v rozsahu základních činností daných její registrací, zajištěné základní lidské potřeby a je jim poskytnuta pomoc a podpora při samostatném aktivním nalézání řešení jejich aktuální nepříznivé sociální situace, což povede k postupnému osamostatnění a začlenění do společnosti.</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 xml:space="preserve">Aktivity vedoucí k naplnění opatření </w:t>
            </w:r>
          </w:p>
        </w:tc>
        <w:tc>
          <w:tcPr>
            <w:tcW w:w="3829" w:type="pct"/>
            <w:shd w:val="clear" w:color="auto" w:fill="auto"/>
          </w:tcPr>
          <w:p w:rsidR="00FB1999" w:rsidRPr="002423B0" w:rsidRDefault="00FB1999" w:rsidP="00587061">
            <w:pPr>
              <w:pStyle w:val="Odstavecseseznamem"/>
              <w:numPr>
                <w:ilvl w:val="0"/>
                <w:numId w:val="201"/>
              </w:numPr>
              <w:spacing w:before="0" w:line="240" w:lineRule="auto"/>
            </w:pPr>
            <w:r>
              <w:t>Projednání předloženého záměru poskytovatele sociálních služeb v souladu se schválenými postupy pro aktualizaci sítě sociálních služeb OK</w:t>
            </w:r>
            <w:r w:rsidRPr="002423B0">
              <w:t xml:space="preserve"> </w:t>
            </w:r>
          </w:p>
          <w:p w:rsidR="00FB1999" w:rsidRPr="00323ACA" w:rsidRDefault="00FB1999" w:rsidP="00587061">
            <w:pPr>
              <w:pStyle w:val="Odstavecseseznamem"/>
              <w:numPr>
                <w:ilvl w:val="0"/>
                <w:numId w:val="201"/>
              </w:numPr>
              <w:spacing w:before="0" w:line="240" w:lineRule="auto"/>
            </w:pPr>
            <w:r w:rsidRPr="002423B0">
              <w:t>Při vyjádření pozitivního stanoviska OK aktualizace sítě sociáln</w:t>
            </w:r>
            <w:r>
              <w:t>ích služeb dle schválených změn</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9240D1">
              <w:rPr>
                <w:rFonts w:eastAsia="Arial Unicode MS"/>
                <w:b/>
                <w:lang w:eastAsia="cs-CZ"/>
              </w:rPr>
              <w:t>Rizika a ohrožení naplnění opatření</w:t>
            </w:r>
          </w:p>
        </w:tc>
        <w:tc>
          <w:tcPr>
            <w:tcW w:w="3829" w:type="pct"/>
            <w:shd w:val="clear" w:color="auto" w:fill="auto"/>
          </w:tcPr>
          <w:p w:rsidR="00FB1999" w:rsidRPr="00323ACA" w:rsidRDefault="00FB1999" w:rsidP="00587061">
            <w:pPr>
              <w:pStyle w:val="Odstavecseseznamem"/>
              <w:numPr>
                <w:ilvl w:val="0"/>
                <w:numId w:val="202"/>
              </w:numPr>
              <w:spacing w:before="0" w:line="240" w:lineRule="auto"/>
            </w:pPr>
            <w:r w:rsidRPr="00323ACA">
              <w:t xml:space="preserve">Neprojevení zájmu poskytovatelů sociálních </w:t>
            </w:r>
            <w:r>
              <w:t>služeb o plnění cíle a opatření</w:t>
            </w:r>
          </w:p>
          <w:p w:rsidR="00FB1999" w:rsidRPr="002423B0" w:rsidRDefault="00FB1999" w:rsidP="00587061">
            <w:pPr>
              <w:pStyle w:val="Odstavecseseznamem"/>
              <w:numPr>
                <w:ilvl w:val="0"/>
                <w:numId w:val="202"/>
              </w:numPr>
              <w:spacing w:before="0" w:line="240" w:lineRule="auto"/>
            </w:pPr>
            <w:r w:rsidRPr="002423B0">
              <w:t xml:space="preserve">Nesplnění kritérií dle Postupu pro aktualizaci sítě sociálních služeb </w:t>
            </w:r>
            <w:r>
              <w:t>OK vedoucí k neschválení žádosti</w:t>
            </w:r>
            <w:r w:rsidRPr="002423B0">
              <w:t xml:space="preserve"> poskytovatel</w:t>
            </w:r>
            <w:r>
              <w:t>e</w:t>
            </w:r>
            <w:r w:rsidRPr="002423B0">
              <w:t xml:space="preserve"> </w:t>
            </w:r>
          </w:p>
          <w:p w:rsidR="00FB1999" w:rsidRPr="002423B0" w:rsidRDefault="00FB1999" w:rsidP="00587061">
            <w:pPr>
              <w:pStyle w:val="Odstavecseseznamem"/>
              <w:numPr>
                <w:ilvl w:val="0"/>
                <w:numId w:val="202"/>
              </w:numPr>
              <w:spacing w:before="0" w:line="240" w:lineRule="auto"/>
            </w:pPr>
            <w:r w:rsidRPr="002423B0">
              <w:t xml:space="preserve">Nesplnění podmínek </w:t>
            </w:r>
            <w:r>
              <w:t xml:space="preserve">registrace </w:t>
            </w:r>
            <w:r w:rsidRPr="002423B0">
              <w:t>poskytovan</w:t>
            </w:r>
            <w:r>
              <w:t>ých sociálních služeb</w:t>
            </w:r>
          </w:p>
          <w:p w:rsidR="00FB1999" w:rsidRPr="002423B0" w:rsidRDefault="00FB1999" w:rsidP="00587061">
            <w:pPr>
              <w:pStyle w:val="Odstavecseseznamem"/>
              <w:numPr>
                <w:ilvl w:val="0"/>
                <w:numId w:val="202"/>
              </w:numPr>
              <w:spacing w:before="0" w:line="240" w:lineRule="auto"/>
            </w:pPr>
            <w:r w:rsidRPr="002423B0">
              <w:t xml:space="preserve">Nedostatek lidských zdrojů </w:t>
            </w:r>
          </w:p>
          <w:p w:rsidR="00FB1999" w:rsidRPr="002423B0" w:rsidRDefault="00FB1999" w:rsidP="00587061">
            <w:pPr>
              <w:pStyle w:val="Odstavecseseznamem"/>
              <w:numPr>
                <w:ilvl w:val="0"/>
                <w:numId w:val="202"/>
              </w:numPr>
              <w:spacing w:before="0" w:line="240" w:lineRule="auto"/>
            </w:pPr>
            <w:r w:rsidRPr="002423B0">
              <w:t>Nedostatek finančníc</w:t>
            </w:r>
            <w:r>
              <w:t>h prostředků z veřejných zdrojů</w:t>
            </w:r>
          </w:p>
          <w:p w:rsidR="00FB1999" w:rsidRPr="00323ACA" w:rsidRDefault="00FB1999" w:rsidP="00587061">
            <w:pPr>
              <w:pStyle w:val="Odstavecseseznamem"/>
              <w:numPr>
                <w:ilvl w:val="0"/>
                <w:numId w:val="202"/>
              </w:numPr>
              <w:spacing w:before="0" w:line="240" w:lineRule="auto"/>
            </w:pPr>
            <w:r>
              <w:t>Legislativní změny</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 xml:space="preserve">Předpokládaní realizátoři </w:t>
            </w:r>
            <w:r w:rsidRPr="00587061">
              <w:rPr>
                <w:rFonts w:eastAsia="Arial Unicode MS"/>
                <w:b/>
                <w:lang w:eastAsia="cs-CZ"/>
              </w:rPr>
              <w:br/>
              <w:t>a partneři opatření</w:t>
            </w:r>
          </w:p>
        </w:tc>
        <w:tc>
          <w:tcPr>
            <w:tcW w:w="3829" w:type="pct"/>
          </w:tcPr>
          <w:p w:rsidR="00FB1999" w:rsidRPr="007C5A69" w:rsidRDefault="00FB1999" w:rsidP="00587061">
            <w:pPr>
              <w:spacing w:before="0"/>
              <w:rPr>
                <w:rFonts w:eastAsia="Arial Unicode MS"/>
                <w:lang w:eastAsia="cs-CZ"/>
              </w:rPr>
            </w:pPr>
            <w:r>
              <w:t>P</w:t>
            </w:r>
            <w:r w:rsidRPr="002423B0">
              <w:t xml:space="preserve">oskytovatelé </w:t>
            </w:r>
            <w:r>
              <w:t xml:space="preserve">sociálních služeb </w:t>
            </w:r>
            <w:r w:rsidRPr="002423B0">
              <w:t xml:space="preserve">pro dané </w:t>
            </w:r>
            <w:r>
              <w:t>cílové skupiny osob, kraj, obce</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Časový harmonogram</w:t>
            </w:r>
          </w:p>
        </w:tc>
        <w:tc>
          <w:tcPr>
            <w:tcW w:w="3829" w:type="pct"/>
          </w:tcPr>
          <w:p w:rsidR="00FB1999" w:rsidRPr="007C5A69" w:rsidRDefault="00FB1999" w:rsidP="00587061">
            <w:pPr>
              <w:spacing w:before="0"/>
              <w:rPr>
                <w:rFonts w:eastAsia="Arial Unicode MS"/>
                <w:lang w:eastAsia="cs-CZ"/>
              </w:rPr>
            </w:pPr>
            <w:r w:rsidRPr="007C5A69">
              <w:rPr>
                <w:rFonts w:eastAsia="Arial Unicode MS"/>
                <w:lang w:eastAsia="cs-CZ"/>
              </w:rPr>
              <w:t>202</w:t>
            </w:r>
            <w:r>
              <w:rPr>
                <w:rFonts w:eastAsia="Arial Unicode MS"/>
                <w:lang w:eastAsia="cs-CZ"/>
              </w:rPr>
              <w:t>4–</w:t>
            </w:r>
            <w:r w:rsidRPr="007C5A69">
              <w:rPr>
                <w:rFonts w:eastAsia="Arial Unicode MS"/>
                <w:lang w:eastAsia="cs-CZ"/>
              </w:rPr>
              <w:t>202</w:t>
            </w:r>
            <w:r>
              <w:rPr>
                <w:rFonts w:eastAsia="Arial Unicode MS"/>
                <w:lang w:eastAsia="cs-CZ"/>
              </w:rPr>
              <w:t>6</w:t>
            </w:r>
          </w:p>
        </w:tc>
      </w:tr>
      <w:tr w:rsidR="00FB1999" w:rsidRPr="007C5A69" w:rsidTr="009240D1">
        <w:trPr>
          <w:trHeight w:val="397"/>
          <w:jc w:val="center"/>
        </w:trPr>
        <w:tc>
          <w:tcPr>
            <w:tcW w:w="1171" w:type="pct"/>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Předpokládané finanční zdroje</w:t>
            </w:r>
          </w:p>
        </w:tc>
        <w:tc>
          <w:tcPr>
            <w:tcW w:w="3829" w:type="pct"/>
          </w:tcPr>
          <w:p w:rsidR="00FB1999" w:rsidRPr="007C5A69" w:rsidRDefault="00FB1999" w:rsidP="00587061">
            <w:pPr>
              <w:spacing w:before="0"/>
              <w:rPr>
                <w:rFonts w:eastAsia="Arial Unicode MS"/>
                <w:lang w:eastAsia="cs-CZ"/>
              </w:rPr>
            </w:pPr>
            <w:r w:rsidRPr="007C5A69">
              <w:rPr>
                <w:rFonts w:eastAsia="Arial Unicode MS"/>
                <w:lang w:eastAsia="cs-CZ"/>
              </w:rPr>
              <w:t>Veřejné zdroje, evropské zdroje a ostatní zdroje financování</w:t>
            </w:r>
          </w:p>
        </w:tc>
      </w:tr>
      <w:tr w:rsidR="00FB1999" w:rsidRPr="007C5A69" w:rsidTr="009240D1">
        <w:trPr>
          <w:trHeight w:val="397"/>
          <w:jc w:val="center"/>
        </w:trPr>
        <w:tc>
          <w:tcPr>
            <w:tcW w:w="1171" w:type="pct"/>
            <w:tcBorders>
              <w:bottom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lastRenderedPageBreak/>
              <w:t>Hodnotící indikátory výstupů a výsledků</w:t>
            </w:r>
          </w:p>
        </w:tc>
        <w:tc>
          <w:tcPr>
            <w:tcW w:w="3829" w:type="pct"/>
            <w:tcBorders>
              <w:bottom w:val="single" w:sz="4" w:space="0" w:color="auto"/>
            </w:tcBorders>
          </w:tcPr>
          <w:p w:rsidR="00FB1999" w:rsidRPr="00A34764" w:rsidRDefault="00FB1999" w:rsidP="00587061">
            <w:pPr>
              <w:pStyle w:val="Odstavecseseznamem"/>
              <w:numPr>
                <w:ilvl w:val="0"/>
                <w:numId w:val="15"/>
              </w:numPr>
              <w:spacing w:before="0" w:line="240" w:lineRule="auto"/>
            </w:pPr>
            <w:r w:rsidRPr="00A34764">
              <w:t>Zajištění rozvoje sociální služby v daném regionu</w:t>
            </w:r>
          </w:p>
          <w:p w:rsidR="00FB1999" w:rsidRPr="00A34764" w:rsidRDefault="00FB1999" w:rsidP="00587061">
            <w:pPr>
              <w:pStyle w:val="Odstavecseseznamem"/>
              <w:numPr>
                <w:ilvl w:val="0"/>
                <w:numId w:val="15"/>
              </w:numPr>
              <w:spacing w:before="0" w:line="240" w:lineRule="auto"/>
            </w:pPr>
            <w:r w:rsidRPr="00A34764">
              <w:t>Aktualizace sítě sociálních služeb dle schválených změn</w:t>
            </w:r>
          </w:p>
        </w:tc>
      </w:tr>
      <w:tr w:rsidR="00FB1999" w:rsidRPr="002630DA"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pStyle w:val="Bezmezer"/>
              <w:keepNext/>
              <w:rPr>
                <w:b/>
                <w:lang w:eastAsia="cs-CZ"/>
              </w:rPr>
            </w:pPr>
            <w:r w:rsidRPr="00587061">
              <w:rPr>
                <w:b/>
                <w:lang w:eastAsia="cs-CZ"/>
              </w:rPr>
              <w:t xml:space="preserve">Kód opatření </w:t>
            </w:r>
          </w:p>
        </w:tc>
        <w:tc>
          <w:tcPr>
            <w:tcW w:w="38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2630DA" w:rsidRDefault="00FB1999" w:rsidP="00D41DBC">
            <w:pPr>
              <w:pStyle w:val="Bezmezer"/>
              <w:keepNext/>
              <w:rPr>
                <w:b/>
                <w:lang w:eastAsia="cs-CZ"/>
              </w:rPr>
            </w:pPr>
            <w:r>
              <w:rPr>
                <w:b/>
                <w:lang w:eastAsia="cs-CZ"/>
              </w:rPr>
              <w:t>5.3.3</w:t>
            </w:r>
          </w:p>
        </w:tc>
      </w:tr>
      <w:tr w:rsidR="00FB1999" w:rsidRPr="002630DA"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587061" w:rsidRDefault="00FB1999" w:rsidP="00D41DBC">
            <w:pPr>
              <w:pStyle w:val="Bezmezer"/>
              <w:keepNext/>
              <w:rPr>
                <w:b/>
                <w:lang w:eastAsia="cs-CZ"/>
              </w:rPr>
            </w:pPr>
            <w:r w:rsidRPr="00587061">
              <w:rPr>
                <w:b/>
                <w:lang w:eastAsia="cs-CZ"/>
              </w:rPr>
              <w:t>Název opatření</w:t>
            </w:r>
          </w:p>
        </w:tc>
        <w:tc>
          <w:tcPr>
            <w:tcW w:w="38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B1999" w:rsidRPr="000D65C6" w:rsidRDefault="00FB1999" w:rsidP="00D41DBC">
            <w:pPr>
              <w:pStyle w:val="Bezmezer"/>
              <w:keepNext/>
              <w:jc w:val="both"/>
              <w:rPr>
                <w:b/>
                <w:lang w:eastAsia="cs-CZ"/>
              </w:rPr>
            </w:pPr>
            <w:r w:rsidRPr="000D65C6">
              <w:rPr>
                <w:rFonts w:ascii="Segoe UI" w:hAnsi="Segoe UI" w:cs="Segoe UI"/>
                <w:b/>
                <w:color w:val="000000"/>
                <w:sz w:val="20"/>
                <w:szCs w:val="20"/>
              </w:rPr>
              <w:t>Zajištění pobytové formy služby azylového domu v počtu max. 8 lůžek v</w:t>
            </w:r>
            <w:r w:rsidR="00E00EA8">
              <w:rPr>
                <w:rFonts w:ascii="Segoe UI" w:hAnsi="Segoe UI" w:cs="Segoe UI"/>
                <w:b/>
                <w:color w:val="000000"/>
                <w:sz w:val="20"/>
                <w:szCs w:val="20"/>
              </w:rPr>
              <w:t> </w:t>
            </w:r>
            <w:r w:rsidRPr="000D65C6">
              <w:rPr>
                <w:rFonts w:ascii="Segoe UI" w:hAnsi="Segoe UI" w:cs="Segoe UI"/>
                <w:b/>
                <w:color w:val="000000"/>
                <w:sz w:val="20"/>
                <w:szCs w:val="20"/>
              </w:rPr>
              <w:t>ORP Prostějov pro osoby</w:t>
            </w:r>
            <w:r w:rsidRPr="000411D9">
              <w:rPr>
                <w:rFonts w:ascii="Segoe UI" w:hAnsi="Segoe UI" w:cs="Segoe UI"/>
                <w:b/>
                <w:color w:val="000000"/>
                <w:sz w:val="20"/>
                <w:szCs w:val="20"/>
              </w:rPr>
              <w:t xml:space="preserve"> bez přístřeší, rodiny s dítětem či dětmi, </w:t>
            </w:r>
            <w:r>
              <w:rPr>
                <w:rFonts w:ascii="Segoe UI" w:hAnsi="Segoe UI" w:cs="Segoe UI"/>
                <w:b/>
                <w:color w:val="000000"/>
                <w:sz w:val="20"/>
                <w:szCs w:val="20"/>
              </w:rPr>
              <w:t xml:space="preserve">pro </w:t>
            </w:r>
            <w:r w:rsidRPr="000411D9">
              <w:rPr>
                <w:rFonts w:ascii="Segoe UI" w:hAnsi="Segoe UI" w:cs="Segoe UI"/>
                <w:b/>
                <w:color w:val="000000"/>
                <w:sz w:val="20"/>
                <w:szCs w:val="20"/>
              </w:rPr>
              <w:t>oběti domácího násilí a osoby v krizi</w:t>
            </w:r>
          </w:p>
        </w:tc>
      </w:tr>
      <w:tr w:rsidR="00FB1999" w:rsidRPr="00264F2D"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Charakteristika opatření</w:t>
            </w:r>
          </w:p>
        </w:tc>
        <w:tc>
          <w:tcPr>
            <w:tcW w:w="3829" w:type="pct"/>
            <w:tcBorders>
              <w:top w:val="single" w:sz="4" w:space="0" w:color="auto"/>
              <w:left w:val="single" w:sz="4" w:space="0" w:color="auto"/>
              <w:bottom w:val="single" w:sz="4" w:space="0" w:color="auto"/>
              <w:right w:val="single" w:sz="4" w:space="0" w:color="auto"/>
            </w:tcBorders>
          </w:tcPr>
          <w:p w:rsidR="00FB1999" w:rsidRPr="00984F77" w:rsidRDefault="00FB1999" w:rsidP="00587061">
            <w:pPr>
              <w:pStyle w:val="Bezmezer"/>
              <w:jc w:val="both"/>
              <w:rPr>
                <w:rFonts w:ascii="Segoe UI" w:eastAsia="Arial Unicode MS" w:hAnsi="Segoe UI" w:cs="Segoe UI"/>
                <w:sz w:val="20"/>
                <w:szCs w:val="20"/>
                <w:lang w:eastAsia="cs-CZ"/>
              </w:rPr>
            </w:pPr>
            <w:r w:rsidRPr="00984F77">
              <w:rPr>
                <w:rFonts w:ascii="Segoe UI" w:hAnsi="Segoe UI" w:cs="Segoe UI"/>
                <w:sz w:val="20"/>
                <w:szCs w:val="20"/>
              </w:rPr>
              <w:t>Opatření směřuje k zajištění pobytové formy sociální služby azylového domu (pro rodiče s dětmi) pro cílové skupiny osob bez přístřeší, rodin s dítětem či dětmi, obět</w:t>
            </w:r>
            <w:r w:rsidR="003F6B66" w:rsidRPr="00984F77">
              <w:rPr>
                <w:rFonts w:ascii="Segoe UI" w:hAnsi="Segoe UI" w:cs="Segoe UI"/>
                <w:sz w:val="20"/>
                <w:szCs w:val="20"/>
              </w:rPr>
              <w:t>í</w:t>
            </w:r>
            <w:r w:rsidRPr="00984F77">
              <w:rPr>
                <w:rFonts w:ascii="Segoe UI" w:hAnsi="Segoe UI" w:cs="Segoe UI"/>
                <w:sz w:val="20"/>
                <w:szCs w:val="20"/>
              </w:rPr>
              <w:t xml:space="preserve"> domácího násilí a osob v krizi v území ORP Prostějov v počtu 8 lůžek pro dospělé osoby (rodiče).</w:t>
            </w:r>
          </w:p>
        </w:tc>
      </w:tr>
      <w:tr w:rsidR="00FB1999" w:rsidRPr="00264F2D"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Cílová skupina</w:t>
            </w:r>
          </w:p>
        </w:tc>
        <w:tc>
          <w:tcPr>
            <w:tcW w:w="3829" w:type="pct"/>
            <w:tcBorders>
              <w:top w:val="single" w:sz="4" w:space="0" w:color="auto"/>
              <w:left w:val="single" w:sz="4" w:space="0" w:color="auto"/>
              <w:bottom w:val="single" w:sz="4" w:space="0" w:color="auto"/>
              <w:right w:val="single" w:sz="4" w:space="0" w:color="auto"/>
            </w:tcBorders>
          </w:tcPr>
          <w:p w:rsidR="00FB1999" w:rsidRPr="00984F77" w:rsidRDefault="00FB1999" w:rsidP="00587061">
            <w:pPr>
              <w:spacing w:before="0"/>
              <w:rPr>
                <w:rFonts w:cs="Segoe UI"/>
                <w:szCs w:val="20"/>
              </w:rPr>
            </w:pPr>
            <w:r w:rsidRPr="00984F77">
              <w:rPr>
                <w:rFonts w:cs="Segoe UI"/>
                <w:szCs w:val="20"/>
              </w:rPr>
              <w:t>Osoby bez přístřeší</w:t>
            </w:r>
          </w:p>
          <w:p w:rsidR="00FB1999" w:rsidRPr="00984F77" w:rsidRDefault="00FB1999" w:rsidP="00587061">
            <w:pPr>
              <w:spacing w:before="0"/>
              <w:rPr>
                <w:rFonts w:cs="Segoe UI"/>
                <w:szCs w:val="20"/>
              </w:rPr>
            </w:pPr>
            <w:r w:rsidRPr="00984F77">
              <w:rPr>
                <w:rFonts w:cs="Segoe UI"/>
                <w:szCs w:val="20"/>
              </w:rPr>
              <w:t>Rodiny s dítětem/dětmi</w:t>
            </w:r>
          </w:p>
          <w:p w:rsidR="00FB1999" w:rsidRPr="00984F77" w:rsidRDefault="00FB1999" w:rsidP="00587061">
            <w:pPr>
              <w:spacing w:before="0"/>
              <w:rPr>
                <w:rFonts w:cs="Segoe UI"/>
                <w:szCs w:val="20"/>
              </w:rPr>
            </w:pPr>
            <w:r w:rsidRPr="00984F77">
              <w:rPr>
                <w:rFonts w:cs="Segoe UI"/>
                <w:szCs w:val="20"/>
              </w:rPr>
              <w:t>Osoby v krizi</w:t>
            </w:r>
          </w:p>
          <w:p w:rsidR="00FB1999" w:rsidRPr="00984F77" w:rsidRDefault="00FB1999" w:rsidP="00587061">
            <w:pPr>
              <w:spacing w:before="0"/>
              <w:rPr>
                <w:rFonts w:eastAsia="Arial Unicode MS" w:cs="Segoe UI"/>
                <w:szCs w:val="20"/>
                <w:lang w:eastAsia="cs-CZ"/>
              </w:rPr>
            </w:pPr>
            <w:r w:rsidRPr="00984F77">
              <w:rPr>
                <w:rFonts w:cs="Segoe UI"/>
                <w:szCs w:val="20"/>
              </w:rPr>
              <w:t>Oběti domácího násilí</w:t>
            </w:r>
          </w:p>
        </w:tc>
      </w:tr>
      <w:tr w:rsidR="00FB1999" w:rsidRPr="007C5A69" w:rsidTr="009240D1">
        <w:trPr>
          <w:trHeight w:val="273"/>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Druh služby</w:t>
            </w:r>
          </w:p>
        </w:tc>
        <w:tc>
          <w:tcPr>
            <w:tcW w:w="3829" w:type="pct"/>
            <w:tcBorders>
              <w:top w:val="single" w:sz="4" w:space="0" w:color="auto"/>
              <w:left w:val="single" w:sz="4" w:space="0" w:color="auto"/>
              <w:bottom w:val="single" w:sz="4" w:space="0" w:color="auto"/>
              <w:right w:val="single" w:sz="4" w:space="0" w:color="auto"/>
            </w:tcBorders>
          </w:tcPr>
          <w:p w:rsidR="00FB1999" w:rsidRPr="00984F77" w:rsidRDefault="00FB1999" w:rsidP="00587061">
            <w:pPr>
              <w:spacing w:before="0"/>
              <w:rPr>
                <w:rFonts w:eastAsia="Arial Unicode MS" w:cs="Segoe UI"/>
                <w:szCs w:val="20"/>
                <w:lang w:eastAsia="cs-CZ"/>
              </w:rPr>
            </w:pPr>
            <w:r w:rsidRPr="00984F77">
              <w:rPr>
                <w:rFonts w:cs="Segoe UI"/>
                <w:szCs w:val="20"/>
              </w:rPr>
              <w:t xml:space="preserve">Azylové domy (§ 57) </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Forma služby</w:t>
            </w:r>
          </w:p>
        </w:tc>
        <w:tc>
          <w:tcPr>
            <w:tcW w:w="3829" w:type="pct"/>
            <w:tcBorders>
              <w:top w:val="single" w:sz="4" w:space="0" w:color="auto"/>
              <w:left w:val="single" w:sz="4" w:space="0" w:color="auto"/>
              <w:bottom w:val="single" w:sz="4" w:space="0" w:color="auto"/>
              <w:right w:val="single" w:sz="4" w:space="0" w:color="auto"/>
            </w:tcBorders>
          </w:tcPr>
          <w:p w:rsidR="00FB1999" w:rsidRPr="00984F77" w:rsidRDefault="00FB1999" w:rsidP="00587061">
            <w:pPr>
              <w:spacing w:before="0"/>
              <w:rPr>
                <w:rFonts w:eastAsia="Arial Unicode MS" w:cs="Segoe UI"/>
                <w:szCs w:val="20"/>
                <w:lang w:eastAsia="cs-CZ"/>
              </w:rPr>
            </w:pPr>
            <w:r w:rsidRPr="00984F77">
              <w:rPr>
                <w:rFonts w:cs="Segoe UI"/>
                <w:szCs w:val="20"/>
              </w:rPr>
              <w:t xml:space="preserve">Pobytová </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Vymezení územního dopadu opatření</w:t>
            </w:r>
          </w:p>
        </w:tc>
        <w:tc>
          <w:tcPr>
            <w:tcW w:w="3829" w:type="pct"/>
            <w:tcBorders>
              <w:top w:val="single" w:sz="4" w:space="0" w:color="auto"/>
              <w:left w:val="single" w:sz="4" w:space="0" w:color="auto"/>
              <w:bottom w:val="single" w:sz="4" w:space="0" w:color="auto"/>
              <w:right w:val="single" w:sz="4" w:space="0" w:color="auto"/>
            </w:tcBorders>
          </w:tcPr>
          <w:p w:rsidR="00FB1999" w:rsidRPr="00984F77" w:rsidRDefault="00FB1999" w:rsidP="00587061">
            <w:pPr>
              <w:spacing w:before="0"/>
              <w:rPr>
                <w:rFonts w:eastAsia="Arial Unicode MS" w:cs="Segoe UI"/>
                <w:szCs w:val="20"/>
                <w:lang w:eastAsia="cs-CZ"/>
              </w:rPr>
            </w:pPr>
            <w:r w:rsidRPr="00984F77">
              <w:rPr>
                <w:rFonts w:cs="Segoe UI"/>
                <w:szCs w:val="20"/>
              </w:rPr>
              <w:t>ORP Prostějov</w:t>
            </w:r>
          </w:p>
        </w:tc>
      </w:tr>
      <w:tr w:rsidR="00FB1999" w:rsidRPr="00264F2D"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Předpokládaný dopad opatření</w:t>
            </w:r>
          </w:p>
        </w:tc>
        <w:tc>
          <w:tcPr>
            <w:tcW w:w="3829" w:type="pct"/>
            <w:tcBorders>
              <w:top w:val="single" w:sz="4" w:space="0" w:color="auto"/>
              <w:left w:val="single" w:sz="4" w:space="0" w:color="auto"/>
              <w:bottom w:val="single" w:sz="4" w:space="0" w:color="auto"/>
              <w:right w:val="single" w:sz="4" w:space="0" w:color="auto"/>
            </w:tcBorders>
          </w:tcPr>
          <w:p w:rsidR="00FB1999" w:rsidRPr="00984F77" w:rsidRDefault="00FB1999" w:rsidP="00587061">
            <w:pPr>
              <w:pStyle w:val="Bezmezer"/>
              <w:jc w:val="both"/>
              <w:rPr>
                <w:rFonts w:ascii="Segoe UI" w:eastAsia="Arial Unicode MS" w:hAnsi="Segoe UI" w:cs="Segoe UI"/>
                <w:sz w:val="20"/>
                <w:szCs w:val="20"/>
                <w:lang w:eastAsia="cs-CZ"/>
              </w:rPr>
            </w:pPr>
            <w:r w:rsidRPr="00984F77">
              <w:rPr>
                <w:rFonts w:ascii="Segoe UI" w:hAnsi="Segoe UI" w:cs="Segoe UI"/>
                <w:sz w:val="20"/>
                <w:szCs w:val="20"/>
              </w:rPr>
              <w:t>Uživatelé z cílových skupin mají na území, na základě působení sociální služby, v rozsahu základních činností daných její registrací, zajištěné základní lidské potřeby a je jim poskytnuta pomoc a podpora při samostatném aktivním nalézání řešení jejich aktuální nepříznivé sociální situace, což povede k postupnému osamostatnění a začlenění do společnosti</w:t>
            </w:r>
            <w:r w:rsidRPr="00984F77">
              <w:rPr>
                <w:rFonts w:ascii="Segoe UI" w:hAnsi="Segoe UI" w:cs="Segoe UI"/>
                <w:color w:val="000000"/>
                <w:sz w:val="20"/>
                <w:szCs w:val="20"/>
              </w:rPr>
              <w:t>.</w:t>
            </w:r>
          </w:p>
        </w:tc>
      </w:tr>
      <w:tr w:rsidR="00FB1999" w:rsidRPr="00F0722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 xml:space="preserve">Aktivity vedoucí k naplnění opatření </w:t>
            </w:r>
          </w:p>
        </w:tc>
        <w:tc>
          <w:tcPr>
            <w:tcW w:w="3829" w:type="pct"/>
            <w:tcBorders>
              <w:top w:val="single" w:sz="4" w:space="0" w:color="auto"/>
              <w:left w:val="single" w:sz="4" w:space="0" w:color="auto"/>
              <w:bottom w:val="single" w:sz="4" w:space="0" w:color="auto"/>
              <w:right w:val="single" w:sz="4" w:space="0" w:color="auto"/>
            </w:tcBorders>
          </w:tcPr>
          <w:p w:rsidR="00FB1999" w:rsidRPr="002423B0" w:rsidRDefault="00FB1999" w:rsidP="00587061">
            <w:pPr>
              <w:pStyle w:val="Odstavecseseznamem"/>
              <w:numPr>
                <w:ilvl w:val="0"/>
                <w:numId w:val="204"/>
              </w:numPr>
              <w:spacing w:before="0" w:line="240" w:lineRule="auto"/>
            </w:pPr>
            <w:r>
              <w:t>Projednání předloženého záměru poskytovatele sociálních služeb v souladu se schválenými postupy pro aktualizaci sítě sociálních služeb OK</w:t>
            </w:r>
            <w:r w:rsidRPr="002423B0">
              <w:t xml:space="preserve"> </w:t>
            </w:r>
          </w:p>
          <w:p w:rsidR="00FB1999" w:rsidRPr="00F07229" w:rsidRDefault="00FB1999" w:rsidP="00587061">
            <w:pPr>
              <w:pStyle w:val="Odstavecseseznamem"/>
              <w:numPr>
                <w:ilvl w:val="0"/>
                <w:numId w:val="204"/>
              </w:numPr>
              <w:spacing w:before="0" w:line="240" w:lineRule="auto"/>
            </w:pPr>
            <w:r w:rsidRPr="002423B0">
              <w:t>Při vyjádření pozitivního stanoviska OK aktualizace sítě sociáln</w:t>
            </w:r>
            <w:r>
              <w:t>ích služeb dle schválených změn</w:t>
            </w:r>
          </w:p>
        </w:tc>
      </w:tr>
      <w:tr w:rsidR="00FB1999" w:rsidRPr="00F0722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Rizika a ohrožení naplnění opatření</w:t>
            </w:r>
          </w:p>
        </w:tc>
        <w:tc>
          <w:tcPr>
            <w:tcW w:w="3829" w:type="pct"/>
            <w:tcBorders>
              <w:top w:val="single" w:sz="4" w:space="0" w:color="auto"/>
              <w:left w:val="single" w:sz="4" w:space="0" w:color="auto"/>
              <w:bottom w:val="single" w:sz="4" w:space="0" w:color="auto"/>
              <w:right w:val="single" w:sz="4" w:space="0" w:color="auto"/>
            </w:tcBorders>
          </w:tcPr>
          <w:p w:rsidR="00FB1999" w:rsidRPr="00A34764" w:rsidRDefault="00FB1999" w:rsidP="00587061">
            <w:pPr>
              <w:pStyle w:val="Odstavecseseznamem"/>
              <w:numPr>
                <w:ilvl w:val="0"/>
                <w:numId w:val="200"/>
              </w:numPr>
              <w:spacing w:before="0" w:line="240" w:lineRule="auto"/>
            </w:pPr>
            <w:r w:rsidRPr="00A34764">
              <w:t>Neprojevení zájmu poskytovatelů sociálních služeb o plnění cíle a opatření</w:t>
            </w:r>
          </w:p>
          <w:p w:rsidR="00FB1999" w:rsidRPr="00A34764" w:rsidRDefault="00FB1999" w:rsidP="00587061">
            <w:pPr>
              <w:pStyle w:val="Odstavecseseznamem"/>
              <w:numPr>
                <w:ilvl w:val="0"/>
                <w:numId w:val="200"/>
              </w:numPr>
              <w:spacing w:before="0" w:line="240" w:lineRule="auto"/>
            </w:pPr>
            <w:r w:rsidRPr="00A34764">
              <w:t xml:space="preserve">Nesplnění kritérií dle Postupu pro aktualizaci sítě sociálních služeb OK vedoucí k neschválení žádosti poskytovatele </w:t>
            </w:r>
          </w:p>
          <w:p w:rsidR="00FB1999" w:rsidRPr="00A34764" w:rsidRDefault="00FB1999" w:rsidP="00587061">
            <w:pPr>
              <w:pStyle w:val="Odstavecseseznamem"/>
              <w:numPr>
                <w:ilvl w:val="0"/>
                <w:numId w:val="200"/>
              </w:numPr>
              <w:spacing w:before="0" w:line="240" w:lineRule="auto"/>
            </w:pPr>
            <w:r w:rsidRPr="00A34764">
              <w:t>Nesplnění podmínek registrace poskytovaných sociálních služeb</w:t>
            </w:r>
          </w:p>
          <w:p w:rsidR="00FB1999" w:rsidRPr="00A34764" w:rsidRDefault="00FB1999" w:rsidP="00587061">
            <w:pPr>
              <w:pStyle w:val="Odstavecseseznamem"/>
              <w:numPr>
                <w:ilvl w:val="0"/>
                <w:numId w:val="200"/>
              </w:numPr>
              <w:spacing w:before="0" w:line="240" w:lineRule="auto"/>
            </w:pPr>
            <w:r w:rsidRPr="00A34764">
              <w:t xml:space="preserve">Nedostatek lidských zdrojů </w:t>
            </w:r>
          </w:p>
          <w:p w:rsidR="00FB1999" w:rsidRPr="00A34764" w:rsidRDefault="00FB1999" w:rsidP="00587061">
            <w:pPr>
              <w:pStyle w:val="Odstavecseseznamem"/>
              <w:numPr>
                <w:ilvl w:val="0"/>
                <w:numId w:val="200"/>
              </w:numPr>
              <w:spacing w:before="0" w:line="240" w:lineRule="auto"/>
            </w:pPr>
            <w:r w:rsidRPr="00A34764">
              <w:t>Nedostatek finančních prostředků z veřejných zdrojů</w:t>
            </w:r>
          </w:p>
          <w:p w:rsidR="00FB1999" w:rsidRPr="00A34764" w:rsidRDefault="00FB1999" w:rsidP="00587061">
            <w:pPr>
              <w:pStyle w:val="Odstavecseseznamem"/>
              <w:numPr>
                <w:ilvl w:val="0"/>
                <w:numId w:val="200"/>
              </w:numPr>
              <w:spacing w:before="0" w:line="240" w:lineRule="auto"/>
            </w:pPr>
            <w:r w:rsidRPr="00A34764">
              <w:t>Legislativní změny</w:t>
            </w:r>
            <w:r w:rsidRPr="00A34764">
              <w:rPr>
                <w:color w:val="000000"/>
              </w:rPr>
              <w:t xml:space="preserve"> </w:t>
            </w:r>
          </w:p>
        </w:tc>
      </w:tr>
      <w:tr w:rsidR="00FB1999" w:rsidRPr="00264F2D"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 xml:space="preserve">Předpokládaní realizátoři </w:t>
            </w:r>
            <w:r w:rsidRPr="00587061">
              <w:rPr>
                <w:rFonts w:eastAsia="Arial Unicode MS"/>
                <w:b/>
                <w:lang w:eastAsia="cs-CZ"/>
              </w:rPr>
              <w:br/>
              <w:t>a partneři opatření</w:t>
            </w:r>
          </w:p>
        </w:tc>
        <w:tc>
          <w:tcPr>
            <w:tcW w:w="3829" w:type="pct"/>
            <w:tcBorders>
              <w:top w:val="single" w:sz="4" w:space="0" w:color="auto"/>
              <w:left w:val="single" w:sz="4" w:space="0" w:color="auto"/>
              <w:bottom w:val="single" w:sz="4" w:space="0" w:color="auto"/>
              <w:right w:val="single" w:sz="4" w:space="0" w:color="auto"/>
            </w:tcBorders>
          </w:tcPr>
          <w:p w:rsidR="00FB1999" w:rsidRPr="00264F2D" w:rsidRDefault="00FB1999" w:rsidP="00587061">
            <w:pPr>
              <w:spacing w:before="0"/>
              <w:rPr>
                <w:rFonts w:eastAsia="Arial Unicode MS"/>
                <w:lang w:eastAsia="cs-CZ"/>
              </w:rPr>
            </w:pPr>
            <w:r>
              <w:t>P</w:t>
            </w:r>
            <w:r w:rsidRPr="002423B0">
              <w:t xml:space="preserve">oskytovatelé </w:t>
            </w:r>
            <w:r>
              <w:t xml:space="preserve">sociálních služeb </w:t>
            </w:r>
            <w:r w:rsidRPr="002423B0">
              <w:t xml:space="preserve">pro dané </w:t>
            </w:r>
            <w:r>
              <w:t>cílové skupiny osob, kraj, obce</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Časový harmonogram</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spacing w:before="0"/>
              <w:rPr>
                <w:rFonts w:eastAsia="Arial Unicode MS"/>
                <w:lang w:eastAsia="cs-CZ"/>
              </w:rPr>
            </w:pPr>
            <w:r w:rsidRPr="007C5A69">
              <w:rPr>
                <w:rFonts w:eastAsia="Arial Unicode MS"/>
                <w:lang w:eastAsia="cs-CZ"/>
              </w:rPr>
              <w:t>202</w:t>
            </w:r>
            <w:r>
              <w:rPr>
                <w:rFonts w:eastAsia="Arial Unicode MS"/>
                <w:lang w:eastAsia="cs-CZ"/>
              </w:rPr>
              <w:t>4–</w:t>
            </w:r>
            <w:r w:rsidRPr="007C5A69">
              <w:rPr>
                <w:rFonts w:eastAsia="Arial Unicode MS"/>
                <w:lang w:eastAsia="cs-CZ"/>
              </w:rPr>
              <w:t>202</w:t>
            </w:r>
            <w:r>
              <w:rPr>
                <w:rFonts w:eastAsia="Arial Unicode MS"/>
                <w:lang w:eastAsia="cs-CZ"/>
              </w:rPr>
              <w:t>6</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Předpokládané finanční zdroje</w:t>
            </w:r>
          </w:p>
        </w:tc>
        <w:tc>
          <w:tcPr>
            <w:tcW w:w="3829" w:type="pct"/>
            <w:tcBorders>
              <w:top w:val="single" w:sz="4" w:space="0" w:color="auto"/>
              <w:left w:val="single" w:sz="4" w:space="0" w:color="auto"/>
              <w:bottom w:val="single" w:sz="4" w:space="0" w:color="auto"/>
              <w:right w:val="single" w:sz="4" w:space="0" w:color="auto"/>
            </w:tcBorders>
          </w:tcPr>
          <w:p w:rsidR="00FB1999" w:rsidRPr="007C5A69" w:rsidRDefault="00FB1999" w:rsidP="00587061">
            <w:pPr>
              <w:spacing w:before="0"/>
              <w:rPr>
                <w:rFonts w:eastAsia="Arial Unicode MS"/>
                <w:lang w:eastAsia="cs-CZ"/>
              </w:rPr>
            </w:pPr>
            <w:r w:rsidRPr="007C5A69">
              <w:rPr>
                <w:rFonts w:eastAsia="Arial Unicode MS"/>
                <w:lang w:eastAsia="cs-CZ"/>
              </w:rPr>
              <w:t>Veřejné zdroje, evropské zdroje a ostatní zdroje financování</w:t>
            </w:r>
          </w:p>
        </w:tc>
      </w:tr>
      <w:tr w:rsidR="00FB1999" w:rsidRPr="007C5A69" w:rsidTr="009240D1">
        <w:trPr>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tcPr>
          <w:p w:rsidR="00FB1999" w:rsidRPr="00587061" w:rsidRDefault="00FB1999" w:rsidP="00587061">
            <w:pPr>
              <w:spacing w:before="0"/>
              <w:jc w:val="left"/>
              <w:rPr>
                <w:rFonts w:eastAsia="Arial Unicode MS"/>
                <w:b/>
                <w:lang w:eastAsia="cs-CZ"/>
              </w:rPr>
            </w:pPr>
            <w:r w:rsidRPr="00587061">
              <w:rPr>
                <w:rFonts w:eastAsia="Arial Unicode MS"/>
                <w:b/>
                <w:lang w:eastAsia="cs-CZ"/>
              </w:rPr>
              <w:t>Hodnotící indikátory výstupů a výsledků</w:t>
            </w:r>
          </w:p>
        </w:tc>
        <w:tc>
          <w:tcPr>
            <w:tcW w:w="3829" w:type="pct"/>
            <w:tcBorders>
              <w:top w:val="single" w:sz="4" w:space="0" w:color="auto"/>
              <w:left w:val="single" w:sz="4" w:space="0" w:color="auto"/>
              <w:bottom w:val="single" w:sz="4" w:space="0" w:color="auto"/>
              <w:right w:val="single" w:sz="4" w:space="0" w:color="auto"/>
            </w:tcBorders>
          </w:tcPr>
          <w:p w:rsidR="00FB1999" w:rsidRPr="00A34764" w:rsidRDefault="00FB1999" w:rsidP="00587061">
            <w:pPr>
              <w:pStyle w:val="Odstavecseseznamem"/>
              <w:numPr>
                <w:ilvl w:val="0"/>
                <w:numId w:val="15"/>
              </w:numPr>
              <w:spacing w:before="0" w:line="240" w:lineRule="auto"/>
            </w:pPr>
            <w:r w:rsidRPr="00A34764">
              <w:t>Zajištění rozvoje sociální služby v daném regionu</w:t>
            </w:r>
          </w:p>
          <w:p w:rsidR="00FB1999" w:rsidRPr="00A34764" w:rsidRDefault="00FB1999" w:rsidP="00587061">
            <w:pPr>
              <w:pStyle w:val="Odstavecseseznamem"/>
              <w:numPr>
                <w:ilvl w:val="0"/>
                <w:numId w:val="15"/>
              </w:numPr>
              <w:spacing w:before="0" w:line="240" w:lineRule="auto"/>
            </w:pPr>
            <w:r w:rsidRPr="00A34764">
              <w:t>Aktualizace sítě sociálních služeb dle schválených změn</w:t>
            </w:r>
          </w:p>
        </w:tc>
      </w:tr>
    </w:tbl>
    <w:p w:rsidR="00FB1999" w:rsidRDefault="00FB1999" w:rsidP="00587061">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FB1999" w:rsidRPr="007C5A69" w:rsidTr="00FB1999">
        <w:trPr>
          <w:trHeight w:val="397"/>
          <w:jc w:val="center"/>
        </w:trPr>
        <w:tc>
          <w:tcPr>
            <w:tcW w:w="1249" w:type="pct"/>
            <w:tcBorders>
              <w:bottom w:val="single" w:sz="4" w:space="0" w:color="auto"/>
            </w:tcBorders>
            <w:shd w:val="clear" w:color="auto" w:fill="FABF8F"/>
          </w:tcPr>
          <w:p w:rsidR="00FB1999" w:rsidRPr="009240D1" w:rsidRDefault="00FB1999" w:rsidP="00D41DBC">
            <w:pPr>
              <w:keepNext/>
              <w:spacing w:before="0"/>
              <w:jc w:val="left"/>
              <w:rPr>
                <w:rFonts w:eastAsia="Arial Unicode MS"/>
                <w:b/>
                <w:lang w:eastAsia="cs-CZ"/>
              </w:rPr>
            </w:pPr>
            <w:r w:rsidRPr="009240D1">
              <w:rPr>
                <w:rFonts w:eastAsia="Arial Unicode MS"/>
                <w:b/>
                <w:lang w:eastAsia="cs-CZ"/>
              </w:rPr>
              <w:lastRenderedPageBreak/>
              <w:t>Cíl 5.4</w:t>
            </w:r>
          </w:p>
        </w:tc>
        <w:tc>
          <w:tcPr>
            <w:tcW w:w="3751" w:type="pct"/>
            <w:tcBorders>
              <w:bottom w:val="single" w:sz="4" w:space="0" w:color="auto"/>
            </w:tcBorders>
            <w:shd w:val="clear" w:color="auto" w:fill="FABF8F"/>
          </w:tcPr>
          <w:p w:rsidR="00FB1999" w:rsidRPr="009240D1" w:rsidRDefault="00FB1999" w:rsidP="00D41DBC">
            <w:pPr>
              <w:keepNext/>
              <w:spacing w:before="0"/>
              <w:rPr>
                <w:rFonts w:eastAsia="Arial Unicode MS"/>
                <w:b/>
                <w:color w:val="FF0000"/>
                <w:lang w:eastAsia="cs-CZ"/>
              </w:rPr>
            </w:pPr>
            <w:r w:rsidRPr="009240D1">
              <w:rPr>
                <w:b/>
              </w:rPr>
              <w:t>Zajištění potřebného rozsahu služby krizové pomoci v OK</w:t>
            </w:r>
          </w:p>
        </w:tc>
      </w:tr>
      <w:tr w:rsidR="00FB1999" w:rsidRPr="007C5A69" w:rsidTr="00FB1999">
        <w:trPr>
          <w:trHeight w:val="397"/>
          <w:jc w:val="center"/>
        </w:trPr>
        <w:tc>
          <w:tcPr>
            <w:tcW w:w="1249" w:type="pct"/>
            <w:shd w:val="clear" w:color="auto" w:fill="E2EFD9" w:themeFill="accent6" w:themeFillTint="33"/>
          </w:tcPr>
          <w:p w:rsidR="00FB1999" w:rsidRPr="009240D1" w:rsidRDefault="00FB1999" w:rsidP="00D41DBC">
            <w:pPr>
              <w:keepNext/>
              <w:spacing w:before="0"/>
              <w:jc w:val="left"/>
              <w:rPr>
                <w:rFonts w:eastAsia="Arial Unicode MS"/>
                <w:b/>
                <w:lang w:eastAsia="cs-CZ"/>
              </w:rPr>
            </w:pPr>
            <w:r w:rsidRPr="009240D1">
              <w:rPr>
                <w:rFonts w:eastAsia="Arial Unicode MS"/>
                <w:b/>
                <w:lang w:eastAsia="cs-CZ"/>
              </w:rPr>
              <w:t xml:space="preserve">Kód opatření </w:t>
            </w:r>
          </w:p>
        </w:tc>
        <w:tc>
          <w:tcPr>
            <w:tcW w:w="3751" w:type="pct"/>
            <w:shd w:val="clear" w:color="auto" w:fill="E2EFD9" w:themeFill="accent6" w:themeFillTint="33"/>
          </w:tcPr>
          <w:p w:rsidR="00FB1999" w:rsidRPr="009240D1" w:rsidRDefault="00FB1999" w:rsidP="00D41DBC">
            <w:pPr>
              <w:keepNext/>
              <w:spacing w:before="0"/>
              <w:rPr>
                <w:rFonts w:eastAsia="Arial Unicode MS"/>
                <w:b/>
                <w:lang w:eastAsia="cs-CZ"/>
              </w:rPr>
            </w:pPr>
            <w:r w:rsidRPr="009240D1">
              <w:rPr>
                <w:b/>
              </w:rPr>
              <w:t xml:space="preserve">5.4.1 </w:t>
            </w:r>
          </w:p>
        </w:tc>
      </w:tr>
      <w:tr w:rsidR="00FB1999" w:rsidRPr="00F728F1" w:rsidTr="00FB1999">
        <w:trPr>
          <w:trHeight w:val="397"/>
          <w:jc w:val="center"/>
        </w:trPr>
        <w:tc>
          <w:tcPr>
            <w:tcW w:w="1249" w:type="pct"/>
            <w:shd w:val="clear" w:color="auto" w:fill="E2EFD9" w:themeFill="accent6" w:themeFillTint="33"/>
          </w:tcPr>
          <w:p w:rsidR="00FB1999" w:rsidRPr="009240D1" w:rsidRDefault="00FB1999" w:rsidP="00D41DBC">
            <w:pPr>
              <w:keepNext/>
              <w:spacing w:before="0"/>
              <w:jc w:val="left"/>
              <w:rPr>
                <w:rFonts w:eastAsia="Arial Unicode MS"/>
                <w:b/>
                <w:lang w:eastAsia="cs-CZ"/>
              </w:rPr>
            </w:pPr>
            <w:r w:rsidRPr="009240D1">
              <w:rPr>
                <w:rFonts w:eastAsia="Arial Unicode MS"/>
                <w:b/>
                <w:lang w:eastAsia="cs-CZ"/>
              </w:rPr>
              <w:t>Název opatření</w:t>
            </w:r>
          </w:p>
        </w:tc>
        <w:tc>
          <w:tcPr>
            <w:tcW w:w="3751" w:type="pct"/>
            <w:shd w:val="clear" w:color="auto" w:fill="E2EFD9" w:themeFill="accent6" w:themeFillTint="33"/>
          </w:tcPr>
          <w:p w:rsidR="00FB1999" w:rsidRPr="009240D1" w:rsidRDefault="00FB1999" w:rsidP="00D41DBC">
            <w:pPr>
              <w:keepNext/>
              <w:spacing w:before="0"/>
              <w:rPr>
                <w:rFonts w:eastAsia="Arial Unicode MS"/>
                <w:b/>
                <w:lang w:eastAsia="cs-CZ"/>
              </w:rPr>
            </w:pPr>
            <w:r w:rsidRPr="009240D1">
              <w:rPr>
                <w:b/>
              </w:rPr>
              <w:t>Zajištění ambulantní, terénní nebo pobytové formy sociální služby krizové pomoci max. 5 pracovními úvazky pracovníků v přímé péči v OK pro oběti domácího násilí, oběti trestné činnosti a pro osoby v krizi</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Charakteristika opatření</w:t>
            </w:r>
          </w:p>
        </w:tc>
        <w:tc>
          <w:tcPr>
            <w:tcW w:w="3751" w:type="pct"/>
          </w:tcPr>
          <w:p w:rsidR="00FB1999" w:rsidRPr="007C5A69" w:rsidRDefault="00FB1999" w:rsidP="00587061">
            <w:pPr>
              <w:spacing w:before="0"/>
              <w:rPr>
                <w:rFonts w:eastAsia="Arial Unicode MS"/>
                <w:lang w:eastAsia="cs-CZ"/>
              </w:rPr>
            </w:pPr>
            <w:r w:rsidRPr="00CD3BC4">
              <w:t xml:space="preserve">Opatření směřuje </w:t>
            </w:r>
            <w:r>
              <w:t>k zajištění</w:t>
            </w:r>
            <w:r w:rsidRPr="00CD3BC4">
              <w:t xml:space="preserve"> </w:t>
            </w:r>
            <w:r>
              <w:t xml:space="preserve">ambulantní, terénní nebo pobytové formy </w:t>
            </w:r>
            <w:r w:rsidRPr="00E33523">
              <w:t xml:space="preserve">sociální služby </w:t>
            </w:r>
            <w:r>
              <w:t>krizové pomoci pro oběti trestné činnosti, oběti domácího násilí, či osoby v akutní krizi, kterou nejsou schopny zvládnout vlastními silami, s místem poskytování služby na území OK.</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Cílová skupina</w:t>
            </w:r>
          </w:p>
        </w:tc>
        <w:tc>
          <w:tcPr>
            <w:tcW w:w="3751" w:type="pct"/>
          </w:tcPr>
          <w:p w:rsidR="00FB1999" w:rsidRPr="009D3B6F" w:rsidRDefault="00FB1999" w:rsidP="00587061">
            <w:pPr>
              <w:spacing w:before="0"/>
            </w:pPr>
            <w:r>
              <w:t>O</w:t>
            </w:r>
            <w:r w:rsidRPr="009D3B6F">
              <w:t>běti domácího násilí</w:t>
            </w:r>
          </w:p>
          <w:p w:rsidR="00FB1999" w:rsidRPr="009D3B6F" w:rsidRDefault="00FB1999" w:rsidP="00587061">
            <w:pPr>
              <w:spacing w:before="0"/>
            </w:pPr>
            <w:r>
              <w:t>O</w:t>
            </w:r>
            <w:r w:rsidRPr="009D3B6F">
              <w:t>běti trestné činnosti</w:t>
            </w:r>
          </w:p>
          <w:p w:rsidR="00FB1999" w:rsidRPr="007C5A69" w:rsidRDefault="00FB1999" w:rsidP="00587061">
            <w:pPr>
              <w:spacing w:before="0"/>
              <w:rPr>
                <w:rFonts w:eastAsia="Arial Unicode MS"/>
                <w:lang w:eastAsia="cs-CZ"/>
              </w:rPr>
            </w:pPr>
            <w:r>
              <w:t>O</w:t>
            </w:r>
            <w:r w:rsidRPr="009D3B6F">
              <w:t>soby v krizi</w:t>
            </w:r>
          </w:p>
        </w:tc>
      </w:tr>
      <w:tr w:rsidR="00FB1999" w:rsidRPr="007C5A69" w:rsidTr="00FB1999">
        <w:trPr>
          <w:trHeight w:val="318"/>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Druh služby</w:t>
            </w:r>
          </w:p>
        </w:tc>
        <w:tc>
          <w:tcPr>
            <w:tcW w:w="3751" w:type="pct"/>
          </w:tcPr>
          <w:p w:rsidR="00FB1999" w:rsidRPr="007C5A69" w:rsidRDefault="00FB1999" w:rsidP="00587061">
            <w:pPr>
              <w:spacing w:before="0"/>
              <w:rPr>
                <w:rFonts w:eastAsia="Arial Unicode MS"/>
                <w:lang w:eastAsia="cs-CZ"/>
              </w:rPr>
            </w:pPr>
            <w:r>
              <w:t>Krizová pomoc</w:t>
            </w:r>
            <w:r w:rsidRPr="007472DE">
              <w:t xml:space="preserve"> (§ </w:t>
            </w:r>
            <w:r>
              <w:t>6</w:t>
            </w:r>
            <w:r w:rsidRPr="007472DE">
              <w:t xml:space="preserve">0) </w:t>
            </w:r>
          </w:p>
        </w:tc>
      </w:tr>
      <w:tr w:rsidR="00FB1999" w:rsidRPr="007C5A69" w:rsidTr="00FB1999">
        <w:trPr>
          <w:trHeight w:val="280"/>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Forma služby</w:t>
            </w:r>
          </w:p>
        </w:tc>
        <w:tc>
          <w:tcPr>
            <w:tcW w:w="3751" w:type="pct"/>
          </w:tcPr>
          <w:p w:rsidR="00FB1999" w:rsidRPr="007C5A69" w:rsidRDefault="00FB1999" w:rsidP="00587061">
            <w:pPr>
              <w:spacing w:before="0"/>
              <w:rPr>
                <w:rFonts w:eastAsia="Arial Unicode MS"/>
                <w:lang w:eastAsia="cs-CZ"/>
              </w:rPr>
            </w:pPr>
            <w:r>
              <w:t>Ambulantní, terénní, p</w:t>
            </w:r>
            <w:r w:rsidRPr="007472DE">
              <w:t xml:space="preserve">obytová </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Vymezení územního dopadu opatření</w:t>
            </w:r>
          </w:p>
        </w:tc>
        <w:tc>
          <w:tcPr>
            <w:tcW w:w="3751" w:type="pct"/>
          </w:tcPr>
          <w:p w:rsidR="00FB1999" w:rsidRPr="007C5A69" w:rsidRDefault="00FB1999" w:rsidP="00587061">
            <w:pPr>
              <w:spacing w:before="0"/>
              <w:rPr>
                <w:rFonts w:eastAsia="Arial Unicode MS"/>
                <w:lang w:eastAsia="cs-CZ"/>
              </w:rPr>
            </w:pPr>
            <w:r>
              <w:t>OK</w:t>
            </w:r>
            <w:r w:rsidRPr="007472DE">
              <w:t xml:space="preserve"> </w:t>
            </w:r>
          </w:p>
        </w:tc>
      </w:tr>
      <w:tr w:rsidR="00FB1999" w:rsidRPr="00F0722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Předpokládaný dopad opatření</w:t>
            </w:r>
          </w:p>
        </w:tc>
        <w:tc>
          <w:tcPr>
            <w:tcW w:w="3751" w:type="pct"/>
          </w:tcPr>
          <w:p w:rsidR="00FB1999" w:rsidRPr="00F07229" w:rsidRDefault="00FB1999" w:rsidP="00587061">
            <w:pPr>
              <w:spacing w:before="0"/>
              <w:rPr>
                <w:rFonts w:eastAsia="Arial Unicode MS"/>
                <w:spacing w:val="-2"/>
                <w:lang w:eastAsia="cs-CZ"/>
              </w:rPr>
            </w:pPr>
            <w:r>
              <w:t>Uživatelé z cílových skupin</w:t>
            </w:r>
            <w:r w:rsidRPr="00C24657">
              <w:t xml:space="preserve"> </w:t>
            </w:r>
            <w:r>
              <w:t xml:space="preserve">mají na území OK potřebnou podporu a pomoc, v rozsahu základních činností daných registrací služby. </w:t>
            </w:r>
          </w:p>
        </w:tc>
      </w:tr>
      <w:tr w:rsidR="00FB1999" w:rsidRPr="00CB3C2C"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 xml:space="preserve">Aktivity vedoucí k naplnění opatření </w:t>
            </w:r>
          </w:p>
        </w:tc>
        <w:tc>
          <w:tcPr>
            <w:tcW w:w="3751" w:type="pct"/>
          </w:tcPr>
          <w:p w:rsidR="00FB1999" w:rsidRPr="002423B0" w:rsidRDefault="00FB1999" w:rsidP="00587061">
            <w:pPr>
              <w:pStyle w:val="Odstavecseseznamem"/>
              <w:numPr>
                <w:ilvl w:val="0"/>
                <w:numId w:val="205"/>
              </w:numPr>
              <w:spacing w:before="0" w:line="240" w:lineRule="auto"/>
            </w:pPr>
            <w:r>
              <w:t>Projednání předloženého záměru poskytovatele sociálních služeb v souladu se schválenými postupy pro aktualizaci sítě sociálních služeb OK</w:t>
            </w:r>
            <w:r w:rsidRPr="002423B0">
              <w:t xml:space="preserve"> </w:t>
            </w:r>
          </w:p>
          <w:p w:rsidR="00FB1999" w:rsidRPr="00CB3C2C" w:rsidRDefault="00FB1999" w:rsidP="00587061">
            <w:pPr>
              <w:pStyle w:val="Odstavecseseznamem"/>
              <w:numPr>
                <w:ilvl w:val="0"/>
                <w:numId w:val="205"/>
              </w:numPr>
              <w:spacing w:before="0" w:line="240" w:lineRule="auto"/>
            </w:pPr>
            <w:r w:rsidRPr="002423B0">
              <w:t>Při vyjádření pozitivního stanoviska OK aktualizace sítě sociáln</w:t>
            </w:r>
            <w:r>
              <w:t>ích služeb dle schválených změn</w:t>
            </w:r>
          </w:p>
        </w:tc>
      </w:tr>
      <w:tr w:rsidR="00FB1999" w:rsidRPr="009C087A"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b/>
              </w:rPr>
              <w:t>Rizika a ohrožení naplnění opatření</w:t>
            </w:r>
          </w:p>
        </w:tc>
        <w:tc>
          <w:tcPr>
            <w:tcW w:w="3751" w:type="pct"/>
          </w:tcPr>
          <w:p w:rsidR="00FB1999" w:rsidRPr="00A34764" w:rsidRDefault="00FB1999" w:rsidP="00587061">
            <w:pPr>
              <w:pStyle w:val="Odstavecseseznamem"/>
              <w:numPr>
                <w:ilvl w:val="0"/>
                <w:numId w:val="203"/>
              </w:numPr>
              <w:spacing w:before="0" w:line="240" w:lineRule="auto"/>
            </w:pPr>
            <w:r w:rsidRPr="00A34764">
              <w:t>Neprojevení zájmu poskytovatelů sociálních služeb o plnění cíle a opatření</w:t>
            </w:r>
          </w:p>
          <w:p w:rsidR="00FB1999" w:rsidRPr="00A34764" w:rsidRDefault="00FB1999" w:rsidP="00587061">
            <w:pPr>
              <w:pStyle w:val="Odstavecseseznamem"/>
              <w:numPr>
                <w:ilvl w:val="0"/>
                <w:numId w:val="203"/>
              </w:numPr>
              <w:spacing w:before="0" w:line="240" w:lineRule="auto"/>
            </w:pPr>
            <w:r w:rsidRPr="00A34764">
              <w:t xml:space="preserve">Nesplnění kritérií dle Postupu pro aktualizaci sítě sociálních služeb OK vedoucí k neschválení žádosti poskytovatele </w:t>
            </w:r>
          </w:p>
          <w:p w:rsidR="00FB1999" w:rsidRPr="00A34764" w:rsidRDefault="00FB1999" w:rsidP="00587061">
            <w:pPr>
              <w:pStyle w:val="Odstavecseseznamem"/>
              <w:numPr>
                <w:ilvl w:val="0"/>
                <w:numId w:val="203"/>
              </w:numPr>
              <w:spacing w:before="0" w:line="240" w:lineRule="auto"/>
            </w:pPr>
            <w:r w:rsidRPr="00A34764">
              <w:t>Nesplnění podmínek registrace poskytovaných sociálních služeb</w:t>
            </w:r>
          </w:p>
          <w:p w:rsidR="00FB1999" w:rsidRPr="00A34764" w:rsidRDefault="00FB1999" w:rsidP="00587061">
            <w:pPr>
              <w:pStyle w:val="Odstavecseseznamem"/>
              <w:numPr>
                <w:ilvl w:val="0"/>
                <w:numId w:val="203"/>
              </w:numPr>
              <w:spacing w:before="0" w:line="240" w:lineRule="auto"/>
            </w:pPr>
            <w:r w:rsidRPr="00A34764">
              <w:t>Nedostatek lidských zdrojů</w:t>
            </w:r>
          </w:p>
          <w:p w:rsidR="00FB1999" w:rsidRPr="00A34764" w:rsidRDefault="00FB1999" w:rsidP="00587061">
            <w:pPr>
              <w:pStyle w:val="Odstavecseseznamem"/>
              <w:numPr>
                <w:ilvl w:val="0"/>
                <w:numId w:val="203"/>
              </w:numPr>
              <w:spacing w:before="0" w:line="240" w:lineRule="auto"/>
            </w:pPr>
            <w:r w:rsidRPr="00A34764">
              <w:t>Nedostatek finančních prostředků z veřejných zdrojů</w:t>
            </w:r>
          </w:p>
          <w:p w:rsidR="00FB1999" w:rsidRPr="009C087A" w:rsidRDefault="00FB1999" w:rsidP="00587061">
            <w:pPr>
              <w:pStyle w:val="Odstavecseseznamem"/>
              <w:numPr>
                <w:ilvl w:val="0"/>
                <w:numId w:val="203"/>
              </w:numPr>
              <w:spacing w:before="0" w:line="240" w:lineRule="auto"/>
            </w:pPr>
            <w:r w:rsidRPr="00A34764">
              <w:t>Legislativní změny</w:t>
            </w:r>
            <w:r w:rsidRPr="00A34764">
              <w:rPr>
                <w:color w:val="000000"/>
              </w:rPr>
              <w:t xml:space="preserve"> </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 xml:space="preserve">Předpokládaní realizátoři </w:t>
            </w:r>
            <w:r w:rsidRPr="009240D1">
              <w:rPr>
                <w:rFonts w:eastAsia="Arial Unicode MS"/>
                <w:b/>
                <w:lang w:eastAsia="cs-CZ"/>
              </w:rPr>
              <w:br/>
              <w:t>a partneři opatření</w:t>
            </w:r>
          </w:p>
        </w:tc>
        <w:tc>
          <w:tcPr>
            <w:tcW w:w="3751" w:type="pct"/>
          </w:tcPr>
          <w:p w:rsidR="00FB1999" w:rsidRPr="007C5A69" w:rsidRDefault="00FB1999" w:rsidP="00587061">
            <w:pPr>
              <w:spacing w:before="0"/>
              <w:rPr>
                <w:rFonts w:eastAsia="Arial Unicode MS"/>
                <w:lang w:eastAsia="cs-CZ"/>
              </w:rPr>
            </w:pPr>
            <w:r>
              <w:t>P</w:t>
            </w:r>
            <w:r w:rsidRPr="002423B0">
              <w:t xml:space="preserve">oskytovatelé </w:t>
            </w:r>
            <w:r>
              <w:t xml:space="preserve">sociálních služeb </w:t>
            </w:r>
            <w:r w:rsidRPr="002423B0">
              <w:t xml:space="preserve">pro dané </w:t>
            </w:r>
            <w:r>
              <w:t>cílové skupiny osob, kraj, obce</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Časový harmonogram</w:t>
            </w:r>
          </w:p>
        </w:tc>
        <w:tc>
          <w:tcPr>
            <w:tcW w:w="3751" w:type="pct"/>
          </w:tcPr>
          <w:p w:rsidR="00FB1999" w:rsidRPr="007C5A69" w:rsidRDefault="00FB1999" w:rsidP="00587061">
            <w:pPr>
              <w:spacing w:before="0"/>
              <w:rPr>
                <w:rFonts w:eastAsia="Arial Unicode MS"/>
                <w:lang w:eastAsia="cs-CZ"/>
              </w:rPr>
            </w:pPr>
            <w:r w:rsidRPr="007C5A69">
              <w:rPr>
                <w:rFonts w:eastAsia="Arial Unicode MS"/>
                <w:lang w:eastAsia="cs-CZ"/>
              </w:rPr>
              <w:t>202</w:t>
            </w:r>
            <w:r>
              <w:rPr>
                <w:rFonts w:eastAsia="Arial Unicode MS"/>
                <w:lang w:eastAsia="cs-CZ"/>
              </w:rPr>
              <w:t>4–</w:t>
            </w:r>
            <w:r w:rsidRPr="007C5A69">
              <w:rPr>
                <w:rFonts w:eastAsia="Arial Unicode MS"/>
                <w:lang w:eastAsia="cs-CZ"/>
              </w:rPr>
              <w:t>202</w:t>
            </w:r>
            <w:r>
              <w:rPr>
                <w:rFonts w:eastAsia="Arial Unicode MS"/>
                <w:lang w:eastAsia="cs-CZ"/>
              </w:rPr>
              <w:t>6</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Předpokládané finanční zdroje</w:t>
            </w:r>
          </w:p>
        </w:tc>
        <w:tc>
          <w:tcPr>
            <w:tcW w:w="3751" w:type="pct"/>
          </w:tcPr>
          <w:p w:rsidR="00FB1999" w:rsidRPr="007C5A69" w:rsidRDefault="00FB1999" w:rsidP="00587061">
            <w:pPr>
              <w:spacing w:before="0"/>
              <w:rPr>
                <w:rFonts w:eastAsia="Arial Unicode MS"/>
                <w:lang w:eastAsia="cs-CZ"/>
              </w:rPr>
            </w:pPr>
            <w:r w:rsidRPr="007C5A69">
              <w:rPr>
                <w:rFonts w:eastAsia="Arial Unicode MS"/>
                <w:lang w:eastAsia="cs-CZ"/>
              </w:rPr>
              <w:t>Veřejné zdroje, evropské zdroje a ostatní zdroje financování</w:t>
            </w:r>
          </w:p>
        </w:tc>
      </w:tr>
      <w:tr w:rsidR="00FB1999" w:rsidRPr="007C5A69" w:rsidTr="00FB1999">
        <w:trPr>
          <w:trHeight w:val="397"/>
          <w:jc w:val="center"/>
        </w:trPr>
        <w:tc>
          <w:tcPr>
            <w:tcW w:w="1249" w:type="pct"/>
            <w:tcBorders>
              <w:bottom w:val="single" w:sz="4" w:space="0" w:color="auto"/>
            </w:tcBorders>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Hodnotící indikátory výstupů a výsledků</w:t>
            </w:r>
          </w:p>
        </w:tc>
        <w:tc>
          <w:tcPr>
            <w:tcW w:w="3751" w:type="pct"/>
            <w:tcBorders>
              <w:bottom w:val="single" w:sz="4" w:space="0" w:color="auto"/>
            </w:tcBorders>
          </w:tcPr>
          <w:p w:rsidR="00FB1999" w:rsidRPr="00A34764" w:rsidRDefault="00FB1999" w:rsidP="00587061">
            <w:pPr>
              <w:pStyle w:val="Odstavecseseznamem"/>
              <w:numPr>
                <w:ilvl w:val="0"/>
                <w:numId w:val="15"/>
              </w:numPr>
              <w:spacing w:before="0" w:line="240" w:lineRule="auto"/>
            </w:pPr>
            <w:r w:rsidRPr="00A34764">
              <w:t>Zajištění rozvoje sociální služby v daném regionu</w:t>
            </w:r>
          </w:p>
          <w:p w:rsidR="00FB1999" w:rsidRPr="00A34764" w:rsidRDefault="00FB1999" w:rsidP="00587061">
            <w:pPr>
              <w:pStyle w:val="Odstavecseseznamem"/>
              <w:numPr>
                <w:ilvl w:val="0"/>
                <w:numId w:val="15"/>
              </w:numPr>
              <w:spacing w:before="0" w:line="240" w:lineRule="auto"/>
            </w:pPr>
            <w:r w:rsidRPr="00A34764">
              <w:t>Aktualizace sítě sociálních služeb dle schválených změn</w:t>
            </w:r>
          </w:p>
        </w:tc>
      </w:tr>
    </w:tbl>
    <w:p w:rsidR="00FB1999" w:rsidRDefault="00FB1999" w:rsidP="00587061">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FB1999" w:rsidRPr="007C5A69" w:rsidTr="00FB1999">
        <w:trPr>
          <w:trHeight w:val="397"/>
          <w:jc w:val="center"/>
        </w:trPr>
        <w:tc>
          <w:tcPr>
            <w:tcW w:w="1249" w:type="pct"/>
            <w:tcBorders>
              <w:bottom w:val="single" w:sz="4" w:space="0" w:color="auto"/>
            </w:tcBorders>
            <w:shd w:val="clear" w:color="auto" w:fill="FABF8F"/>
          </w:tcPr>
          <w:p w:rsidR="00FB1999" w:rsidRPr="009240D1" w:rsidRDefault="00FB1999" w:rsidP="009240D1">
            <w:pPr>
              <w:keepNext/>
              <w:spacing w:before="0"/>
              <w:jc w:val="left"/>
              <w:rPr>
                <w:rFonts w:eastAsia="Arial Unicode MS"/>
                <w:b/>
                <w:lang w:eastAsia="cs-CZ"/>
              </w:rPr>
            </w:pPr>
            <w:r w:rsidRPr="009240D1">
              <w:rPr>
                <w:rFonts w:eastAsia="Arial Unicode MS"/>
                <w:b/>
                <w:lang w:eastAsia="cs-CZ"/>
              </w:rPr>
              <w:lastRenderedPageBreak/>
              <w:t>Cíl 5.5</w:t>
            </w:r>
          </w:p>
        </w:tc>
        <w:tc>
          <w:tcPr>
            <w:tcW w:w="3751" w:type="pct"/>
            <w:tcBorders>
              <w:bottom w:val="single" w:sz="4" w:space="0" w:color="auto"/>
            </w:tcBorders>
            <w:shd w:val="clear" w:color="auto" w:fill="FABF8F"/>
          </w:tcPr>
          <w:p w:rsidR="00FB1999" w:rsidRPr="009240D1" w:rsidRDefault="00FB1999" w:rsidP="009240D1">
            <w:pPr>
              <w:keepNext/>
              <w:spacing w:before="0"/>
              <w:rPr>
                <w:rFonts w:eastAsia="Arial Unicode MS"/>
                <w:b/>
                <w:color w:val="FF0000"/>
                <w:lang w:eastAsia="cs-CZ"/>
              </w:rPr>
            </w:pPr>
            <w:r w:rsidRPr="009240D1">
              <w:rPr>
                <w:b/>
              </w:rPr>
              <w:t>Zajištění potřebného rozsahu služby nízkoprahového denního centra v OK</w:t>
            </w:r>
          </w:p>
        </w:tc>
      </w:tr>
      <w:tr w:rsidR="00FB1999" w:rsidRPr="007C5A69" w:rsidTr="00FB1999">
        <w:trPr>
          <w:trHeight w:val="397"/>
          <w:jc w:val="center"/>
        </w:trPr>
        <w:tc>
          <w:tcPr>
            <w:tcW w:w="1249" w:type="pct"/>
            <w:shd w:val="clear" w:color="auto" w:fill="E2EFD9" w:themeFill="accent6" w:themeFillTint="33"/>
          </w:tcPr>
          <w:p w:rsidR="00FB1999" w:rsidRPr="009240D1" w:rsidRDefault="00FB1999" w:rsidP="009240D1">
            <w:pPr>
              <w:keepNext/>
              <w:spacing w:before="0"/>
              <w:jc w:val="left"/>
              <w:rPr>
                <w:rFonts w:eastAsia="Arial Unicode MS"/>
                <w:b/>
                <w:lang w:eastAsia="cs-CZ"/>
              </w:rPr>
            </w:pPr>
            <w:r w:rsidRPr="009240D1">
              <w:rPr>
                <w:rFonts w:eastAsia="Arial Unicode MS"/>
                <w:b/>
                <w:lang w:eastAsia="cs-CZ"/>
              </w:rPr>
              <w:t xml:space="preserve">Kód opatření </w:t>
            </w:r>
          </w:p>
        </w:tc>
        <w:tc>
          <w:tcPr>
            <w:tcW w:w="3751" w:type="pct"/>
            <w:shd w:val="clear" w:color="auto" w:fill="E2EFD9" w:themeFill="accent6" w:themeFillTint="33"/>
          </w:tcPr>
          <w:p w:rsidR="00FB1999" w:rsidRPr="009240D1" w:rsidRDefault="00FB1999" w:rsidP="009240D1">
            <w:pPr>
              <w:keepNext/>
              <w:spacing w:before="0"/>
              <w:rPr>
                <w:rFonts w:eastAsia="Arial Unicode MS"/>
                <w:b/>
                <w:lang w:eastAsia="cs-CZ"/>
              </w:rPr>
            </w:pPr>
            <w:r w:rsidRPr="009240D1">
              <w:rPr>
                <w:b/>
              </w:rPr>
              <w:t xml:space="preserve">5.5.1 </w:t>
            </w:r>
          </w:p>
        </w:tc>
      </w:tr>
      <w:tr w:rsidR="00FB1999" w:rsidRPr="00F07229" w:rsidTr="00FB1999">
        <w:trPr>
          <w:trHeight w:val="397"/>
          <w:jc w:val="center"/>
        </w:trPr>
        <w:tc>
          <w:tcPr>
            <w:tcW w:w="1249" w:type="pct"/>
            <w:shd w:val="clear" w:color="auto" w:fill="E2EFD9" w:themeFill="accent6" w:themeFillTint="33"/>
          </w:tcPr>
          <w:p w:rsidR="00FB1999" w:rsidRPr="009240D1" w:rsidRDefault="00FB1999" w:rsidP="009240D1">
            <w:pPr>
              <w:keepNext/>
              <w:spacing w:before="0"/>
              <w:jc w:val="left"/>
              <w:rPr>
                <w:rFonts w:eastAsia="Arial Unicode MS"/>
                <w:b/>
                <w:lang w:eastAsia="cs-CZ"/>
              </w:rPr>
            </w:pPr>
            <w:r w:rsidRPr="009240D1">
              <w:rPr>
                <w:rFonts w:eastAsia="Arial Unicode MS"/>
                <w:b/>
                <w:lang w:eastAsia="cs-CZ"/>
              </w:rPr>
              <w:t>Název opatření</w:t>
            </w:r>
          </w:p>
        </w:tc>
        <w:tc>
          <w:tcPr>
            <w:tcW w:w="3751" w:type="pct"/>
            <w:shd w:val="clear" w:color="auto" w:fill="E2EFD9" w:themeFill="accent6" w:themeFillTint="33"/>
          </w:tcPr>
          <w:p w:rsidR="00FB1999" w:rsidRPr="009240D1" w:rsidRDefault="00FB1999" w:rsidP="009240D1">
            <w:pPr>
              <w:keepNext/>
              <w:spacing w:before="0"/>
              <w:rPr>
                <w:rFonts w:eastAsia="Arial Unicode MS"/>
                <w:b/>
                <w:lang w:eastAsia="cs-CZ"/>
              </w:rPr>
            </w:pPr>
            <w:r w:rsidRPr="009240D1">
              <w:rPr>
                <w:b/>
              </w:rPr>
              <w:t>Zajištění ambulantní nebo terénní formy sociální služby nízkoprahového denního centra 6,5 pracovními úvazky pracovníků v přímé péči v ORP Zábřeh, ORP Mohelnice a ORP Přerov pro osoby bez přístřeší</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Charakteristika opatření</w:t>
            </w:r>
          </w:p>
        </w:tc>
        <w:tc>
          <w:tcPr>
            <w:tcW w:w="3751" w:type="pct"/>
          </w:tcPr>
          <w:p w:rsidR="00FB1999" w:rsidRPr="007C5A69" w:rsidRDefault="00FB1999" w:rsidP="00587061">
            <w:pPr>
              <w:spacing w:before="0"/>
              <w:rPr>
                <w:rFonts w:eastAsia="Arial Unicode MS"/>
                <w:lang w:eastAsia="cs-CZ"/>
              </w:rPr>
            </w:pPr>
            <w:r w:rsidRPr="002D7B95">
              <w:t xml:space="preserve">Opatření směřuje k zajištění ambulantní nebo terénní formy </w:t>
            </w:r>
            <w:r>
              <w:t xml:space="preserve">sociální služby </w:t>
            </w:r>
            <w:r w:rsidRPr="002D7B95">
              <w:t>nízkoprahového denního centra pro osoby bez přístřeší v</w:t>
            </w:r>
            <w:r>
              <w:t xml:space="preserve"> území </w:t>
            </w:r>
            <w:r w:rsidRPr="002D7B95">
              <w:t>ORP Zábřeh, ORP Mohelnice a ORP Přerov</w:t>
            </w:r>
            <w:r>
              <w:t xml:space="preserve"> </w:t>
            </w:r>
            <w:r>
              <w:rPr>
                <w:color w:val="000000" w:themeColor="text1"/>
              </w:rPr>
              <w:t xml:space="preserve">(SO </w:t>
            </w:r>
            <w:r w:rsidRPr="009A21D8">
              <w:rPr>
                <w:color w:val="000000" w:themeColor="text1"/>
              </w:rPr>
              <w:t>POU Kojetín)</w:t>
            </w:r>
            <w:r w:rsidRPr="002D7B95">
              <w:t>.</w:t>
            </w:r>
            <w:r>
              <w:t xml:space="preserve"> K opatření může být využita i optimalizace, tzn. přesun nevyužitých kapacit služby do území, ve kterém se vyskytla poptávka po sociální službě.</w:t>
            </w:r>
            <w:r w:rsidRPr="002D7B95">
              <w:t xml:space="preserve"> </w:t>
            </w:r>
            <w:r w:rsidRPr="00984F77">
              <w:t xml:space="preserve">V případě naplnění cíle 5.6.1 v území ORP Zábřeh nebude opatření 5.5.1 pro území ORP Zábřeh Střednědobým plánem </w:t>
            </w:r>
            <w:r w:rsidR="00E213F4" w:rsidRPr="00984F77">
              <w:t>2024–2026</w:t>
            </w:r>
            <w:r w:rsidRPr="00984F77">
              <w:t xml:space="preserve"> podpořeno.</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Cílová skupina</w:t>
            </w:r>
          </w:p>
        </w:tc>
        <w:tc>
          <w:tcPr>
            <w:tcW w:w="3751" w:type="pct"/>
          </w:tcPr>
          <w:p w:rsidR="00FB1999" w:rsidRPr="007C5A69" w:rsidRDefault="00FB1999" w:rsidP="00587061">
            <w:pPr>
              <w:spacing w:before="0"/>
              <w:rPr>
                <w:rFonts w:eastAsia="Arial Unicode MS"/>
                <w:lang w:eastAsia="cs-CZ"/>
              </w:rPr>
            </w:pPr>
            <w:r>
              <w:t>O</w:t>
            </w:r>
            <w:r w:rsidRPr="009A21D8">
              <w:t>soby bez přístřeší</w:t>
            </w:r>
          </w:p>
        </w:tc>
      </w:tr>
      <w:tr w:rsidR="00FB1999" w:rsidRPr="007C5A69" w:rsidTr="00FB1999">
        <w:trPr>
          <w:trHeight w:val="318"/>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Druh služby</w:t>
            </w:r>
          </w:p>
        </w:tc>
        <w:tc>
          <w:tcPr>
            <w:tcW w:w="3751" w:type="pct"/>
          </w:tcPr>
          <w:p w:rsidR="00FB1999" w:rsidRPr="007C5A69" w:rsidRDefault="00FB1999" w:rsidP="00587061">
            <w:pPr>
              <w:spacing w:before="0"/>
              <w:rPr>
                <w:rFonts w:eastAsia="Arial Unicode MS"/>
                <w:lang w:eastAsia="cs-CZ"/>
              </w:rPr>
            </w:pPr>
            <w:r w:rsidRPr="009A21D8">
              <w:t xml:space="preserve">Nízkoprahová denní centra (§ 61) </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Forma služby</w:t>
            </w:r>
          </w:p>
        </w:tc>
        <w:tc>
          <w:tcPr>
            <w:tcW w:w="3751" w:type="pct"/>
          </w:tcPr>
          <w:p w:rsidR="00FB1999" w:rsidRPr="007C5A69" w:rsidRDefault="00FB1999" w:rsidP="00587061">
            <w:pPr>
              <w:spacing w:before="0"/>
              <w:rPr>
                <w:rFonts w:eastAsia="Arial Unicode MS"/>
                <w:lang w:eastAsia="cs-CZ"/>
              </w:rPr>
            </w:pPr>
            <w:r w:rsidRPr="009A21D8">
              <w:t>Ambulantní, terénní</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Vymezení územního dopadu opatření</w:t>
            </w:r>
          </w:p>
        </w:tc>
        <w:tc>
          <w:tcPr>
            <w:tcW w:w="3751" w:type="pct"/>
          </w:tcPr>
          <w:p w:rsidR="00FB1999" w:rsidRDefault="00FB1999" w:rsidP="00587061">
            <w:pPr>
              <w:spacing w:before="0"/>
            </w:pPr>
            <w:r>
              <w:t>ORP Zábřeh</w:t>
            </w:r>
          </w:p>
          <w:p w:rsidR="00FB1999" w:rsidRDefault="00FB1999" w:rsidP="00587061">
            <w:pPr>
              <w:spacing w:before="0"/>
            </w:pPr>
            <w:r>
              <w:t>ORP Mohelnice</w:t>
            </w:r>
          </w:p>
          <w:p w:rsidR="00FB1999" w:rsidRPr="007C5A69" w:rsidRDefault="00FB1999" w:rsidP="00587061">
            <w:pPr>
              <w:spacing w:before="0"/>
              <w:rPr>
                <w:rFonts w:eastAsia="Arial Unicode MS"/>
                <w:lang w:eastAsia="cs-CZ"/>
              </w:rPr>
            </w:pPr>
            <w:r w:rsidRPr="009A21D8">
              <w:t xml:space="preserve">ORP Přerov </w:t>
            </w:r>
          </w:p>
        </w:tc>
      </w:tr>
      <w:tr w:rsidR="00FB1999" w:rsidRPr="00F0722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Předpokládaný dopad opatření</w:t>
            </w:r>
          </w:p>
        </w:tc>
        <w:tc>
          <w:tcPr>
            <w:tcW w:w="3751" w:type="pct"/>
          </w:tcPr>
          <w:p w:rsidR="00FB1999" w:rsidRPr="00F07229" w:rsidRDefault="00FB1999" w:rsidP="00587061">
            <w:pPr>
              <w:spacing w:before="0"/>
              <w:rPr>
                <w:rFonts w:eastAsia="Arial Unicode MS"/>
                <w:spacing w:val="-2"/>
                <w:lang w:eastAsia="cs-CZ"/>
              </w:rPr>
            </w:pPr>
            <w:r>
              <w:t>Uživatelé</w:t>
            </w:r>
            <w:r w:rsidRPr="0097236B">
              <w:t xml:space="preserve"> z cílové skupiny</w:t>
            </w:r>
            <w:r>
              <w:t xml:space="preserve"> mají</w:t>
            </w:r>
            <w:r w:rsidRPr="0097236B">
              <w:t xml:space="preserve"> na území </w:t>
            </w:r>
            <w:r>
              <w:t xml:space="preserve">dostupné možnosti řešení nepříznivých sociálních situací a jsou, na základě působení sociální služby, v rozsahu základních činností daných její registrací, podporováni </w:t>
            </w:r>
            <w:r w:rsidRPr="006F6801">
              <w:t>k využití dostupných návazných služeb vedoucích ke snížení dopadů rizikového způsobu života, posilování dovedností a schopností tak, aby dokázali řešit svou aktuální nepříznivou sociální situaci</w:t>
            </w:r>
            <w:r>
              <w:t>, což povede k postupnému osamostatnění a začlenění do společnosti.</w:t>
            </w:r>
          </w:p>
        </w:tc>
      </w:tr>
      <w:tr w:rsidR="00FB1999" w:rsidRPr="00CB3C2C"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 xml:space="preserve">Aktivity vedoucí k naplnění opatření </w:t>
            </w:r>
          </w:p>
        </w:tc>
        <w:tc>
          <w:tcPr>
            <w:tcW w:w="3751" w:type="pct"/>
          </w:tcPr>
          <w:p w:rsidR="00FB1999" w:rsidRDefault="00FB1999" w:rsidP="00587061">
            <w:pPr>
              <w:pStyle w:val="Odstavecseseznamem"/>
              <w:numPr>
                <w:ilvl w:val="0"/>
                <w:numId w:val="208"/>
              </w:numPr>
              <w:spacing w:before="0" w:line="240" w:lineRule="auto"/>
            </w:pPr>
            <w:r>
              <w:t>Monitoring jednotek zařazených v síti sociálních služeb</w:t>
            </w:r>
          </w:p>
          <w:p w:rsidR="00FB1999" w:rsidRPr="002423B0" w:rsidRDefault="00FB1999" w:rsidP="00587061">
            <w:pPr>
              <w:pStyle w:val="Odstavecseseznamem"/>
              <w:numPr>
                <w:ilvl w:val="0"/>
                <w:numId w:val="208"/>
              </w:numPr>
              <w:spacing w:before="0" w:line="240" w:lineRule="auto"/>
            </w:pPr>
            <w:r>
              <w:t>Projednání předloženého záměru poskytovatele sociálních služeb v souladu se schválenými postupy pro aktualizaci sítě sociálních služeb OK</w:t>
            </w:r>
            <w:r w:rsidRPr="002423B0">
              <w:t xml:space="preserve"> </w:t>
            </w:r>
          </w:p>
          <w:p w:rsidR="00FB1999" w:rsidRPr="00CB3C2C" w:rsidRDefault="00FB1999" w:rsidP="00587061">
            <w:pPr>
              <w:pStyle w:val="Odstavecseseznamem"/>
              <w:numPr>
                <w:ilvl w:val="0"/>
                <w:numId w:val="208"/>
              </w:numPr>
              <w:spacing w:before="0" w:line="240" w:lineRule="auto"/>
            </w:pPr>
            <w:r w:rsidRPr="002423B0">
              <w:t>Při vyjádření pozitivního stanoviska OK aktualizace sítě sociáln</w:t>
            </w:r>
            <w:r>
              <w:t>ích služeb dle schválených změn</w:t>
            </w:r>
          </w:p>
        </w:tc>
      </w:tr>
      <w:tr w:rsidR="00FB1999" w:rsidRPr="009C087A"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b/>
              </w:rPr>
              <w:t>Rizika a ohrožení naplnění opatření</w:t>
            </w:r>
          </w:p>
        </w:tc>
        <w:tc>
          <w:tcPr>
            <w:tcW w:w="3751" w:type="pct"/>
          </w:tcPr>
          <w:p w:rsidR="00FB1999" w:rsidRPr="00A34764" w:rsidRDefault="00FB1999" w:rsidP="00587061">
            <w:pPr>
              <w:pStyle w:val="Odstavecseseznamem"/>
              <w:numPr>
                <w:ilvl w:val="0"/>
                <w:numId w:val="206"/>
              </w:numPr>
              <w:spacing w:before="0" w:line="240" w:lineRule="auto"/>
            </w:pPr>
            <w:r w:rsidRPr="00A34764">
              <w:t>Neprojevení zájmu poskytovatelů sociálních služeb o plnění cíle a opatření</w:t>
            </w:r>
          </w:p>
          <w:p w:rsidR="00FB1999" w:rsidRPr="00A34764" w:rsidRDefault="00FB1999" w:rsidP="00587061">
            <w:pPr>
              <w:pStyle w:val="Odstavecseseznamem"/>
              <w:numPr>
                <w:ilvl w:val="0"/>
                <w:numId w:val="206"/>
              </w:numPr>
              <w:spacing w:before="0" w:line="240" w:lineRule="auto"/>
            </w:pPr>
            <w:r w:rsidRPr="00A34764">
              <w:t xml:space="preserve">Nesplnění kritérií dle Postupu pro aktualizaci sítě sociálních služeb OK vedoucí k neschválení žádosti poskytovatele </w:t>
            </w:r>
          </w:p>
          <w:p w:rsidR="00FB1999" w:rsidRPr="00A34764" w:rsidRDefault="00FB1999" w:rsidP="00587061">
            <w:pPr>
              <w:pStyle w:val="Odstavecseseznamem"/>
              <w:numPr>
                <w:ilvl w:val="0"/>
                <w:numId w:val="206"/>
              </w:numPr>
              <w:spacing w:before="0" w:line="240" w:lineRule="auto"/>
            </w:pPr>
            <w:r w:rsidRPr="00A34764">
              <w:t>Nesplnění podmínek registrace poskytovaných sociálních služeb</w:t>
            </w:r>
          </w:p>
          <w:p w:rsidR="00FB1999" w:rsidRPr="00A34764" w:rsidRDefault="00FB1999" w:rsidP="00587061">
            <w:pPr>
              <w:pStyle w:val="Odstavecseseznamem"/>
              <w:numPr>
                <w:ilvl w:val="0"/>
                <w:numId w:val="206"/>
              </w:numPr>
              <w:spacing w:before="0" w:line="240" w:lineRule="auto"/>
            </w:pPr>
            <w:r w:rsidRPr="00A34764">
              <w:t>Nedostatek lidských zdrojů</w:t>
            </w:r>
          </w:p>
          <w:p w:rsidR="00FB1999" w:rsidRPr="00A34764" w:rsidRDefault="00FB1999" w:rsidP="00587061">
            <w:pPr>
              <w:pStyle w:val="Odstavecseseznamem"/>
              <w:numPr>
                <w:ilvl w:val="0"/>
                <w:numId w:val="206"/>
              </w:numPr>
              <w:spacing w:before="0" w:line="240" w:lineRule="auto"/>
            </w:pPr>
            <w:r w:rsidRPr="00A34764">
              <w:t>Nedostatek finančních prostředků z veřejných zdrojů</w:t>
            </w:r>
          </w:p>
          <w:p w:rsidR="00FB1999" w:rsidRPr="009C087A" w:rsidRDefault="00FB1999" w:rsidP="00587061">
            <w:pPr>
              <w:pStyle w:val="Odstavecseseznamem"/>
              <w:numPr>
                <w:ilvl w:val="0"/>
                <w:numId w:val="206"/>
              </w:numPr>
              <w:spacing w:before="0" w:line="240" w:lineRule="auto"/>
            </w:pPr>
            <w:r w:rsidRPr="00A34764">
              <w:t>Legislativní změny</w:t>
            </w:r>
            <w:r w:rsidRPr="00A34764">
              <w:rPr>
                <w:color w:val="000000"/>
              </w:rPr>
              <w:t xml:space="preserve"> </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 xml:space="preserve">Předpokládaní realizátoři </w:t>
            </w:r>
            <w:r w:rsidRPr="009240D1">
              <w:rPr>
                <w:rFonts w:eastAsia="Arial Unicode MS"/>
                <w:b/>
                <w:lang w:eastAsia="cs-CZ"/>
              </w:rPr>
              <w:br/>
              <w:t>a partneři opatření</w:t>
            </w:r>
          </w:p>
        </w:tc>
        <w:tc>
          <w:tcPr>
            <w:tcW w:w="3751" w:type="pct"/>
          </w:tcPr>
          <w:p w:rsidR="00FB1999" w:rsidRPr="007C5A69" w:rsidRDefault="00FB1999" w:rsidP="00587061">
            <w:pPr>
              <w:spacing w:before="0"/>
              <w:rPr>
                <w:rFonts w:eastAsia="Arial Unicode MS"/>
                <w:lang w:eastAsia="cs-CZ"/>
              </w:rPr>
            </w:pPr>
            <w:r>
              <w:t>P</w:t>
            </w:r>
            <w:r w:rsidRPr="002423B0">
              <w:t xml:space="preserve">oskytovatelé </w:t>
            </w:r>
            <w:r>
              <w:t xml:space="preserve">sociálních služeb </w:t>
            </w:r>
            <w:r w:rsidRPr="002423B0">
              <w:t xml:space="preserve">pro dané </w:t>
            </w:r>
            <w:r>
              <w:t>cílové skupiny osob, kraj, obce</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Časový harmonogram</w:t>
            </w:r>
          </w:p>
        </w:tc>
        <w:tc>
          <w:tcPr>
            <w:tcW w:w="3751" w:type="pct"/>
          </w:tcPr>
          <w:p w:rsidR="00FB1999" w:rsidRPr="007C5A69" w:rsidRDefault="00FB1999" w:rsidP="00587061">
            <w:pPr>
              <w:spacing w:before="0"/>
              <w:rPr>
                <w:rFonts w:eastAsia="Arial Unicode MS"/>
                <w:lang w:eastAsia="cs-CZ"/>
              </w:rPr>
            </w:pPr>
            <w:r w:rsidRPr="007C5A69">
              <w:rPr>
                <w:rFonts w:eastAsia="Arial Unicode MS"/>
                <w:lang w:eastAsia="cs-CZ"/>
              </w:rPr>
              <w:t>202</w:t>
            </w:r>
            <w:r>
              <w:rPr>
                <w:rFonts w:eastAsia="Arial Unicode MS"/>
                <w:lang w:eastAsia="cs-CZ"/>
              </w:rPr>
              <w:t>4–</w:t>
            </w:r>
            <w:r w:rsidRPr="007C5A69">
              <w:rPr>
                <w:rFonts w:eastAsia="Arial Unicode MS"/>
                <w:lang w:eastAsia="cs-CZ"/>
              </w:rPr>
              <w:t>202</w:t>
            </w:r>
            <w:r>
              <w:rPr>
                <w:rFonts w:eastAsia="Arial Unicode MS"/>
                <w:lang w:eastAsia="cs-CZ"/>
              </w:rPr>
              <w:t>6</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Předpokládané finanční zdroje</w:t>
            </w:r>
          </w:p>
        </w:tc>
        <w:tc>
          <w:tcPr>
            <w:tcW w:w="3751" w:type="pct"/>
          </w:tcPr>
          <w:p w:rsidR="00FB1999" w:rsidRPr="007C5A69" w:rsidRDefault="00FB1999" w:rsidP="00587061">
            <w:pPr>
              <w:spacing w:before="0"/>
              <w:rPr>
                <w:rFonts w:eastAsia="Arial Unicode MS"/>
                <w:lang w:eastAsia="cs-CZ"/>
              </w:rPr>
            </w:pPr>
            <w:r w:rsidRPr="007C5A69">
              <w:rPr>
                <w:rFonts w:eastAsia="Arial Unicode MS"/>
                <w:lang w:eastAsia="cs-CZ"/>
              </w:rPr>
              <w:t>Veřejné zdroje, evropské zdroje a ostatní zdroje financování</w:t>
            </w:r>
          </w:p>
        </w:tc>
      </w:tr>
      <w:tr w:rsidR="00FB1999" w:rsidRPr="007C5A69" w:rsidTr="00FB1999">
        <w:trPr>
          <w:trHeight w:val="397"/>
          <w:jc w:val="center"/>
        </w:trPr>
        <w:tc>
          <w:tcPr>
            <w:tcW w:w="1249" w:type="pct"/>
            <w:tcBorders>
              <w:bottom w:val="single" w:sz="4" w:space="0" w:color="auto"/>
            </w:tcBorders>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Hodnotící indikátory výstupů a výsledků</w:t>
            </w:r>
          </w:p>
        </w:tc>
        <w:tc>
          <w:tcPr>
            <w:tcW w:w="3751" w:type="pct"/>
            <w:tcBorders>
              <w:bottom w:val="single" w:sz="4" w:space="0" w:color="auto"/>
            </w:tcBorders>
          </w:tcPr>
          <w:p w:rsidR="00FB1999" w:rsidRPr="00A34764" w:rsidRDefault="00FB1999" w:rsidP="00587061">
            <w:pPr>
              <w:pStyle w:val="Odstavecseseznamem"/>
              <w:numPr>
                <w:ilvl w:val="0"/>
                <w:numId w:val="15"/>
              </w:numPr>
              <w:spacing w:before="0" w:line="240" w:lineRule="auto"/>
            </w:pPr>
            <w:r w:rsidRPr="00A34764">
              <w:t>Zajištění rozvoje sociální služby v daném regionu</w:t>
            </w:r>
          </w:p>
          <w:p w:rsidR="00FB1999" w:rsidRPr="00A34764" w:rsidRDefault="00FB1999" w:rsidP="00587061">
            <w:pPr>
              <w:pStyle w:val="Odstavecseseznamem"/>
              <w:numPr>
                <w:ilvl w:val="0"/>
                <w:numId w:val="15"/>
              </w:numPr>
              <w:spacing w:before="0" w:line="240" w:lineRule="auto"/>
            </w:pPr>
            <w:r w:rsidRPr="00A34764">
              <w:t>Aktualizace sítě sociálních služeb dle schválených změn</w:t>
            </w:r>
          </w:p>
        </w:tc>
      </w:tr>
    </w:tbl>
    <w:p w:rsidR="00FB1999" w:rsidRDefault="00FB1999" w:rsidP="00587061">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FB1999" w:rsidRPr="007C5A69" w:rsidTr="00FB1999">
        <w:trPr>
          <w:trHeight w:val="397"/>
          <w:jc w:val="center"/>
        </w:trPr>
        <w:tc>
          <w:tcPr>
            <w:tcW w:w="1249" w:type="pct"/>
            <w:tcBorders>
              <w:bottom w:val="single" w:sz="4" w:space="0" w:color="auto"/>
            </w:tcBorders>
            <w:shd w:val="clear" w:color="auto" w:fill="FABF8F"/>
          </w:tcPr>
          <w:p w:rsidR="00FB1999" w:rsidRPr="009240D1" w:rsidRDefault="00FB1999" w:rsidP="00D41DBC">
            <w:pPr>
              <w:keepNext/>
              <w:spacing w:before="0"/>
              <w:jc w:val="left"/>
              <w:rPr>
                <w:rFonts w:eastAsia="Arial Unicode MS"/>
                <w:b/>
                <w:lang w:eastAsia="cs-CZ"/>
              </w:rPr>
            </w:pPr>
            <w:r w:rsidRPr="009240D1">
              <w:rPr>
                <w:rFonts w:eastAsia="Arial Unicode MS"/>
                <w:b/>
                <w:lang w:eastAsia="cs-CZ"/>
              </w:rPr>
              <w:t>Cíl 5.6</w:t>
            </w:r>
          </w:p>
        </w:tc>
        <w:tc>
          <w:tcPr>
            <w:tcW w:w="3751" w:type="pct"/>
            <w:tcBorders>
              <w:bottom w:val="single" w:sz="4" w:space="0" w:color="auto"/>
            </w:tcBorders>
            <w:shd w:val="clear" w:color="auto" w:fill="FABF8F"/>
          </w:tcPr>
          <w:p w:rsidR="00FB1999" w:rsidRPr="009240D1" w:rsidRDefault="00FB1999" w:rsidP="00D41DBC">
            <w:pPr>
              <w:keepNext/>
              <w:spacing w:before="0"/>
              <w:rPr>
                <w:rFonts w:eastAsia="Arial Unicode MS"/>
                <w:b/>
                <w:color w:val="FF0000"/>
                <w:lang w:eastAsia="cs-CZ"/>
              </w:rPr>
            </w:pPr>
            <w:r w:rsidRPr="009240D1">
              <w:rPr>
                <w:b/>
              </w:rPr>
              <w:t>Zajištění potřebného rozsahu služby noclehárny v OK</w:t>
            </w:r>
          </w:p>
        </w:tc>
      </w:tr>
      <w:tr w:rsidR="00FB1999" w:rsidRPr="007C5A69" w:rsidTr="00FB1999">
        <w:trPr>
          <w:trHeight w:val="397"/>
          <w:jc w:val="center"/>
        </w:trPr>
        <w:tc>
          <w:tcPr>
            <w:tcW w:w="1249" w:type="pct"/>
            <w:shd w:val="clear" w:color="auto" w:fill="E2EFD9" w:themeFill="accent6" w:themeFillTint="33"/>
          </w:tcPr>
          <w:p w:rsidR="00FB1999" w:rsidRPr="009240D1" w:rsidRDefault="00FB1999" w:rsidP="00D41DBC">
            <w:pPr>
              <w:keepNext/>
              <w:spacing w:before="0"/>
              <w:jc w:val="left"/>
              <w:rPr>
                <w:rFonts w:eastAsia="Arial Unicode MS"/>
                <w:b/>
                <w:lang w:eastAsia="cs-CZ"/>
              </w:rPr>
            </w:pPr>
            <w:r w:rsidRPr="009240D1">
              <w:rPr>
                <w:rFonts w:eastAsia="Arial Unicode MS"/>
                <w:b/>
                <w:lang w:eastAsia="cs-CZ"/>
              </w:rPr>
              <w:t xml:space="preserve">Kód opatření </w:t>
            </w:r>
          </w:p>
        </w:tc>
        <w:tc>
          <w:tcPr>
            <w:tcW w:w="3751" w:type="pct"/>
            <w:shd w:val="clear" w:color="auto" w:fill="E2EFD9" w:themeFill="accent6" w:themeFillTint="33"/>
          </w:tcPr>
          <w:p w:rsidR="00FB1999" w:rsidRPr="009240D1" w:rsidRDefault="00FB1999" w:rsidP="00D41DBC">
            <w:pPr>
              <w:keepNext/>
              <w:spacing w:before="0"/>
              <w:rPr>
                <w:rFonts w:eastAsia="Arial Unicode MS"/>
                <w:b/>
                <w:lang w:eastAsia="cs-CZ"/>
              </w:rPr>
            </w:pPr>
            <w:r w:rsidRPr="009240D1">
              <w:rPr>
                <w:b/>
              </w:rPr>
              <w:t xml:space="preserve">5.6.1 </w:t>
            </w:r>
          </w:p>
        </w:tc>
      </w:tr>
      <w:tr w:rsidR="00FB1999" w:rsidRPr="00F07229" w:rsidTr="00FB1999">
        <w:trPr>
          <w:trHeight w:val="397"/>
          <w:jc w:val="center"/>
        </w:trPr>
        <w:tc>
          <w:tcPr>
            <w:tcW w:w="1249" w:type="pct"/>
            <w:shd w:val="clear" w:color="auto" w:fill="E2EFD9" w:themeFill="accent6" w:themeFillTint="33"/>
          </w:tcPr>
          <w:p w:rsidR="00FB1999" w:rsidRPr="009240D1" w:rsidRDefault="00FB1999" w:rsidP="00D41DBC">
            <w:pPr>
              <w:keepNext/>
              <w:spacing w:before="0"/>
              <w:jc w:val="left"/>
              <w:rPr>
                <w:rFonts w:eastAsia="Arial Unicode MS"/>
                <w:b/>
                <w:lang w:eastAsia="cs-CZ"/>
              </w:rPr>
            </w:pPr>
            <w:r w:rsidRPr="009240D1">
              <w:rPr>
                <w:rFonts w:eastAsia="Arial Unicode MS"/>
                <w:b/>
                <w:lang w:eastAsia="cs-CZ"/>
              </w:rPr>
              <w:t>Název opatření</w:t>
            </w:r>
          </w:p>
        </w:tc>
        <w:tc>
          <w:tcPr>
            <w:tcW w:w="3751" w:type="pct"/>
            <w:shd w:val="clear" w:color="auto" w:fill="E2EFD9" w:themeFill="accent6" w:themeFillTint="33"/>
          </w:tcPr>
          <w:p w:rsidR="00FB1999" w:rsidRPr="009240D1" w:rsidRDefault="00FB1999" w:rsidP="00D41DBC">
            <w:pPr>
              <w:keepNext/>
              <w:spacing w:before="0"/>
              <w:rPr>
                <w:rFonts w:eastAsia="Arial Unicode MS"/>
                <w:b/>
                <w:lang w:eastAsia="cs-CZ"/>
              </w:rPr>
            </w:pPr>
            <w:r w:rsidRPr="009240D1">
              <w:rPr>
                <w:b/>
              </w:rPr>
              <w:t>Zajištění ambulantní formy sociální služby noclehárny v počtu min. 10 lůžek v ORP Zábřeh pro osoby bez přístřeší</w:t>
            </w:r>
          </w:p>
        </w:tc>
      </w:tr>
      <w:tr w:rsidR="00FB1999" w:rsidRPr="00627CBE"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Charakteristika opatření</w:t>
            </w:r>
          </w:p>
        </w:tc>
        <w:tc>
          <w:tcPr>
            <w:tcW w:w="3751" w:type="pct"/>
          </w:tcPr>
          <w:p w:rsidR="00FB1999" w:rsidRPr="00E52A1A" w:rsidRDefault="00FB1999" w:rsidP="00587061">
            <w:pPr>
              <w:spacing w:before="0"/>
            </w:pPr>
            <w:r w:rsidRPr="00627CBE">
              <w:t xml:space="preserve">Opatření směřuje k zajištění ambulantní formy </w:t>
            </w:r>
            <w:r>
              <w:t xml:space="preserve">sociální </w:t>
            </w:r>
            <w:r w:rsidRPr="00627CBE">
              <w:t xml:space="preserve">služby noclehárny pro osoby bez přístřeší </w:t>
            </w:r>
            <w:r>
              <w:t>v</w:t>
            </w:r>
            <w:r w:rsidRPr="00627CBE">
              <w:t xml:space="preserve"> území ORP Zábřeh. </w:t>
            </w:r>
            <w:r w:rsidRPr="00191645">
              <w:t xml:space="preserve">V případě </w:t>
            </w:r>
            <w:r>
              <w:t>na</w:t>
            </w:r>
            <w:r w:rsidRPr="00191645">
              <w:t xml:space="preserve">plnění cíle 5.5.1 </w:t>
            </w:r>
            <w:r>
              <w:t>v</w:t>
            </w:r>
            <w:r w:rsidR="00E00EA8">
              <w:t> </w:t>
            </w:r>
            <w:r w:rsidRPr="00191645">
              <w:t xml:space="preserve">území ORP Zábřeh nebude </w:t>
            </w:r>
            <w:r w:rsidRPr="002C2E6C">
              <w:t xml:space="preserve">opatření 5.6.1 </w:t>
            </w:r>
            <w:r w:rsidRPr="00E52A1A">
              <w:t xml:space="preserve">pro území ORP Zábřeh Střednědobým plánem </w:t>
            </w:r>
            <w:r w:rsidR="00E213F4">
              <w:t>2024–2026</w:t>
            </w:r>
            <w:r>
              <w:t xml:space="preserve"> </w:t>
            </w:r>
            <w:r w:rsidRPr="002C2E6C">
              <w:t>podpořeno</w:t>
            </w:r>
            <w:r>
              <w:t>.</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Cílová skupina</w:t>
            </w:r>
          </w:p>
        </w:tc>
        <w:tc>
          <w:tcPr>
            <w:tcW w:w="3751" w:type="pct"/>
          </w:tcPr>
          <w:p w:rsidR="00FB1999" w:rsidRPr="007C5A69" w:rsidRDefault="00FB1999" w:rsidP="00587061">
            <w:pPr>
              <w:spacing w:before="0"/>
              <w:rPr>
                <w:rFonts w:eastAsia="Arial Unicode MS"/>
                <w:lang w:eastAsia="cs-CZ"/>
              </w:rPr>
            </w:pPr>
            <w:r>
              <w:t>Osoby bez přístřeší</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Druh služby</w:t>
            </w:r>
          </w:p>
        </w:tc>
        <w:tc>
          <w:tcPr>
            <w:tcW w:w="3751" w:type="pct"/>
          </w:tcPr>
          <w:p w:rsidR="00FB1999" w:rsidRPr="007C5A69" w:rsidRDefault="00FB1999" w:rsidP="00587061">
            <w:pPr>
              <w:spacing w:before="0"/>
              <w:rPr>
                <w:rFonts w:eastAsia="Arial Unicode MS"/>
                <w:lang w:eastAsia="cs-CZ"/>
              </w:rPr>
            </w:pPr>
            <w:r>
              <w:t>Noclehárny</w:t>
            </w:r>
            <w:r w:rsidRPr="00CD3BC4">
              <w:t xml:space="preserve"> (§ </w:t>
            </w:r>
            <w:r>
              <w:t>63</w:t>
            </w:r>
            <w:r w:rsidRPr="00CD3BC4">
              <w:t xml:space="preserve">) </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Forma služby</w:t>
            </w:r>
          </w:p>
        </w:tc>
        <w:tc>
          <w:tcPr>
            <w:tcW w:w="3751" w:type="pct"/>
          </w:tcPr>
          <w:p w:rsidR="00FB1999" w:rsidRPr="007C5A69" w:rsidRDefault="00FB1999" w:rsidP="00587061">
            <w:pPr>
              <w:spacing w:before="0"/>
              <w:rPr>
                <w:rFonts w:eastAsia="Arial Unicode MS"/>
                <w:lang w:eastAsia="cs-CZ"/>
              </w:rPr>
            </w:pPr>
            <w:r>
              <w:t>Ambulantní</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Vymezení územního dopadu opatření</w:t>
            </w:r>
          </w:p>
        </w:tc>
        <w:tc>
          <w:tcPr>
            <w:tcW w:w="3751" w:type="pct"/>
          </w:tcPr>
          <w:p w:rsidR="00FB1999" w:rsidRPr="007C5A69" w:rsidRDefault="00FB1999" w:rsidP="00587061">
            <w:pPr>
              <w:spacing w:before="0"/>
              <w:rPr>
                <w:rFonts w:eastAsia="Arial Unicode MS"/>
                <w:lang w:eastAsia="cs-CZ"/>
              </w:rPr>
            </w:pPr>
            <w:r w:rsidRPr="00CD3BC4">
              <w:t xml:space="preserve">ORP </w:t>
            </w:r>
            <w:r>
              <w:t>Zábřeh</w:t>
            </w:r>
            <w:r w:rsidRPr="00CD3BC4">
              <w:t xml:space="preserve"> </w:t>
            </w:r>
          </w:p>
        </w:tc>
      </w:tr>
      <w:tr w:rsidR="00FB1999" w:rsidRPr="00F0722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Předpokládaný dopad opatření</w:t>
            </w:r>
          </w:p>
        </w:tc>
        <w:tc>
          <w:tcPr>
            <w:tcW w:w="3751" w:type="pct"/>
          </w:tcPr>
          <w:p w:rsidR="00FB1999" w:rsidRPr="00F07229" w:rsidRDefault="00FB1999" w:rsidP="00587061">
            <w:pPr>
              <w:spacing w:before="0"/>
              <w:rPr>
                <w:rFonts w:eastAsia="Arial Unicode MS"/>
                <w:spacing w:val="-2"/>
                <w:lang w:eastAsia="cs-CZ"/>
              </w:rPr>
            </w:pPr>
            <w:r w:rsidRPr="00421875">
              <w:t>Uživatelé z cílové skupiny mají na území dostupné možnosti řešení nepříznivých sociálních situací a na základě působení sociální služby, v</w:t>
            </w:r>
            <w:r>
              <w:t> </w:t>
            </w:r>
            <w:r w:rsidRPr="00421875">
              <w:t>rozsahu základních činností daných její registrací, mají zajištěné základní lidské potřeby a je jim poskytnuta pomoc a podpora při samostatném aktivním nalézání řešení jejich složité životní situace, což povede k jejich stabilizaci a k návratu do společnosti.</w:t>
            </w:r>
          </w:p>
        </w:tc>
      </w:tr>
      <w:tr w:rsidR="00FB1999" w:rsidRPr="00CB3C2C"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 xml:space="preserve">Aktivity vedoucí k naplnění opatření </w:t>
            </w:r>
          </w:p>
        </w:tc>
        <w:tc>
          <w:tcPr>
            <w:tcW w:w="3751" w:type="pct"/>
          </w:tcPr>
          <w:p w:rsidR="00FB1999" w:rsidRPr="002423B0" w:rsidRDefault="00FB1999" w:rsidP="00587061">
            <w:pPr>
              <w:pStyle w:val="Odstavecseseznamem"/>
              <w:numPr>
                <w:ilvl w:val="0"/>
                <w:numId w:val="209"/>
              </w:numPr>
              <w:spacing w:before="0" w:line="240" w:lineRule="auto"/>
            </w:pPr>
            <w:r>
              <w:t>Projednání předloženého záměru poskytovatele sociálních služeb v souladu se schválenými postupy pro aktualizaci sítě sociálních služeb OK.</w:t>
            </w:r>
            <w:r w:rsidRPr="002423B0">
              <w:t xml:space="preserve"> </w:t>
            </w:r>
          </w:p>
          <w:p w:rsidR="00FB1999" w:rsidRPr="00CB3C2C" w:rsidRDefault="00FB1999" w:rsidP="00587061">
            <w:pPr>
              <w:pStyle w:val="Odstavecseseznamem"/>
              <w:numPr>
                <w:ilvl w:val="0"/>
                <w:numId w:val="209"/>
              </w:numPr>
              <w:spacing w:before="0" w:line="240" w:lineRule="auto"/>
            </w:pPr>
            <w:r w:rsidRPr="002423B0">
              <w:t>Při vyjádření pozitivního stanoviska OK aktualizace sítě sociáln</w:t>
            </w:r>
            <w:r>
              <w:t>ích služeb dle schválených změn.</w:t>
            </w:r>
          </w:p>
        </w:tc>
      </w:tr>
      <w:tr w:rsidR="00FB1999" w:rsidRPr="009C087A"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b/>
              </w:rPr>
              <w:t>Rizika a ohrožení naplnění opatření</w:t>
            </w:r>
          </w:p>
        </w:tc>
        <w:tc>
          <w:tcPr>
            <w:tcW w:w="3751" w:type="pct"/>
          </w:tcPr>
          <w:p w:rsidR="00FB1999" w:rsidRPr="00A34764" w:rsidRDefault="00FB1999" w:rsidP="00587061">
            <w:pPr>
              <w:pStyle w:val="Odstavecseseznamem"/>
              <w:numPr>
                <w:ilvl w:val="0"/>
                <w:numId w:val="207"/>
              </w:numPr>
              <w:spacing w:before="0" w:line="240" w:lineRule="auto"/>
            </w:pPr>
            <w:r w:rsidRPr="00A34764">
              <w:t>Neprojevení zájmu poskytovatelů sociálních služeb o plnění cíle a opatření</w:t>
            </w:r>
          </w:p>
          <w:p w:rsidR="00FB1999" w:rsidRPr="00A34764" w:rsidRDefault="00FB1999" w:rsidP="00587061">
            <w:pPr>
              <w:pStyle w:val="Odstavecseseznamem"/>
              <w:numPr>
                <w:ilvl w:val="0"/>
                <w:numId w:val="207"/>
              </w:numPr>
              <w:spacing w:before="0" w:line="240" w:lineRule="auto"/>
            </w:pPr>
            <w:r w:rsidRPr="00A34764">
              <w:t xml:space="preserve">Nesplnění kritérií dle Postupu pro aktualizaci sítě sociálních služeb OK vedoucí k neschválení žádosti poskytovatele </w:t>
            </w:r>
          </w:p>
          <w:p w:rsidR="00FB1999" w:rsidRPr="00A34764" w:rsidRDefault="00FB1999" w:rsidP="00587061">
            <w:pPr>
              <w:pStyle w:val="Odstavecseseznamem"/>
              <w:numPr>
                <w:ilvl w:val="0"/>
                <w:numId w:val="207"/>
              </w:numPr>
              <w:spacing w:before="0" w:line="240" w:lineRule="auto"/>
            </w:pPr>
            <w:r w:rsidRPr="00A34764">
              <w:t>Nesplnění podmínek registrace poskytovaných sociálních služeb</w:t>
            </w:r>
          </w:p>
          <w:p w:rsidR="00FB1999" w:rsidRPr="00A34764" w:rsidRDefault="00FB1999" w:rsidP="00587061">
            <w:pPr>
              <w:pStyle w:val="Odstavecseseznamem"/>
              <w:numPr>
                <w:ilvl w:val="0"/>
                <w:numId w:val="207"/>
              </w:numPr>
              <w:spacing w:before="0" w:line="240" w:lineRule="auto"/>
            </w:pPr>
            <w:r w:rsidRPr="00A34764">
              <w:t xml:space="preserve">Nedostatek lidských zdrojů </w:t>
            </w:r>
          </w:p>
          <w:p w:rsidR="00FB1999" w:rsidRPr="00A34764" w:rsidRDefault="00FB1999" w:rsidP="00587061">
            <w:pPr>
              <w:pStyle w:val="Odstavecseseznamem"/>
              <w:numPr>
                <w:ilvl w:val="0"/>
                <w:numId w:val="207"/>
              </w:numPr>
              <w:spacing w:before="0" w:line="240" w:lineRule="auto"/>
            </w:pPr>
            <w:r w:rsidRPr="00A34764">
              <w:t>Nedostatek finančních prostředků z veřejných zdrojů</w:t>
            </w:r>
          </w:p>
          <w:p w:rsidR="00FB1999" w:rsidRPr="009C087A" w:rsidRDefault="00FB1999" w:rsidP="00587061">
            <w:pPr>
              <w:pStyle w:val="Odstavecseseznamem"/>
              <w:numPr>
                <w:ilvl w:val="0"/>
                <w:numId w:val="207"/>
              </w:numPr>
              <w:spacing w:before="0" w:line="240" w:lineRule="auto"/>
            </w:pPr>
            <w:r w:rsidRPr="00A34764">
              <w:t>Legislativní změny</w:t>
            </w:r>
            <w:r w:rsidRPr="00A34764">
              <w:rPr>
                <w:color w:val="000000"/>
              </w:rPr>
              <w:t xml:space="preserve"> </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 xml:space="preserve">Předpokládaní realizátoři </w:t>
            </w:r>
            <w:r w:rsidRPr="009240D1">
              <w:rPr>
                <w:rFonts w:eastAsia="Arial Unicode MS"/>
                <w:b/>
                <w:lang w:eastAsia="cs-CZ"/>
              </w:rPr>
              <w:br/>
              <w:t>a partneři opatření</w:t>
            </w:r>
          </w:p>
        </w:tc>
        <w:tc>
          <w:tcPr>
            <w:tcW w:w="3751" w:type="pct"/>
          </w:tcPr>
          <w:p w:rsidR="00FB1999" w:rsidRPr="007C5A69" w:rsidRDefault="00FB1999" w:rsidP="00587061">
            <w:pPr>
              <w:spacing w:before="0"/>
              <w:rPr>
                <w:rFonts w:eastAsia="Arial Unicode MS"/>
                <w:lang w:eastAsia="cs-CZ"/>
              </w:rPr>
            </w:pPr>
            <w:r>
              <w:t>P</w:t>
            </w:r>
            <w:r w:rsidRPr="002423B0">
              <w:t xml:space="preserve">oskytovatelé </w:t>
            </w:r>
            <w:r>
              <w:t xml:space="preserve">sociálních služeb </w:t>
            </w:r>
            <w:r w:rsidRPr="002423B0">
              <w:t xml:space="preserve">pro dané </w:t>
            </w:r>
            <w:r>
              <w:t>cílové skupiny osob, kraj, obce</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Časový harmonogram</w:t>
            </w:r>
          </w:p>
        </w:tc>
        <w:tc>
          <w:tcPr>
            <w:tcW w:w="3751" w:type="pct"/>
          </w:tcPr>
          <w:p w:rsidR="00FB1999" w:rsidRPr="007C5A69" w:rsidRDefault="00FB1999" w:rsidP="00587061">
            <w:pPr>
              <w:spacing w:before="0"/>
              <w:rPr>
                <w:rFonts w:eastAsia="Arial Unicode MS"/>
                <w:lang w:eastAsia="cs-CZ"/>
              </w:rPr>
            </w:pPr>
            <w:r w:rsidRPr="007C5A69">
              <w:rPr>
                <w:rFonts w:eastAsia="Arial Unicode MS"/>
                <w:lang w:eastAsia="cs-CZ"/>
              </w:rPr>
              <w:t>202</w:t>
            </w:r>
            <w:r>
              <w:rPr>
                <w:rFonts w:eastAsia="Arial Unicode MS"/>
                <w:lang w:eastAsia="cs-CZ"/>
              </w:rPr>
              <w:t>4–</w:t>
            </w:r>
            <w:r w:rsidRPr="007C5A69">
              <w:rPr>
                <w:rFonts w:eastAsia="Arial Unicode MS"/>
                <w:lang w:eastAsia="cs-CZ"/>
              </w:rPr>
              <w:t>202</w:t>
            </w:r>
            <w:r>
              <w:rPr>
                <w:rFonts w:eastAsia="Arial Unicode MS"/>
                <w:lang w:eastAsia="cs-CZ"/>
              </w:rPr>
              <w:t>6</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Předpokládané finanční zdroje</w:t>
            </w:r>
          </w:p>
        </w:tc>
        <w:tc>
          <w:tcPr>
            <w:tcW w:w="3751" w:type="pct"/>
          </w:tcPr>
          <w:p w:rsidR="00FB1999" w:rsidRPr="007C5A69" w:rsidRDefault="00FB1999" w:rsidP="00587061">
            <w:pPr>
              <w:spacing w:before="0"/>
              <w:rPr>
                <w:rFonts w:eastAsia="Arial Unicode MS"/>
                <w:lang w:eastAsia="cs-CZ"/>
              </w:rPr>
            </w:pPr>
            <w:r w:rsidRPr="007C5A69">
              <w:rPr>
                <w:rFonts w:eastAsia="Arial Unicode MS"/>
                <w:lang w:eastAsia="cs-CZ"/>
              </w:rPr>
              <w:t>Veřejné zdroje, evropské zdroje a ostatní zdroje financování</w:t>
            </w:r>
          </w:p>
        </w:tc>
      </w:tr>
      <w:tr w:rsidR="00FB1999" w:rsidRPr="007C5A69" w:rsidTr="00FB1999">
        <w:trPr>
          <w:trHeight w:val="397"/>
          <w:jc w:val="center"/>
        </w:trPr>
        <w:tc>
          <w:tcPr>
            <w:tcW w:w="1249" w:type="pct"/>
            <w:tcBorders>
              <w:bottom w:val="single" w:sz="4" w:space="0" w:color="auto"/>
            </w:tcBorders>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Hodnotící indikátory výstupů a výsledků</w:t>
            </w:r>
          </w:p>
        </w:tc>
        <w:tc>
          <w:tcPr>
            <w:tcW w:w="3751" w:type="pct"/>
            <w:tcBorders>
              <w:bottom w:val="single" w:sz="4" w:space="0" w:color="auto"/>
            </w:tcBorders>
          </w:tcPr>
          <w:p w:rsidR="00FB1999" w:rsidRPr="00A34764" w:rsidRDefault="00FB1999" w:rsidP="00587061">
            <w:pPr>
              <w:pStyle w:val="Odstavecseseznamem"/>
              <w:numPr>
                <w:ilvl w:val="0"/>
                <w:numId w:val="15"/>
              </w:numPr>
              <w:spacing w:before="0" w:line="240" w:lineRule="auto"/>
            </w:pPr>
            <w:r w:rsidRPr="00A34764">
              <w:t>Zajištění rozvoje sociální služby v daném regionu</w:t>
            </w:r>
          </w:p>
          <w:p w:rsidR="00FB1999" w:rsidRPr="00A34764" w:rsidRDefault="00FB1999" w:rsidP="00587061">
            <w:pPr>
              <w:pStyle w:val="Odstavecseseznamem"/>
              <w:numPr>
                <w:ilvl w:val="0"/>
                <w:numId w:val="15"/>
              </w:numPr>
              <w:spacing w:before="0" w:line="240" w:lineRule="auto"/>
            </w:pPr>
            <w:r w:rsidRPr="00A34764">
              <w:t>Aktualizace sítě sociálních služeb dle schválených změn</w:t>
            </w:r>
          </w:p>
        </w:tc>
      </w:tr>
    </w:tbl>
    <w:p w:rsidR="00FB1999" w:rsidRDefault="00FB1999" w:rsidP="00587061">
      <w:pPr>
        <w:spacing w:befor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6798"/>
      </w:tblGrid>
      <w:tr w:rsidR="00FB1999" w:rsidRPr="007C5A69" w:rsidTr="00FB1999">
        <w:trPr>
          <w:trHeight w:val="397"/>
          <w:jc w:val="center"/>
        </w:trPr>
        <w:tc>
          <w:tcPr>
            <w:tcW w:w="1249" w:type="pct"/>
            <w:tcBorders>
              <w:bottom w:val="single" w:sz="4" w:space="0" w:color="auto"/>
            </w:tcBorders>
            <w:shd w:val="clear" w:color="auto" w:fill="FABF8F"/>
          </w:tcPr>
          <w:p w:rsidR="00FB1999" w:rsidRPr="009240D1" w:rsidRDefault="00D27B7C" w:rsidP="009240D1">
            <w:pPr>
              <w:keepNext/>
              <w:spacing w:before="0"/>
              <w:jc w:val="left"/>
              <w:rPr>
                <w:rFonts w:eastAsia="Arial Unicode MS"/>
                <w:b/>
                <w:lang w:eastAsia="cs-CZ"/>
              </w:rPr>
            </w:pPr>
            <w:r w:rsidRPr="009240D1">
              <w:rPr>
                <w:rFonts w:eastAsia="Arial Unicode MS"/>
                <w:b/>
                <w:lang w:eastAsia="cs-CZ"/>
              </w:rPr>
              <w:lastRenderedPageBreak/>
              <w:t>Cíl 5.7</w:t>
            </w:r>
          </w:p>
        </w:tc>
        <w:tc>
          <w:tcPr>
            <w:tcW w:w="3751" w:type="pct"/>
            <w:tcBorders>
              <w:bottom w:val="single" w:sz="4" w:space="0" w:color="auto"/>
            </w:tcBorders>
            <w:shd w:val="clear" w:color="auto" w:fill="FABF8F"/>
          </w:tcPr>
          <w:p w:rsidR="00FB1999" w:rsidRPr="009240D1" w:rsidRDefault="00FB1999" w:rsidP="009240D1">
            <w:pPr>
              <w:keepNext/>
              <w:spacing w:before="0"/>
              <w:rPr>
                <w:rFonts w:eastAsia="Arial Unicode MS"/>
                <w:b/>
                <w:color w:val="FF0000"/>
                <w:lang w:eastAsia="cs-CZ"/>
              </w:rPr>
            </w:pPr>
            <w:r w:rsidRPr="009240D1">
              <w:rPr>
                <w:b/>
              </w:rPr>
              <w:t>Zajištění potřebného rozsahu služby sociální rehabilitace v OK</w:t>
            </w:r>
          </w:p>
        </w:tc>
      </w:tr>
      <w:tr w:rsidR="00FB1999" w:rsidRPr="007C5A69" w:rsidTr="00FB1999">
        <w:trPr>
          <w:trHeight w:val="397"/>
          <w:jc w:val="center"/>
        </w:trPr>
        <w:tc>
          <w:tcPr>
            <w:tcW w:w="1249" w:type="pct"/>
            <w:shd w:val="clear" w:color="auto" w:fill="E2EFD9" w:themeFill="accent6" w:themeFillTint="33"/>
          </w:tcPr>
          <w:p w:rsidR="00FB1999" w:rsidRPr="009240D1" w:rsidRDefault="00FB1999" w:rsidP="009240D1">
            <w:pPr>
              <w:keepNext/>
              <w:spacing w:before="0"/>
              <w:jc w:val="left"/>
              <w:rPr>
                <w:rFonts w:eastAsia="Arial Unicode MS"/>
                <w:b/>
                <w:lang w:eastAsia="cs-CZ"/>
              </w:rPr>
            </w:pPr>
            <w:r w:rsidRPr="009240D1">
              <w:rPr>
                <w:rFonts w:eastAsia="Arial Unicode MS"/>
                <w:b/>
                <w:lang w:eastAsia="cs-CZ"/>
              </w:rPr>
              <w:t xml:space="preserve">Kód opatření </w:t>
            </w:r>
          </w:p>
        </w:tc>
        <w:tc>
          <w:tcPr>
            <w:tcW w:w="3751" w:type="pct"/>
            <w:shd w:val="clear" w:color="auto" w:fill="E2EFD9" w:themeFill="accent6" w:themeFillTint="33"/>
          </w:tcPr>
          <w:p w:rsidR="00FB1999" w:rsidRPr="009240D1" w:rsidRDefault="00D27B7C" w:rsidP="009240D1">
            <w:pPr>
              <w:keepNext/>
              <w:spacing w:before="0"/>
              <w:rPr>
                <w:rFonts w:eastAsia="Arial Unicode MS"/>
                <w:b/>
                <w:lang w:eastAsia="cs-CZ"/>
              </w:rPr>
            </w:pPr>
            <w:r w:rsidRPr="009240D1">
              <w:rPr>
                <w:b/>
              </w:rPr>
              <w:t>5.7</w:t>
            </w:r>
            <w:r w:rsidR="00FB1999" w:rsidRPr="009240D1">
              <w:rPr>
                <w:b/>
              </w:rPr>
              <w:t xml:space="preserve">.1 </w:t>
            </w:r>
          </w:p>
        </w:tc>
      </w:tr>
      <w:tr w:rsidR="00FB1999" w:rsidRPr="00F07229" w:rsidTr="00FB1999">
        <w:trPr>
          <w:trHeight w:val="397"/>
          <w:jc w:val="center"/>
        </w:trPr>
        <w:tc>
          <w:tcPr>
            <w:tcW w:w="1249" w:type="pct"/>
            <w:shd w:val="clear" w:color="auto" w:fill="E2EFD9" w:themeFill="accent6" w:themeFillTint="33"/>
          </w:tcPr>
          <w:p w:rsidR="00FB1999" w:rsidRPr="009240D1" w:rsidRDefault="00FB1999" w:rsidP="009240D1">
            <w:pPr>
              <w:keepNext/>
              <w:spacing w:before="0"/>
              <w:jc w:val="left"/>
              <w:rPr>
                <w:rFonts w:eastAsia="Arial Unicode MS"/>
                <w:b/>
                <w:lang w:eastAsia="cs-CZ"/>
              </w:rPr>
            </w:pPr>
            <w:r w:rsidRPr="009240D1">
              <w:rPr>
                <w:rFonts w:eastAsia="Arial Unicode MS"/>
                <w:b/>
                <w:lang w:eastAsia="cs-CZ"/>
              </w:rPr>
              <w:t>Název opatření</w:t>
            </w:r>
          </w:p>
        </w:tc>
        <w:tc>
          <w:tcPr>
            <w:tcW w:w="3751" w:type="pct"/>
            <w:shd w:val="clear" w:color="auto" w:fill="E2EFD9" w:themeFill="accent6" w:themeFillTint="33"/>
          </w:tcPr>
          <w:p w:rsidR="00FB1999" w:rsidRPr="009240D1" w:rsidRDefault="00FB1999" w:rsidP="009240D1">
            <w:pPr>
              <w:keepNext/>
              <w:spacing w:before="0"/>
              <w:rPr>
                <w:rFonts w:eastAsia="Arial Unicode MS"/>
                <w:b/>
                <w:highlight w:val="yellow"/>
                <w:lang w:eastAsia="cs-CZ"/>
              </w:rPr>
            </w:pPr>
            <w:r w:rsidRPr="009240D1">
              <w:rPr>
                <w:b/>
              </w:rPr>
              <w:t>Zajištění ambulantní a terénní formy sociální služby sociální rehabilitace max. 2 pracovními úvazky pracovníků v přímé péči v ORP Šumperk pro osoby, které vedou rizikový způsob života nebo jsou tímto způsobem života ohroženy, osoby do 26 let věku opouštějící školská zařízení pro výkon ústavní péče, imigranty a azylanty</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Charakteristika opatření</w:t>
            </w:r>
          </w:p>
        </w:tc>
        <w:tc>
          <w:tcPr>
            <w:tcW w:w="3751" w:type="pct"/>
          </w:tcPr>
          <w:p w:rsidR="00FB1999" w:rsidRPr="009B0DEF" w:rsidRDefault="00FB1999" w:rsidP="00587061">
            <w:pPr>
              <w:spacing w:before="0"/>
            </w:pPr>
            <w:r w:rsidRPr="001871A2">
              <w:t xml:space="preserve">Opatření směřuje k zajištění </w:t>
            </w:r>
            <w:r>
              <w:t xml:space="preserve">ambulantní a </w:t>
            </w:r>
            <w:r w:rsidRPr="001871A2">
              <w:t xml:space="preserve">terénní sociální služby sociální rehabilitace pro </w:t>
            </w:r>
            <w:r w:rsidRPr="00D87626">
              <w:t>osoby, které vedou rizikový způsob života nebo jsou tímto způsobem života ohroženy</w:t>
            </w:r>
            <w:r>
              <w:t xml:space="preserve">, </w:t>
            </w:r>
            <w:r w:rsidRPr="00D87626">
              <w:t xml:space="preserve">osoby do 26 let věku opouštějící školská </w:t>
            </w:r>
            <w:r>
              <w:t xml:space="preserve">zařízení pro výkon ústavní péče, imigranty a azylanty v </w:t>
            </w:r>
            <w:r w:rsidRPr="001871A2">
              <w:t>území ORP Šumperk</w:t>
            </w:r>
            <w:r>
              <w:t>.</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Cílová skupina</w:t>
            </w:r>
          </w:p>
        </w:tc>
        <w:tc>
          <w:tcPr>
            <w:tcW w:w="3751" w:type="pct"/>
          </w:tcPr>
          <w:p w:rsidR="00FB1999" w:rsidRPr="00D87626" w:rsidRDefault="00FB1999" w:rsidP="00587061">
            <w:pPr>
              <w:spacing w:before="0"/>
            </w:pPr>
            <w:r>
              <w:t>O</w:t>
            </w:r>
            <w:r w:rsidRPr="00D87626">
              <w:t>soby, které vedou rizikový způsob života nebo jsou tímto způsobem života ohroženy</w:t>
            </w:r>
          </w:p>
          <w:p w:rsidR="00FB1999" w:rsidRPr="00D87626" w:rsidRDefault="00FB1999" w:rsidP="00587061">
            <w:pPr>
              <w:spacing w:before="0"/>
            </w:pPr>
            <w:r>
              <w:t>O</w:t>
            </w:r>
            <w:r w:rsidRPr="00D87626">
              <w:t>soby do 26 let věku opouštějící školská zařízení pro výkon ústavní péče</w:t>
            </w:r>
          </w:p>
          <w:p w:rsidR="00FB1999" w:rsidRPr="007C5A69" w:rsidRDefault="00FB1999" w:rsidP="00587061">
            <w:pPr>
              <w:spacing w:before="0"/>
              <w:rPr>
                <w:rFonts w:eastAsia="Arial Unicode MS"/>
                <w:lang w:eastAsia="cs-CZ"/>
              </w:rPr>
            </w:pPr>
            <w:r>
              <w:t>I</w:t>
            </w:r>
            <w:r w:rsidRPr="00D87626">
              <w:t>migranti a azylanti</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Druh služby</w:t>
            </w:r>
          </w:p>
        </w:tc>
        <w:tc>
          <w:tcPr>
            <w:tcW w:w="3751" w:type="pct"/>
          </w:tcPr>
          <w:p w:rsidR="00FB1999" w:rsidRPr="001871A2" w:rsidRDefault="00FB1999" w:rsidP="00587061">
            <w:pPr>
              <w:spacing w:before="0"/>
            </w:pPr>
            <w:r w:rsidRPr="001871A2">
              <w:t xml:space="preserve">Sociální rehabilitace (§ 70) </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Forma služby</w:t>
            </w:r>
          </w:p>
        </w:tc>
        <w:tc>
          <w:tcPr>
            <w:tcW w:w="3751" w:type="pct"/>
          </w:tcPr>
          <w:p w:rsidR="00FB1999" w:rsidRPr="001871A2" w:rsidRDefault="00FB1999" w:rsidP="00587061">
            <w:pPr>
              <w:spacing w:before="0"/>
            </w:pPr>
            <w:r>
              <w:t>Ambulantní, terénní</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Vymezení územního dopadu opatření</w:t>
            </w:r>
          </w:p>
        </w:tc>
        <w:tc>
          <w:tcPr>
            <w:tcW w:w="3751" w:type="pct"/>
          </w:tcPr>
          <w:p w:rsidR="00FB1999" w:rsidRPr="001871A2" w:rsidRDefault="00FB1999" w:rsidP="00587061">
            <w:pPr>
              <w:spacing w:before="0"/>
            </w:pPr>
            <w:r w:rsidRPr="001871A2">
              <w:t>ORP</w:t>
            </w:r>
            <w:r>
              <w:t xml:space="preserve"> Šumperk</w:t>
            </w:r>
          </w:p>
        </w:tc>
      </w:tr>
      <w:tr w:rsidR="00FB1999" w:rsidRPr="00F0722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Předpokládaný dopad opatření</w:t>
            </w:r>
          </w:p>
        </w:tc>
        <w:tc>
          <w:tcPr>
            <w:tcW w:w="3751" w:type="pct"/>
          </w:tcPr>
          <w:p w:rsidR="00FB1999" w:rsidRPr="009355E2" w:rsidRDefault="00984F77" w:rsidP="00587061">
            <w:pPr>
              <w:spacing w:before="0"/>
            </w:pPr>
            <w:r w:rsidRPr="00984F77">
              <w:t>Uživatelé z cílových skupin mají v území dostupné možnosti řešení nepříznivých sociálních situací. Uživatelé jsou na základě působení sociální služby, v rozsahu základních činností daných její registrací, podporováni prostřednictvím aktivizačních, asistenčních a motivačních programů zaměřených na získání praktických dovedností a návyků (vedení domácnosti, uplatňování práv, návrat na trh práce, péče o vlastní osobu), což povede k jejich postupnému osamostatnění a začlenění do společnosti.</w:t>
            </w:r>
          </w:p>
        </w:tc>
      </w:tr>
      <w:tr w:rsidR="00FB1999" w:rsidRPr="00CB3C2C"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 xml:space="preserve">Aktivity vedoucí k naplnění opatření </w:t>
            </w:r>
          </w:p>
        </w:tc>
        <w:tc>
          <w:tcPr>
            <w:tcW w:w="3751" w:type="pct"/>
          </w:tcPr>
          <w:p w:rsidR="00FB1999" w:rsidRPr="002423B0" w:rsidRDefault="00FB1999" w:rsidP="00587061">
            <w:pPr>
              <w:pStyle w:val="Odstavecseseznamem"/>
              <w:numPr>
                <w:ilvl w:val="0"/>
                <w:numId w:val="213"/>
              </w:numPr>
              <w:spacing w:before="0" w:line="240" w:lineRule="auto"/>
            </w:pPr>
            <w:r>
              <w:t>Projednání předloženého záměru poskytovatele sociálních služeb v souladu se schválenými postupy pro aktualizaci sítě sociálních služeb OK</w:t>
            </w:r>
            <w:r w:rsidRPr="002423B0">
              <w:t xml:space="preserve"> </w:t>
            </w:r>
          </w:p>
          <w:p w:rsidR="00FB1999" w:rsidRPr="00CB3C2C" w:rsidRDefault="00FB1999" w:rsidP="00587061">
            <w:pPr>
              <w:pStyle w:val="Odstavecseseznamem"/>
              <w:numPr>
                <w:ilvl w:val="0"/>
                <w:numId w:val="213"/>
              </w:numPr>
              <w:spacing w:before="0" w:line="240" w:lineRule="auto"/>
            </w:pPr>
            <w:r w:rsidRPr="002423B0">
              <w:t>Při vyjádření pozitivního stanoviska OK aktualizace sítě sociáln</w:t>
            </w:r>
            <w:r>
              <w:t>ích služeb dle schválených změn</w:t>
            </w:r>
          </w:p>
        </w:tc>
      </w:tr>
      <w:tr w:rsidR="00FB1999" w:rsidRPr="009C087A"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b/>
              </w:rPr>
              <w:t>Rizika a ohrožení naplnění opatření</w:t>
            </w:r>
          </w:p>
        </w:tc>
        <w:tc>
          <w:tcPr>
            <w:tcW w:w="3751" w:type="pct"/>
          </w:tcPr>
          <w:p w:rsidR="00FB1999" w:rsidRPr="00A34764" w:rsidRDefault="00FB1999" w:rsidP="00587061">
            <w:pPr>
              <w:pStyle w:val="Odstavecseseznamem"/>
              <w:numPr>
                <w:ilvl w:val="0"/>
                <w:numId w:val="211"/>
              </w:numPr>
              <w:spacing w:before="0" w:line="240" w:lineRule="auto"/>
            </w:pPr>
            <w:r w:rsidRPr="00A34764">
              <w:t>Neprojevení zájmu poskytovatelů sociálních služeb o plnění cíle a opatření</w:t>
            </w:r>
          </w:p>
          <w:p w:rsidR="00FB1999" w:rsidRPr="00A34764" w:rsidRDefault="00FB1999" w:rsidP="00587061">
            <w:pPr>
              <w:pStyle w:val="Odstavecseseznamem"/>
              <w:numPr>
                <w:ilvl w:val="0"/>
                <w:numId w:val="211"/>
              </w:numPr>
              <w:spacing w:before="0" w:line="240" w:lineRule="auto"/>
            </w:pPr>
            <w:r w:rsidRPr="00A34764">
              <w:t xml:space="preserve">Nesplnění kritérií dle Postupu pro aktualizaci sítě sociálních služeb OK vedoucí k neschválení žádosti poskytovatele </w:t>
            </w:r>
          </w:p>
          <w:p w:rsidR="00FB1999" w:rsidRPr="00A34764" w:rsidRDefault="00FB1999" w:rsidP="00587061">
            <w:pPr>
              <w:pStyle w:val="Odstavecseseznamem"/>
              <w:numPr>
                <w:ilvl w:val="0"/>
                <w:numId w:val="211"/>
              </w:numPr>
              <w:spacing w:before="0" w:line="240" w:lineRule="auto"/>
            </w:pPr>
            <w:r w:rsidRPr="00A34764">
              <w:t>Nesplnění podmínek registrace poskytovaných sociálních služeb</w:t>
            </w:r>
          </w:p>
          <w:p w:rsidR="00FB1999" w:rsidRPr="00A34764" w:rsidRDefault="00FB1999" w:rsidP="00587061">
            <w:pPr>
              <w:pStyle w:val="Odstavecseseznamem"/>
              <w:numPr>
                <w:ilvl w:val="0"/>
                <w:numId w:val="211"/>
              </w:numPr>
              <w:spacing w:before="0" w:line="240" w:lineRule="auto"/>
            </w:pPr>
            <w:r w:rsidRPr="00A34764">
              <w:t xml:space="preserve">Nedostatek lidských zdrojů </w:t>
            </w:r>
          </w:p>
          <w:p w:rsidR="00FB1999" w:rsidRPr="00A34764" w:rsidRDefault="00FB1999" w:rsidP="00587061">
            <w:pPr>
              <w:pStyle w:val="Odstavecseseznamem"/>
              <w:numPr>
                <w:ilvl w:val="0"/>
                <w:numId w:val="211"/>
              </w:numPr>
              <w:spacing w:before="0" w:line="240" w:lineRule="auto"/>
            </w:pPr>
            <w:r w:rsidRPr="00A34764">
              <w:t>Nedostatek finančních prostředků z veřejných zdrojů</w:t>
            </w:r>
          </w:p>
          <w:p w:rsidR="00FB1999" w:rsidRPr="00A34764" w:rsidRDefault="00FB1999" w:rsidP="00587061">
            <w:pPr>
              <w:pStyle w:val="Odstavecseseznamem"/>
              <w:numPr>
                <w:ilvl w:val="0"/>
                <w:numId w:val="211"/>
              </w:numPr>
              <w:spacing w:before="0" w:line="240" w:lineRule="auto"/>
            </w:pPr>
            <w:r w:rsidRPr="00A34764">
              <w:t xml:space="preserve">Legislativní změny </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 xml:space="preserve">Předpokládaní realizátoři </w:t>
            </w:r>
            <w:r w:rsidRPr="009240D1">
              <w:rPr>
                <w:rFonts w:eastAsia="Arial Unicode MS"/>
                <w:b/>
                <w:lang w:eastAsia="cs-CZ"/>
              </w:rPr>
              <w:br/>
              <w:t>a partneři opatření</w:t>
            </w:r>
          </w:p>
        </w:tc>
        <w:tc>
          <w:tcPr>
            <w:tcW w:w="3751" w:type="pct"/>
          </w:tcPr>
          <w:p w:rsidR="00FB1999" w:rsidRPr="007C5A69" w:rsidRDefault="00FB1999" w:rsidP="00587061">
            <w:pPr>
              <w:spacing w:before="0"/>
              <w:rPr>
                <w:rFonts w:eastAsia="Arial Unicode MS"/>
                <w:lang w:eastAsia="cs-CZ"/>
              </w:rPr>
            </w:pPr>
            <w:r>
              <w:t>P</w:t>
            </w:r>
            <w:r w:rsidRPr="002423B0">
              <w:t xml:space="preserve">oskytovatelé </w:t>
            </w:r>
            <w:r>
              <w:t xml:space="preserve">sociálních služeb </w:t>
            </w:r>
            <w:r w:rsidRPr="002423B0">
              <w:t xml:space="preserve">pro dané </w:t>
            </w:r>
            <w:r>
              <w:t>cílové skupiny osob, kraj, obce</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Časový harmonogram</w:t>
            </w:r>
          </w:p>
        </w:tc>
        <w:tc>
          <w:tcPr>
            <w:tcW w:w="3751" w:type="pct"/>
          </w:tcPr>
          <w:p w:rsidR="00FB1999" w:rsidRPr="007C5A69" w:rsidRDefault="00FB1999" w:rsidP="00587061">
            <w:pPr>
              <w:spacing w:before="0"/>
              <w:rPr>
                <w:rFonts w:eastAsia="Arial Unicode MS"/>
                <w:lang w:eastAsia="cs-CZ"/>
              </w:rPr>
            </w:pPr>
            <w:r w:rsidRPr="007C5A69">
              <w:rPr>
                <w:rFonts w:eastAsia="Arial Unicode MS"/>
                <w:lang w:eastAsia="cs-CZ"/>
              </w:rPr>
              <w:t>202</w:t>
            </w:r>
            <w:r>
              <w:rPr>
                <w:rFonts w:eastAsia="Arial Unicode MS"/>
                <w:lang w:eastAsia="cs-CZ"/>
              </w:rPr>
              <w:t>4–</w:t>
            </w:r>
            <w:r w:rsidRPr="007C5A69">
              <w:rPr>
                <w:rFonts w:eastAsia="Arial Unicode MS"/>
                <w:lang w:eastAsia="cs-CZ"/>
              </w:rPr>
              <w:t>202</w:t>
            </w:r>
            <w:r>
              <w:rPr>
                <w:rFonts w:eastAsia="Arial Unicode MS"/>
                <w:lang w:eastAsia="cs-CZ"/>
              </w:rPr>
              <w:t>6</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Předpokládané finanční zdroje</w:t>
            </w:r>
          </w:p>
        </w:tc>
        <w:tc>
          <w:tcPr>
            <w:tcW w:w="3751" w:type="pct"/>
          </w:tcPr>
          <w:p w:rsidR="00FB1999" w:rsidRPr="007C5A69" w:rsidRDefault="00FB1999" w:rsidP="00587061">
            <w:pPr>
              <w:spacing w:before="0"/>
              <w:rPr>
                <w:rFonts w:eastAsia="Arial Unicode MS"/>
                <w:lang w:eastAsia="cs-CZ"/>
              </w:rPr>
            </w:pPr>
            <w:r w:rsidRPr="007C5A69">
              <w:rPr>
                <w:rFonts w:eastAsia="Arial Unicode MS"/>
                <w:lang w:eastAsia="cs-CZ"/>
              </w:rPr>
              <w:t>Veřejné zdroje, evropské zdroje a ostatní zdroje financování</w:t>
            </w:r>
          </w:p>
        </w:tc>
      </w:tr>
      <w:tr w:rsidR="00FB1999" w:rsidRPr="007C5A69" w:rsidTr="00FB1999">
        <w:trPr>
          <w:trHeight w:val="397"/>
          <w:jc w:val="center"/>
        </w:trPr>
        <w:tc>
          <w:tcPr>
            <w:tcW w:w="1249" w:type="pct"/>
            <w:tcBorders>
              <w:bottom w:val="single" w:sz="4" w:space="0" w:color="auto"/>
            </w:tcBorders>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Hodnotící indikátory výstupů a výsledků</w:t>
            </w:r>
          </w:p>
        </w:tc>
        <w:tc>
          <w:tcPr>
            <w:tcW w:w="3751" w:type="pct"/>
            <w:tcBorders>
              <w:bottom w:val="single" w:sz="4" w:space="0" w:color="auto"/>
            </w:tcBorders>
          </w:tcPr>
          <w:p w:rsidR="00FB1999" w:rsidRPr="00A34764" w:rsidRDefault="00FB1999" w:rsidP="00587061">
            <w:pPr>
              <w:pStyle w:val="Odstavecseseznamem"/>
              <w:numPr>
                <w:ilvl w:val="0"/>
                <w:numId w:val="15"/>
              </w:numPr>
              <w:spacing w:before="0" w:line="240" w:lineRule="auto"/>
            </w:pPr>
            <w:r w:rsidRPr="00A34764">
              <w:t>Zajištění rozvoje sociální služby v daném regionu</w:t>
            </w:r>
          </w:p>
          <w:p w:rsidR="00FB1999" w:rsidRPr="00A34764" w:rsidRDefault="00FB1999" w:rsidP="00587061">
            <w:pPr>
              <w:pStyle w:val="Odstavecseseznamem"/>
              <w:numPr>
                <w:ilvl w:val="0"/>
                <w:numId w:val="15"/>
              </w:numPr>
              <w:spacing w:before="0" w:line="240" w:lineRule="auto"/>
            </w:pPr>
            <w:r w:rsidRPr="00A34764">
              <w:t>Aktualizace sítě sociálních služeb dle schválených změn</w:t>
            </w:r>
          </w:p>
        </w:tc>
      </w:tr>
      <w:tr w:rsidR="00FB1999" w:rsidRPr="007C5A69" w:rsidTr="00FB1999">
        <w:trPr>
          <w:trHeight w:val="397"/>
          <w:jc w:val="center"/>
        </w:trPr>
        <w:tc>
          <w:tcPr>
            <w:tcW w:w="1249" w:type="pct"/>
            <w:shd w:val="clear" w:color="auto" w:fill="E2EFD9" w:themeFill="accent6" w:themeFillTint="33"/>
          </w:tcPr>
          <w:p w:rsidR="00FB1999" w:rsidRPr="009240D1" w:rsidRDefault="00FB1999" w:rsidP="009240D1">
            <w:pPr>
              <w:keepNext/>
              <w:spacing w:before="0"/>
              <w:jc w:val="left"/>
              <w:rPr>
                <w:rFonts w:eastAsia="Arial Unicode MS"/>
                <w:b/>
                <w:lang w:eastAsia="cs-CZ"/>
              </w:rPr>
            </w:pPr>
            <w:r w:rsidRPr="009240D1">
              <w:rPr>
                <w:rFonts w:eastAsia="Arial Unicode MS"/>
                <w:b/>
                <w:lang w:eastAsia="cs-CZ"/>
              </w:rPr>
              <w:lastRenderedPageBreak/>
              <w:t xml:space="preserve">Kód opatření </w:t>
            </w:r>
          </w:p>
        </w:tc>
        <w:tc>
          <w:tcPr>
            <w:tcW w:w="3751" w:type="pct"/>
            <w:shd w:val="clear" w:color="auto" w:fill="E2EFD9" w:themeFill="accent6" w:themeFillTint="33"/>
          </w:tcPr>
          <w:p w:rsidR="00FB1999" w:rsidRPr="009240D1" w:rsidRDefault="00D27B7C" w:rsidP="009240D1">
            <w:pPr>
              <w:keepNext/>
              <w:spacing w:before="0"/>
              <w:rPr>
                <w:rFonts w:eastAsia="Arial Unicode MS"/>
                <w:b/>
                <w:lang w:eastAsia="cs-CZ"/>
              </w:rPr>
            </w:pPr>
            <w:r w:rsidRPr="009240D1">
              <w:rPr>
                <w:b/>
              </w:rPr>
              <w:t>5.7</w:t>
            </w:r>
            <w:r w:rsidR="00FB1999" w:rsidRPr="009240D1">
              <w:rPr>
                <w:b/>
              </w:rPr>
              <w:t>.2</w:t>
            </w:r>
          </w:p>
        </w:tc>
      </w:tr>
      <w:tr w:rsidR="00FB1999" w:rsidRPr="00F07229" w:rsidTr="00FB1999">
        <w:trPr>
          <w:trHeight w:val="397"/>
          <w:jc w:val="center"/>
        </w:trPr>
        <w:tc>
          <w:tcPr>
            <w:tcW w:w="1249" w:type="pct"/>
            <w:shd w:val="clear" w:color="auto" w:fill="E2EFD9" w:themeFill="accent6" w:themeFillTint="33"/>
          </w:tcPr>
          <w:p w:rsidR="00FB1999" w:rsidRPr="009240D1" w:rsidRDefault="00FB1999" w:rsidP="009240D1">
            <w:pPr>
              <w:keepNext/>
              <w:spacing w:before="0"/>
              <w:jc w:val="left"/>
              <w:rPr>
                <w:rFonts w:eastAsia="Arial Unicode MS"/>
                <w:b/>
                <w:lang w:eastAsia="cs-CZ"/>
              </w:rPr>
            </w:pPr>
            <w:r w:rsidRPr="009240D1">
              <w:rPr>
                <w:rFonts w:eastAsia="Arial Unicode MS"/>
                <w:b/>
                <w:lang w:eastAsia="cs-CZ"/>
              </w:rPr>
              <w:t>Název opatření</w:t>
            </w:r>
          </w:p>
        </w:tc>
        <w:tc>
          <w:tcPr>
            <w:tcW w:w="3751" w:type="pct"/>
            <w:shd w:val="clear" w:color="auto" w:fill="E2EFD9" w:themeFill="accent6" w:themeFillTint="33"/>
          </w:tcPr>
          <w:p w:rsidR="00FB1999" w:rsidRPr="009240D1" w:rsidRDefault="00FB1999" w:rsidP="009240D1">
            <w:pPr>
              <w:keepNext/>
              <w:spacing w:before="0"/>
              <w:rPr>
                <w:rFonts w:eastAsia="Arial Unicode MS"/>
                <w:b/>
                <w:highlight w:val="yellow"/>
                <w:lang w:eastAsia="cs-CZ"/>
              </w:rPr>
            </w:pPr>
            <w:r w:rsidRPr="009240D1">
              <w:rPr>
                <w:b/>
              </w:rPr>
              <w:t xml:space="preserve">Zajištění ambulantní a terénní formy sociální služby sociální rehabilitace max. 2,5 pracovními úvazky pracovníků v přímé péči pro ORP Lipník nad Bečvou a ORP Hranice pro osoby žijící v sociálně vyloučených komunitách </w:t>
            </w:r>
            <w:r w:rsidRPr="009240D1">
              <w:rPr>
                <w:b/>
                <w:color w:val="000000" w:themeColor="text1"/>
                <w:spacing w:val="-2"/>
              </w:rPr>
              <w:t>(osoby sociálně vyloučené a osoby sociálním vyloučením ohrožené)</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Charakteristika opatření</w:t>
            </w:r>
          </w:p>
        </w:tc>
        <w:tc>
          <w:tcPr>
            <w:tcW w:w="3751" w:type="pct"/>
          </w:tcPr>
          <w:p w:rsidR="00FB1999" w:rsidRPr="009B0DEF" w:rsidRDefault="00FB1999" w:rsidP="00587061">
            <w:pPr>
              <w:spacing w:before="0"/>
            </w:pPr>
            <w:r w:rsidRPr="001871A2">
              <w:t xml:space="preserve">Opatření směřuje k zajištění </w:t>
            </w:r>
            <w:r>
              <w:t xml:space="preserve">ambulantní a </w:t>
            </w:r>
            <w:r w:rsidRPr="001871A2">
              <w:t xml:space="preserve">terénní sociální služby sociální rehabilitace pro </w:t>
            </w:r>
            <w:r w:rsidRPr="00C60E65">
              <w:t>osoby žijící v sociálně vyloučených komunitách (osoby sociálně vyloučené a osoby sociálním vyloučením ohrožené</w:t>
            </w:r>
            <w:r>
              <w:t>) v</w:t>
            </w:r>
            <w:r w:rsidRPr="001871A2">
              <w:t xml:space="preserve"> území ORP Lipník nad Bečvou a ORP Hranice.</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Cílová skupina</w:t>
            </w:r>
          </w:p>
        </w:tc>
        <w:tc>
          <w:tcPr>
            <w:tcW w:w="3751" w:type="pct"/>
          </w:tcPr>
          <w:p w:rsidR="00FB1999" w:rsidRPr="006941DA" w:rsidRDefault="00FB1999" w:rsidP="00587061">
            <w:pPr>
              <w:spacing w:before="0"/>
            </w:pPr>
            <w:r>
              <w:t>O</w:t>
            </w:r>
            <w:r w:rsidRPr="00C60E65">
              <w:t>soby žijící v soci</w:t>
            </w:r>
            <w:r>
              <w:t>álně vyloučených komunitách (osoby sociálně vyloučené a o</w:t>
            </w:r>
            <w:r w:rsidRPr="00C60E65">
              <w:t>soby sociálním vyloučením ohrožené)</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Druh služby</w:t>
            </w:r>
          </w:p>
        </w:tc>
        <w:tc>
          <w:tcPr>
            <w:tcW w:w="3751" w:type="pct"/>
          </w:tcPr>
          <w:p w:rsidR="00FB1999" w:rsidRPr="001871A2" w:rsidRDefault="00FB1999" w:rsidP="00587061">
            <w:pPr>
              <w:spacing w:before="0"/>
            </w:pPr>
            <w:r w:rsidRPr="001871A2">
              <w:t xml:space="preserve">Sociální rehabilitace (§ 70) </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Forma služby</w:t>
            </w:r>
          </w:p>
        </w:tc>
        <w:tc>
          <w:tcPr>
            <w:tcW w:w="3751" w:type="pct"/>
          </w:tcPr>
          <w:p w:rsidR="00FB1999" w:rsidRPr="001871A2" w:rsidRDefault="00FB1999" w:rsidP="00587061">
            <w:pPr>
              <w:spacing w:before="0"/>
            </w:pPr>
            <w:r>
              <w:t>Ambulantní, terénní</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Vymezení územního dopadu opatření</w:t>
            </w:r>
          </w:p>
        </w:tc>
        <w:tc>
          <w:tcPr>
            <w:tcW w:w="3751" w:type="pct"/>
          </w:tcPr>
          <w:p w:rsidR="00FB1999" w:rsidRPr="001871A2" w:rsidRDefault="00FB1999" w:rsidP="00587061">
            <w:pPr>
              <w:spacing w:before="0"/>
            </w:pPr>
            <w:r w:rsidRPr="001871A2">
              <w:t>ORP Lipník nad Bečvou</w:t>
            </w:r>
          </w:p>
          <w:p w:rsidR="00FB1999" w:rsidRPr="001871A2" w:rsidRDefault="00FB1999" w:rsidP="00587061">
            <w:pPr>
              <w:spacing w:before="0"/>
            </w:pPr>
            <w:r w:rsidRPr="001871A2">
              <w:t>ORP Hranice</w:t>
            </w:r>
          </w:p>
        </w:tc>
      </w:tr>
      <w:tr w:rsidR="00FB1999" w:rsidRPr="00F0722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Předpokládaný dopad opatření</w:t>
            </w:r>
          </w:p>
        </w:tc>
        <w:tc>
          <w:tcPr>
            <w:tcW w:w="3751" w:type="pct"/>
          </w:tcPr>
          <w:p w:rsidR="00FB1999" w:rsidRPr="009B0DEF" w:rsidRDefault="00984F77" w:rsidP="00587061">
            <w:pPr>
              <w:spacing w:before="0"/>
            </w:pPr>
            <w:r w:rsidRPr="00984F77">
              <w:t>Uživatelé z cílové skupiny mají v území dostupné možnosti řešení nepříznivých sociálních situací spojených s finančními problémy, špatným hospodařením, nežádoucími sociálními návyky, absencí pracovních návyků, absencí návyků péče o vlastní osobu. Uživatelé jsou na základě působení sociální služby, v rozsahu základních činností daných její registrací, podporováni prostřednictvím aktivizačních, asistenčních a motivačních programů zaměřených na získání praktických dovedností a návyků (vedení domácnosti, uplatňování práv, návrat na trh práce, péče o vlastní osobu), což povede k jejich postupnému osamostatnění a začlenění do společnosti.</w:t>
            </w:r>
          </w:p>
        </w:tc>
      </w:tr>
      <w:tr w:rsidR="00FB1999" w:rsidRPr="00CB3C2C"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 xml:space="preserve">Aktivity vedoucí k naplnění opatření </w:t>
            </w:r>
          </w:p>
        </w:tc>
        <w:tc>
          <w:tcPr>
            <w:tcW w:w="3751" w:type="pct"/>
          </w:tcPr>
          <w:p w:rsidR="00FB1999" w:rsidRPr="002423B0" w:rsidRDefault="00FB1999" w:rsidP="00587061">
            <w:pPr>
              <w:pStyle w:val="Odstavecseseznamem"/>
              <w:numPr>
                <w:ilvl w:val="0"/>
                <w:numId w:val="215"/>
              </w:numPr>
              <w:spacing w:before="0" w:line="240" w:lineRule="auto"/>
            </w:pPr>
            <w:r>
              <w:t>Projednání předloženého záměru poskytovatele sociálních služeb v souladu se schválenými postupy pro aktualizaci sítě sociálních služeb OK</w:t>
            </w:r>
            <w:r w:rsidRPr="002423B0">
              <w:t xml:space="preserve"> </w:t>
            </w:r>
          </w:p>
          <w:p w:rsidR="00FB1999" w:rsidRPr="00CB3C2C" w:rsidRDefault="00FB1999" w:rsidP="00587061">
            <w:pPr>
              <w:pStyle w:val="Odstavecseseznamem"/>
              <w:numPr>
                <w:ilvl w:val="0"/>
                <w:numId w:val="215"/>
              </w:numPr>
              <w:spacing w:before="0" w:line="240" w:lineRule="auto"/>
            </w:pPr>
            <w:r w:rsidRPr="002423B0">
              <w:t>Při vyjádření pozitivního stanoviska OK aktualizace sítě sociáln</w:t>
            </w:r>
            <w:r>
              <w:t>ích služeb dle schválených změn</w:t>
            </w:r>
          </w:p>
        </w:tc>
      </w:tr>
      <w:tr w:rsidR="00FB1999" w:rsidRPr="009C087A"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b/>
              </w:rPr>
              <w:t>Rizika a ohrožení naplnění opatření</w:t>
            </w:r>
          </w:p>
        </w:tc>
        <w:tc>
          <w:tcPr>
            <w:tcW w:w="3751" w:type="pct"/>
          </w:tcPr>
          <w:p w:rsidR="00FB1999" w:rsidRPr="00A34764" w:rsidRDefault="00FB1999" w:rsidP="00587061">
            <w:pPr>
              <w:pStyle w:val="Odstavecseseznamem"/>
              <w:numPr>
                <w:ilvl w:val="0"/>
                <w:numId w:val="214"/>
              </w:numPr>
              <w:spacing w:before="0" w:line="240" w:lineRule="auto"/>
            </w:pPr>
            <w:r w:rsidRPr="00A34764">
              <w:t>Neprojevení zájmu poskytovatelů sociálních služeb o plnění cíle a</w:t>
            </w:r>
            <w:r w:rsidR="003F6B66" w:rsidRPr="00A34764">
              <w:t> </w:t>
            </w:r>
            <w:r w:rsidRPr="00A34764">
              <w:t>opatření</w:t>
            </w:r>
          </w:p>
          <w:p w:rsidR="00FB1999" w:rsidRPr="00A34764" w:rsidRDefault="00FB1999" w:rsidP="00587061">
            <w:pPr>
              <w:pStyle w:val="Odstavecseseznamem"/>
              <w:numPr>
                <w:ilvl w:val="0"/>
                <w:numId w:val="214"/>
              </w:numPr>
              <w:spacing w:before="0" w:line="240" w:lineRule="auto"/>
            </w:pPr>
            <w:r w:rsidRPr="00A34764">
              <w:t xml:space="preserve">Nesplnění kritérií dle Postupu pro aktualizaci sítě sociálních služeb OK vedoucí k neschválení žádosti poskytovatele </w:t>
            </w:r>
          </w:p>
          <w:p w:rsidR="00FB1999" w:rsidRPr="00A34764" w:rsidRDefault="00FB1999" w:rsidP="00587061">
            <w:pPr>
              <w:pStyle w:val="Odstavecseseznamem"/>
              <w:numPr>
                <w:ilvl w:val="0"/>
                <w:numId w:val="214"/>
              </w:numPr>
              <w:spacing w:before="0" w:line="240" w:lineRule="auto"/>
            </w:pPr>
            <w:r w:rsidRPr="00A34764">
              <w:t>Nesplnění podmínek registrace poskytovaných sociálních služeb</w:t>
            </w:r>
          </w:p>
          <w:p w:rsidR="00FB1999" w:rsidRPr="00A34764" w:rsidRDefault="00FB1999" w:rsidP="00587061">
            <w:pPr>
              <w:pStyle w:val="Odstavecseseznamem"/>
              <w:numPr>
                <w:ilvl w:val="0"/>
                <w:numId w:val="214"/>
              </w:numPr>
              <w:spacing w:before="0" w:line="240" w:lineRule="auto"/>
            </w:pPr>
            <w:r w:rsidRPr="00A34764">
              <w:t xml:space="preserve">Nedostatek lidských zdrojů </w:t>
            </w:r>
          </w:p>
          <w:p w:rsidR="00FB1999" w:rsidRPr="00A34764" w:rsidRDefault="00FB1999" w:rsidP="00587061">
            <w:pPr>
              <w:pStyle w:val="Odstavecseseznamem"/>
              <w:numPr>
                <w:ilvl w:val="0"/>
                <w:numId w:val="214"/>
              </w:numPr>
              <w:spacing w:before="0" w:line="240" w:lineRule="auto"/>
            </w:pPr>
            <w:r w:rsidRPr="00A34764">
              <w:t>Nedostatek finančních prostředků z veřejných zdrojů</w:t>
            </w:r>
          </w:p>
          <w:p w:rsidR="00FB1999" w:rsidRPr="009C087A" w:rsidRDefault="00FB1999" w:rsidP="00587061">
            <w:pPr>
              <w:pStyle w:val="Odstavecseseznamem"/>
              <w:numPr>
                <w:ilvl w:val="0"/>
                <w:numId w:val="214"/>
              </w:numPr>
              <w:spacing w:before="0" w:line="240" w:lineRule="auto"/>
            </w:pPr>
            <w:r w:rsidRPr="00A34764">
              <w:t>Legislativní změny</w:t>
            </w:r>
            <w:r w:rsidRPr="00A34764">
              <w:rPr>
                <w:color w:val="000000"/>
              </w:rPr>
              <w:t xml:space="preserve"> </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 xml:space="preserve">Předpokládaní realizátoři </w:t>
            </w:r>
            <w:r w:rsidRPr="009240D1">
              <w:rPr>
                <w:rFonts w:eastAsia="Arial Unicode MS"/>
                <w:b/>
                <w:lang w:eastAsia="cs-CZ"/>
              </w:rPr>
              <w:br/>
              <w:t>a partneři opatření</w:t>
            </w:r>
          </w:p>
        </w:tc>
        <w:tc>
          <w:tcPr>
            <w:tcW w:w="3751" w:type="pct"/>
          </w:tcPr>
          <w:p w:rsidR="00FB1999" w:rsidRPr="007C5A69" w:rsidRDefault="00FB1999" w:rsidP="00587061">
            <w:pPr>
              <w:spacing w:before="0"/>
              <w:rPr>
                <w:rFonts w:eastAsia="Arial Unicode MS"/>
                <w:lang w:eastAsia="cs-CZ"/>
              </w:rPr>
            </w:pPr>
            <w:r>
              <w:t>P</w:t>
            </w:r>
            <w:r w:rsidRPr="002423B0">
              <w:t xml:space="preserve">oskytovatelé </w:t>
            </w:r>
            <w:r>
              <w:t xml:space="preserve">sociálních služeb </w:t>
            </w:r>
            <w:r w:rsidRPr="002423B0">
              <w:t xml:space="preserve">pro dané </w:t>
            </w:r>
            <w:r>
              <w:t>cílové skupiny osob, kraj, obce</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Časový harmonogram</w:t>
            </w:r>
          </w:p>
        </w:tc>
        <w:tc>
          <w:tcPr>
            <w:tcW w:w="3751" w:type="pct"/>
          </w:tcPr>
          <w:p w:rsidR="00FB1999" w:rsidRPr="007C5A69" w:rsidRDefault="00FB1999" w:rsidP="00587061">
            <w:pPr>
              <w:spacing w:before="0"/>
              <w:rPr>
                <w:rFonts w:eastAsia="Arial Unicode MS"/>
                <w:lang w:eastAsia="cs-CZ"/>
              </w:rPr>
            </w:pPr>
            <w:r w:rsidRPr="007C5A69">
              <w:rPr>
                <w:rFonts w:eastAsia="Arial Unicode MS"/>
                <w:lang w:eastAsia="cs-CZ"/>
              </w:rPr>
              <w:t>202</w:t>
            </w:r>
            <w:r>
              <w:rPr>
                <w:rFonts w:eastAsia="Arial Unicode MS"/>
                <w:lang w:eastAsia="cs-CZ"/>
              </w:rPr>
              <w:t>4–</w:t>
            </w:r>
            <w:r w:rsidRPr="007C5A69">
              <w:rPr>
                <w:rFonts w:eastAsia="Arial Unicode MS"/>
                <w:lang w:eastAsia="cs-CZ"/>
              </w:rPr>
              <w:t>202</w:t>
            </w:r>
            <w:r>
              <w:rPr>
                <w:rFonts w:eastAsia="Arial Unicode MS"/>
                <w:lang w:eastAsia="cs-CZ"/>
              </w:rPr>
              <w:t>6</w:t>
            </w:r>
          </w:p>
        </w:tc>
      </w:tr>
      <w:tr w:rsidR="00FB1999" w:rsidRPr="007C5A69" w:rsidTr="00FB1999">
        <w:trPr>
          <w:trHeight w:val="397"/>
          <w:jc w:val="center"/>
        </w:trPr>
        <w:tc>
          <w:tcPr>
            <w:tcW w:w="1249" w:type="pct"/>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Předpokládané finanční zdroje</w:t>
            </w:r>
          </w:p>
        </w:tc>
        <w:tc>
          <w:tcPr>
            <w:tcW w:w="3751" w:type="pct"/>
          </w:tcPr>
          <w:p w:rsidR="00FB1999" w:rsidRPr="007C5A69" w:rsidRDefault="00FB1999" w:rsidP="00587061">
            <w:pPr>
              <w:spacing w:before="0"/>
              <w:rPr>
                <w:rFonts w:eastAsia="Arial Unicode MS"/>
                <w:lang w:eastAsia="cs-CZ"/>
              </w:rPr>
            </w:pPr>
            <w:r w:rsidRPr="007C5A69">
              <w:rPr>
                <w:rFonts w:eastAsia="Arial Unicode MS"/>
                <w:lang w:eastAsia="cs-CZ"/>
              </w:rPr>
              <w:t>Veřejné zdroje, evropské zdroje a ostatní zdroje financování</w:t>
            </w:r>
          </w:p>
        </w:tc>
      </w:tr>
      <w:tr w:rsidR="00FB1999" w:rsidRPr="007C5A69" w:rsidTr="00FB1999">
        <w:trPr>
          <w:trHeight w:val="397"/>
          <w:jc w:val="center"/>
        </w:trPr>
        <w:tc>
          <w:tcPr>
            <w:tcW w:w="1249" w:type="pct"/>
            <w:tcBorders>
              <w:bottom w:val="single" w:sz="4" w:space="0" w:color="auto"/>
            </w:tcBorders>
            <w:shd w:val="clear" w:color="auto" w:fill="CCECFF"/>
          </w:tcPr>
          <w:p w:rsidR="00FB1999" w:rsidRPr="009240D1" w:rsidRDefault="00FB1999" w:rsidP="009240D1">
            <w:pPr>
              <w:spacing w:before="0"/>
              <w:jc w:val="left"/>
              <w:rPr>
                <w:rFonts w:eastAsia="Arial Unicode MS"/>
                <w:b/>
                <w:lang w:eastAsia="cs-CZ"/>
              </w:rPr>
            </w:pPr>
            <w:r w:rsidRPr="009240D1">
              <w:rPr>
                <w:rFonts w:eastAsia="Arial Unicode MS"/>
                <w:b/>
                <w:lang w:eastAsia="cs-CZ"/>
              </w:rPr>
              <w:t>Hodnotící indikátory výstupů a výsledků</w:t>
            </w:r>
          </w:p>
        </w:tc>
        <w:tc>
          <w:tcPr>
            <w:tcW w:w="3751" w:type="pct"/>
            <w:tcBorders>
              <w:bottom w:val="single" w:sz="4" w:space="0" w:color="auto"/>
            </w:tcBorders>
          </w:tcPr>
          <w:p w:rsidR="00FB1999" w:rsidRPr="00A34764" w:rsidRDefault="00FB1999" w:rsidP="00587061">
            <w:pPr>
              <w:pStyle w:val="Odstavecseseznamem"/>
              <w:numPr>
                <w:ilvl w:val="0"/>
                <w:numId w:val="15"/>
              </w:numPr>
              <w:spacing w:before="0" w:line="240" w:lineRule="auto"/>
            </w:pPr>
            <w:r w:rsidRPr="00A34764">
              <w:t>Zajištění rozvoje sociální služby v daném regionu</w:t>
            </w:r>
          </w:p>
          <w:p w:rsidR="00FB1999" w:rsidRPr="00A34764" w:rsidRDefault="00FB1999" w:rsidP="00587061">
            <w:pPr>
              <w:pStyle w:val="Odstavecseseznamem"/>
              <w:numPr>
                <w:ilvl w:val="0"/>
                <w:numId w:val="15"/>
              </w:numPr>
              <w:spacing w:before="0" w:line="240" w:lineRule="auto"/>
            </w:pPr>
            <w:r w:rsidRPr="00A34764">
              <w:t>Aktualizace sítě sociálních služeb dle schválených změn</w:t>
            </w:r>
          </w:p>
        </w:tc>
      </w:tr>
    </w:tbl>
    <w:p w:rsidR="00FB1999" w:rsidRPr="00D3714C" w:rsidRDefault="00FB1999" w:rsidP="00A34764"/>
    <w:p w:rsidR="00FB1999" w:rsidRPr="007C2EB2" w:rsidRDefault="00FB1999" w:rsidP="00A34764">
      <w:r w:rsidRPr="007C2EB2">
        <w:br w:type="page"/>
      </w:r>
    </w:p>
    <w:p w:rsidR="00FB1999" w:rsidRPr="007C2EB2" w:rsidRDefault="00FB1999" w:rsidP="00A34764">
      <w:pPr>
        <w:pStyle w:val="Nadpis2"/>
      </w:pPr>
      <w:bookmarkStart w:id="233" w:name="_Toc22896398"/>
      <w:bookmarkStart w:id="234" w:name="_Toc111537487"/>
      <w:bookmarkStart w:id="235" w:name="_Toc113622093"/>
      <w:bookmarkStart w:id="236" w:name="_Toc117607008"/>
      <w:r w:rsidRPr="007C2EB2">
        <w:lastRenderedPageBreak/>
        <w:t>Pracovní skupina č. 6: OSOBY OHROŽENÉ NÁVYKOVÝM JEDNÁNÍM</w:t>
      </w:r>
      <w:bookmarkEnd w:id="233"/>
      <w:bookmarkEnd w:id="234"/>
      <w:bookmarkEnd w:id="235"/>
      <w:bookmarkEnd w:id="236"/>
    </w:p>
    <w:p w:rsidR="00FB1999" w:rsidRPr="006142C5" w:rsidRDefault="00FB1999" w:rsidP="00806448">
      <w:pPr>
        <w:pStyle w:val="Tun"/>
      </w:pPr>
      <w:r w:rsidRPr="006142C5">
        <w:t>Popis cílové skupiny, vymezení okruhu osob</w:t>
      </w:r>
    </w:p>
    <w:p w:rsidR="00FB1999" w:rsidRPr="00853F59" w:rsidRDefault="00FB1999" w:rsidP="00A34764">
      <w:pPr>
        <w:rPr>
          <w:rFonts w:eastAsia="Calibri"/>
          <w:lang w:eastAsia="cs-CZ"/>
        </w:rPr>
      </w:pPr>
      <w:r w:rsidRPr="00853F59">
        <w:rPr>
          <w:rFonts w:eastAsia="Calibri"/>
          <w:lang w:eastAsia="cs-CZ"/>
        </w:rPr>
        <w:t xml:space="preserve">Pracovní skupina se věnuje komplexně problematice závislostí a závislostního chování. Největší část poskytovaných služeb v oblasti závislostí tvoří služby pro uživatele nealkoholových návykových látek, rozsáhlou problémovou skupinu tvoří uživatelé alkoholu a patologičtí hráči. Specifickými skupinami uživatelů, které vyžadují individuální přístupy, jsou cizinci a menšiny, uživatelé jednající v rozporu se zákonem a mladistvé osoby se závislostním chováním. </w:t>
      </w:r>
    </w:p>
    <w:p w:rsidR="00FB1999" w:rsidRPr="00853F59" w:rsidRDefault="00FB1999" w:rsidP="00A34764">
      <w:pPr>
        <w:rPr>
          <w:rFonts w:eastAsia="Calibri"/>
          <w:lang w:eastAsia="cs-CZ"/>
        </w:rPr>
      </w:pPr>
      <w:r w:rsidRPr="00853F59">
        <w:rPr>
          <w:rFonts w:eastAsia="Calibri"/>
          <w:lang w:eastAsia="cs-CZ"/>
        </w:rPr>
        <w:t xml:space="preserve">V souvislosti se všemi uvedenými skupinami je třeba nabízet cílené intervence a služby osobám blízkým a rodinným příslušníkům klientů se závislostí a závislostním chováním. </w:t>
      </w:r>
    </w:p>
    <w:p w:rsidR="00FB1999" w:rsidRPr="00853F59" w:rsidRDefault="00FB1999" w:rsidP="00806448">
      <w:pPr>
        <w:pStyle w:val="Tun"/>
      </w:pPr>
      <w:r w:rsidRPr="00853F59">
        <w:t>Pracovní skupina se s ohledem na vymezenou cílovou skupinu zaměřila zejména na následující služby definované zákonem o sociálních službách:</w:t>
      </w:r>
    </w:p>
    <w:p w:rsidR="00FB1999" w:rsidRPr="00853F59" w:rsidRDefault="00FB1999" w:rsidP="00D41DBC">
      <w:pPr>
        <w:pStyle w:val="Odstavecseseznamem"/>
        <w:numPr>
          <w:ilvl w:val="0"/>
          <w:numId w:val="95"/>
        </w:numPr>
        <w:spacing w:before="0"/>
      </w:pPr>
      <w:r w:rsidRPr="00853F59">
        <w:t>terénní programy</w:t>
      </w:r>
    </w:p>
    <w:p w:rsidR="00FB1999" w:rsidRPr="00853F59" w:rsidRDefault="00FB1999" w:rsidP="00A34764">
      <w:pPr>
        <w:pStyle w:val="Odstavecseseznamem"/>
        <w:numPr>
          <w:ilvl w:val="0"/>
          <w:numId w:val="95"/>
        </w:numPr>
      </w:pPr>
      <w:r w:rsidRPr="00853F59">
        <w:t>kontaktní centra</w:t>
      </w:r>
    </w:p>
    <w:p w:rsidR="00FB1999" w:rsidRPr="00853F59" w:rsidRDefault="00FB1999" w:rsidP="00A34764">
      <w:pPr>
        <w:pStyle w:val="Odstavecseseznamem"/>
        <w:numPr>
          <w:ilvl w:val="0"/>
          <w:numId w:val="95"/>
        </w:numPr>
      </w:pPr>
      <w:r w:rsidRPr="00853F59">
        <w:t>služby následné péče</w:t>
      </w:r>
    </w:p>
    <w:p w:rsidR="00FB1999" w:rsidRPr="00853F59" w:rsidRDefault="00FB1999" w:rsidP="00A34764">
      <w:pPr>
        <w:pStyle w:val="Odstavecseseznamem"/>
        <w:numPr>
          <w:ilvl w:val="0"/>
          <w:numId w:val="95"/>
        </w:numPr>
      </w:pPr>
      <w:r w:rsidRPr="00853F59">
        <w:t>sociální poradenství</w:t>
      </w:r>
    </w:p>
    <w:p w:rsidR="00FB1999" w:rsidRPr="00853F59" w:rsidRDefault="00FB1999" w:rsidP="00A34764">
      <w:pPr>
        <w:pStyle w:val="Odstavecseseznamem"/>
        <w:numPr>
          <w:ilvl w:val="0"/>
          <w:numId w:val="95"/>
        </w:numPr>
      </w:pPr>
      <w:r w:rsidRPr="00853F59">
        <w:t>terapeutické komunity</w:t>
      </w:r>
    </w:p>
    <w:p w:rsidR="00FB1999" w:rsidRPr="00853F59" w:rsidRDefault="00FB1999" w:rsidP="00A34764">
      <w:pPr>
        <w:rPr>
          <w:rFonts w:eastAsia="Calibri"/>
          <w:lang w:eastAsia="cs-CZ"/>
        </w:rPr>
      </w:pPr>
      <w:r w:rsidRPr="00853F59">
        <w:rPr>
          <w:rFonts w:eastAsia="Calibri"/>
          <w:lang w:eastAsia="cs-CZ"/>
        </w:rPr>
        <w:t xml:space="preserve">Politika </w:t>
      </w:r>
      <w:r>
        <w:rPr>
          <w:rFonts w:eastAsia="Calibri"/>
          <w:lang w:eastAsia="cs-CZ"/>
        </w:rPr>
        <w:t>OK</w:t>
      </w:r>
      <w:r w:rsidRPr="00853F59">
        <w:rPr>
          <w:rFonts w:eastAsia="Calibri"/>
          <w:lang w:eastAsia="cs-CZ"/>
        </w:rPr>
        <w:t xml:space="preserve"> pro oblast závislostního chování je tvořena dvěma základními pilíři – oblastí primární prevence a oblastí snižování rizik, léčby, následné péče a resocializace. </w:t>
      </w:r>
    </w:p>
    <w:p w:rsidR="00FB1999" w:rsidRPr="00853F59" w:rsidRDefault="00FB1999" w:rsidP="00A34764">
      <w:pPr>
        <w:rPr>
          <w:rFonts w:eastAsia="Calibri"/>
          <w:lang w:eastAsia="cs-CZ"/>
        </w:rPr>
      </w:pPr>
      <w:r w:rsidRPr="00853F59">
        <w:rPr>
          <w:rFonts w:eastAsia="Calibri"/>
          <w:lang w:eastAsia="cs-CZ"/>
        </w:rPr>
        <w:t xml:space="preserve">Základním strategickým dokumentem </w:t>
      </w:r>
      <w:r>
        <w:rPr>
          <w:rFonts w:eastAsia="Calibri"/>
          <w:lang w:eastAsia="cs-CZ"/>
        </w:rPr>
        <w:t>OK</w:t>
      </w:r>
      <w:r w:rsidRPr="00853F59">
        <w:rPr>
          <w:rFonts w:eastAsia="Calibri"/>
          <w:lang w:eastAsia="cs-CZ"/>
        </w:rPr>
        <w:t xml:space="preserve"> pro oblast protidrogové politiky je Strategie prevence a</w:t>
      </w:r>
      <w:r>
        <w:rPr>
          <w:rFonts w:eastAsia="Calibri"/>
          <w:lang w:eastAsia="cs-CZ"/>
        </w:rPr>
        <w:t> </w:t>
      </w:r>
      <w:r w:rsidRPr="00853F59">
        <w:rPr>
          <w:rFonts w:eastAsia="Calibri"/>
          <w:lang w:eastAsia="cs-CZ"/>
        </w:rPr>
        <w:t>snižování škod spojených se závislostním chováním v Olomouckém kraji 2023–2026, ve kterém je obsažena oblast primární prevence a oblast snižování rizik, léčby, následné péče a</w:t>
      </w:r>
      <w:r>
        <w:rPr>
          <w:rFonts w:eastAsia="Calibri"/>
          <w:lang w:eastAsia="cs-CZ"/>
        </w:rPr>
        <w:t> </w:t>
      </w:r>
      <w:r w:rsidRPr="00853F59">
        <w:rPr>
          <w:rFonts w:eastAsia="Calibri"/>
          <w:lang w:eastAsia="cs-CZ"/>
        </w:rPr>
        <w:t xml:space="preserve">resocializace. Politika </w:t>
      </w:r>
      <w:r>
        <w:rPr>
          <w:rFonts w:eastAsia="Calibri"/>
          <w:lang w:eastAsia="cs-CZ"/>
        </w:rPr>
        <w:t>OK</w:t>
      </w:r>
      <w:r w:rsidRPr="00853F59">
        <w:rPr>
          <w:rFonts w:eastAsia="Calibri"/>
          <w:lang w:eastAsia="cs-CZ"/>
        </w:rPr>
        <w:t xml:space="preserve"> vnímá propojenost a vzájemné ovlivňování různých typů závislosti, ať už jde o</w:t>
      </w:r>
      <w:r>
        <w:rPr>
          <w:rFonts w:eastAsia="Calibri"/>
          <w:lang w:eastAsia="cs-CZ"/>
        </w:rPr>
        <w:t> </w:t>
      </w:r>
      <w:r w:rsidRPr="00853F59">
        <w:rPr>
          <w:rFonts w:eastAsia="Calibri"/>
          <w:lang w:eastAsia="cs-CZ"/>
        </w:rPr>
        <w:t>zneužívání legálních návykových látek (alkohol, tabák, psychoaktivní léčivé přípravky), nelegálních návykových látek, závislost na hazardních hrách nebo informačních technologiích.</w:t>
      </w:r>
    </w:p>
    <w:p w:rsidR="00FB1999" w:rsidRDefault="00FB1999" w:rsidP="00A34764">
      <w:pPr>
        <w:rPr>
          <w:rFonts w:ascii="Arial" w:eastAsia="Calibri" w:hAnsi="Arial" w:cs="Arial"/>
          <w:sz w:val="24"/>
          <w:szCs w:val="24"/>
          <w:lang w:eastAsia="cs-CZ"/>
        </w:rPr>
      </w:pPr>
      <w:r w:rsidRPr="00853F59">
        <w:rPr>
          <w:rFonts w:eastAsia="Calibri"/>
          <w:lang w:eastAsia="cs-CZ"/>
        </w:rPr>
        <w:t>Implementačním nástrojem Strategie prevence a snižování škod spojených se závislostním chováním v</w:t>
      </w:r>
      <w:r>
        <w:rPr>
          <w:rFonts w:eastAsia="Calibri"/>
          <w:lang w:eastAsia="cs-CZ"/>
        </w:rPr>
        <w:t> </w:t>
      </w:r>
      <w:r w:rsidRPr="00853F59">
        <w:rPr>
          <w:rFonts w:eastAsia="Calibri"/>
          <w:lang w:eastAsia="cs-CZ"/>
        </w:rPr>
        <w:t>Olomouckém kraji 2023–2026 (dále je</w:t>
      </w:r>
      <w:r w:rsidR="00D27B7C">
        <w:rPr>
          <w:rFonts w:eastAsia="Calibri"/>
          <w:lang w:eastAsia="cs-CZ"/>
        </w:rPr>
        <w:t>n</w:t>
      </w:r>
      <w:r w:rsidRPr="00853F59">
        <w:rPr>
          <w:rFonts w:eastAsia="Calibri"/>
          <w:lang w:eastAsia="cs-CZ"/>
        </w:rPr>
        <w:t xml:space="preserve"> „Strategie“) jsou Akční plány realizace této Strategie</w:t>
      </w:r>
      <w:r>
        <w:rPr>
          <w:rFonts w:ascii="Arial" w:eastAsia="Calibri" w:hAnsi="Arial" w:cs="Arial"/>
          <w:sz w:val="24"/>
          <w:szCs w:val="24"/>
          <w:lang w:eastAsia="cs-CZ"/>
        </w:rPr>
        <w:t>.</w:t>
      </w:r>
    </w:p>
    <w:p w:rsidR="00FB1999" w:rsidRDefault="00FB1999" w:rsidP="00806448">
      <w:pPr>
        <w:pStyle w:val="Tun"/>
      </w:pPr>
      <w:r>
        <w:t>SWOT analýza PS 6</w:t>
      </w:r>
      <w:r w:rsidRPr="00853F59">
        <w:t>:</w:t>
      </w:r>
    </w:p>
    <w:tbl>
      <w:tblPr>
        <w:tblpPr w:leftFromText="141" w:rightFromText="141" w:bottomFromText="160" w:vertAnchor="text" w:horzAnchor="margin" w:tblpXSpec="center"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D41DBC" w:rsidRPr="00D41DBC" w:rsidTr="00D41DBC">
        <w:trPr>
          <w:cantSplit/>
          <w:trHeight w:val="350"/>
        </w:trPr>
        <w:tc>
          <w:tcPr>
            <w:tcW w:w="2500" w:type="pct"/>
            <w:tcBorders>
              <w:top w:val="single" w:sz="4" w:space="0" w:color="auto"/>
              <w:left w:val="single" w:sz="4" w:space="0" w:color="auto"/>
              <w:bottom w:val="single" w:sz="4" w:space="0" w:color="auto"/>
              <w:right w:val="single" w:sz="4" w:space="0" w:color="auto"/>
            </w:tcBorders>
            <w:hideMark/>
          </w:tcPr>
          <w:p w:rsidR="00D41DBC" w:rsidRPr="00D41DBC" w:rsidRDefault="00D41DBC" w:rsidP="00D41DBC">
            <w:pPr>
              <w:spacing w:before="0"/>
              <w:jc w:val="center"/>
              <w:rPr>
                <w:rFonts w:eastAsia="Arial Unicode MS" w:cs="Segoe UI"/>
                <w:b/>
                <w:sz w:val="18"/>
                <w:szCs w:val="18"/>
                <w:lang w:eastAsia="cs-CZ"/>
              </w:rPr>
            </w:pPr>
            <w:r w:rsidRPr="00D41DBC">
              <w:rPr>
                <w:rFonts w:eastAsia="Arial Unicode MS" w:cs="Segoe UI"/>
                <w:b/>
                <w:sz w:val="18"/>
                <w:szCs w:val="18"/>
                <w:lang w:eastAsia="cs-CZ"/>
              </w:rPr>
              <w:t>Silné stránky</w:t>
            </w:r>
          </w:p>
        </w:tc>
        <w:tc>
          <w:tcPr>
            <w:tcW w:w="2500" w:type="pct"/>
            <w:tcBorders>
              <w:top w:val="single" w:sz="4" w:space="0" w:color="auto"/>
              <w:left w:val="single" w:sz="4" w:space="0" w:color="auto"/>
              <w:bottom w:val="single" w:sz="4" w:space="0" w:color="auto"/>
              <w:right w:val="single" w:sz="4" w:space="0" w:color="auto"/>
            </w:tcBorders>
            <w:hideMark/>
          </w:tcPr>
          <w:p w:rsidR="00D41DBC" w:rsidRPr="00D41DBC" w:rsidRDefault="00D41DBC" w:rsidP="00D41DBC">
            <w:pPr>
              <w:spacing w:before="0"/>
              <w:jc w:val="center"/>
              <w:rPr>
                <w:rFonts w:eastAsia="Arial Unicode MS" w:cs="Segoe UI"/>
                <w:b/>
                <w:sz w:val="18"/>
                <w:szCs w:val="18"/>
                <w:lang w:eastAsia="cs-CZ"/>
              </w:rPr>
            </w:pPr>
            <w:r w:rsidRPr="00D41DBC">
              <w:rPr>
                <w:rFonts w:eastAsia="Arial Unicode MS" w:cs="Segoe UI"/>
                <w:b/>
                <w:sz w:val="18"/>
                <w:szCs w:val="18"/>
                <w:lang w:eastAsia="cs-CZ"/>
              </w:rPr>
              <w:t>Slabé stránky</w:t>
            </w:r>
          </w:p>
        </w:tc>
      </w:tr>
      <w:tr w:rsidR="00D41DBC" w:rsidRPr="00D41DBC" w:rsidTr="00D41DBC">
        <w:trPr>
          <w:cantSplit/>
          <w:trHeight w:val="20"/>
        </w:trPr>
        <w:tc>
          <w:tcPr>
            <w:tcW w:w="2500" w:type="pct"/>
            <w:tcBorders>
              <w:top w:val="single" w:sz="4" w:space="0" w:color="auto"/>
              <w:left w:val="single" w:sz="4" w:space="0" w:color="auto"/>
              <w:bottom w:val="single" w:sz="4" w:space="0" w:color="auto"/>
              <w:right w:val="single" w:sz="4" w:space="0" w:color="auto"/>
            </w:tcBorders>
            <w:hideMark/>
          </w:tcPr>
          <w:p w:rsidR="00D41DBC" w:rsidRPr="00D41DBC" w:rsidRDefault="00D41DBC" w:rsidP="00984F77">
            <w:pPr>
              <w:pStyle w:val="odrkaSWOT"/>
              <w:jc w:val="both"/>
              <w:rPr>
                <w:rFonts w:eastAsia="Arial Unicode MS"/>
              </w:rPr>
            </w:pPr>
            <w:r w:rsidRPr="00D41DBC">
              <w:rPr>
                <w:rFonts w:eastAsia="Arial Unicode MS"/>
              </w:rPr>
              <w:t xml:space="preserve">Základní síť </w:t>
            </w:r>
            <w:proofErr w:type="spellStart"/>
            <w:r w:rsidRPr="00D41DBC">
              <w:rPr>
                <w:rFonts w:eastAsia="Arial Unicode MS"/>
              </w:rPr>
              <w:t>Adiktologických</w:t>
            </w:r>
            <w:proofErr w:type="spellEnd"/>
            <w:r w:rsidRPr="00D41DBC">
              <w:rPr>
                <w:rFonts w:eastAsia="Arial Unicode MS"/>
              </w:rPr>
              <w:t xml:space="preserve"> služeb: v drogové problematice je rámcově dobře nastavena. Je stabilní a funkční</w:t>
            </w:r>
          </w:p>
          <w:p w:rsidR="00D41DBC" w:rsidRPr="00D41DBC" w:rsidRDefault="00D41DBC" w:rsidP="00984F77">
            <w:pPr>
              <w:pStyle w:val="odrkaSWOT"/>
              <w:jc w:val="both"/>
              <w:rPr>
                <w:rFonts w:eastAsia="Arial Unicode MS"/>
              </w:rPr>
            </w:pPr>
            <w:r w:rsidRPr="00D41DBC">
              <w:rPr>
                <w:rFonts w:eastAsia="Arial Unicode MS"/>
              </w:rPr>
              <w:t>Regionální síť pro uživatele drog je relativně dostupná</w:t>
            </w:r>
          </w:p>
          <w:p w:rsidR="00D41DBC" w:rsidRPr="00D41DBC" w:rsidRDefault="00D41DBC" w:rsidP="00984F77">
            <w:pPr>
              <w:pStyle w:val="odrkaSWOT"/>
              <w:jc w:val="both"/>
              <w:rPr>
                <w:rFonts w:eastAsia="Arial Unicode MS"/>
              </w:rPr>
            </w:pPr>
            <w:r w:rsidRPr="00D41DBC">
              <w:rPr>
                <w:rFonts w:eastAsia="Arial Unicode MS"/>
              </w:rPr>
              <w:t xml:space="preserve">Činnost krajského protidrogového koordinátora (úvazek 1,0) a existence Strategického protidrogového plánu OK </w:t>
            </w:r>
          </w:p>
          <w:p w:rsidR="00D41DBC" w:rsidRPr="00D41DBC" w:rsidRDefault="00D41DBC" w:rsidP="00984F77">
            <w:pPr>
              <w:pStyle w:val="odrkaSWOT"/>
              <w:jc w:val="both"/>
              <w:rPr>
                <w:rFonts w:eastAsia="Arial Unicode MS"/>
              </w:rPr>
            </w:pPr>
            <w:r w:rsidRPr="00D41DBC">
              <w:rPr>
                <w:rFonts w:eastAsia="Arial Unicode MS"/>
              </w:rPr>
              <w:t>Vzájemná spolupráce poskytovatelů služeb a dobrá provázanost a spolupráce sociálních a zdravotních služeb</w:t>
            </w:r>
          </w:p>
          <w:p w:rsidR="00D41DBC" w:rsidRPr="00D41DBC" w:rsidRDefault="00D41DBC" w:rsidP="00984F77">
            <w:pPr>
              <w:pStyle w:val="odrkaSWOT"/>
              <w:jc w:val="both"/>
              <w:rPr>
                <w:rFonts w:eastAsia="Arial Unicode MS"/>
              </w:rPr>
            </w:pPr>
            <w:r w:rsidRPr="00D41DBC">
              <w:rPr>
                <w:rFonts w:eastAsia="Arial Unicode MS"/>
              </w:rPr>
              <w:t>Odborná kvalita služeb v této oblasti na vysoké úrovni</w:t>
            </w:r>
          </w:p>
        </w:tc>
        <w:tc>
          <w:tcPr>
            <w:tcW w:w="2500" w:type="pct"/>
            <w:tcBorders>
              <w:top w:val="single" w:sz="4" w:space="0" w:color="auto"/>
              <w:left w:val="single" w:sz="4" w:space="0" w:color="auto"/>
              <w:bottom w:val="single" w:sz="4" w:space="0" w:color="auto"/>
              <w:right w:val="single" w:sz="4" w:space="0" w:color="auto"/>
            </w:tcBorders>
            <w:hideMark/>
          </w:tcPr>
          <w:p w:rsidR="00D41DBC" w:rsidRPr="00D41DBC" w:rsidRDefault="00D41DBC" w:rsidP="00984F77">
            <w:pPr>
              <w:pStyle w:val="odrkaSWOT"/>
              <w:jc w:val="both"/>
              <w:rPr>
                <w:rFonts w:eastAsia="Arial Unicode MS"/>
              </w:rPr>
            </w:pPr>
            <w:r w:rsidRPr="00D41DBC">
              <w:rPr>
                <w:rFonts w:eastAsia="Arial Unicode MS"/>
              </w:rPr>
              <w:t xml:space="preserve">Základní síť </w:t>
            </w:r>
            <w:proofErr w:type="spellStart"/>
            <w:r w:rsidRPr="00D41DBC">
              <w:rPr>
                <w:rFonts w:eastAsia="Arial Unicode MS"/>
              </w:rPr>
              <w:t>Adiktologických</w:t>
            </w:r>
            <w:proofErr w:type="spellEnd"/>
            <w:r w:rsidRPr="00D41DBC">
              <w:rPr>
                <w:rFonts w:eastAsia="Arial Unicode MS"/>
              </w:rPr>
              <w:t xml:space="preserve"> služeb: Problematika alkoholu i nelátkových závislostí je velmi slabě řešena / silně podhodnocena </w:t>
            </w:r>
          </w:p>
          <w:p w:rsidR="00D41DBC" w:rsidRPr="00D41DBC" w:rsidRDefault="00D41DBC" w:rsidP="00984F77">
            <w:pPr>
              <w:pStyle w:val="odrkaSWOT"/>
              <w:jc w:val="both"/>
              <w:rPr>
                <w:rFonts w:eastAsia="Arial Unicode MS"/>
              </w:rPr>
            </w:pPr>
            <w:r w:rsidRPr="00D41DBC">
              <w:rPr>
                <w:rFonts w:eastAsia="Arial Unicode MS"/>
              </w:rPr>
              <w:t>Absence nízkoprahových služeb pro problémové uživatele alkoholu</w:t>
            </w:r>
          </w:p>
          <w:p w:rsidR="00D41DBC" w:rsidRPr="00D41DBC" w:rsidRDefault="00D41DBC" w:rsidP="00984F77">
            <w:pPr>
              <w:pStyle w:val="odrkaSWOT"/>
              <w:jc w:val="both"/>
              <w:rPr>
                <w:rFonts w:eastAsia="Arial Unicode MS"/>
              </w:rPr>
            </w:pPr>
            <w:r w:rsidRPr="00D41DBC">
              <w:rPr>
                <w:rFonts w:eastAsia="Arial Unicode MS"/>
              </w:rPr>
              <w:t>Nedostatečné (neodpovídající) pokrytí některých lokalit terénními programy i službami pro specifické cílové skupiny</w:t>
            </w:r>
          </w:p>
          <w:p w:rsidR="00D41DBC" w:rsidRPr="00D41DBC" w:rsidRDefault="00D41DBC" w:rsidP="00984F77">
            <w:pPr>
              <w:pStyle w:val="odrkaSWOT"/>
              <w:jc w:val="both"/>
              <w:rPr>
                <w:rFonts w:eastAsia="Arial Unicode MS"/>
              </w:rPr>
            </w:pPr>
            <w:r w:rsidRPr="00D41DBC">
              <w:rPr>
                <w:rFonts w:eastAsia="Arial Unicode MS"/>
              </w:rPr>
              <w:t>Nedostatečná finanční podpora sociálních služeb pro danou cílovou skupinu</w:t>
            </w:r>
          </w:p>
          <w:p w:rsidR="00D41DBC" w:rsidRPr="00D41DBC" w:rsidRDefault="00D41DBC" w:rsidP="00984F77">
            <w:pPr>
              <w:pStyle w:val="odrkaSWOT"/>
              <w:jc w:val="both"/>
              <w:rPr>
                <w:rFonts w:eastAsia="Arial Unicode MS"/>
              </w:rPr>
            </w:pPr>
            <w:r w:rsidRPr="00D41DBC">
              <w:rPr>
                <w:rFonts w:eastAsia="Arial Unicode MS"/>
              </w:rPr>
              <w:t>Nedostatek finančních prostředků na některé typy sociálních služeb např. s nadregionální působností</w:t>
            </w:r>
          </w:p>
          <w:p w:rsidR="00D41DBC" w:rsidRPr="00D41DBC" w:rsidRDefault="00D41DBC" w:rsidP="00984F77">
            <w:pPr>
              <w:pStyle w:val="odrkaSWOT"/>
              <w:jc w:val="both"/>
              <w:rPr>
                <w:rFonts w:eastAsia="Arial Unicode MS"/>
              </w:rPr>
            </w:pPr>
            <w:r w:rsidRPr="00D41DBC">
              <w:rPr>
                <w:rFonts w:eastAsia="Arial Unicode MS"/>
              </w:rPr>
              <w:t>Slabá reálná možnost pružně reagovat na změny a nárůst cílové skupiny</w:t>
            </w:r>
          </w:p>
        </w:tc>
      </w:tr>
      <w:tr w:rsidR="00D41DBC" w:rsidRPr="00D41DBC" w:rsidTr="00D41DBC">
        <w:trPr>
          <w:cantSplit/>
          <w:trHeight w:val="20"/>
        </w:trPr>
        <w:tc>
          <w:tcPr>
            <w:tcW w:w="2500" w:type="pct"/>
            <w:tcBorders>
              <w:top w:val="single" w:sz="4" w:space="0" w:color="auto"/>
              <w:left w:val="single" w:sz="4" w:space="0" w:color="auto"/>
              <w:bottom w:val="single" w:sz="4" w:space="0" w:color="auto"/>
              <w:right w:val="single" w:sz="4" w:space="0" w:color="auto"/>
            </w:tcBorders>
            <w:vAlign w:val="bottom"/>
            <w:hideMark/>
          </w:tcPr>
          <w:p w:rsidR="00D41DBC" w:rsidRPr="00D41DBC" w:rsidRDefault="00D41DBC" w:rsidP="00D41DBC">
            <w:pPr>
              <w:spacing w:before="0"/>
              <w:ind w:left="360"/>
              <w:jc w:val="center"/>
              <w:rPr>
                <w:rFonts w:eastAsia="Arial Unicode MS" w:cs="Segoe UI"/>
                <w:b/>
                <w:sz w:val="18"/>
                <w:szCs w:val="18"/>
                <w:lang w:eastAsia="cs-CZ"/>
              </w:rPr>
            </w:pPr>
            <w:r w:rsidRPr="00D41DBC">
              <w:rPr>
                <w:rFonts w:eastAsia="Arial Unicode MS" w:cs="Segoe UI"/>
                <w:b/>
                <w:sz w:val="18"/>
                <w:szCs w:val="18"/>
                <w:lang w:eastAsia="cs-CZ"/>
              </w:rPr>
              <w:t>Příležitosti</w:t>
            </w:r>
          </w:p>
        </w:tc>
        <w:tc>
          <w:tcPr>
            <w:tcW w:w="2500" w:type="pct"/>
            <w:tcBorders>
              <w:top w:val="single" w:sz="4" w:space="0" w:color="auto"/>
              <w:left w:val="single" w:sz="4" w:space="0" w:color="auto"/>
              <w:bottom w:val="single" w:sz="4" w:space="0" w:color="auto"/>
              <w:right w:val="single" w:sz="4" w:space="0" w:color="auto"/>
            </w:tcBorders>
            <w:vAlign w:val="bottom"/>
            <w:hideMark/>
          </w:tcPr>
          <w:p w:rsidR="00D41DBC" w:rsidRPr="00D41DBC" w:rsidRDefault="00D41DBC" w:rsidP="00D41DBC">
            <w:pPr>
              <w:spacing w:before="0"/>
              <w:ind w:left="360"/>
              <w:jc w:val="center"/>
              <w:rPr>
                <w:rFonts w:eastAsia="Arial Unicode MS" w:cs="Segoe UI"/>
                <w:b/>
                <w:sz w:val="18"/>
                <w:szCs w:val="18"/>
                <w:lang w:eastAsia="cs-CZ"/>
              </w:rPr>
            </w:pPr>
            <w:r w:rsidRPr="00D41DBC">
              <w:rPr>
                <w:rFonts w:eastAsia="Arial Unicode MS" w:cs="Segoe UI"/>
                <w:b/>
                <w:sz w:val="18"/>
                <w:szCs w:val="18"/>
                <w:lang w:eastAsia="cs-CZ"/>
              </w:rPr>
              <w:t>Hrozby</w:t>
            </w:r>
          </w:p>
        </w:tc>
      </w:tr>
      <w:tr w:rsidR="00D41DBC" w:rsidRPr="00D41DBC" w:rsidTr="00D41DBC">
        <w:trPr>
          <w:cantSplit/>
          <w:trHeight w:val="2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41DBC" w:rsidRPr="00D41DBC" w:rsidRDefault="00D41DBC" w:rsidP="00984F77">
            <w:pPr>
              <w:pStyle w:val="odrkaSWOT"/>
              <w:jc w:val="both"/>
              <w:rPr>
                <w:rFonts w:eastAsia="Arial Unicode MS"/>
              </w:rPr>
            </w:pPr>
            <w:r w:rsidRPr="00D41DBC">
              <w:rPr>
                <w:rFonts w:eastAsia="Arial Unicode MS"/>
              </w:rPr>
              <w:t xml:space="preserve">Systémové navýšení financování </w:t>
            </w:r>
            <w:proofErr w:type="spellStart"/>
            <w:r w:rsidRPr="00D41DBC">
              <w:rPr>
                <w:rFonts w:eastAsia="Arial Unicode MS"/>
              </w:rPr>
              <w:t>adiktologických</w:t>
            </w:r>
            <w:proofErr w:type="spellEnd"/>
            <w:r w:rsidRPr="00D41DBC">
              <w:rPr>
                <w:rFonts w:eastAsia="Arial Unicode MS"/>
              </w:rPr>
              <w:t xml:space="preserve"> služeb ze zdrojů kraje </w:t>
            </w:r>
          </w:p>
          <w:p w:rsidR="00D41DBC" w:rsidRPr="00D41DBC" w:rsidRDefault="00D41DBC" w:rsidP="00984F77">
            <w:pPr>
              <w:pStyle w:val="odrkaSWOT"/>
              <w:jc w:val="both"/>
              <w:rPr>
                <w:rFonts w:eastAsia="Arial Unicode MS"/>
              </w:rPr>
            </w:pPr>
            <w:r w:rsidRPr="00D41DBC">
              <w:rPr>
                <w:rFonts w:eastAsia="Arial Unicode MS"/>
              </w:rPr>
              <w:t>Rozvoj služeb pro uživatele alkoholu buď vznikem nových, nebo transformací stávajících služeb</w:t>
            </w:r>
          </w:p>
          <w:p w:rsidR="00D41DBC" w:rsidRPr="00D41DBC" w:rsidRDefault="00D41DBC" w:rsidP="00984F77">
            <w:pPr>
              <w:pStyle w:val="odrkaSWOT"/>
              <w:jc w:val="both"/>
              <w:rPr>
                <w:rFonts w:eastAsia="Arial Unicode MS"/>
              </w:rPr>
            </w:pPr>
            <w:r w:rsidRPr="00D41DBC">
              <w:rPr>
                <w:rFonts w:eastAsia="Arial Unicode MS"/>
              </w:rPr>
              <w:t xml:space="preserve">Monitoring profilu uživatelů při vícečetných závislostech v souvislosti s psychiatrickými </w:t>
            </w:r>
            <w:r w:rsidRPr="00D41DBC">
              <w:rPr>
                <w:rFonts w:eastAsia="Arial Unicode MS"/>
              </w:rPr>
              <w:lastRenderedPageBreak/>
              <w:t>poruchami v kontextu nastavení služeb. Možnost rozšíření cílové skupiny</w:t>
            </w:r>
          </w:p>
          <w:p w:rsidR="00D41DBC" w:rsidRPr="00D41DBC" w:rsidRDefault="00D41DBC" w:rsidP="00984F77">
            <w:pPr>
              <w:pStyle w:val="odrkaSWOT"/>
              <w:jc w:val="both"/>
              <w:rPr>
                <w:rFonts w:eastAsia="Arial Unicode MS"/>
              </w:rPr>
            </w:pPr>
            <w:r w:rsidRPr="00D41DBC">
              <w:rPr>
                <w:rFonts w:eastAsia="Arial Unicode MS"/>
              </w:rPr>
              <w:t>Obce by měly v rámci svých koncepčních dokumentů zohledňovat a dlouhodobě se podílet na aktivním řešení drogové problematiky</w:t>
            </w:r>
          </w:p>
          <w:p w:rsidR="00D41DBC" w:rsidRPr="00D41DBC" w:rsidRDefault="00D41DBC" w:rsidP="00984F77">
            <w:pPr>
              <w:pStyle w:val="odrkaSWOT"/>
              <w:jc w:val="both"/>
              <w:rPr>
                <w:rFonts w:eastAsia="Arial Unicode MS"/>
              </w:rPr>
            </w:pPr>
            <w:r w:rsidRPr="00D41DBC">
              <w:rPr>
                <w:rFonts w:eastAsia="Arial Unicode MS"/>
              </w:rPr>
              <w:t>Víceleté a stabilní financování prostředků pro oblast protidrogové politiky</w:t>
            </w:r>
          </w:p>
          <w:p w:rsidR="00D41DBC" w:rsidRPr="00D41DBC" w:rsidRDefault="00D41DBC" w:rsidP="00984F77">
            <w:pPr>
              <w:pStyle w:val="odrkaSWOT"/>
              <w:jc w:val="both"/>
              <w:rPr>
                <w:rFonts w:eastAsia="Arial Unicode MS"/>
              </w:rPr>
            </w:pPr>
            <w:r w:rsidRPr="00D41DBC">
              <w:rPr>
                <w:rFonts w:eastAsia="Arial Unicode MS"/>
              </w:rPr>
              <w:t>Tvorba dlouhodobé a strukturované primární prevence založené na certifikovaných programech</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41DBC" w:rsidRPr="00D41DBC" w:rsidRDefault="00D41DBC" w:rsidP="00984F77">
            <w:pPr>
              <w:pStyle w:val="odrkaSWOT"/>
              <w:jc w:val="both"/>
              <w:rPr>
                <w:rFonts w:eastAsia="Arial Unicode MS"/>
              </w:rPr>
            </w:pPr>
            <w:r w:rsidRPr="00D41DBC">
              <w:rPr>
                <w:rFonts w:eastAsia="Arial Unicode MS"/>
              </w:rPr>
              <w:lastRenderedPageBreak/>
              <w:t xml:space="preserve">Nedostatečná kapacita poskytovatelů pro řešení nárůstu </w:t>
            </w:r>
            <w:proofErr w:type="spellStart"/>
            <w:r w:rsidRPr="00D41DBC">
              <w:rPr>
                <w:rFonts w:eastAsia="Arial Unicode MS"/>
              </w:rPr>
              <w:t>adiktologických</w:t>
            </w:r>
            <w:proofErr w:type="spellEnd"/>
            <w:r w:rsidRPr="00D41DBC">
              <w:rPr>
                <w:rFonts w:eastAsia="Arial Unicode MS"/>
              </w:rPr>
              <w:t xml:space="preserve"> uživatelů (odmítání klientů z kapacitních důvodů)</w:t>
            </w:r>
          </w:p>
          <w:p w:rsidR="00D41DBC" w:rsidRPr="00D41DBC" w:rsidRDefault="00D41DBC" w:rsidP="00984F77">
            <w:pPr>
              <w:pStyle w:val="odrkaSWOT"/>
              <w:jc w:val="both"/>
              <w:rPr>
                <w:rFonts w:eastAsia="Arial Unicode MS"/>
              </w:rPr>
            </w:pPr>
            <w:r w:rsidRPr="00D41DBC">
              <w:rPr>
                <w:rFonts w:eastAsia="Arial Unicode MS"/>
              </w:rPr>
              <w:t>Nárůst nových typů závislostí a rizikového chování (např. nelátkových závislostí)</w:t>
            </w:r>
          </w:p>
          <w:p w:rsidR="00D41DBC" w:rsidRPr="00D41DBC" w:rsidRDefault="00D41DBC" w:rsidP="00984F77">
            <w:pPr>
              <w:pStyle w:val="odrkaSWOT"/>
              <w:jc w:val="both"/>
              <w:rPr>
                <w:rFonts w:eastAsia="Arial Unicode MS"/>
              </w:rPr>
            </w:pPr>
            <w:r w:rsidRPr="00D41DBC">
              <w:rPr>
                <w:rFonts w:eastAsia="Arial Unicode MS"/>
              </w:rPr>
              <w:lastRenderedPageBreak/>
              <w:t>Nestabilita a nejistota, roztříštěnost, nekompatibilnost ve financování služeb v této oblasti</w:t>
            </w:r>
          </w:p>
          <w:p w:rsidR="00D41DBC" w:rsidRPr="00D41DBC" w:rsidRDefault="00D41DBC" w:rsidP="00984F77">
            <w:pPr>
              <w:pStyle w:val="odrkaSWOT"/>
              <w:jc w:val="both"/>
              <w:rPr>
                <w:rFonts w:eastAsia="Arial Unicode MS"/>
              </w:rPr>
            </w:pPr>
            <w:r w:rsidRPr="00D41DBC">
              <w:rPr>
                <w:rFonts w:eastAsia="Arial Unicode MS"/>
              </w:rPr>
              <w:t>Nedostatečná provázanost a nestabilita legislativy v této oblasti</w:t>
            </w:r>
          </w:p>
          <w:p w:rsidR="00D41DBC" w:rsidRPr="00D41DBC" w:rsidRDefault="00D41DBC" w:rsidP="00984F77">
            <w:pPr>
              <w:pStyle w:val="odrkaSWOT"/>
              <w:jc w:val="both"/>
              <w:rPr>
                <w:rFonts w:eastAsia="Arial Unicode MS"/>
              </w:rPr>
            </w:pPr>
            <w:r w:rsidRPr="00D41DBC">
              <w:rPr>
                <w:rFonts w:eastAsia="Arial Unicode MS"/>
              </w:rPr>
              <w:t>Nedostatek kapacit v pobytových službách pro klienty se speciálními potřebami</w:t>
            </w:r>
          </w:p>
          <w:p w:rsidR="00D41DBC" w:rsidRPr="00D41DBC" w:rsidRDefault="00D41DBC" w:rsidP="00984F77">
            <w:pPr>
              <w:pStyle w:val="odrkaSWOT"/>
              <w:jc w:val="both"/>
              <w:rPr>
                <w:rFonts w:eastAsia="Arial Unicode MS"/>
              </w:rPr>
            </w:pPr>
            <w:r w:rsidRPr="00D41DBC">
              <w:rPr>
                <w:rFonts w:eastAsia="Arial Unicode MS"/>
              </w:rPr>
              <w:t>Nedostatek finančních prostředků na primární prevenci</w:t>
            </w:r>
          </w:p>
        </w:tc>
      </w:tr>
    </w:tbl>
    <w:p w:rsidR="00FB1999" w:rsidRDefault="00FB1999" w:rsidP="00A34764">
      <w:pPr>
        <w:pStyle w:val="Nadpis3"/>
      </w:pPr>
      <w:bookmarkStart w:id="237" w:name="_Toc113622094"/>
      <w:bookmarkStart w:id="238" w:name="_Toc117607009"/>
      <w:r w:rsidRPr="007C2EB2">
        <w:lastRenderedPageBreak/>
        <w:t>Seznam cílů a opatření</w:t>
      </w:r>
      <w:bookmarkEnd w:id="237"/>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2"/>
        <w:gridCol w:w="6940"/>
      </w:tblGrid>
      <w:tr w:rsidR="00FB1999" w:rsidRPr="009D55D2" w:rsidTr="00D41DBC">
        <w:trPr>
          <w:trHeight w:val="397"/>
        </w:trPr>
        <w:tc>
          <w:tcPr>
            <w:tcW w:w="1171" w:type="pct"/>
            <w:tcBorders>
              <w:top w:val="single" w:sz="4" w:space="0" w:color="auto"/>
              <w:left w:val="single" w:sz="4" w:space="0" w:color="auto"/>
              <w:bottom w:val="single" w:sz="4" w:space="0" w:color="auto"/>
              <w:right w:val="single" w:sz="4" w:space="0" w:color="auto"/>
            </w:tcBorders>
            <w:shd w:val="clear" w:color="auto" w:fill="FABF8F"/>
            <w:tcMar>
              <w:top w:w="0" w:type="dxa"/>
              <w:left w:w="108" w:type="dxa"/>
              <w:bottom w:w="0" w:type="dxa"/>
              <w:right w:w="108" w:type="dxa"/>
            </w:tcMar>
            <w:vAlign w:val="center"/>
            <w:hideMark/>
          </w:tcPr>
          <w:p w:rsidR="00FB1999" w:rsidRPr="00D41DBC" w:rsidRDefault="00FB1999" w:rsidP="00D41DBC">
            <w:pPr>
              <w:spacing w:before="0"/>
              <w:rPr>
                <w:rFonts w:eastAsia="Arial Unicode MS"/>
                <w:b/>
                <w:lang w:eastAsia="cs-CZ"/>
              </w:rPr>
            </w:pPr>
            <w:r w:rsidRPr="00D41DBC">
              <w:rPr>
                <w:rFonts w:eastAsia="Arial Unicode MS"/>
                <w:b/>
                <w:lang w:eastAsia="cs-CZ"/>
              </w:rPr>
              <w:t>Cíl 6.1</w:t>
            </w:r>
          </w:p>
        </w:tc>
        <w:tc>
          <w:tcPr>
            <w:tcW w:w="3829" w:type="pct"/>
            <w:tcBorders>
              <w:top w:val="single" w:sz="4" w:space="0" w:color="auto"/>
              <w:left w:val="single" w:sz="4" w:space="0" w:color="auto"/>
              <w:bottom w:val="single" w:sz="4" w:space="0" w:color="auto"/>
              <w:right w:val="single" w:sz="4" w:space="0" w:color="auto"/>
            </w:tcBorders>
            <w:shd w:val="clear" w:color="auto" w:fill="FABF8F"/>
            <w:tcMar>
              <w:top w:w="0" w:type="dxa"/>
              <w:left w:w="108" w:type="dxa"/>
              <w:bottom w:w="0" w:type="dxa"/>
              <w:right w:w="108" w:type="dxa"/>
            </w:tcMar>
            <w:vAlign w:val="center"/>
            <w:hideMark/>
          </w:tcPr>
          <w:p w:rsidR="00FB1999" w:rsidRPr="00D41DBC" w:rsidRDefault="00FB1999" w:rsidP="00D41DBC">
            <w:pPr>
              <w:spacing w:before="0"/>
              <w:rPr>
                <w:rFonts w:eastAsia="Arial Unicode MS"/>
                <w:b/>
                <w:lang w:eastAsia="cs-CZ"/>
              </w:rPr>
            </w:pPr>
            <w:r w:rsidRPr="00D41DBC">
              <w:rPr>
                <w:rFonts w:eastAsia="Arial Unicode MS"/>
                <w:b/>
                <w:lang w:eastAsia="cs-CZ"/>
              </w:rPr>
              <w:t xml:space="preserve">Zajištění potřebného rozsahu sociálních služeb pro osoby ohrožené závislostí nebo závislé na návykových látkách v OK </w:t>
            </w:r>
          </w:p>
        </w:tc>
      </w:tr>
      <w:tr w:rsidR="00FB1999" w:rsidRPr="009D55D2" w:rsidTr="00D41DBC">
        <w:trPr>
          <w:trHeight w:val="397"/>
        </w:trPr>
        <w:tc>
          <w:tcPr>
            <w:tcW w:w="1171"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hideMark/>
          </w:tcPr>
          <w:p w:rsidR="00FB1999" w:rsidRPr="00D41DBC" w:rsidRDefault="00FB1999" w:rsidP="00D41DBC">
            <w:pPr>
              <w:spacing w:before="0"/>
              <w:rPr>
                <w:rFonts w:eastAsia="Arial Unicode MS"/>
                <w:b/>
                <w:lang w:eastAsia="cs-CZ"/>
              </w:rPr>
            </w:pPr>
            <w:r w:rsidRPr="00D41DBC">
              <w:rPr>
                <w:rFonts w:eastAsia="Arial Unicode MS"/>
                <w:b/>
                <w:lang w:eastAsia="cs-CZ"/>
              </w:rPr>
              <w:t>Opatření 6.1.1</w:t>
            </w:r>
          </w:p>
        </w:tc>
        <w:tc>
          <w:tcPr>
            <w:tcW w:w="3829"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hideMark/>
          </w:tcPr>
          <w:p w:rsidR="00FB1999" w:rsidRPr="009D55D2" w:rsidRDefault="00FB1999" w:rsidP="00D41DBC">
            <w:pPr>
              <w:spacing w:before="0"/>
              <w:rPr>
                <w:rFonts w:eastAsia="Arial Unicode MS"/>
                <w:lang w:eastAsia="cs-CZ"/>
              </w:rPr>
            </w:pPr>
            <w:r w:rsidRPr="009D55D2">
              <w:rPr>
                <w:rFonts w:eastAsia="Arial Unicode MS"/>
                <w:lang w:eastAsia="cs-CZ"/>
              </w:rPr>
              <w:t>Zajištění potřebného rozsahu sociálních služeb pro osoby ohrožené závislostí nebo závislé na návykových látkách v OK</w:t>
            </w:r>
          </w:p>
        </w:tc>
      </w:tr>
      <w:tr w:rsidR="00FB1999" w:rsidRPr="009D55D2" w:rsidTr="00D41DBC">
        <w:trPr>
          <w:cantSplit/>
          <w:trHeight w:val="397"/>
        </w:trPr>
        <w:tc>
          <w:tcPr>
            <w:tcW w:w="1171" w:type="pct"/>
            <w:tcBorders>
              <w:top w:val="single" w:sz="4" w:space="0" w:color="auto"/>
              <w:left w:val="single" w:sz="4" w:space="0" w:color="auto"/>
              <w:bottom w:val="single" w:sz="4" w:space="0" w:color="auto"/>
              <w:right w:val="single" w:sz="4" w:space="0" w:color="auto"/>
            </w:tcBorders>
            <w:shd w:val="clear" w:color="auto" w:fill="FABF8F"/>
            <w:tcMar>
              <w:top w:w="0" w:type="dxa"/>
              <w:left w:w="108" w:type="dxa"/>
              <w:bottom w:w="0" w:type="dxa"/>
              <w:right w:w="108" w:type="dxa"/>
            </w:tcMar>
            <w:vAlign w:val="center"/>
            <w:hideMark/>
          </w:tcPr>
          <w:p w:rsidR="00FB1999" w:rsidRPr="00D41DBC" w:rsidRDefault="00FB1999" w:rsidP="00D41DBC">
            <w:pPr>
              <w:spacing w:before="0"/>
              <w:rPr>
                <w:rFonts w:eastAsia="Calibri"/>
                <w:b/>
              </w:rPr>
            </w:pPr>
            <w:r w:rsidRPr="00D41DBC">
              <w:rPr>
                <w:rFonts w:eastAsia="Calibri"/>
                <w:b/>
              </w:rPr>
              <w:t>Cíl 6.2</w:t>
            </w:r>
          </w:p>
        </w:tc>
        <w:tc>
          <w:tcPr>
            <w:tcW w:w="3829" w:type="pct"/>
            <w:tcBorders>
              <w:top w:val="single" w:sz="4" w:space="0" w:color="auto"/>
              <w:left w:val="single" w:sz="4" w:space="0" w:color="auto"/>
              <w:bottom w:val="single" w:sz="4" w:space="0" w:color="auto"/>
              <w:right w:val="single" w:sz="4" w:space="0" w:color="auto"/>
            </w:tcBorders>
            <w:shd w:val="clear" w:color="auto" w:fill="FABF8F"/>
            <w:tcMar>
              <w:top w:w="0" w:type="dxa"/>
              <w:left w:w="108" w:type="dxa"/>
              <w:bottom w:w="0" w:type="dxa"/>
              <w:right w:w="108" w:type="dxa"/>
            </w:tcMar>
            <w:hideMark/>
          </w:tcPr>
          <w:p w:rsidR="00FB1999" w:rsidRPr="00D41DBC" w:rsidRDefault="00FB1999" w:rsidP="00D41DBC">
            <w:pPr>
              <w:spacing w:before="0"/>
              <w:rPr>
                <w:rFonts w:eastAsia="Calibri"/>
                <w:b/>
              </w:rPr>
            </w:pPr>
            <w:r w:rsidRPr="00D41DBC">
              <w:rPr>
                <w:rFonts w:eastAsia="Calibri"/>
                <w:b/>
              </w:rPr>
              <w:t>Zajištění služby kontaktního centra pro osoby ohrožené závislostí nebo závislé na návykových látkách v OK</w:t>
            </w:r>
          </w:p>
        </w:tc>
      </w:tr>
      <w:tr w:rsidR="00FB1999" w:rsidRPr="009D55D2" w:rsidTr="00D41DBC">
        <w:trPr>
          <w:trHeight w:val="397"/>
        </w:trPr>
        <w:tc>
          <w:tcPr>
            <w:tcW w:w="1171"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hideMark/>
          </w:tcPr>
          <w:p w:rsidR="00FB1999" w:rsidRPr="00D41DBC" w:rsidRDefault="00FB1999" w:rsidP="00D41DBC">
            <w:pPr>
              <w:spacing w:before="0"/>
              <w:rPr>
                <w:rFonts w:eastAsia="Arial Unicode MS"/>
                <w:b/>
                <w:lang w:eastAsia="cs-CZ"/>
              </w:rPr>
            </w:pPr>
            <w:r w:rsidRPr="00D41DBC">
              <w:rPr>
                <w:rFonts w:eastAsia="Arial Unicode MS"/>
                <w:b/>
                <w:lang w:eastAsia="cs-CZ"/>
              </w:rPr>
              <w:t>Opatření 6.2.1</w:t>
            </w:r>
          </w:p>
        </w:tc>
        <w:tc>
          <w:tcPr>
            <w:tcW w:w="3829"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hideMark/>
          </w:tcPr>
          <w:p w:rsidR="00FB1999" w:rsidRPr="009D55D2" w:rsidRDefault="00FB1999" w:rsidP="00D41DBC">
            <w:pPr>
              <w:spacing w:before="0"/>
              <w:rPr>
                <w:rFonts w:eastAsia="Arial Unicode MS"/>
                <w:lang w:eastAsia="cs-CZ"/>
              </w:rPr>
            </w:pPr>
            <w:r w:rsidRPr="009D55D2">
              <w:rPr>
                <w:rFonts w:eastAsia="Arial Unicode MS"/>
                <w:lang w:eastAsia="cs-CZ"/>
              </w:rPr>
              <w:t>Zajištění ambulantní nebo terénní služby kontaktního centra 3</w:t>
            </w:r>
            <w:r w:rsidR="004348BF">
              <w:rPr>
                <w:rFonts w:eastAsia="Arial Unicode MS"/>
                <w:lang w:eastAsia="cs-CZ"/>
              </w:rPr>
              <w:t> </w:t>
            </w:r>
            <w:r w:rsidRPr="009D55D2">
              <w:rPr>
                <w:rFonts w:eastAsia="Arial Unicode MS"/>
                <w:lang w:eastAsia="cs-CZ"/>
              </w:rPr>
              <w:t>pracovními úvazky pracovníků v přímé péči v ORP Olomouc pro osoby závislé na alkoholu</w:t>
            </w:r>
          </w:p>
        </w:tc>
      </w:tr>
    </w:tbl>
    <w:p w:rsidR="00FB1999" w:rsidRDefault="00FB1999" w:rsidP="00A34764">
      <w:pPr>
        <w:pStyle w:val="Nadpis3"/>
      </w:pPr>
      <w:bookmarkStart w:id="239" w:name="_Toc117607010"/>
      <w:r>
        <w:t>Popis cílů a opatření</w:t>
      </w:r>
      <w:bookmarkEnd w:id="239"/>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45"/>
      </w:tblGrid>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FABF8F"/>
            <w:hideMark/>
          </w:tcPr>
          <w:p w:rsidR="00FB1999" w:rsidRPr="00D41DBC" w:rsidRDefault="00FB1999" w:rsidP="00D41DBC">
            <w:pPr>
              <w:keepNext/>
              <w:spacing w:before="0"/>
              <w:jc w:val="left"/>
              <w:rPr>
                <w:rFonts w:eastAsia="Arial Unicode MS"/>
                <w:b/>
                <w:lang w:eastAsia="cs-CZ"/>
              </w:rPr>
            </w:pPr>
            <w:r w:rsidRPr="00D41DBC">
              <w:rPr>
                <w:rFonts w:eastAsia="Arial Unicode MS"/>
                <w:b/>
                <w:lang w:eastAsia="cs-CZ"/>
              </w:rPr>
              <w:t>Cíl 6.1</w:t>
            </w:r>
          </w:p>
        </w:tc>
        <w:tc>
          <w:tcPr>
            <w:tcW w:w="3830" w:type="pct"/>
            <w:tcBorders>
              <w:top w:val="single" w:sz="4" w:space="0" w:color="auto"/>
              <w:left w:val="single" w:sz="4" w:space="0" w:color="auto"/>
              <w:bottom w:val="single" w:sz="4" w:space="0" w:color="auto"/>
              <w:right w:val="single" w:sz="4" w:space="0" w:color="auto"/>
            </w:tcBorders>
            <w:shd w:val="clear" w:color="auto" w:fill="FABF8F"/>
            <w:hideMark/>
          </w:tcPr>
          <w:p w:rsidR="00FB1999" w:rsidRPr="00D41DBC" w:rsidRDefault="00FB1999" w:rsidP="00D41DBC">
            <w:pPr>
              <w:keepNext/>
              <w:spacing w:before="0"/>
              <w:rPr>
                <w:rFonts w:eastAsia="Calibri"/>
                <w:b/>
                <w:color w:val="000000" w:themeColor="text1"/>
              </w:rPr>
            </w:pPr>
            <w:r w:rsidRPr="00D41DBC">
              <w:rPr>
                <w:rFonts w:eastAsia="Arial Unicode MS"/>
                <w:b/>
                <w:lang w:eastAsia="cs-CZ"/>
              </w:rPr>
              <w:t>Zajištění potřebného rozsahu sociálních služeb pro osoby ohrožené závislostí nebo závislé na návykových látkách v OK</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FB1999" w:rsidRPr="00D41DBC" w:rsidRDefault="00FB1999" w:rsidP="00D41DBC">
            <w:pPr>
              <w:keepNext/>
              <w:spacing w:before="0"/>
              <w:jc w:val="left"/>
              <w:rPr>
                <w:rFonts w:eastAsia="Arial Unicode MS"/>
                <w:b/>
                <w:lang w:eastAsia="cs-CZ"/>
              </w:rPr>
            </w:pPr>
            <w:r w:rsidRPr="00D41DBC">
              <w:rPr>
                <w:rFonts w:eastAsia="Arial Unicode MS"/>
                <w:b/>
                <w:lang w:eastAsia="cs-CZ"/>
              </w:rPr>
              <w:t xml:space="preserve">Kód opatření </w:t>
            </w:r>
          </w:p>
        </w:tc>
        <w:tc>
          <w:tcPr>
            <w:tcW w:w="383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FB1999" w:rsidRPr="00D41DBC" w:rsidRDefault="00FB1999" w:rsidP="00D41DBC">
            <w:pPr>
              <w:keepNext/>
              <w:spacing w:before="0"/>
              <w:rPr>
                <w:rFonts w:eastAsia="Arial Unicode MS"/>
                <w:b/>
                <w:lang w:eastAsia="cs-CZ"/>
              </w:rPr>
            </w:pPr>
            <w:r w:rsidRPr="00D41DBC">
              <w:rPr>
                <w:rFonts w:eastAsia="Arial Unicode MS"/>
                <w:b/>
                <w:lang w:eastAsia="cs-CZ"/>
              </w:rPr>
              <w:t>6.1.1</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FB1999" w:rsidRPr="00D41DBC" w:rsidRDefault="00FB1999" w:rsidP="00D41DBC">
            <w:pPr>
              <w:keepNext/>
              <w:spacing w:before="0"/>
              <w:jc w:val="left"/>
              <w:rPr>
                <w:rFonts w:eastAsia="Arial Unicode MS"/>
                <w:b/>
                <w:lang w:eastAsia="cs-CZ"/>
              </w:rPr>
            </w:pPr>
            <w:r w:rsidRPr="00D41DBC">
              <w:rPr>
                <w:rFonts w:eastAsia="Arial Unicode MS"/>
                <w:b/>
                <w:lang w:eastAsia="cs-CZ"/>
              </w:rPr>
              <w:t>Název opatření</w:t>
            </w:r>
          </w:p>
        </w:tc>
        <w:tc>
          <w:tcPr>
            <w:tcW w:w="3830"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FB1999" w:rsidRPr="00D41DBC" w:rsidRDefault="00FB1999" w:rsidP="00D41DBC">
            <w:pPr>
              <w:keepNext/>
              <w:spacing w:before="0"/>
              <w:rPr>
                <w:rFonts w:eastAsia="Arial Unicode MS"/>
                <w:b/>
                <w:lang w:eastAsia="cs-CZ"/>
              </w:rPr>
            </w:pPr>
            <w:r w:rsidRPr="00D41DBC">
              <w:rPr>
                <w:rFonts w:eastAsia="Arial Unicode MS"/>
                <w:b/>
                <w:lang w:eastAsia="cs-CZ"/>
              </w:rPr>
              <w:t>Zajištění potřebného rozsahu sociálních služeb pro osoby ohrožené závislostí nebo závislé na návykových látkách v OK</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Arial Unicode MS"/>
                <w:b/>
                <w:lang w:eastAsia="cs-CZ"/>
              </w:rPr>
            </w:pPr>
            <w:r w:rsidRPr="00D41DBC">
              <w:rPr>
                <w:rFonts w:eastAsia="Arial Unicode MS"/>
                <w:b/>
                <w:lang w:eastAsia="cs-CZ"/>
              </w:rPr>
              <w:t>Charakteristika opatření</w:t>
            </w:r>
          </w:p>
        </w:tc>
        <w:tc>
          <w:tcPr>
            <w:tcW w:w="3830" w:type="pct"/>
            <w:tcBorders>
              <w:top w:val="single" w:sz="4" w:space="0" w:color="auto"/>
              <w:left w:val="single" w:sz="4" w:space="0" w:color="auto"/>
              <w:bottom w:val="single" w:sz="4" w:space="0" w:color="auto"/>
              <w:right w:val="single" w:sz="4" w:space="0" w:color="auto"/>
            </w:tcBorders>
            <w:hideMark/>
          </w:tcPr>
          <w:p w:rsidR="00FB1999" w:rsidRPr="002E27E9" w:rsidRDefault="00FB1999" w:rsidP="00D41DBC">
            <w:pPr>
              <w:spacing w:before="0"/>
              <w:rPr>
                <w:rFonts w:eastAsia="Arial Unicode MS"/>
                <w:color w:val="000000" w:themeColor="text1"/>
                <w:lang w:eastAsia="cs-CZ"/>
              </w:rPr>
            </w:pPr>
            <w:r w:rsidRPr="002E27E9">
              <w:rPr>
                <w:rFonts w:eastAsia="Arial Unicode MS"/>
                <w:lang w:eastAsia="cs-CZ"/>
              </w:rPr>
              <w:t>Opatření směřuje k optimalizaci (pozn. k přesunu nevyužitých kapacit služby do území, kde se vyskytla poptávka po službě) a k</w:t>
            </w:r>
            <w:r w:rsidR="00D01683">
              <w:rPr>
                <w:rFonts w:eastAsia="Arial Unicode MS"/>
                <w:lang w:eastAsia="cs-CZ"/>
              </w:rPr>
              <w:t> </w:t>
            </w:r>
            <w:r w:rsidRPr="002E27E9">
              <w:rPr>
                <w:rFonts w:eastAsia="Arial Unicode MS"/>
                <w:lang w:eastAsia="cs-CZ"/>
              </w:rPr>
              <w:t>případnému</w:t>
            </w:r>
            <w:r w:rsidR="00D01683">
              <w:rPr>
                <w:rFonts w:eastAsia="Arial Unicode MS"/>
                <w:lang w:eastAsia="cs-CZ"/>
              </w:rPr>
              <w:t xml:space="preserve"> </w:t>
            </w:r>
            <w:r w:rsidRPr="002E27E9">
              <w:rPr>
                <w:rFonts w:eastAsia="Arial Unicode MS"/>
                <w:lang w:eastAsia="cs-CZ"/>
              </w:rPr>
              <w:t>rozvoji kapacit služeb</w:t>
            </w:r>
            <w:r w:rsidR="00D01683">
              <w:rPr>
                <w:rFonts w:eastAsia="Arial Unicode MS"/>
                <w:b/>
                <w:color w:val="000000" w:themeColor="text1"/>
                <w:lang w:eastAsia="cs-CZ"/>
              </w:rPr>
              <w:t xml:space="preserve"> </w:t>
            </w:r>
            <w:r w:rsidRPr="002E27E9">
              <w:rPr>
                <w:rFonts w:eastAsia="Arial Unicode MS"/>
                <w:color w:val="000000" w:themeColor="text1"/>
                <w:lang w:eastAsia="cs-CZ"/>
              </w:rPr>
              <w:t xml:space="preserve">pro </w:t>
            </w:r>
            <w:r w:rsidRPr="002E27E9">
              <w:rPr>
                <w:rFonts w:eastAsia="Arial Unicode MS"/>
                <w:lang w:eastAsia="cs-CZ"/>
              </w:rPr>
              <w:t>osoby ohrožené závislostí nebo závislé na návykových látkách na základě zjištěné potřebnosti na území OK</w:t>
            </w:r>
            <w:r>
              <w:rPr>
                <w:rFonts w:eastAsia="Arial Unicode MS"/>
                <w:lang w:eastAsia="cs-CZ"/>
              </w:rPr>
              <w:t>.</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Arial Unicode MS"/>
                <w:b/>
                <w:lang w:eastAsia="cs-CZ"/>
              </w:rPr>
            </w:pPr>
            <w:r w:rsidRPr="00D41DBC">
              <w:rPr>
                <w:rFonts w:eastAsia="Arial Unicode MS"/>
                <w:b/>
                <w:lang w:eastAsia="cs-CZ"/>
              </w:rPr>
              <w:t>Cílová skupina</w:t>
            </w:r>
          </w:p>
        </w:tc>
        <w:tc>
          <w:tcPr>
            <w:tcW w:w="3830" w:type="pct"/>
            <w:tcBorders>
              <w:top w:val="single" w:sz="4" w:space="0" w:color="auto"/>
              <w:left w:val="single" w:sz="4" w:space="0" w:color="auto"/>
              <w:bottom w:val="single" w:sz="4" w:space="0" w:color="auto"/>
              <w:right w:val="single" w:sz="4" w:space="0" w:color="auto"/>
            </w:tcBorders>
            <w:hideMark/>
          </w:tcPr>
          <w:p w:rsidR="00FB1999" w:rsidRPr="002E27E9" w:rsidRDefault="00FB1999" w:rsidP="00D41DBC">
            <w:pPr>
              <w:spacing w:before="0"/>
              <w:rPr>
                <w:rFonts w:eastAsia="Arial Unicode MS"/>
                <w:lang w:eastAsia="cs-CZ"/>
              </w:rPr>
            </w:pPr>
            <w:r w:rsidRPr="002E27E9">
              <w:rPr>
                <w:rFonts w:eastAsia="Arial Unicode MS"/>
                <w:lang w:eastAsia="cs-CZ"/>
              </w:rPr>
              <w:t>Osoby ohrožené závislostí nebo závislé na návykových látkách</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Arial Unicode MS"/>
                <w:b/>
                <w:lang w:eastAsia="cs-CZ"/>
              </w:rPr>
            </w:pPr>
            <w:r w:rsidRPr="00D41DBC">
              <w:rPr>
                <w:rFonts w:eastAsia="Arial Unicode MS"/>
                <w:b/>
                <w:lang w:eastAsia="cs-CZ"/>
              </w:rPr>
              <w:t>Druh služby</w:t>
            </w:r>
          </w:p>
        </w:tc>
        <w:tc>
          <w:tcPr>
            <w:tcW w:w="3830" w:type="pct"/>
            <w:tcBorders>
              <w:top w:val="single" w:sz="4" w:space="0" w:color="auto"/>
              <w:left w:val="single" w:sz="4" w:space="0" w:color="auto"/>
              <w:bottom w:val="single" w:sz="4" w:space="0" w:color="auto"/>
              <w:right w:val="single" w:sz="4" w:space="0" w:color="auto"/>
            </w:tcBorders>
            <w:hideMark/>
          </w:tcPr>
          <w:p w:rsidR="00FB1999" w:rsidRPr="002E27E9" w:rsidRDefault="00FB1999" w:rsidP="00D41DBC">
            <w:pPr>
              <w:spacing w:before="0"/>
              <w:rPr>
                <w:rFonts w:eastAsia="Calibri"/>
              </w:rPr>
            </w:pPr>
            <w:r w:rsidRPr="002E27E9">
              <w:rPr>
                <w:lang w:eastAsia="cs-CZ"/>
              </w:rPr>
              <w:t xml:space="preserve">Terénní programy </w:t>
            </w:r>
            <w:r w:rsidRPr="002E27E9">
              <w:rPr>
                <w:rFonts w:eastAsia="Calibri"/>
              </w:rPr>
              <w:t>(§ 69)</w:t>
            </w:r>
          </w:p>
          <w:p w:rsidR="00FB1999" w:rsidRPr="002E27E9" w:rsidRDefault="00FB1999" w:rsidP="00D41DBC">
            <w:pPr>
              <w:spacing w:before="0"/>
              <w:rPr>
                <w:rFonts w:eastAsia="Arial Unicode MS"/>
                <w:lang w:eastAsia="cs-CZ"/>
              </w:rPr>
            </w:pPr>
            <w:r w:rsidRPr="002E27E9">
              <w:rPr>
                <w:rFonts w:eastAsia="Arial Unicode MS"/>
                <w:lang w:eastAsia="cs-CZ"/>
              </w:rPr>
              <w:t>Kontaktní centra (§ 59)</w:t>
            </w:r>
          </w:p>
          <w:p w:rsidR="00FB1999" w:rsidRPr="002E27E9" w:rsidRDefault="00FB1999" w:rsidP="00D41DBC">
            <w:pPr>
              <w:spacing w:before="0"/>
              <w:rPr>
                <w:rFonts w:eastAsia="Arial Unicode MS"/>
                <w:lang w:eastAsia="cs-CZ"/>
              </w:rPr>
            </w:pPr>
            <w:r w:rsidRPr="002E27E9">
              <w:rPr>
                <w:rFonts w:eastAsia="Arial Unicode MS"/>
                <w:lang w:eastAsia="cs-CZ"/>
              </w:rPr>
              <w:t>Služby následné péče (§ 64</w:t>
            </w:r>
            <w:r w:rsidR="00E00EA8">
              <w:rPr>
                <w:rFonts w:eastAsia="Arial Unicode MS"/>
                <w:lang w:eastAsia="cs-CZ"/>
              </w:rPr>
              <w:t>)</w:t>
            </w:r>
          </w:p>
          <w:p w:rsidR="00FB1999" w:rsidRPr="002E27E9" w:rsidRDefault="00FB1999" w:rsidP="00D41DBC">
            <w:pPr>
              <w:spacing w:before="0"/>
              <w:rPr>
                <w:rFonts w:eastAsia="Arial Unicode MS"/>
                <w:lang w:eastAsia="cs-CZ"/>
              </w:rPr>
            </w:pPr>
            <w:r w:rsidRPr="002E27E9">
              <w:rPr>
                <w:rFonts w:eastAsia="Arial Unicode MS"/>
                <w:lang w:eastAsia="cs-CZ"/>
              </w:rPr>
              <w:t>Odborné sociální poradenství (§ 37)</w:t>
            </w:r>
          </w:p>
          <w:p w:rsidR="00FB1999" w:rsidRPr="002E27E9" w:rsidRDefault="00FB1999" w:rsidP="00D41DBC">
            <w:pPr>
              <w:spacing w:before="0"/>
              <w:rPr>
                <w:rFonts w:eastAsia="Arial Unicode MS"/>
                <w:lang w:eastAsia="cs-CZ"/>
              </w:rPr>
            </w:pPr>
            <w:r w:rsidRPr="002E27E9">
              <w:rPr>
                <w:rFonts w:eastAsia="Arial Unicode MS"/>
                <w:lang w:eastAsia="cs-CZ"/>
              </w:rPr>
              <w:t>Terapeutické komunity (§ 68)</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Arial Unicode MS"/>
                <w:b/>
                <w:lang w:eastAsia="cs-CZ"/>
              </w:rPr>
            </w:pPr>
            <w:r w:rsidRPr="00D41DBC">
              <w:rPr>
                <w:rFonts w:eastAsia="Arial Unicode MS"/>
                <w:b/>
                <w:lang w:eastAsia="cs-CZ"/>
              </w:rPr>
              <w:t>Forma služby</w:t>
            </w:r>
          </w:p>
        </w:tc>
        <w:tc>
          <w:tcPr>
            <w:tcW w:w="3830" w:type="pct"/>
            <w:tcBorders>
              <w:top w:val="single" w:sz="4" w:space="0" w:color="auto"/>
              <w:left w:val="single" w:sz="4" w:space="0" w:color="auto"/>
              <w:bottom w:val="single" w:sz="4" w:space="0" w:color="auto"/>
              <w:right w:val="single" w:sz="4" w:space="0" w:color="auto"/>
            </w:tcBorders>
            <w:hideMark/>
          </w:tcPr>
          <w:p w:rsidR="00FB1999" w:rsidRPr="002E27E9" w:rsidRDefault="00FB1999" w:rsidP="00D41DBC">
            <w:pPr>
              <w:spacing w:before="0"/>
              <w:rPr>
                <w:rFonts w:eastAsia="Arial Unicode MS"/>
                <w:lang w:eastAsia="cs-CZ"/>
              </w:rPr>
            </w:pPr>
            <w:r w:rsidRPr="002E27E9">
              <w:rPr>
                <w:rFonts w:eastAsia="Calibri"/>
              </w:rPr>
              <w:t>Terénní, ambulantní, pobytová</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Arial Unicode MS"/>
                <w:b/>
                <w:lang w:eastAsia="cs-CZ"/>
              </w:rPr>
            </w:pPr>
            <w:r w:rsidRPr="00D41DBC">
              <w:rPr>
                <w:rFonts w:eastAsia="Arial Unicode MS"/>
                <w:b/>
                <w:lang w:eastAsia="cs-CZ"/>
              </w:rPr>
              <w:t>Vymezení územního dopadu opatření</w:t>
            </w:r>
          </w:p>
        </w:tc>
        <w:tc>
          <w:tcPr>
            <w:tcW w:w="3830" w:type="pct"/>
            <w:tcBorders>
              <w:top w:val="single" w:sz="4" w:space="0" w:color="auto"/>
              <w:left w:val="single" w:sz="4" w:space="0" w:color="auto"/>
              <w:bottom w:val="single" w:sz="4" w:space="0" w:color="auto"/>
              <w:right w:val="single" w:sz="4" w:space="0" w:color="auto"/>
            </w:tcBorders>
            <w:hideMark/>
          </w:tcPr>
          <w:p w:rsidR="00FB1999" w:rsidRPr="002E27E9" w:rsidRDefault="00FB1999" w:rsidP="00D41DBC">
            <w:pPr>
              <w:spacing w:before="0"/>
              <w:rPr>
                <w:rFonts w:eastAsia="Arial Unicode MS"/>
                <w:lang w:eastAsia="cs-CZ"/>
              </w:rPr>
            </w:pPr>
            <w:r w:rsidRPr="002E27E9">
              <w:rPr>
                <w:lang w:eastAsia="cs-CZ"/>
              </w:rPr>
              <w:t>OK</w:t>
            </w:r>
          </w:p>
        </w:tc>
      </w:tr>
      <w:tr w:rsidR="00FB1999" w:rsidRPr="002E27E9" w:rsidTr="00D41DBC">
        <w:trPr>
          <w:cantSplit/>
          <w:trHeight w:val="1559"/>
          <w:jc w:val="center"/>
        </w:trPr>
        <w:tc>
          <w:tcPr>
            <w:tcW w:w="1170"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Arial Unicode MS"/>
                <w:b/>
                <w:lang w:eastAsia="cs-CZ"/>
              </w:rPr>
            </w:pPr>
            <w:r w:rsidRPr="00D41DBC">
              <w:rPr>
                <w:rFonts w:eastAsia="Arial Unicode MS"/>
                <w:b/>
                <w:lang w:eastAsia="cs-CZ"/>
              </w:rPr>
              <w:t>Předpokládaný dopad opatření</w:t>
            </w:r>
          </w:p>
        </w:tc>
        <w:tc>
          <w:tcPr>
            <w:tcW w:w="3830" w:type="pct"/>
            <w:tcBorders>
              <w:top w:val="single" w:sz="4" w:space="0" w:color="auto"/>
              <w:left w:val="single" w:sz="4" w:space="0" w:color="auto"/>
              <w:bottom w:val="single" w:sz="4" w:space="0" w:color="auto"/>
              <w:right w:val="single" w:sz="4" w:space="0" w:color="auto"/>
            </w:tcBorders>
            <w:hideMark/>
          </w:tcPr>
          <w:p w:rsidR="00FB1999" w:rsidRPr="002E27E9" w:rsidRDefault="00FB1999" w:rsidP="00D41DBC">
            <w:pPr>
              <w:spacing w:before="0"/>
              <w:rPr>
                <w:rFonts w:eastAsia="Arial Unicode MS"/>
                <w:lang w:eastAsia="cs-CZ"/>
              </w:rPr>
            </w:pPr>
            <w:r w:rsidRPr="002E27E9">
              <w:rPr>
                <w:rFonts w:eastAsia="Arial Unicode MS"/>
                <w:lang w:eastAsia="cs-CZ"/>
              </w:rPr>
              <w:t>Osoby závislé na návykových látkách nebo se závislostním chováním mají v</w:t>
            </w:r>
            <w:r w:rsidR="00E00EA8">
              <w:rPr>
                <w:rFonts w:eastAsia="Arial Unicode MS"/>
                <w:lang w:eastAsia="cs-CZ"/>
              </w:rPr>
              <w:t> </w:t>
            </w:r>
            <w:r w:rsidRPr="002E27E9">
              <w:rPr>
                <w:rFonts w:eastAsia="Arial Unicode MS"/>
                <w:lang w:eastAsia="cs-CZ"/>
              </w:rPr>
              <w:t>daném regionu zajištěnu odpovídající podporu a</w:t>
            </w:r>
            <w:r>
              <w:rPr>
                <w:rFonts w:eastAsia="Arial Unicode MS"/>
                <w:lang w:eastAsia="cs-CZ"/>
              </w:rPr>
              <w:t> </w:t>
            </w:r>
            <w:r w:rsidRPr="002E27E9">
              <w:rPr>
                <w:rFonts w:eastAsia="Arial Unicode MS"/>
                <w:lang w:eastAsia="cs-CZ"/>
              </w:rPr>
              <w:t>pomoc v rozsahu základních činností daných registrací služby, která vyhovuje jejich individuálně určeným potřebám. Opatření má dopad na zajištění poptávky po službách, na jejich optimalizaci, dostupnost a zkvalitňování na území OK.</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Arial Unicode MS"/>
                <w:b/>
                <w:lang w:eastAsia="cs-CZ"/>
              </w:rPr>
            </w:pPr>
            <w:r w:rsidRPr="00D41DBC">
              <w:rPr>
                <w:rFonts w:eastAsia="Arial Unicode MS"/>
                <w:b/>
                <w:lang w:eastAsia="cs-CZ"/>
              </w:rPr>
              <w:lastRenderedPageBreak/>
              <w:t>Aktivity vedoucí k naplnění opatření</w:t>
            </w:r>
          </w:p>
        </w:tc>
        <w:tc>
          <w:tcPr>
            <w:tcW w:w="3830" w:type="pct"/>
            <w:tcBorders>
              <w:top w:val="single" w:sz="4" w:space="0" w:color="auto"/>
              <w:left w:val="single" w:sz="4" w:space="0" w:color="auto"/>
              <w:bottom w:val="single" w:sz="4" w:space="0" w:color="auto"/>
              <w:right w:val="single" w:sz="4" w:space="0" w:color="auto"/>
            </w:tcBorders>
            <w:hideMark/>
          </w:tcPr>
          <w:p w:rsidR="00FB1999" w:rsidRPr="002E27E9" w:rsidRDefault="00FB1999" w:rsidP="00D41DBC">
            <w:pPr>
              <w:pStyle w:val="Odstavecseseznamem"/>
              <w:numPr>
                <w:ilvl w:val="0"/>
                <w:numId w:val="198"/>
              </w:numPr>
              <w:spacing w:before="0" w:line="240" w:lineRule="auto"/>
            </w:pPr>
            <w:r w:rsidRPr="002E27E9">
              <w:t>Monitoring jednotek zařazených v síti sociálních služeb</w:t>
            </w:r>
          </w:p>
          <w:p w:rsidR="00FB1999" w:rsidRPr="002E27E9" w:rsidRDefault="00FB1999" w:rsidP="00D41DBC">
            <w:pPr>
              <w:pStyle w:val="Odstavecseseznamem"/>
              <w:numPr>
                <w:ilvl w:val="0"/>
                <w:numId w:val="198"/>
              </w:numPr>
              <w:spacing w:before="0" w:line="240" w:lineRule="auto"/>
            </w:pPr>
            <w:r w:rsidRPr="002E27E9">
              <w:t>Projednání předloženého záměru poskytovatele sociálních služeb v</w:t>
            </w:r>
            <w:r w:rsidR="00E00EA8">
              <w:t> </w:t>
            </w:r>
            <w:r w:rsidRPr="002E27E9">
              <w:t xml:space="preserve">souladu se schválenými postupy pro aktualizaci sítě sociálních služeb OK </w:t>
            </w:r>
          </w:p>
          <w:p w:rsidR="00FB1999" w:rsidRPr="002E27E9" w:rsidRDefault="00FB1999" w:rsidP="00D41DBC">
            <w:pPr>
              <w:pStyle w:val="Odstavecseseznamem"/>
              <w:numPr>
                <w:ilvl w:val="0"/>
                <w:numId w:val="198"/>
              </w:numPr>
              <w:spacing w:before="0" w:line="240" w:lineRule="auto"/>
            </w:pPr>
            <w:r w:rsidRPr="002E27E9">
              <w:t>Při vyjádření pozitivního stanoviska OK aktualizace sítě sociálních služeb dle schválených změn</w:t>
            </w:r>
          </w:p>
          <w:p w:rsidR="00FB1999" w:rsidRPr="00A34764" w:rsidRDefault="00FB1999" w:rsidP="00D41DBC">
            <w:pPr>
              <w:pStyle w:val="Odstavecseseznamem"/>
              <w:numPr>
                <w:ilvl w:val="0"/>
                <w:numId w:val="198"/>
              </w:numPr>
              <w:spacing w:before="0" w:line="240" w:lineRule="auto"/>
            </w:pPr>
            <w:r w:rsidRPr="00A34764">
              <w:t>Činnost protidrogového koordinátora</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t>Rizika a ohrožení naplnění opatření</w:t>
            </w:r>
          </w:p>
        </w:tc>
        <w:tc>
          <w:tcPr>
            <w:tcW w:w="3830" w:type="pct"/>
            <w:tcBorders>
              <w:top w:val="single" w:sz="4" w:space="0" w:color="auto"/>
              <w:left w:val="single" w:sz="4" w:space="0" w:color="auto"/>
              <w:bottom w:val="single" w:sz="4" w:space="0" w:color="auto"/>
              <w:right w:val="single" w:sz="4" w:space="0" w:color="auto"/>
            </w:tcBorders>
            <w:hideMark/>
          </w:tcPr>
          <w:p w:rsidR="00FB1999" w:rsidRPr="00A34764" w:rsidRDefault="00FB1999" w:rsidP="00D41DBC">
            <w:pPr>
              <w:pStyle w:val="Odstavecseseznamem"/>
              <w:numPr>
                <w:ilvl w:val="0"/>
                <w:numId w:val="199"/>
              </w:numPr>
              <w:spacing w:before="0" w:line="240" w:lineRule="auto"/>
            </w:pPr>
            <w:r w:rsidRPr="00A34764">
              <w:t>Neprojevení zájmu poskytovatelů sociálních služeb o plnění cíle a</w:t>
            </w:r>
            <w:r w:rsidR="00E00EA8">
              <w:t> </w:t>
            </w:r>
            <w:r w:rsidRPr="00A34764">
              <w:t>opatření</w:t>
            </w:r>
          </w:p>
          <w:p w:rsidR="00FB1999" w:rsidRPr="00A34764" w:rsidRDefault="00FB1999" w:rsidP="00D41DBC">
            <w:pPr>
              <w:pStyle w:val="Odstavecseseznamem"/>
              <w:numPr>
                <w:ilvl w:val="0"/>
                <w:numId w:val="199"/>
              </w:numPr>
              <w:spacing w:before="0" w:line="240" w:lineRule="auto"/>
            </w:pPr>
            <w:r w:rsidRPr="00A34764">
              <w:t xml:space="preserve">Nesplnění kritérií dle Postupu pro aktualizaci sítě sociálních služeb OK vedoucí k neschválení žádosti poskytovatele </w:t>
            </w:r>
          </w:p>
          <w:p w:rsidR="00FB1999" w:rsidRPr="00A34764" w:rsidRDefault="00FB1999" w:rsidP="00D41DBC">
            <w:pPr>
              <w:pStyle w:val="Odstavecseseznamem"/>
              <w:numPr>
                <w:ilvl w:val="0"/>
                <w:numId w:val="199"/>
              </w:numPr>
              <w:spacing w:before="0" w:line="240" w:lineRule="auto"/>
            </w:pPr>
            <w:r w:rsidRPr="00A34764">
              <w:t>Nesplnění podmínek registrace poskytovaných sociálních služeb</w:t>
            </w:r>
          </w:p>
          <w:p w:rsidR="00FB1999" w:rsidRPr="00A34764" w:rsidRDefault="00FB1999" w:rsidP="00D41DBC">
            <w:pPr>
              <w:pStyle w:val="Odstavecseseznamem"/>
              <w:numPr>
                <w:ilvl w:val="0"/>
                <w:numId w:val="199"/>
              </w:numPr>
              <w:spacing w:before="0" w:line="240" w:lineRule="auto"/>
            </w:pPr>
            <w:r w:rsidRPr="00A34764">
              <w:t xml:space="preserve">Nedostatek lidských zdrojů </w:t>
            </w:r>
          </w:p>
          <w:p w:rsidR="00FB1999" w:rsidRPr="00A34764" w:rsidRDefault="00FB1999" w:rsidP="00D41DBC">
            <w:pPr>
              <w:pStyle w:val="Odstavecseseznamem"/>
              <w:numPr>
                <w:ilvl w:val="0"/>
                <w:numId w:val="199"/>
              </w:numPr>
              <w:spacing w:before="0" w:line="240" w:lineRule="auto"/>
            </w:pPr>
            <w:r w:rsidRPr="00A34764">
              <w:t>Nedostatek finančních prostředků z veřejných zdrojů</w:t>
            </w:r>
          </w:p>
          <w:p w:rsidR="00FB1999" w:rsidRPr="00A34764" w:rsidRDefault="00FB1999" w:rsidP="00D41DBC">
            <w:pPr>
              <w:pStyle w:val="Odstavecseseznamem"/>
              <w:numPr>
                <w:ilvl w:val="0"/>
                <w:numId w:val="199"/>
              </w:numPr>
              <w:spacing w:before="0" w:line="240" w:lineRule="auto"/>
            </w:pPr>
            <w:r w:rsidRPr="00A34764">
              <w:t>Legislativní změny</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Arial Unicode MS"/>
                <w:b/>
                <w:lang w:eastAsia="cs-CZ"/>
              </w:rPr>
            </w:pPr>
            <w:r w:rsidRPr="00D41DBC">
              <w:rPr>
                <w:rFonts w:eastAsia="Arial Unicode MS"/>
                <w:b/>
                <w:lang w:eastAsia="cs-CZ"/>
              </w:rPr>
              <w:t xml:space="preserve">Předpokládaní realizátoři </w:t>
            </w:r>
            <w:r w:rsidRPr="00D41DBC">
              <w:rPr>
                <w:rFonts w:eastAsia="Arial Unicode MS"/>
                <w:b/>
                <w:lang w:eastAsia="cs-CZ"/>
              </w:rPr>
              <w:br/>
              <w:t>a partneři opatření</w:t>
            </w:r>
          </w:p>
        </w:tc>
        <w:tc>
          <w:tcPr>
            <w:tcW w:w="3830" w:type="pct"/>
            <w:tcBorders>
              <w:top w:val="single" w:sz="4" w:space="0" w:color="auto"/>
              <w:left w:val="single" w:sz="4" w:space="0" w:color="auto"/>
              <w:bottom w:val="single" w:sz="4" w:space="0" w:color="auto"/>
              <w:right w:val="single" w:sz="4" w:space="0" w:color="auto"/>
            </w:tcBorders>
            <w:hideMark/>
          </w:tcPr>
          <w:p w:rsidR="00FB1999" w:rsidRPr="002E27E9" w:rsidRDefault="00FB1999" w:rsidP="00D41DBC">
            <w:pPr>
              <w:spacing w:before="0"/>
              <w:rPr>
                <w:rFonts w:eastAsia="Arial Unicode MS"/>
                <w:lang w:eastAsia="cs-CZ"/>
              </w:rPr>
            </w:pPr>
            <w:r w:rsidRPr="002E27E9">
              <w:rPr>
                <w:rFonts w:eastAsia="Arial Unicode MS"/>
                <w:lang w:eastAsia="cs-CZ"/>
              </w:rPr>
              <w:t>Poskytovatelé sociálních služeb pro dané cílové skupiny osob, kraj, obce</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Arial Unicode MS"/>
                <w:b/>
                <w:lang w:eastAsia="cs-CZ"/>
              </w:rPr>
            </w:pPr>
            <w:r w:rsidRPr="00D41DBC">
              <w:rPr>
                <w:rFonts w:eastAsia="Arial Unicode MS"/>
                <w:b/>
                <w:lang w:eastAsia="cs-CZ"/>
              </w:rPr>
              <w:t>Časový harmonogram</w:t>
            </w:r>
          </w:p>
        </w:tc>
        <w:tc>
          <w:tcPr>
            <w:tcW w:w="3830" w:type="pct"/>
            <w:tcBorders>
              <w:top w:val="single" w:sz="4" w:space="0" w:color="auto"/>
              <w:left w:val="single" w:sz="4" w:space="0" w:color="auto"/>
              <w:bottom w:val="single" w:sz="4" w:space="0" w:color="auto"/>
              <w:right w:val="single" w:sz="4" w:space="0" w:color="auto"/>
            </w:tcBorders>
            <w:hideMark/>
          </w:tcPr>
          <w:p w:rsidR="00FB1999" w:rsidRPr="002E27E9" w:rsidRDefault="00E213F4" w:rsidP="00D41DBC">
            <w:pPr>
              <w:spacing w:before="0"/>
              <w:rPr>
                <w:rFonts w:eastAsia="Arial Unicode MS"/>
                <w:lang w:eastAsia="cs-CZ"/>
              </w:rPr>
            </w:pPr>
            <w:r>
              <w:rPr>
                <w:rFonts w:eastAsia="Arial Unicode MS"/>
                <w:lang w:eastAsia="cs-CZ"/>
              </w:rPr>
              <w:t>2024–2026</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Arial Unicode MS"/>
                <w:b/>
                <w:lang w:eastAsia="cs-CZ"/>
              </w:rPr>
            </w:pPr>
            <w:r w:rsidRPr="00D41DBC">
              <w:rPr>
                <w:rFonts w:eastAsia="Arial Unicode MS"/>
                <w:b/>
                <w:lang w:eastAsia="cs-CZ"/>
              </w:rPr>
              <w:t>Předpokládané finanční zdroje</w:t>
            </w:r>
          </w:p>
        </w:tc>
        <w:tc>
          <w:tcPr>
            <w:tcW w:w="3830" w:type="pct"/>
            <w:tcBorders>
              <w:top w:val="single" w:sz="4" w:space="0" w:color="auto"/>
              <w:left w:val="single" w:sz="4" w:space="0" w:color="auto"/>
              <w:bottom w:val="single" w:sz="4" w:space="0" w:color="auto"/>
              <w:right w:val="single" w:sz="4" w:space="0" w:color="auto"/>
            </w:tcBorders>
            <w:hideMark/>
          </w:tcPr>
          <w:p w:rsidR="00FB1999" w:rsidRPr="002E27E9" w:rsidRDefault="00FB1999" w:rsidP="00D41DBC">
            <w:pPr>
              <w:spacing w:before="0"/>
              <w:rPr>
                <w:rFonts w:eastAsia="Arial Unicode MS"/>
                <w:lang w:eastAsia="cs-CZ"/>
              </w:rPr>
            </w:pPr>
            <w:r w:rsidRPr="002E27E9">
              <w:rPr>
                <w:rFonts w:eastAsia="Arial Unicode MS"/>
                <w:lang w:eastAsia="cs-CZ"/>
              </w:rPr>
              <w:t>Veřejné zdroje, evropské zdroje a ostatní zdroje financování</w:t>
            </w:r>
          </w:p>
        </w:tc>
      </w:tr>
      <w:tr w:rsidR="00FB1999" w:rsidRPr="002E27E9" w:rsidTr="00D41DBC">
        <w:trPr>
          <w:cantSplit/>
          <w:trHeight w:val="397"/>
          <w:jc w:val="center"/>
        </w:trPr>
        <w:tc>
          <w:tcPr>
            <w:tcW w:w="1170"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Arial Unicode MS"/>
                <w:b/>
                <w:lang w:eastAsia="cs-CZ"/>
              </w:rPr>
            </w:pPr>
            <w:r w:rsidRPr="00D41DBC">
              <w:rPr>
                <w:rFonts w:eastAsia="Arial Unicode MS"/>
                <w:b/>
                <w:lang w:eastAsia="cs-CZ"/>
              </w:rPr>
              <w:t>Hodnotící indikátory výstupů a výsledků</w:t>
            </w:r>
          </w:p>
        </w:tc>
        <w:tc>
          <w:tcPr>
            <w:tcW w:w="3830" w:type="pct"/>
            <w:tcBorders>
              <w:top w:val="single" w:sz="4" w:space="0" w:color="auto"/>
              <w:left w:val="single" w:sz="4" w:space="0" w:color="auto"/>
              <w:bottom w:val="single" w:sz="4" w:space="0" w:color="auto"/>
              <w:right w:val="single" w:sz="4" w:space="0" w:color="auto"/>
            </w:tcBorders>
            <w:hideMark/>
          </w:tcPr>
          <w:p w:rsidR="00FB1999" w:rsidRPr="00A34764" w:rsidRDefault="00FB1999" w:rsidP="00D41DBC">
            <w:pPr>
              <w:pStyle w:val="Odstavecseseznamem"/>
              <w:numPr>
                <w:ilvl w:val="0"/>
                <w:numId w:val="15"/>
              </w:numPr>
              <w:spacing w:before="0" w:line="240" w:lineRule="auto"/>
            </w:pPr>
            <w:r w:rsidRPr="00A34764">
              <w:t>Zajištění sociálních služeb v daném regionu</w:t>
            </w:r>
          </w:p>
          <w:p w:rsidR="00FB1999" w:rsidRPr="00A34764" w:rsidRDefault="00FB1999" w:rsidP="00D41DBC">
            <w:pPr>
              <w:pStyle w:val="Odstavecseseznamem"/>
              <w:numPr>
                <w:ilvl w:val="0"/>
                <w:numId w:val="15"/>
              </w:numPr>
              <w:spacing w:before="0" w:line="240" w:lineRule="auto"/>
            </w:pPr>
            <w:r w:rsidRPr="00A34764">
              <w:t>Aktualizace sítě sociálních služeb dle schválených změn</w:t>
            </w:r>
          </w:p>
        </w:tc>
      </w:tr>
    </w:tbl>
    <w:p w:rsidR="00FB1999" w:rsidRDefault="00FB1999" w:rsidP="00D41DBC">
      <w:pPr>
        <w:pStyle w:val="1text"/>
        <w:spacing w:before="0"/>
        <w:rPr>
          <w:rFonts w:eastAsiaTheme="majorEastAs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40"/>
      </w:tblGrid>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FABF8F"/>
            <w:hideMark/>
          </w:tcPr>
          <w:p w:rsidR="00FB1999" w:rsidRPr="00D41DBC" w:rsidRDefault="00FB1999" w:rsidP="00D41DBC">
            <w:pPr>
              <w:keepNext/>
              <w:spacing w:before="0"/>
              <w:jc w:val="left"/>
              <w:rPr>
                <w:rFonts w:eastAsia="Calibri"/>
                <w:b/>
              </w:rPr>
            </w:pPr>
            <w:r w:rsidRPr="00D41DBC">
              <w:rPr>
                <w:rFonts w:eastAsia="Calibri"/>
                <w:b/>
              </w:rPr>
              <w:t>Cíl 6.2</w:t>
            </w:r>
          </w:p>
        </w:tc>
        <w:tc>
          <w:tcPr>
            <w:tcW w:w="3829" w:type="pct"/>
            <w:tcBorders>
              <w:top w:val="single" w:sz="4" w:space="0" w:color="auto"/>
              <w:left w:val="single" w:sz="4" w:space="0" w:color="auto"/>
              <w:bottom w:val="single" w:sz="4" w:space="0" w:color="auto"/>
              <w:right w:val="single" w:sz="4" w:space="0" w:color="auto"/>
            </w:tcBorders>
            <w:shd w:val="clear" w:color="auto" w:fill="FABF8F"/>
            <w:hideMark/>
          </w:tcPr>
          <w:p w:rsidR="00FB1999" w:rsidRPr="00D41DBC" w:rsidRDefault="00FB1999" w:rsidP="00D41DBC">
            <w:pPr>
              <w:keepNext/>
              <w:spacing w:before="0"/>
              <w:rPr>
                <w:rFonts w:eastAsia="Calibri"/>
                <w:b/>
              </w:rPr>
            </w:pPr>
            <w:r w:rsidRPr="00D41DBC">
              <w:rPr>
                <w:rFonts w:eastAsia="Calibri"/>
                <w:b/>
              </w:rPr>
              <w:t>Zajištění služby kontaktního centra pro osoby ohrožené závislostí nebo závislé na návykových látkách v OK</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FB1999" w:rsidRPr="00D41DBC" w:rsidRDefault="00FB1999" w:rsidP="00D41DBC">
            <w:pPr>
              <w:keepNext/>
              <w:spacing w:before="0"/>
              <w:jc w:val="left"/>
              <w:rPr>
                <w:rFonts w:eastAsia="Calibri"/>
                <w:b/>
              </w:rPr>
            </w:pPr>
            <w:r w:rsidRPr="00D41DBC">
              <w:rPr>
                <w:rFonts w:eastAsia="Calibri"/>
                <w:b/>
              </w:rPr>
              <w:t xml:space="preserve">Kód opatření </w:t>
            </w:r>
          </w:p>
        </w:tc>
        <w:tc>
          <w:tcPr>
            <w:tcW w:w="382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FB1999" w:rsidRPr="00D41DBC" w:rsidRDefault="00FB1999" w:rsidP="00D41DBC">
            <w:pPr>
              <w:keepNext/>
              <w:spacing w:before="0"/>
              <w:rPr>
                <w:rFonts w:eastAsia="Calibri"/>
                <w:b/>
              </w:rPr>
            </w:pPr>
            <w:r w:rsidRPr="00D41DBC">
              <w:rPr>
                <w:rFonts w:eastAsia="Calibri"/>
                <w:b/>
              </w:rPr>
              <w:t>6.2.1</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FB1999" w:rsidRPr="00D41DBC" w:rsidRDefault="00FB1999" w:rsidP="00D41DBC">
            <w:pPr>
              <w:keepNext/>
              <w:spacing w:before="0"/>
              <w:jc w:val="left"/>
              <w:rPr>
                <w:rFonts w:eastAsia="Calibri"/>
                <w:b/>
              </w:rPr>
            </w:pPr>
            <w:r w:rsidRPr="00D41DBC">
              <w:rPr>
                <w:rFonts w:eastAsia="Calibri"/>
                <w:b/>
              </w:rPr>
              <w:t>Název opatření</w:t>
            </w:r>
          </w:p>
        </w:tc>
        <w:tc>
          <w:tcPr>
            <w:tcW w:w="382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FB1999" w:rsidRPr="00D41DBC" w:rsidRDefault="00FB1999" w:rsidP="00D41DBC">
            <w:pPr>
              <w:keepNext/>
              <w:spacing w:before="0"/>
              <w:rPr>
                <w:rFonts w:eastAsia="Calibri"/>
                <w:b/>
              </w:rPr>
            </w:pPr>
            <w:r w:rsidRPr="00D41DBC">
              <w:rPr>
                <w:rFonts w:eastAsia="Calibri"/>
                <w:b/>
              </w:rPr>
              <w:t>Zajištění ambulantní nebo terénní služby kontaktního centra 3</w:t>
            </w:r>
            <w:r w:rsidR="004348BF" w:rsidRPr="00D41DBC">
              <w:rPr>
                <w:rFonts w:eastAsia="Calibri"/>
                <w:b/>
              </w:rPr>
              <w:t> </w:t>
            </w:r>
            <w:r w:rsidRPr="00D41DBC">
              <w:rPr>
                <w:rFonts w:eastAsia="Calibri"/>
                <w:b/>
              </w:rPr>
              <w:t>pracovními úvazky pracovníků v přímé péči v ORP Olomouc pro osoby závislé na alkoholu</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t>Charakteristika opatření</w:t>
            </w:r>
          </w:p>
        </w:tc>
        <w:tc>
          <w:tcPr>
            <w:tcW w:w="3829" w:type="pct"/>
            <w:tcBorders>
              <w:top w:val="single" w:sz="4" w:space="0" w:color="auto"/>
              <w:left w:val="single" w:sz="4" w:space="0" w:color="auto"/>
              <w:bottom w:val="single" w:sz="4" w:space="0" w:color="auto"/>
              <w:right w:val="single" w:sz="4" w:space="0" w:color="auto"/>
            </w:tcBorders>
            <w:hideMark/>
          </w:tcPr>
          <w:p w:rsidR="00FB1999" w:rsidRPr="00BA6C31" w:rsidRDefault="00FB1999" w:rsidP="00D41DBC">
            <w:pPr>
              <w:spacing w:before="0"/>
              <w:rPr>
                <w:rFonts w:eastAsia="Calibri"/>
              </w:rPr>
            </w:pPr>
            <w:r w:rsidRPr="00BA6C31">
              <w:rPr>
                <w:rFonts w:eastAsia="Calibri"/>
              </w:rPr>
              <w:t>Opatření směřuje k zajištění sociální služby kontaktního centra pro cílovou skupinu osob závislých na alkoholu, případně s duálními diagnózami, současně osobám, které obtížně dosahují na jiný typ pomoci, s místem poskytování v ORP Olomouc.</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t>Cílová skupina</w:t>
            </w:r>
          </w:p>
        </w:tc>
        <w:tc>
          <w:tcPr>
            <w:tcW w:w="3829" w:type="pct"/>
            <w:tcBorders>
              <w:top w:val="single" w:sz="4" w:space="0" w:color="auto"/>
              <w:left w:val="single" w:sz="4" w:space="0" w:color="auto"/>
              <w:bottom w:val="single" w:sz="4" w:space="0" w:color="auto"/>
              <w:right w:val="single" w:sz="4" w:space="0" w:color="auto"/>
            </w:tcBorders>
            <w:hideMark/>
          </w:tcPr>
          <w:p w:rsidR="00FB1999" w:rsidRPr="00BA6C31" w:rsidRDefault="00FB1999" w:rsidP="00D41DBC">
            <w:pPr>
              <w:spacing w:before="0"/>
              <w:rPr>
                <w:rFonts w:eastAsia="Calibri"/>
              </w:rPr>
            </w:pPr>
            <w:r w:rsidRPr="00BA6C31">
              <w:rPr>
                <w:rFonts w:eastAsia="Calibri"/>
              </w:rPr>
              <w:t>Osoby ohrožené závislostí nebo závislé na návykových látkách</w:t>
            </w:r>
          </w:p>
          <w:p w:rsidR="00FB1999" w:rsidRPr="00BA6C31" w:rsidRDefault="00FB1999" w:rsidP="00D41DBC">
            <w:pPr>
              <w:spacing w:before="0"/>
              <w:rPr>
                <w:rFonts w:eastAsia="Calibri"/>
              </w:rPr>
            </w:pPr>
            <w:r w:rsidRPr="00BA6C31">
              <w:rPr>
                <w:rFonts w:eastAsia="Calibri"/>
              </w:rPr>
              <w:t>Osoby s chronickým duševním onemocněním</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t>Druh služby</w:t>
            </w:r>
          </w:p>
        </w:tc>
        <w:tc>
          <w:tcPr>
            <w:tcW w:w="3829" w:type="pct"/>
            <w:tcBorders>
              <w:top w:val="single" w:sz="4" w:space="0" w:color="auto"/>
              <w:left w:val="single" w:sz="4" w:space="0" w:color="auto"/>
              <w:bottom w:val="single" w:sz="4" w:space="0" w:color="auto"/>
              <w:right w:val="single" w:sz="4" w:space="0" w:color="auto"/>
            </w:tcBorders>
            <w:hideMark/>
          </w:tcPr>
          <w:p w:rsidR="00FB1999" w:rsidRPr="00BA6C31" w:rsidRDefault="00FB1999" w:rsidP="00D41DBC">
            <w:pPr>
              <w:spacing w:before="0"/>
              <w:rPr>
                <w:rFonts w:eastAsia="Calibri"/>
              </w:rPr>
            </w:pPr>
            <w:r w:rsidRPr="00BA6C31">
              <w:rPr>
                <w:rFonts w:eastAsia="Calibri"/>
              </w:rPr>
              <w:t>Kontaktní centra (§ 59)</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t>Forma služby</w:t>
            </w:r>
          </w:p>
        </w:tc>
        <w:tc>
          <w:tcPr>
            <w:tcW w:w="3829" w:type="pct"/>
            <w:tcBorders>
              <w:top w:val="single" w:sz="4" w:space="0" w:color="auto"/>
              <w:left w:val="single" w:sz="4" w:space="0" w:color="auto"/>
              <w:bottom w:val="single" w:sz="4" w:space="0" w:color="auto"/>
              <w:right w:val="single" w:sz="4" w:space="0" w:color="auto"/>
            </w:tcBorders>
            <w:hideMark/>
          </w:tcPr>
          <w:p w:rsidR="00FB1999" w:rsidRPr="00BA6C31" w:rsidRDefault="00FB1999" w:rsidP="00D41DBC">
            <w:pPr>
              <w:spacing w:before="0"/>
              <w:rPr>
                <w:rFonts w:eastAsia="Calibri"/>
              </w:rPr>
            </w:pPr>
            <w:r w:rsidRPr="00BA6C31">
              <w:rPr>
                <w:rFonts w:eastAsia="Calibri"/>
              </w:rPr>
              <w:t>Ambulantní, terénní</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t>Vymezení územního dopadu opatření</w:t>
            </w:r>
          </w:p>
        </w:tc>
        <w:tc>
          <w:tcPr>
            <w:tcW w:w="3829" w:type="pct"/>
            <w:tcBorders>
              <w:top w:val="single" w:sz="4" w:space="0" w:color="auto"/>
              <w:left w:val="single" w:sz="4" w:space="0" w:color="auto"/>
              <w:bottom w:val="single" w:sz="4" w:space="0" w:color="auto"/>
              <w:right w:val="single" w:sz="4" w:space="0" w:color="auto"/>
            </w:tcBorders>
            <w:hideMark/>
          </w:tcPr>
          <w:p w:rsidR="00FB1999" w:rsidRPr="00BA6C31" w:rsidRDefault="00FB1999" w:rsidP="00D41DBC">
            <w:pPr>
              <w:spacing w:before="0"/>
              <w:rPr>
                <w:rFonts w:eastAsia="Calibri"/>
              </w:rPr>
            </w:pPr>
            <w:r w:rsidRPr="00BA6C31">
              <w:rPr>
                <w:rFonts w:eastAsia="Calibri"/>
              </w:rPr>
              <w:t>ORP Olomouc</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t>Předpokládaný dopad opatření</w:t>
            </w:r>
          </w:p>
        </w:tc>
        <w:tc>
          <w:tcPr>
            <w:tcW w:w="3829" w:type="pct"/>
            <w:tcBorders>
              <w:top w:val="single" w:sz="4" w:space="0" w:color="auto"/>
              <w:left w:val="single" w:sz="4" w:space="0" w:color="auto"/>
              <w:bottom w:val="single" w:sz="4" w:space="0" w:color="auto"/>
              <w:right w:val="single" w:sz="4" w:space="0" w:color="auto"/>
            </w:tcBorders>
            <w:hideMark/>
          </w:tcPr>
          <w:p w:rsidR="00FB1999" w:rsidRPr="00BA6C31" w:rsidRDefault="00FB1999" w:rsidP="00D41DBC">
            <w:pPr>
              <w:spacing w:before="0"/>
              <w:rPr>
                <w:rFonts w:eastAsia="Calibri"/>
              </w:rPr>
            </w:pPr>
            <w:r w:rsidRPr="00BA6C31">
              <w:rPr>
                <w:rFonts w:eastAsia="Calibri"/>
              </w:rPr>
              <w:t>Pro osoby spadající do cílové skupiny je na území ORP Olomouc zajištěna odpovídající podpora a pomoc v rozsahu základních činností daných registrací služby, která vyhovuje jejich individuálně určeným potřebám.</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t>Aktivity vedoucí k naplnění opatření</w:t>
            </w:r>
          </w:p>
        </w:tc>
        <w:tc>
          <w:tcPr>
            <w:tcW w:w="3829" w:type="pct"/>
            <w:tcBorders>
              <w:top w:val="single" w:sz="4" w:space="0" w:color="auto"/>
              <w:left w:val="single" w:sz="4" w:space="0" w:color="auto"/>
              <w:bottom w:val="single" w:sz="4" w:space="0" w:color="auto"/>
              <w:right w:val="single" w:sz="4" w:space="0" w:color="auto"/>
            </w:tcBorders>
            <w:hideMark/>
          </w:tcPr>
          <w:p w:rsidR="00FB1999" w:rsidRPr="00BA6C31" w:rsidRDefault="00FB1999" w:rsidP="00D41DBC">
            <w:pPr>
              <w:pStyle w:val="Odstavecseseznamem"/>
              <w:numPr>
                <w:ilvl w:val="0"/>
                <w:numId w:val="216"/>
              </w:numPr>
              <w:spacing w:before="0" w:line="240" w:lineRule="auto"/>
            </w:pPr>
            <w:r w:rsidRPr="00BA6C31">
              <w:t xml:space="preserve">Projednání předloženého záměru poskytovatele sociálních služeb v souladu se schválenými postupy pro aktualizaci sítě sociálních služeb OK </w:t>
            </w:r>
          </w:p>
          <w:p w:rsidR="00FB1999" w:rsidRPr="00BA6C31" w:rsidRDefault="00FB1999" w:rsidP="00D41DBC">
            <w:pPr>
              <w:pStyle w:val="Odstavecseseznamem"/>
              <w:numPr>
                <w:ilvl w:val="0"/>
                <w:numId w:val="216"/>
              </w:numPr>
              <w:spacing w:before="0" w:line="240" w:lineRule="auto"/>
            </w:pPr>
            <w:r w:rsidRPr="00BA6C31">
              <w:t>Při vyjádření pozitivního stanoviska OK aktualizace sítě sociálních služeb dle schválených změn</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lastRenderedPageBreak/>
              <w:t>Rizika a ohrožení naplnění opatření</w:t>
            </w:r>
          </w:p>
        </w:tc>
        <w:tc>
          <w:tcPr>
            <w:tcW w:w="3829" w:type="pct"/>
            <w:tcBorders>
              <w:top w:val="single" w:sz="4" w:space="0" w:color="auto"/>
              <w:left w:val="single" w:sz="4" w:space="0" w:color="auto"/>
              <w:bottom w:val="single" w:sz="4" w:space="0" w:color="auto"/>
              <w:right w:val="single" w:sz="4" w:space="0" w:color="auto"/>
            </w:tcBorders>
            <w:hideMark/>
          </w:tcPr>
          <w:p w:rsidR="00FB1999" w:rsidRPr="00A34764" w:rsidRDefault="00FB1999" w:rsidP="00D41DBC">
            <w:pPr>
              <w:pStyle w:val="Odstavecseseznamem"/>
              <w:numPr>
                <w:ilvl w:val="0"/>
                <w:numId w:val="217"/>
              </w:numPr>
              <w:spacing w:before="0" w:line="240" w:lineRule="auto"/>
            </w:pPr>
            <w:r w:rsidRPr="00A34764">
              <w:t>Neprojevení zájmu poskytovatelů sociálních služeb o plnění cíle a</w:t>
            </w:r>
            <w:r w:rsidR="00E00EA8">
              <w:t> </w:t>
            </w:r>
            <w:r w:rsidRPr="00A34764">
              <w:t>opatření</w:t>
            </w:r>
          </w:p>
          <w:p w:rsidR="00FB1999" w:rsidRPr="00A34764" w:rsidRDefault="00FB1999" w:rsidP="00D41DBC">
            <w:pPr>
              <w:pStyle w:val="Odstavecseseznamem"/>
              <w:numPr>
                <w:ilvl w:val="0"/>
                <w:numId w:val="217"/>
              </w:numPr>
              <w:spacing w:before="0" w:line="240" w:lineRule="auto"/>
            </w:pPr>
            <w:r w:rsidRPr="00A34764">
              <w:t xml:space="preserve">Nesplnění kritérií dle Postupu pro aktualizaci sítě sociálních služeb OK vedoucí k neschválení žádosti poskytovatele </w:t>
            </w:r>
          </w:p>
          <w:p w:rsidR="00FB1999" w:rsidRPr="00A34764" w:rsidRDefault="00FB1999" w:rsidP="00D41DBC">
            <w:pPr>
              <w:pStyle w:val="Odstavecseseznamem"/>
              <w:numPr>
                <w:ilvl w:val="0"/>
                <w:numId w:val="217"/>
              </w:numPr>
              <w:spacing w:before="0" w:line="240" w:lineRule="auto"/>
            </w:pPr>
            <w:r w:rsidRPr="00A34764">
              <w:t>Nesplnění podmínek registrace poskytovaných sociálních služeb</w:t>
            </w:r>
          </w:p>
          <w:p w:rsidR="00FB1999" w:rsidRPr="00A34764" w:rsidRDefault="00FB1999" w:rsidP="00D41DBC">
            <w:pPr>
              <w:pStyle w:val="Odstavecseseznamem"/>
              <w:numPr>
                <w:ilvl w:val="0"/>
                <w:numId w:val="217"/>
              </w:numPr>
              <w:spacing w:before="0" w:line="240" w:lineRule="auto"/>
            </w:pPr>
            <w:r w:rsidRPr="00A34764">
              <w:t xml:space="preserve">Nedostatek lidských zdrojů </w:t>
            </w:r>
          </w:p>
          <w:p w:rsidR="00FB1999" w:rsidRPr="00A34764" w:rsidRDefault="00FB1999" w:rsidP="00D41DBC">
            <w:pPr>
              <w:pStyle w:val="Odstavecseseznamem"/>
              <w:numPr>
                <w:ilvl w:val="0"/>
                <w:numId w:val="217"/>
              </w:numPr>
              <w:spacing w:before="0" w:line="240" w:lineRule="auto"/>
            </w:pPr>
            <w:r w:rsidRPr="00A34764">
              <w:t>Nedostatek finančních prostředků z veřejných zdrojů</w:t>
            </w:r>
          </w:p>
          <w:p w:rsidR="00FB1999" w:rsidRPr="00A34764" w:rsidRDefault="00FB1999" w:rsidP="00D41DBC">
            <w:pPr>
              <w:pStyle w:val="Odstavecseseznamem"/>
              <w:numPr>
                <w:ilvl w:val="0"/>
                <w:numId w:val="217"/>
              </w:numPr>
              <w:spacing w:before="0" w:line="240" w:lineRule="auto"/>
            </w:pPr>
            <w:r w:rsidRPr="00A34764">
              <w:t>Legislativní změny</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t xml:space="preserve">Předpokládaní realizátoři </w:t>
            </w:r>
            <w:r w:rsidRPr="00D41DBC">
              <w:rPr>
                <w:rFonts w:eastAsia="Calibri"/>
                <w:b/>
              </w:rPr>
              <w:br/>
              <w:t>a partneři opatření</w:t>
            </w:r>
          </w:p>
        </w:tc>
        <w:tc>
          <w:tcPr>
            <w:tcW w:w="3829" w:type="pct"/>
            <w:tcBorders>
              <w:top w:val="single" w:sz="4" w:space="0" w:color="auto"/>
              <w:left w:val="single" w:sz="4" w:space="0" w:color="auto"/>
              <w:bottom w:val="single" w:sz="4" w:space="0" w:color="auto"/>
              <w:right w:val="single" w:sz="4" w:space="0" w:color="auto"/>
            </w:tcBorders>
            <w:hideMark/>
          </w:tcPr>
          <w:p w:rsidR="00FB1999" w:rsidRPr="00BA6C31" w:rsidRDefault="00FB1999" w:rsidP="00D41DBC">
            <w:pPr>
              <w:spacing w:before="0"/>
              <w:rPr>
                <w:rFonts w:eastAsia="Calibri"/>
              </w:rPr>
            </w:pPr>
            <w:r w:rsidRPr="00BA6C31">
              <w:rPr>
                <w:rFonts w:eastAsia="Arial Unicode MS"/>
                <w:lang w:eastAsia="cs-CZ"/>
              </w:rPr>
              <w:t>Poskytovatelé sociálních služeb pro dané cílové skupiny osob, kraj, obce</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t>Časový harmonogram</w:t>
            </w:r>
          </w:p>
        </w:tc>
        <w:tc>
          <w:tcPr>
            <w:tcW w:w="3829" w:type="pct"/>
            <w:tcBorders>
              <w:top w:val="single" w:sz="4" w:space="0" w:color="auto"/>
              <w:left w:val="single" w:sz="4" w:space="0" w:color="auto"/>
              <w:bottom w:val="single" w:sz="4" w:space="0" w:color="auto"/>
              <w:right w:val="single" w:sz="4" w:space="0" w:color="auto"/>
            </w:tcBorders>
            <w:hideMark/>
          </w:tcPr>
          <w:p w:rsidR="00FB1999" w:rsidRPr="00BA6C31" w:rsidRDefault="00E213F4" w:rsidP="00D41DBC">
            <w:pPr>
              <w:spacing w:before="0"/>
              <w:rPr>
                <w:rFonts w:eastAsia="Calibri"/>
              </w:rPr>
            </w:pPr>
            <w:r>
              <w:rPr>
                <w:rFonts w:eastAsia="Arial Unicode MS"/>
                <w:lang w:eastAsia="cs-CZ"/>
              </w:rPr>
              <w:t>2024–2026</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t>Předpokládané finanční zdroje</w:t>
            </w:r>
          </w:p>
        </w:tc>
        <w:tc>
          <w:tcPr>
            <w:tcW w:w="3829" w:type="pct"/>
            <w:tcBorders>
              <w:top w:val="single" w:sz="4" w:space="0" w:color="auto"/>
              <w:left w:val="single" w:sz="4" w:space="0" w:color="auto"/>
              <w:bottom w:val="single" w:sz="4" w:space="0" w:color="auto"/>
              <w:right w:val="single" w:sz="4" w:space="0" w:color="auto"/>
            </w:tcBorders>
            <w:hideMark/>
          </w:tcPr>
          <w:p w:rsidR="00FB1999" w:rsidRPr="00BA6C31" w:rsidRDefault="00FB1999" w:rsidP="00D41DBC">
            <w:pPr>
              <w:spacing w:before="0"/>
              <w:rPr>
                <w:rFonts w:eastAsia="Calibri"/>
              </w:rPr>
            </w:pPr>
            <w:r w:rsidRPr="00BA6C31">
              <w:rPr>
                <w:rFonts w:eastAsia="Arial Unicode MS"/>
                <w:lang w:eastAsia="cs-CZ"/>
              </w:rPr>
              <w:t>Veřejné zdroje, evropské zdroje, ostatní zdroje financování</w:t>
            </w:r>
          </w:p>
        </w:tc>
      </w:tr>
      <w:tr w:rsidR="00FB1999" w:rsidRPr="00BA6C31" w:rsidTr="00D41DBC">
        <w:trPr>
          <w:cantSplit/>
          <w:trHeight w:val="397"/>
          <w:jc w:val="center"/>
        </w:trPr>
        <w:tc>
          <w:tcPr>
            <w:tcW w:w="1171" w:type="pct"/>
            <w:tcBorders>
              <w:top w:val="single" w:sz="4" w:space="0" w:color="auto"/>
              <w:left w:val="single" w:sz="4" w:space="0" w:color="auto"/>
              <w:bottom w:val="single" w:sz="4" w:space="0" w:color="auto"/>
              <w:right w:val="single" w:sz="4" w:space="0" w:color="auto"/>
            </w:tcBorders>
            <w:shd w:val="clear" w:color="auto" w:fill="CCECFF"/>
            <w:hideMark/>
          </w:tcPr>
          <w:p w:rsidR="00FB1999" w:rsidRPr="00D41DBC" w:rsidRDefault="00FB1999" w:rsidP="00D41DBC">
            <w:pPr>
              <w:spacing w:before="0"/>
              <w:jc w:val="left"/>
              <w:rPr>
                <w:rFonts w:eastAsia="Calibri"/>
                <w:b/>
              </w:rPr>
            </w:pPr>
            <w:r w:rsidRPr="00D41DBC">
              <w:rPr>
                <w:rFonts w:eastAsia="Calibri"/>
                <w:b/>
              </w:rPr>
              <w:t>Hodnotící indikátory výstupů a výsledků</w:t>
            </w:r>
          </w:p>
        </w:tc>
        <w:tc>
          <w:tcPr>
            <w:tcW w:w="3829" w:type="pct"/>
            <w:tcBorders>
              <w:top w:val="single" w:sz="4" w:space="0" w:color="auto"/>
              <w:left w:val="single" w:sz="4" w:space="0" w:color="auto"/>
              <w:bottom w:val="single" w:sz="4" w:space="0" w:color="auto"/>
              <w:right w:val="single" w:sz="4" w:space="0" w:color="auto"/>
            </w:tcBorders>
            <w:hideMark/>
          </w:tcPr>
          <w:p w:rsidR="00FB1999" w:rsidRPr="00BA6C31" w:rsidRDefault="00FB1999" w:rsidP="00D41DBC">
            <w:pPr>
              <w:pStyle w:val="Odstavecseseznamem"/>
              <w:numPr>
                <w:ilvl w:val="0"/>
                <w:numId w:val="99"/>
              </w:numPr>
              <w:spacing w:before="0" w:line="240" w:lineRule="auto"/>
            </w:pPr>
            <w:r w:rsidRPr="00BA6C31">
              <w:t>Zajištění sociální služby v daném regionu</w:t>
            </w:r>
          </w:p>
          <w:p w:rsidR="00FB1999" w:rsidRPr="00BA6C31" w:rsidRDefault="00FB1999" w:rsidP="00D41DBC">
            <w:pPr>
              <w:pStyle w:val="Odstavecseseznamem"/>
              <w:numPr>
                <w:ilvl w:val="0"/>
                <w:numId w:val="99"/>
              </w:numPr>
              <w:spacing w:before="0" w:line="240" w:lineRule="auto"/>
            </w:pPr>
            <w:r w:rsidRPr="00BA6C31">
              <w:t>Aktualizace sítě sociálních služeb dle schválených změn</w:t>
            </w:r>
          </w:p>
        </w:tc>
      </w:tr>
    </w:tbl>
    <w:p w:rsidR="00FB1999" w:rsidRPr="007C2EB2" w:rsidRDefault="00FB1999" w:rsidP="00AF4350">
      <w:pPr>
        <w:pStyle w:val="1text"/>
        <w:rPr>
          <w:rFonts w:eastAsiaTheme="majorEastAsia"/>
        </w:rPr>
      </w:pPr>
    </w:p>
    <w:p w:rsidR="00FB1999" w:rsidRPr="007C2EB2" w:rsidRDefault="00FB1999" w:rsidP="00A34764">
      <w:r w:rsidRPr="007C2EB2">
        <w:br w:type="page"/>
      </w:r>
    </w:p>
    <w:p w:rsidR="00AF4350" w:rsidRPr="00D41DBC" w:rsidRDefault="00AF4350" w:rsidP="00D41DBC">
      <w:pPr>
        <w:keepNext/>
        <w:keepLines/>
        <w:pageBreakBefore/>
        <w:pBdr>
          <w:bottom w:val="single" w:sz="12" w:space="1" w:color="2F5496" w:themeColor="accent5" w:themeShade="BF"/>
        </w:pBdr>
        <w:spacing w:before="0" w:after="360"/>
        <w:jc w:val="center"/>
        <w:outlineLvl w:val="0"/>
        <w:rPr>
          <w:rFonts w:eastAsia="Arial Unicode MS" w:cs="Segoe UI"/>
          <w:bCs/>
          <w:color w:val="2F5496" w:themeColor="accent5" w:themeShade="BF"/>
          <w:sz w:val="36"/>
          <w:szCs w:val="32"/>
        </w:rPr>
      </w:pPr>
      <w:bookmarkStart w:id="240" w:name="_Toc22896401"/>
      <w:bookmarkStart w:id="241" w:name="_Toc117607011"/>
      <w:bookmarkStart w:id="242" w:name="_Toc113622095"/>
      <w:r w:rsidRPr="00D41DBC">
        <w:rPr>
          <w:rFonts w:eastAsia="Arial Unicode MS" w:cs="Segoe UI"/>
          <w:bCs/>
          <w:color w:val="2F5496" w:themeColor="accent5" w:themeShade="BF"/>
          <w:sz w:val="36"/>
          <w:szCs w:val="32"/>
        </w:rPr>
        <w:lastRenderedPageBreak/>
        <w:t>ČÁST D – ZPŮSOB ZAJIŠTĚNÍ SÍTĚ</w:t>
      </w:r>
      <w:bookmarkEnd w:id="240"/>
      <w:bookmarkEnd w:id="241"/>
      <w:r w:rsidRPr="00D41DBC">
        <w:rPr>
          <w:rFonts w:eastAsia="Arial Unicode MS" w:cs="Segoe UI"/>
          <w:bCs/>
          <w:color w:val="2F5496" w:themeColor="accent5" w:themeShade="BF"/>
          <w:sz w:val="36"/>
          <w:szCs w:val="32"/>
        </w:rPr>
        <w:t xml:space="preserve"> </w:t>
      </w:r>
      <w:bookmarkEnd w:id="242"/>
    </w:p>
    <w:p w:rsidR="00AF4350" w:rsidRPr="00652BF6" w:rsidRDefault="00AF4350" w:rsidP="00A34764">
      <w:r w:rsidRPr="00652BF6">
        <w:t>Síť sociálních služeb OK je souhrnem sociálních služeb, které napomáhají řešit nepříznivou sociální situaci osob na území kraje na základě potřeb identifikovaných veřejnými zadavateli (kraj, obce). Tvoří ji poskytovatelé sociálních služeb zapsaných v registru dle zákona o sociálních službách, kteří poskytují sociální služby občanům na území kraje, jsou v souladu se zjištěnými potřebami osob na území kraje a dostupnými finančními zdroji. Kromě definovaných poskytovatelů sociálních služeb a jimi poskytovaných druhů sociálních služeb jsou součástí sít</w:t>
      </w:r>
      <w:r>
        <w:t>ě i údaje vztahující se k jejich</w:t>
      </w:r>
      <w:r w:rsidRPr="00652BF6">
        <w:t xml:space="preserve"> financování, tj. jednotky (úvazky pracovníků v přímé péči u ambulantních a terénních služeb a počty lůžek u pobytových služeb).</w:t>
      </w:r>
    </w:p>
    <w:p w:rsidR="00AF4350" w:rsidRPr="00652BF6" w:rsidRDefault="00AF4350" w:rsidP="00A34764">
      <w:r w:rsidRPr="00652BF6">
        <w:t xml:space="preserve">Síť sociálních služeb podléhá schválení orgánů kraje (ROK a ZOK). Kraj jejím prostřednictvím naplňuje dvě ze základních samosprávných kompetencí v oblasti sociálních služeb, které jsou krajům uloženy </w:t>
      </w:r>
      <w:proofErr w:type="spellStart"/>
      <w:r w:rsidRPr="00652BF6">
        <w:t>ust</w:t>
      </w:r>
      <w:proofErr w:type="spellEnd"/>
      <w:r w:rsidRPr="00652BF6">
        <w:t>. § 95 písm. g) a h) zákona o sociálních službách, a to „</w:t>
      </w:r>
      <w:r w:rsidRPr="00652BF6">
        <w:rPr>
          <w:i/>
        </w:rPr>
        <w:t>zajišťuje dostupnost poskytování sociálních služeb na svém území v souladu se střednědobým plánem rozvoje sociálních služeb</w:t>
      </w:r>
      <w:r w:rsidRPr="00652BF6">
        <w:t>“ a „</w:t>
      </w:r>
      <w:r w:rsidRPr="00652BF6">
        <w:rPr>
          <w:i/>
        </w:rPr>
        <w:t>určuje síť sociálních služeb na území kraje; přitom přihlíží k informacím obcí sděleným podle § 94 písm. f)</w:t>
      </w:r>
      <w:r w:rsidRPr="00652BF6">
        <w:t>“.</w:t>
      </w:r>
    </w:p>
    <w:p w:rsidR="00AF4350" w:rsidRPr="00652BF6" w:rsidRDefault="00AF4350" w:rsidP="00A34764">
      <w:r w:rsidRPr="00652BF6">
        <w:t>Síť sociálních služeb je rovněž stěžejním podkladem pro financování sociálních služeb a povinnou součástí žádosti kraje o účelovou státní dotaci, kterou kraj podává ve lhůtě stanovené MPSV při vyhlášení dotačního řízení v oblasti podpory sociálních služeb na příslušný kalendářní rok, nejpozději však do 31. července kalendářního roku, který předchází kalendářnímu roku, na který se o dotaci žádá.</w:t>
      </w:r>
    </w:p>
    <w:p w:rsidR="00AF4350" w:rsidRPr="00652BF6" w:rsidRDefault="00AF4350" w:rsidP="00A34764">
      <w:r w:rsidRPr="00652BF6">
        <w:t>V legislativním prostředí ČR jsou sociální služby považovány za služby obecného hospodářského zájmu (dále také jen „SOHZ“) a vztahují se na ně pravidla veřejné podpory. V návaznosti na Rozhodnutí Komise 2012/21/EU ze dne 20. prosince 2011 o použití čl. 106 odst. 2 Smlouvy o fungování Evropské unie na státní podporu ve formě vyrovnávací platby za závazek veřejné služby udělené určitým podnikům pověřeným poskytováním služeb obecného hospodářského zájmu</w:t>
      </w:r>
      <w:r>
        <w:t>,</w:t>
      </w:r>
      <w:r w:rsidRPr="00652BF6">
        <w:t xml:space="preserve"> musí být poskytovatelé sociálních služeb poskytováním SOHZ pověřeny. Pověřování subjektů SOHZ je v Olomouckém kraji realizováno již od roku 2016 v návaznosti na předání odpovědnosti za financování sociálních služeb z MPSV (ze státu) na kraje, přičemž se soustředilo na poskytování finančních prostředků (dotací a příspěvků) určených na poskytování základních činností při poskytování sociálních služeb. </w:t>
      </w:r>
    </w:p>
    <w:p w:rsidR="00AF4350" w:rsidRPr="00652BF6" w:rsidRDefault="00AF4350" w:rsidP="00A34764">
      <w:r w:rsidRPr="00652BF6">
        <w:t>Způsob pověřování byl do roku 2022 součástí Obecné části Programu finanční podpory poskytování sociálních služeb v Olomouckém kraji. Pověření poskytováním SOHZ se vztahovalo na subjekty, které poskytují sociální služby zařazené do sítě sociálních služeb OK a kraj v této souvislosti rovněž kontroluje nadměrné vyrovnání (</w:t>
      </w:r>
      <w:proofErr w:type="spellStart"/>
      <w:r w:rsidRPr="00652BF6">
        <w:t>překompenzaci</w:t>
      </w:r>
      <w:proofErr w:type="spellEnd"/>
      <w:r w:rsidRPr="00652BF6">
        <w:t>). Vzhledem k nově nastavené podmínce pověření SOHZ pro podniky, které žádají o finanční podporu n</w:t>
      </w:r>
      <w:r>
        <w:t>a investiční projekty z programů</w:t>
      </w:r>
      <w:r w:rsidRPr="00652BF6">
        <w:t xml:space="preserve"> </w:t>
      </w:r>
      <w:r>
        <w:t>EU,</w:t>
      </w:r>
      <w:r w:rsidRPr="00652BF6">
        <w:t xml:space="preserve"> bylo nutno přistoupit k vytvoření systému, který umožní </w:t>
      </w:r>
      <w:r>
        <w:t>OK</w:t>
      </w:r>
      <w:r w:rsidRPr="00652BF6">
        <w:t xml:space="preserve"> pověřit poskytováním SOHZ rovněž subjekty, které nemají v </w:t>
      </w:r>
      <w:r>
        <w:t>s</w:t>
      </w:r>
      <w:r w:rsidRPr="00652BF6">
        <w:t xml:space="preserve">íti doposud zařazenou žádnou sociální službu. </w:t>
      </w:r>
    </w:p>
    <w:p w:rsidR="00AF4350" w:rsidRPr="00652BF6" w:rsidRDefault="00AF4350" w:rsidP="00A34764">
      <w:r w:rsidRPr="00652BF6">
        <w:t>Na základě výše uvedených skutečností byl</w:t>
      </w:r>
      <w:r>
        <w:t>o</w:t>
      </w:r>
      <w:r w:rsidRPr="00652BF6">
        <w:t xml:space="preserve"> nezbytné problematiku pověřování poskytováním SOHZ upravit komplexně v jednom dokumentu. Z tohoto důvodu byla ustanovení týkající se veřejné podpory vyňata z Obecné části Programu finanční podpory poskytování sociálních služeb v Olomouckém kraji a byla vypracována Metodika</w:t>
      </w:r>
      <w:r w:rsidRPr="00652BF6">
        <w:rPr>
          <w:vertAlign w:val="superscript"/>
        </w:rPr>
        <w:footnoteReference w:id="13"/>
      </w:r>
      <w:r w:rsidRPr="00652BF6">
        <w:t xml:space="preserve">, která definuje postup </w:t>
      </w:r>
      <w:r>
        <w:t>OK</w:t>
      </w:r>
      <w:r w:rsidRPr="00652BF6">
        <w:t xml:space="preserve"> v oblasti pověřování poskytováním  SOHZ podniků.</w:t>
      </w:r>
    </w:p>
    <w:p w:rsidR="00AF4350" w:rsidRPr="00652BF6" w:rsidRDefault="00AF4350" w:rsidP="00A34764"/>
    <w:p w:rsidR="00AF4350" w:rsidRPr="00652BF6" w:rsidRDefault="00AF4350" w:rsidP="00A34764">
      <w:pPr>
        <w:pStyle w:val="Nadpis1"/>
      </w:pPr>
      <w:r w:rsidRPr="00652BF6">
        <w:rPr>
          <w:sz w:val="20"/>
          <w:szCs w:val="20"/>
        </w:rPr>
        <w:br w:type="page"/>
      </w:r>
      <w:bookmarkStart w:id="243" w:name="_Toc22913792"/>
      <w:bookmarkStart w:id="244" w:name="_Toc117607012"/>
      <w:r w:rsidRPr="00652BF6">
        <w:lastRenderedPageBreak/>
        <w:t>Síť sociálních služeb</w:t>
      </w:r>
      <w:bookmarkEnd w:id="243"/>
      <w:r w:rsidRPr="00652BF6">
        <w:t xml:space="preserve"> Olomouckého kraje</w:t>
      </w:r>
      <w:bookmarkEnd w:id="244"/>
    </w:p>
    <w:p w:rsidR="00AF4350" w:rsidRPr="00652BF6" w:rsidRDefault="00AF4350" w:rsidP="00A34764">
      <w:r w:rsidRPr="00652BF6">
        <w:t xml:space="preserve">Na území OK bylo k 31. 8. 2022 poskytováno celkem </w:t>
      </w:r>
      <w:r w:rsidRPr="00652BF6">
        <w:rPr>
          <w:b/>
        </w:rPr>
        <w:t>357</w:t>
      </w:r>
      <w:r w:rsidRPr="00652BF6">
        <w:t xml:space="preserve"> sociálních služeb registrovaných podle zákona o sociálních službách. Jsou zde zastoupeny téměř všechny legislativně vymezené druhy, vyjma průvodcovské a předčitatelské služby a služby tísňové péče</w:t>
      </w:r>
      <w:r w:rsidRPr="00652BF6">
        <w:rPr>
          <w:vertAlign w:val="superscript"/>
        </w:rPr>
        <w:footnoteReference w:id="14"/>
      </w:r>
      <w:r w:rsidRPr="00652BF6">
        <w:t xml:space="preserve">. V síti sociálních služeb OK na rok 2022 bylo zařazeno celkem </w:t>
      </w:r>
      <w:r w:rsidRPr="00652BF6">
        <w:rPr>
          <w:b/>
        </w:rPr>
        <w:t>320</w:t>
      </w:r>
      <w:r w:rsidRPr="00652BF6">
        <w:t xml:space="preserve"> sociálních služeb zajišťovaných </w:t>
      </w:r>
      <w:r w:rsidRPr="00652BF6">
        <w:rPr>
          <w:b/>
        </w:rPr>
        <w:t>122</w:t>
      </w:r>
      <w:r w:rsidRPr="00652BF6">
        <w:t xml:space="preserve"> poskytovateli.</w:t>
      </w:r>
    </w:p>
    <w:p w:rsidR="00AF4350" w:rsidRPr="00652BF6" w:rsidRDefault="00AF4350" w:rsidP="00D41DBC">
      <w:pPr>
        <w:pStyle w:val="Tun"/>
      </w:pPr>
      <w:r w:rsidRPr="00652BF6">
        <w:t>Síť sociálních služeb Olomouckého kraje je schválena v této struktuře</w:t>
      </w:r>
      <w:r>
        <w:t>:</w:t>
      </w:r>
      <w:r w:rsidRPr="00652BF6">
        <w:t xml:space="preserve"> </w:t>
      </w:r>
    </w:p>
    <w:p w:rsidR="00AF4350" w:rsidRPr="00652BF6" w:rsidRDefault="00AF4350" w:rsidP="00A34764">
      <w:pPr>
        <w:pStyle w:val="Odstavecseseznamem"/>
        <w:numPr>
          <w:ilvl w:val="0"/>
          <w:numId w:val="218"/>
        </w:numPr>
      </w:pPr>
      <w:r w:rsidRPr="00652BF6">
        <w:t xml:space="preserve">Název poskytovatele </w:t>
      </w:r>
    </w:p>
    <w:p w:rsidR="00AF4350" w:rsidRPr="00652BF6" w:rsidRDefault="00AF4350" w:rsidP="00A34764">
      <w:pPr>
        <w:pStyle w:val="Odstavecseseznamem"/>
        <w:numPr>
          <w:ilvl w:val="0"/>
          <w:numId w:val="218"/>
        </w:numPr>
      </w:pPr>
      <w:r w:rsidRPr="00652BF6">
        <w:t xml:space="preserve">IČ </w:t>
      </w:r>
    </w:p>
    <w:p w:rsidR="00AF4350" w:rsidRPr="00652BF6" w:rsidRDefault="00AF4350" w:rsidP="00A34764">
      <w:pPr>
        <w:pStyle w:val="Odstavecseseznamem"/>
        <w:numPr>
          <w:ilvl w:val="0"/>
          <w:numId w:val="218"/>
        </w:numPr>
      </w:pPr>
      <w:r w:rsidRPr="00652BF6">
        <w:t>Identifikátor služby</w:t>
      </w:r>
    </w:p>
    <w:p w:rsidR="00AF4350" w:rsidRPr="00652BF6" w:rsidRDefault="00AF4350" w:rsidP="00A34764">
      <w:pPr>
        <w:pStyle w:val="Odstavecseseznamem"/>
        <w:numPr>
          <w:ilvl w:val="0"/>
          <w:numId w:val="218"/>
        </w:numPr>
      </w:pPr>
      <w:r w:rsidRPr="00652BF6">
        <w:t>Druh služby</w:t>
      </w:r>
    </w:p>
    <w:p w:rsidR="00AF4350" w:rsidRPr="00652BF6" w:rsidRDefault="00AF4350" w:rsidP="00A34764">
      <w:pPr>
        <w:pStyle w:val="Odstavecseseznamem"/>
        <w:numPr>
          <w:ilvl w:val="0"/>
          <w:numId w:val="218"/>
        </w:numPr>
      </w:pPr>
      <w:r w:rsidRPr="00652BF6">
        <w:t>Rok zařazení do sítě</w:t>
      </w:r>
    </w:p>
    <w:p w:rsidR="00AF4350" w:rsidRPr="00652BF6" w:rsidRDefault="00AF4350" w:rsidP="00A34764">
      <w:pPr>
        <w:pStyle w:val="Odstavecseseznamem"/>
        <w:numPr>
          <w:ilvl w:val="0"/>
          <w:numId w:val="218"/>
        </w:numPr>
      </w:pPr>
      <w:r w:rsidRPr="00652BF6">
        <w:t>Druh jednotky (údaje o personálním zabezpečení - úvazky pracovníků v přímé péči nebo počet registrovaných lůžek)</w:t>
      </w:r>
    </w:p>
    <w:p w:rsidR="00AF4350" w:rsidRPr="00652BF6" w:rsidRDefault="00AF4350" w:rsidP="00A34764">
      <w:pPr>
        <w:pStyle w:val="Odstavecseseznamem"/>
        <w:numPr>
          <w:ilvl w:val="0"/>
          <w:numId w:val="218"/>
        </w:numPr>
      </w:pPr>
      <w:r w:rsidRPr="00652BF6">
        <w:t>Rozsah služby vyjádřený v počtu jednotek</w:t>
      </w:r>
    </w:p>
    <w:p w:rsidR="00AF4350" w:rsidRPr="00652BF6" w:rsidRDefault="00AF4350" w:rsidP="00A34764"/>
    <w:p w:rsidR="00AF4350" w:rsidRPr="00652BF6" w:rsidRDefault="00AF4350" w:rsidP="00A34764">
      <w:r w:rsidRPr="00652BF6">
        <w:t xml:space="preserve">Při zpracování této kapitoly byla využita data ze </w:t>
      </w:r>
      <w:r w:rsidRPr="00652BF6">
        <w:rPr>
          <w:b/>
        </w:rPr>
        <w:t>sít</w:t>
      </w:r>
      <w:r>
        <w:rPr>
          <w:b/>
        </w:rPr>
        <w:t>í</w:t>
      </w:r>
      <w:r w:rsidRPr="00652BF6">
        <w:rPr>
          <w:b/>
        </w:rPr>
        <w:t xml:space="preserve"> sociálních služeb OK pro jednotlivé roky, z aplikace </w:t>
      </w:r>
      <w:proofErr w:type="spellStart"/>
      <w:r w:rsidRPr="00652BF6">
        <w:rPr>
          <w:b/>
        </w:rPr>
        <w:t>KISSoS</w:t>
      </w:r>
      <w:proofErr w:type="spellEnd"/>
      <w:r w:rsidRPr="00652BF6">
        <w:rPr>
          <w:b/>
        </w:rPr>
        <w:t xml:space="preserve"> a Registru poskytovatelů sociálních služeb. </w:t>
      </w:r>
      <w:r w:rsidRPr="00652BF6">
        <w:t xml:space="preserve">Aplikace </w:t>
      </w:r>
      <w:proofErr w:type="spellStart"/>
      <w:r w:rsidRPr="00652BF6">
        <w:t>KISSoS</w:t>
      </w:r>
      <w:proofErr w:type="spellEnd"/>
      <w:r w:rsidRPr="00652BF6">
        <w:t xml:space="preserve"> plní v procesu plánování sociálních služeb na krajské úrovni nenahraditelnou roli.</w:t>
      </w:r>
    </w:p>
    <w:p w:rsidR="00AF4350" w:rsidRDefault="00AF4350" w:rsidP="00A34764">
      <w:pPr>
        <w:pStyle w:val="Nadpis2"/>
      </w:pPr>
      <w:bookmarkStart w:id="245" w:name="_Toc117607013"/>
      <w:r w:rsidRPr="008B63F0">
        <w:t>Krajský informační systém sociálních služeb</w:t>
      </w:r>
      <w:bookmarkEnd w:id="245"/>
    </w:p>
    <w:p w:rsidR="00AF4350" w:rsidRDefault="00AF4350" w:rsidP="00A34764">
      <w:r w:rsidRPr="00652BF6">
        <w:t xml:space="preserve">Krajský informační systém sociálních služeb byl vytvořen na základě potřeby disponovat informacemi o sociálních službách působících na území </w:t>
      </w:r>
      <w:r>
        <w:t>OK</w:t>
      </w:r>
      <w:r w:rsidRPr="00652BF6">
        <w:t xml:space="preserve">. V průběhu let docházelo k postupnému rozšiřování systému, kdy v reakci na navyšování počtu spravovaných agend v samosprávné i přenesené působnosti vznikaly nové, specificky zaměřené moduly. </w:t>
      </w:r>
    </w:p>
    <w:p w:rsidR="00AF4350" w:rsidRDefault="00AF4350" w:rsidP="00A34764">
      <w:r w:rsidRPr="00652BF6">
        <w:t>Shromažďované informace jsou důležité</w:t>
      </w:r>
      <w:r>
        <w:t>:</w:t>
      </w:r>
    </w:p>
    <w:p w:rsidR="00AF4350" w:rsidRDefault="00AF4350" w:rsidP="00A34764">
      <w:pPr>
        <w:pStyle w:val="Odstavecseseznamem"/>
        <w:numPr>
          <w:ilvl w:val="0"/>
          <w:numId w:val="99"/>
        </w:numPr>
      </w:pPr>
      <w:r w:rsidRPr="00097FB1">
        <w:t xml:space="preserve">z důvodu odpovědnosti kraje za rozhodování o přerozdělení výše dotace ze státního rozpočtu poskytovatelům sociálních služeb, </w:t>
      </w:r>
    </w:p>
    <w:p w:rsidR="00AF4350" w:rsidRDefault="00AF4350" w:rsidP="00A34764">
      <w:pPr>
        <w:pStyle w:val="Odstavecseseznamem"/>
        <w:numPr>
          <w:ilvl w:val="0"/>
          <w:numId w:val="99"/>
        </w:numPr>
      </w:pPr>
      <w:r w:rsidRPr="00097FB1">
        <w:t>při nastavování a modelaci sítě sociálních služeb,</w:t>
      </w:r>
    </w:p>
    <w:p w:rsidR="00AF4350" w:rsidRDefault="00AF4350" w:rsidP="00A34764">
      <w:pPr>
        <w:pStyle w:val="Odstavecseseznamem"/>
        <w:numPr>
          <w:ilvl w:val="0"/>
          <w:numId w:val="99"/>
        </w:numPr>
      </w:pPr>
      <w:r w:rsidRPr="00097FB1">
        <w:t xml:space="preserve">při koordinaci a plánování sociálních služeb na území kraje, </w:t>
      </w:r>
    </w:p>
    <w:p w:rsidR="00AF4350" w:rsidRDefault="00AF4350" w:rsidP="00A34764">
      <w:pPr>
        <w:pStyle w:val="Odstavecseseznamem"/>
        <w:numPr>
          <w:ilvl w:val="0"/>
          <w:numId w:val="99"/>
        </w:numPr>
      </w:pPr>
      <w:r w:rsidRPr="00097FB1">
        <w:t xml:space="preserve">při komunikaci a předávání informací poskytovatelům sociálních služeb </w:t>
      </w:r>
    </w:p>
    <w:p w:rsidR="00AF4350" w:rsidRDefault="00AF4350" w:rsidP="00A34764">
      <w:pPr>
        <w:pStyle w:val="Odstavecseseznamem"/>
        <w:numPr>
          <w:ilvl w:val="0"/>
          <w:numId w:val="99"/>
        </w:numPr>
      </w:pPr>
      <w:r w:rsidRPr="00097FB1">
        <w:t xml:space="preserve">a pro činnost odboru sociálních věcí, který informace používá pro svěřené úkoly v rámci své činnosti i pro specifické úkoly ze strany ústředních orgánů státní správy. </w:t>
      </w:r>
    </w:p>
    <w:p w:rsidR="00AF4350" w:rsidRPr="00097FB1" w:rsidRDefault="00E00EA8" w:rsidP="00A34764">
      <w:r>
        <w:t>Prostřednictvím E</w:t>
      </w:r>
      <w:r w:rsidR="00AF4350" w:rsidRPr="00097FB1">
        <w:t>lektronického katalogu sociálních služeb</w:t>
      </w:r>
      <w:r>
        <w:t xml:space="preserve"> OK</w:t>
      </w:r>
      <w:r w:rsidR="00AF4350" w:rsidRPr="00097FB1">
        <w:t xml:space="preserve"> a vybraných zdravotních služeb poskytovaných na území OK se zpřístupnily informace o sociálních službách pro občany i odbornou veřejnost.</w:t>
      </w:r>
    </w:p>
    <w:p w:rsidR="00AF4350" w:rsidRPr="00652BF6" w:rsidRDefault="00AF4350" w:rsidP="00A34764">
      <w:r w:rsidRPr="00652BF6">
        <w:t xml:space="preserve">Prostřednictvím </w:t>
      </w:r>
      <w:proofErr w:type="spellStart"/>
      <w:r>
        <w:t>KISSoS</w:t>
      </w:r>
      <w:proofErr w:type="spellEnd"/>
      <w:r>
        <w:t xml:space="preserve"> získává</w:t>
      </w:r>
      <w:r w:rsidRPr="00652BF6">
        <w:t xml:space="preserve"> </w:t>
      </w:r>
      <w:r>
        <w:t xml:space="preserve">OK </w:t>
      </w:r>
      <w:r w:rsidRPr="00652BF6">
        <w:t xml:space="preserve">rámcový přehled o stavu a činnosti sociálních služeb zařazených v síti sociálních služeb kraje. Výkazy tvoří tematické okruhy složené z jednotlivých položek tzv. sady dat – Krajská síť, komunitní plánování a inspekce sociálních služeb; Rozdělení uživatelů dle věkových skupin; Evidenční počty zaměstnanců; Pracovníci v přímé péči (souhrn odpracovaných hodin za sledované období); Pracovníci nepodílející se na přímé péči (celkový počet úvazků); Členění pracovníků dle pracovního zařazení (celkový počet úvazků); Dobrovolníci; Výnosy; Náklady, Specifická data), ze kterých jsou tvořeny metriky a výkonnostní ukazatele. K procesu výkaznictví </w:t>
      </w:r>
      <w:r>
        <w:t>OSV</w:t>
      </w:r>
      <w:r w:rsidRPr="00652BF6">
        <w:t xml:space="preserve"> poskytuje metodické vedení </w:t>
      </w:r>
      <w:r w:rsidRPr="00652BF6">
        <w:lastRenderedPageBreak/>
        <w:t>a</w:t>
      </w:r>
      <w:r w:rsidR="00E00EA8">
        <w:t> </w:t>
      </w:r>
      <w:r w:rsidRPr="00652BF6">
        <w:t xml:space="preserve">pravidelně aktualizuje dokumenty „Metodiku vykazování dat“ a dokument „Přímá práce dle druhů sociálních služeb a výkonnostní ukazatelé“, ve kterých jsou popsány postupy a myšlenky o struktuře výpočtu přímé sociální práce.  </w:t>
      </w:r>
    </w:p>
    <w:p w:rsidR="00AF4350" w:rsidRPr="00652BF6" w:rsidRDefault="00AF4350" w:rsidP="00A34764">
      <w:r w:rsidRPr="00652BF6">
        <w:t>Mimo výše uvedená data a informace se prostřednictvím informačního systému zjišťují informace o poskytovatelích a registrovaných sociálních službách (forma, cílová skupina, věková kategorie, provozní doba, kontaktní osoby, údaje o službě, poslání, cíle, činnosti, adresy a kontakty, specifika služby), a aktuální územní působnost (</w:t>
      </w:r>
      <w:r>
        <w:t>místa, kde mají sociální služby</w:t>
      </w:r>
      <w:r w:rsidRPr="00652BF6">
        <w:t xml:space="preserve"> alespoň 1 klienta - konkrétní obce). Tyto informace jsou následně přenáš</w:t>
      </w:r>
      <w:r w:rsidR="00E00EA8">
        <w:t>eny do E</w:t>
      </w:r>
      <w:r w:rsidRPr="00652BF6">
        <w:t>lektronického katalogu sociálních služeb</w:t>
      </w:r>
      <w:r w:rsidR="00E00EA8">
        <w:t xml:space="preserve"> OK</w:t>
      </w:r>
      <w:r w:rsidRPr="00652BF6">
        <w:t>, který je dostupný pro širokou laickou i odbornou veřejnost.</w:t>
      </w:r>
    </w:p>
    <w:p w:rsidR="00AF4350" w:rsidRPr="00652BF6" w:rsidRDefault="00AF4350" w:rsidP="00A34764">
      <w:pPr>
        <w:rPr>
          <w:sz w:val="23"/>
          <w:szCs w:val="23"/>
        </w:rPr>
      </w:pPr>
      <w:r w:rsidRPr="00652BF6">
        <w:t xml:space="preserve">Modul </w:t>
      </w:r>
      <w:r>
        <w:t xml:space="preserve">„Evidence žadatelů“ </w:t>
      </w:r>
      <w:proofErr w:type="spellStart"/>
      <w:r>
        <w:t>KISSoS</w:t>
      </w:r>
      <w:proofErr w:type="spellEnd"/>
      <w:r w:rsidRPr="00652BF6">
        <w:t xml:space="preserve"> </w:t>
      </w:r>
      <w:r>
        <w:t>je určený k</w:t>
      </w:r>
      <w:r w:rsidRPr="00652BF6">
        <w:t xml:space="preserve"> zjištění počtu žádostí o pobytové sociální služby. </w:t>
      </w:r>
      <w:r>
        <w:t>OK</w:t>
      </w:r>
      <w:r w:rsidRPr="00652BF6">
        <w:t xml:space="preserve"> jako správce sítě sociálních služeb nezbytně potřebuje pro její efektivní správu informace o reálných počtech žadatelů o pobytové sociální služby poskytovaných v</w:t>
      </w:r>
      <w:r>
        <w:t> </w:t>
      </w:r>
      <w:r w:rsidRPr="00652BF6">
        <w:t>území kraje. S ohledem na reálnou praxi, kdy jeden zájemce může podat několik žádostí k různým poskytovatelům sociálních služeb, bylo nutné vytvořit systém, který umožnil sběr nezkreslených informací o počtu žádostí. Modul, který byl spuštěn v únoru 2022</w:t>
      </w:r>
      <w:r>
        <w:t>,</w:t>
      </w:r>
      <w:r w:rsidRPr="00652BF6">
        <w:t xml:space="preserve"> a kterému předcházelo jeho testování v roce 2021, umožňuje na základě základních údajů o</w:t>
      </w:r>
      <w:r w:rsidR="00E00EA8">
        <w:t> </w:t>
      </w:r>
      <w:r w:rsidRPr="00652BF6">
        <w:t xml:space="preserve">zájemci vytvoření tzv. </w:t>
      </w:r>
      <w:proofErr w:type="spellStart"/>
      <w:r w:rsidRPr="00652BF6">
        <w:t>HASHe</w:t>
      </w:r>
      <w:proofErr w:type="spellEnd"/>
      <w:r w:rsidRPr="00652BF6">
        <w:t xml:space="preserve"> a následné propojení informací o tom, zda má zájemce podanou žádost i v dalších zařízeních sociálních služeb. Na základě možnosti vzájemného sdílení informací mezi poskytovateli prostředí umožňuje vkládání záznamu sociálního šetření (tzv. prvotní sociální šetření) provedeného ze strany zaměstnanců sociální služby. Modul (při postupném zapojování poskytovatelů sociálních služeb) umožňuje získání přehledu o počtech žadatelů do pobytových sociálních služeb (aktuálně Domovy pro seniory), přičemž tato informace slouží mj. pro plánování rozvoje sociálních služeb a přesnější modelaci sítě sociálních služ</w:t>
      </w:r>
      <w:r>
        <w:t>eb v OK</w:t>
      </w:r>
      <w:r w:rsidRPr="00652BF6">
        <w:t>. Součástí modulu je možnost sdílení informací mezi zapojenými poskytovateli, zejm. pak základní informace o žadateli (tzv. prvotní sociální šetření), což vede k časové úspoře a snížení finančních prostředků vyčleněných na sociální šetření zástupcům sociálních služeb (čas pracovníků v přímé péči, pohonné hmoty, jízdné), rovněž dochází k menší zátěži pro žadatele a jejich rodiny, jelikož v případě podání více žádostí žadatele může proběhnout pouze jedno sociální šetření. Technické řešení modulu umožňuje zasílání notifikačních e-mailů zapojeným zástupcům poskytovatelům sociálních služeb o změně stavu žádosti konkrétního – společného – žadatele či žadatelky o sociální službu, kdy tato informace usnadňuje spolupráci a vede k rychlejší aktualizaci pořadníků žadatelů v zapojených sociálních službách.</w:t>
      </w:r>
    </w:p>
    <w:p w:rsidR="00AF4350" w:rsidRPr="00652BF6" w:rsidRDefault="00AF4350" w:rsidP="00A34764">
      <w:pPr>
        <w:pStyle w:val="Nadpis2"/>
      </w:pPr>
      <w:bookmarkStart w:id="246" w:name="_Toc117607014"/>
      <w:r w:rsidRPr="00652BF6">
        <w:t>Aktualizace sítě sociálních služeb Olomouckého kraje</w:t>
      </w:r>
      <w:bookmarkEnd w:id="246"/>
    </w:p>
    <w:p w:rsidR="00AF4350" w:rsidRPr="00652BF6" w:rsidRDefault="00AF4350" w:rsidP="00A34764">
      <w:r w:rsidRPr="00652BF6">
        <w:t xml:space="preserve">Východiskem pro stanovení sítě sociálních služeb na daný kalendářní rok je síť sociálních služeb stanovená v předcházejícím roce, která je optimalizována/modelována v návaznosti na stanovené priority, specifické cíle a opatření Střednědobého plánu v souladu s </w:t>
      </w:r>
      <w:proofErr w:type="spellStart"/>
      <w:r w:rsidRPr="00652BF6">
        <w:rPr>
          <w:b/>
        </w:rPr>
        <w:t>POSTUPem</w:t>
      </w:r>
      <w:proofErr w:type="spellEnd"/>
      <w:r w:rsidRPr="00652BF6">
        <w:rPr>
          <w:b/>
        </w:rPr>
        <w:t xml:space="preserve"> pro aktualizaci sítě sociálních služeb Olomouckého kraje</w:t>
      </w:r>
      <w:r w:rsidRPr="00652BF6">
        <w:t xml:space="preserve"> schváleným usnesením ZOK č. </w:t>
      </w:r>
      <w:r w:rsidRPr="00652BF6">
        <w:rPr>
          <w:szCs w:val="24"/>
        </w:rPr>
        <w:t xml:space="preserve">UZ/11/89/2022 </w:t>
      </w:r>
      <w:r w:rsidRPr="00652BF6">
        <w:t xml:space="preserve">ze dne 26. 9. 2022. Neopomenutelným hlediskem pro modelaci sítě je její finanční udržitelnost v následujícím období. </w:t>
      </w:r>
    </w:p>
    <w:p w:rsidR="00AF4350" w:rsidRPr="00652BF6" w:rsidRDefault="00AF4350" w:rsidP="00A34764">
      <w:r w:rsidRPr="00652BF6">
        <w:t>Na základ</w:t>
      </w:r>
      <w:r>
        <w:t>ě zkušeností s procesem správy s</w:t>
      </w:r>
      <w:r w:rsidRPr="00652BF6">
        <w:t>ítě v uplynulých letech byl POSTUP upraven v těchto částech:</w:t>
      </w:r>
    </w:p>
    <w:p w:rsidR="00AF4350" w:rsidRPr="00652BF6" w:rsidRDefault="00AF4350" w:rsidP="00D41DBC">
      <w:pPr>
        <w:pStyle w:val="SPRSodrky"/>
      </w:pPr>
      <w:r>
        <w:t>OK umožní pos</w:t>
      </w:r>
      <w:r w:rsidRPr="00652BF6">
        <w:t>k</w:t>
      </w:r>
      <w:r>
        <w:t>y</w:t>
      </w:r>
      <w:r w:rsidRPr="00652BF6">
        <w:t xml:space="preserve">tovatelům sociálních služeb plně nebo částečně financovaných mimo rozpočet OK (např. z finančních prostředků státní dotace poskytované MPSV na podporu sociálních služeb, které mají celostátní či nadregionální charakter, z finančních prostředků v rámci projektů z Evropského sociálního fondu, Integrovaných regionálních operačních programů, Koordinovaného přístupu k sociálně vyloučeným lokalitám za místní podpory Agentury pro sociální začleňování, z rozpočtu obce, norských, švýcarských fondů apod.) </w:t>
      </w:r>
      <w:r w:rsidRPr="00A34764">
        <w:rPr>
          <w:b/>
        </w:rPr>
        <w:t>vstoupit do sítě kdykoliv během kalendářního roku</w:t>
      </w:r>
      <w:r w:rsidRPr="00652BF6">
        <w:t xml:space="preserve"> </w:t>
      </w:r>
      <w:r w:rsidRPr="00A34764">
        <w:rPr>
          <w:b/>
        </w:rPr>
        <w:t>a získat pověření k výkonu služby obecného hospodářského zájmu po dobu trvání projektu</w:t>
      </w:r>
      <w:r w:rsidRPr="00652BF6">
        <w:t>. Tzv. podmíněné zařazení poskytovatelů sociálních služeb do sítě sociálních služeb OK plně nebo částečně financovaných mimo rozpočet OK podléhá schválení ROK.</w:t>
      </w:r>
    </w:p>
    <w:p w:rsidR="00AF4350" w:rsidRPr="00652BF6" w:rsidRDefault="00AF4350" w:rsidP="00D41DBC">
      <w:pPr>
        <w:pStyle w:val="SPRSodrky"/>
      </w:pPr>
      <w:r w:rsidRPr="00652BF6">
        <w:lastRenderedPageBreak/>
        <w:t xml:space="preserve">Poskytovatelé sociálních služeb pověřeni výkonem služby obecného hospodářského zájmu se akceptací pověření zavazují poskytovat </w:t>
      </w:r>
      <w:r>
        <w:t>OK</w:t>
      </w:r>
      <w:r w:rsidRPr="00652BF6">
        <w:t xml:space="preserve"> údaje o poskytovaných sociálních službách, a to prostřednictvím zadávání a aktualizování všech údajů vyžadovaných aplikací </w:t>
      </w:r>
      <w:proofErr w:type="spellStart"/>
      <w:r w:rsidRPr="00652BF6">
        <w:t>KISSoS</w:t>
      </w:r>
      <w:proofErr w:type="spellEnd"/>
      <w:r w:rsidRPr="00652BF6">
        <w:t>.</w:t>
      </w:r>
    </w:p>
    <w:p w:rsidR="00AF4350" w:rsidRPr="00652BF6" w:rsidRDefault="00AF4350" w:rsidP="00D41DBC">
      <w:pPr>
        <w:pStyle w:val="SPRSodrky"/>
      </w:pPr>
      <w:r>
        <w:t>OK</w:t>
      </w:r>
      <w:r w:rsidRPr="00652BF6">
        <w:t xml:space="preserve"> může zastavit proces příjmu žádostí o zařazení do sítě i příjem žádostí o aktualizaci jednotek zařazených v síti. Zastavení procesu příjmu žádostí schvaluje ROK a žadatelé budou o této skutečnosti písemně vyrozuměni.</w:t>
      </w:r>
    </w:p>
    <w:p w:rsidR="00AF4350" w:rsidRPr="00652BF6" w:rsidRDefault="00AF4350" w:rsidP="00A34764">
      <w:r w:rsidRPr="00652BF6">
        <w:t>Hlavním cílem OK je vytvoření finančně udržitelné sítě sociálních služeb v dostatečné kapacitě, náležité kvalitě a s odpovídající místní dostupností, vždy s důrazem na aktuální potřebnost. Záměrem OK je spíše regulovat vznik nových sociálních služeb. Zařazením nové sociální služby do sítě sociálních služeb OK deklaruje, že sociální služba je potřebná a financovatelná z veřejných zdrojů s ohledem na výši finanční podpory stanovenou v rámci přidělené dotace.</w:t>
      </w:r>
    </w:p>
    <w:p w:rsidR="00AF4350" w:rsidRPr="00652BF6" w:rsidRDefault="00AF4350" w:rsidP="00A34764">
      <w:r w:rsidRPr="00652BF6">
        <w:t xml:space="preserve">Při vyhodnocování potřebnosti vzniku sociálních služeb v OK je zásadní brát v potaz, že nelze uplatňovat stejná hlediska na celém území kraje, neboť je nezbytné zohledňovat i řadu objektivních charakteristik determinujících určité rozdíly vyplývající např. z míry urbanizace, z věkové, kvalifikační, profesní a sociální struktury obyvatelstva na daném území, dále ze struktury osídlení jednotlivých územních celků, z velikostí obcí a z hustoty obyvatelstva, z míry realizace tradiční funkce rodiny v péči o staré občany a v neposlední řadě také z nejrůznějších sociologických změn probíhajících ve společnosti a veškerých dalších kraji dostupných informací. Proto OK v rámci plánování na krajské úrovni velmi úzce spolupracuje se zástupci jednotlivých OÚORP v kraji a průběžně vyhodnocuje požadavky na modelaci/optimalizaci sítě s ohledem na aktuálně vzniklou potřebnost. </w:t>
      </w:r>
    </w:p>
    <w:p w:rsidR="00AF4350" w:rsidRPr="00652BF6" w:rsidRDefault="00AF4350" w:rsidP="00A34764">
      <w:r w:rsidRPr="00652BF6">
        <w:t>Aktualizace sít</w:t>
      </w:r>
      <w:r>
        <w:t xml:space="preserve">ě probíhá v souladu s </w:t>
      </w:r>
      <w:proofErr w:type="spellStart"/>
      <w:r>
        <w:t>POSTUPem</w:t>
      </w:r>
      <w:proofErr w:type="spellEnd"/>
      <w:r w:rsidRPr="00652BF6">
        <w:t xml:space="preserve">. Modelací (aktualizací) se rozumí: </w:t>
      </w:r>
    </w:p>
    <w:p w:rsidR="00AF4350" w:rsidRPr="00652BF6" w:rsidRDefault="00AF4350" w:rsidP="00A34764">
      <w:pPr>
        <w:pStyle w:val="Odstavecseseznamem"/>
        <w:numPr>
          <w:ilvl w:val="0"/>
          <w:numId w:val="220"/>
        </w:numPr>
      </w:pPr>
      <w:r w:rsidRPr="00652BF6">
        <w:t>zařazení nové sociální služby do sítě, dle kapitoly 2.1</w:t>
      </w:r>
      <w:r>
        <w:t xml:space="preserve"> </w:t>
      </w:r>
      <w:proofErr w:type="spellStart"/>
      <w:r>
        <w:t>POSTUPu</w:t>
      </w:r>
      <w:proofErr w:type="spellEnd"/>
      <w:r w:rsidRPr="00652BF6">
        <w:t>;</w:t>
      </w:r>
    </w:p>
    <w:p w:rsidR="00AF4350" w:rsidRPr="00652BF6" w:rsidRDefault="00AF4350" w:rsidP="00A34764">
      <w:pPr>
        <w:pStyle w:val="Odstavecseseznamem"/>
        <w:numPr>
          <w:ilvl w:val="0"/>
          <w:numId w:val="220"/>
        </w:numPr>
      </w:pPr>
      <w:r w:rsidRPr="00652BF6">
        <w:t>podmíněné zařazení nové služby do sítě dle kapitoly 2.2</w:t>
      </w:r>
      <w:r w:rsidRPr="00DA221F">
        <w:t xml:space="preserve"> </w:t>
      </w:r>
      <w:proofErr w:type="spellStart"/>
      <w:proofErr w:type="gramStart"/>
      <w:r>
        <w:t>POSTUPu</w:t>
      </w:r>
      <w:proofErr w:type="spellEnd"/>
      <w:r>
        <w:t xml:space="preserve"> </w:t>
      </w:r>
      <w:r w:rsidRPr="00652BF6">
        <w:t>.</w:t>
      </w:r>
      <w:proofErr w:type="gramEnd"/>
    </w:p>
    <w:p w:rsidR="00AF4350" w:rsidRPr="00652BF6" w:rsidRDefault="00AF4350" w:rsidP="00A34764">
      <w:pPr>
        <w:pStyle w:val="Odstavecseseznamem"/>
        <w:numPr>
          <w:ilvl w:val="0"/>
          <w:numId w:val="220"/>
        </w:numPr>
      </w:pPr>
      <w:r w:rsidRPr="00652BF6">
        <w:t>aktualizace jednotek (zvýšení nebo snížení) u sociální služby zařazené v síti, dle kapitoly 2.3</w:t>
      </w:r>
      <w:r>
        <w:t xml:space="preserve"> </w:t>
      </w:r>
      <w:proofErr w:type="spellStart"/>
      <w:r>
        <w:t>POSTUPu</w:t>
      </w:r>
      <w:proofErr w:type="spellEnd"/>
      <w:r>
        <w:t>;</w:t>
      </w:r>
    </w:p>
    <w:p w:rsidR="00AF4350" w:rsidRPr="00652BF6" w:rsidRDefault="00AF4350" w:rsidP="00A34764">
      <w:pPr>
        <w:pStyle w:val="Odstavecseseznamem"/>
        <w:numPr>
          <w:ilvl w:val="0"/>
          <w:numId w:val="220"/>
        </w:numPr>
      </w:pPr>
      <w:r w:rsidRPr="00652BF6">
        <w:t>podmíněná aktualizace jednotek u sociální služby zařazené v síti, dle kapitoly 2.4</w:t>
      </w:r>
      <w:r w:rsidRPr="00DA221F">
        <w:t xml:space="preserve"> </w:t>
      </w:r>
      <w:proofErr w:type="spellStart"/>
      <w:r>
        <w:t>POSTUPu</w:t>
      </w:r>
      <w:proofErr w:type="spellEnd"/>
      <w:r>
        <w:t>;</w:t>
      </w:r>
    </w:p>
    <w:p w:rsidR="00AF4350" w:rsidRPr="00652BF6" w:rsidRDefault="00AF4350" w:rsidP="00A34764">
      <w:pPr>
        <w:pStyle w:val="Odstavecseseznamem"/>
        <w:numPr>
          <w:ilvl w:val="0"/>
          <w:numId w:val="220"/>
        </w:numPr>
      </w:pPr>
      <w:r w:rsidRPr="00652BF6">
        <w:t>vyřazení sociální služby ze sítě a snížení jednotek u služeb zařazených v síti, dle kapitoly 2.5</w:t>
      </w:r>
      <w:r w:rsidRPr="00DA221F">
        <w:t xml:space="preserve"> </w:t>
      </w:r>
      <w:proofErr w:type="spellStart"/>
      <w:r>
        <w:t>POSTUPu</w:t>
      </w:r>
      <w:proofErr w:type="spellEnd"/>
      <w:r w:rsidRPr="00652BF6">
        <w:t>.</w:t>
      </w:r>
    </w:p>
    <w:p w:rsidR="00AF4350" w:rsidRPr="00652BF6" w:rsidRDefault="00AF4350" w:rsidP="00A34764">
      <w:r w:rsidRPr="00652BF6">
        <w:t xml:space="preserve">Žádosti o aktualizaci sítě dle </w:t>
      </w:r>
      <w:proofErr w:type="spellStart"/>
      <w:r w:rsidRPr="00652BF6">
        <w:t>POSTUPu</w:t>
      </w:r>
      <w:proofErr w:type="spellEnd"/>
      <w:r w:rsidRPr="00652BF6">
        <w:t xml:space="preserve"> podávají poskytovatelé sociálních služeb prostřednictvím webové aplikace </w:t>
      </w:r>
      <w:proofErr w:type="spellStart"/>
      <w:r w:rsidRPr="00652BF6">
        <w:t>KISSoS</w:t>
      </w:r>
      <w:proofErr w:type="spellEnd"/>
      <w:r w:rsidRPr="00652BF6">
        <w:t xml:space="preserve">, přičemž o přístup do webové aplikace požádá oprávněná osoba prostřednictvím emailu na adresu: </w:t>
      </w:r>
      <w:hyperlink r:id="rId58" w:history="1">
        <w:r w:rsidRPr="00652BF6">
          <w:rPr>
            <w:color w:val="0563C1" w:themeColor="hyperlink"/>
            <w:u w:val="single"/>
          </w:rPr>
          <w:t>sitovani@olkraj.cz</w:t>
        </w:r>
      </w:hyperlink>
      <w:r w:rsidRPr="00652BF6">
        <w:t xml:space="preserve">. </w:t>
      </w:r>
    </w:p>
    <w:p w:rsidR="00AF4350" w:rsidRPr="00652BF6" w:rsidRDefault="00AF4350" w:rsidP="00A34764">
      <w:r w:rsidRPr="00652BF6">
        <w:t xml:space="preserve">Žádosti o podmíněné zařazení nové služby do sítě a žádosti o podmíněnou aktualizaci sítě podávají poskytovatelé pouze prostřednictvím emailu na adresu </w:t>
      </w:r>
      <w:hyperlink r:id="rId59" w:history="1">
        <w:r w:rsidRPr="00652BF6">
          <w:rPr>
            <w:color w:val="0563C1" w:themeColor="hyperlink"/>
            <w:u w:val="single"/>
          </w:rPr>
          <w:t>sitovani@olkraj.cz</w:t>
        </w:r>
      </w:hyperlink>
      <w:r w:rsidRPr="00652BF6">
        <w:t>.</w:t>
      </w:r>
    </w:p>
    <w:p w:rsidR="00AF4350" w:rsidRPr="00652BF6" w:rsidRDefault="00AF4350" w:rsidP="00A34764">
      <w:r w:rsidRPr="00652BF6">
        <w:t>Následně jsou žádosti hodnoceny po formální a věcné stránce. Žádosti, které splní formální náležitosti, jsou dále posouzeny v souladu s parametry tvorby sítě. Zvláštní důraz je kladen zejména na to, zda je požadovaná změna v souladu se Střednědobým plánem rozvoje sociálních služeb Olomouckého kraje pro dané roky, zda je v území, kde poskytovatel sociální služby působí, nedostačující či naopak nevyužitá kapacita shodné sociální služby. Při posuzování žádostí jsou rovněž využita data z </w:t>
      </w:r>
      <w:proofErr w:type="spellStart"/>
      <w:r w:rsidRPr="00652BF6">
        <w:t>Benchmarkingu</w:t>
      </w:r>
      <w:proofErr w:type="spellEnd"/>
      <w:r w:rsidRPr="00652BF6">
        <w:t xml:space="preserve"> poskytovatelů sociálních služeb v Olomouckém kraji.</w:t>
      </w:r>
    </w:p>
    <w:p w:rsidR="00AF4350" w:rsidRPr="00652BF6" w:rsidRDefault="00AF4350" w:rsidP="00D41DBC">
      <w:pPr>
        <w:pStyle w:val="popistabulkySPRSS2024"/>
      </w:pPr>
      <w:bookmarkStart w:id="247" w:name="_Toc22567462"/>
      <w:bookmarkStart w:id="248" w:name="_Toc117607026"/>
      <w:r w:rsidRPr="00652BF6">
        <w:lastRenderedPageBreak/>
        <w:t xml:space="preserve">Obrázek </w:t>
      </w:r>
      <w:r w:rsidR="00412C70">
        <w:fldChar w:fldCharType="begin"/>
      </w:r>
      <w:r w:rsidR="00412C70">
        <w:instrText xml:space="preserve"> SEQ Obrázek \* ARABIC </w:instrText>
      </w:r>
      <w:r w:rsidR="00412C70">
        <w:fldChar w:fldCharType="separate"/>
      </w:r>
      <w:r w:rsidR="003A12AF">
        <w:rPr>
          <w:noProof/>
        </w:rPr>
        <w:t>6</w:t>
      </w:r>
      <w:r w:rsidR="00412C70">
        <w:rPr>
          <w:noProof/>
        </w:rPr>
        <w:fldChar w:fldCharType="end"/>
      </w:r>
      <w:r>
        <w:t>:</w:t>
      </w:r>
      <w:r w:rsidRPr="00652BF6">
        <w:t xml:space="preserve"> Parametry</w:t>
      </w:r>
      <w:bookmarkEnd w:id="247"/>
      <w:bookmarkEnd w:id="248"/>
    </w:p>
    <w:p w:rsidR="00AF4350" w:rsidRPr="00652BF6" w:rsidRDefault="00AF4350" w:rsidP="00A34764">
      <w:r w:rsidRPr="00652BF6">
        <w:rPr>
          <w:noProof/>
          <w:lang w:eastAsia="cs-CZ"/>
        </w:rPr>
        <w:drawing>
          <wp:inline distT="0" distB="0" distL="0" distR="0" wp14:anchorId="427D47CD" wp14:editId="5B385BF6">
            <wp:extent cx="5001371" cy="1447137"/>
            <wp:effectExtent l="0" t="0" r="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AF4350" w:rsidRPr="00652BF6" w:rsidRDefault="00AF4350" w:rsidP="00A34764"/>
    <w:p w:rsidR="00AF4350" w:rsidRPr="00652BF6" w:rsidRDefault="00AF4350" w:rsidP="00D41DBC">
      <w:pPr>
        <w:pStyle w:val="Tun"/>
      </w:pPr>
      <w:r w:rsidRPr="00652BF6">
        <w:t>Parametr potřebnosti</w:t>
      </w:r>
    </w:p>
    <w:p w:rsidR="00AF4350" w:rsidRPr="00652BF6" w:rsidRDefault="00AF4350" w:rsidP="00D41DBC">
      <w:pPr>
        <w:spacing w:before="0"/>
      </w:pPr>
      <w:r w:rsidRPr="00652BF6">
        <w:t xml:space="preserve">Síť sociálních služeb vychází ze skutečně zjištěné potřebnosti sociálních služeb. Zjišťování potřebnosti vychází z analýzy sociálních rizik, z analýzy sociodemografických procesů, z plánování na úrovni obcí, z informací od poskytovatelů a uživatelů sociálních služeb.  </w:t>
      </w:r>
    </w:p>
    <w:p w:rsidR="00AF4350" w:rsidRPr="00652BF6" w:rsidRDefault="00AF4350" w:rsidP="00D41DBC">
      <w:pPr>
        <w:pStyle w:val="Tun"/>
      </w:pPr>
      <w:r w:rsidRPr="00652BF6">
        <w:t>Parametr kvality</w:t>
      </w:r>
    </w:p>
    <w:p w:rsidR="00AF4350" w:rsidRPr="00652BF6" w:rsidRDefault="00AF4350" w:rsidP="00D41DBC">
      <w:pPr>
        <w:spacing w:before="0"/>
      </w:pPr>
      <w:r w:rsidRPr="00652BF6">
        <w:t>Požadavky na dodržování kvality sociálních služeb s tím, že sociální služby splňují další kvalitativní podmínky stanovené OK.</w:t>
      </w:r>
    </w:p>
    <w:p w:rsidR="00AF4350" w:rsidRPr="00652BF6" w:rsidRDefault="00AF4350" w:rsidP="00D41DBC">
      <w:pPr>
        <w:pStyle w:val="Tun"/>
      </w:pPr>
      <w:r w:rsidRPr="00652BF6">
        <w:t>Parametr dostupnosti</w:t>
      </w:r>
    </w:p>
    <w:p w:rsidR="00AF4350" w:rsidRPr="00652BF6" w:rsidRDefault="00AF4350" w:rsidP="00D41DBC">
      <w:pPr>
        <w:spacing w:before="0"/>
      </w:pPr>
      <w:r w:rsidRPr="00652BF6">
        <w:t>Při tvorbě sítě je zohledňována územní a časová dostupnost sociální služby.</w:t>
      </w:r>
    </w:p>
    <w:p w:rsidR="00AF4350" w:rsidRPr="00652BF6" w:rsidRDefault="00AF4350" w:rsidP="00D41DBC">
      <w:pPr>
        <w:pStyle w:val="Tun"/>
      </w:pPr>
      <w:r w:rsidRPr="00652BF6">
        <w:t>Parametr nákladovosti</w:t>
      </w:r>
    </w:p>
    <w:p w:rsidR="00AF4350" w:rsidRPr="00652BF6" w:rsidRDefault="00AF4350" w:rsidP="00D41DBC">
      <w:pPr>
        <w:spacing w:before="0"/>
      </w:pPr>
      <w:r w:rsidRPr="00652BF6">
        <w:t>Sociální služba je podrobena ekonomické analýze z dostupných dat v </w:t>
      </w:r>
      <w:proofErr w:type="spellStart"/>
      <w:r w:rsidRPr="00652BF6">
        <w:t>benchmarkingu</w:t>
      </w:r>
      <w:proofErr w:type="spellEnd"/>
      <w:r w:rsidRPr="00652BF6">
        <w:t xml:space="preserve"> a je zohledňována její nákladovost.</w:t>
      </w:r>
    </w:p>
    <w:p w:rsidR="00AF4350" w:rsidRPr="00D46F1F" w:rsidRDefault="00AF4350" w:rsidP="00A34764">
      <w:pPr>
        <w:pStyle w:val="Nadpis2"/>
      </w:pPr>
      <w:bookmarkStart w:id="249" w:name="_Toc117607015"/>
      <w:r w:rsidRPr="00D46F1F">
        <w:t>Optimalizace sítě sociálních služeb OK a výzvy pro následující období</w:t>
      </w:r>
      <w:bookmarkEnd w:id="249"/>
    </w:p>
    <w:p w:rsidR="00AF4350" w:rsidRPr="00D46F1F" w:rsidRDefault="00AF4350" w:rsidP="00A34764">
      <w:pPr>
        <w:rPr>
          <w:rFonts w:eastAsia="Arial Unicode MS"/>
          <w:bCs/>
        </w:rPr>
      </w:pPr>
      <w:r w:rsidRPr="00D46F1F">
        <w:rPr>
          <w:lang w:eastAsia="cs-CZ"/>
        </w:rPr>
        <w:t>Záměr kraje nejen pro období platnosti Střednědobého plánu 2024</w:t>
      </w:r>
      <w:r>
        <w:rPr>
          <w:lang w:eastAsia="cs-CZ"/>
        </w:rPr>
        <w:t>–</w:t>
      </w:r>
      <w:r w:rsidRPr="00D46F1F">
        <w:rPr>
          <w:lang w:eastAsia="cs-CZ"/>
        </w:rPr>
        <w:t>2026 jednoznačně spočívá v optimalizaci stávající sítě prostřednictvím r</w:t>
      </w:r>
      <w:r w:rsidRPr="00D46F1F">
        <w:t>ozvoje nástrojů pro zajištění její efektivity, účelnosti a udržitelnosti. Jedním z těchto nástrojů může být p</w:t>
      </w:r>
      <w:r w:rsidRPr="00D46F1F">
        <w:rPr>
          <w:rFonts w:eastAsia="Arial Unicode MS"/>
          <w:bCs/>
        </w:rPr>
        <w:t xml:space="preserve">růběžné zavádění nástrojů na definici požadavků pro nastavení jednotlivých druhů sociálních služeb do praxe poskytovatelů sociálních služeb. O jejich podobě bude nezbytné s poskytovateli sociálních služeb vést diskusi. </w:t>
      </w:r>
    </w:p>
    <w:p w:rsidR="00AF4350" w:rsidRPr="00D46F1F" w:rsidRDefault="00AF4350" w:rsidP="00A34764">
      <w:pPr>
        <w:rPr>
          <w:lang w:eastAsia="cs-CZ"/>
        </w:rPr>
      </w:pPr>
      <w:r w:rsidRPr="00D46F1F">
        <w:rPr>
          <w:lang w:eastAsia="cs-CZ"/>
        </w:rPr>
        <w:t>V mezidobí bude úsilí kraje směřovat rovněž k precizaci mechanismů monitoringu. Účelem monitoringu je mimo jiné zvýšit kvalitu a efektivitu poskytovaných sociálních služeb zařazených v síti. Poskytování kvalitních sociálních služeb je klíčovým faktorem pro schopnost poskytovatelů zařazených v síti reagovat efektivně na nepříznivé sociální situace konkrétních občanů a jejich potřeby v území OK.</w:t>
      </w:r>
    </w:p>
    <w:p w:rsidR="00AF4350" w:rsidRPr="00D46F1F" w:rsidRDefault="00AF4350" w:rsidP="00A34764">
      <w:pPr>
        <w:rPr>
          <w:lang w:eastAsia="cs-CZ"/>
        </w:rPr>
      </w:pPr>
      <w:r w:rsidRPr="00D46F1F">
        <w:rPr>
          <w:lang w:eastAsia="cs-CZ"/>
        </w:rPr>
        <w:t>Očekávané přijetí novely zákona o sociálních službách může přinést změny při správě sítě, zejména s ohledem na avizovanou změnu/úpravu druhů sociálních služeb. V tomto případě bude OK jako správce sítě reagovat aktualizací dotčených strategických a metodických dokumentů v souladu s novelou zákona a případnými prováděcími předpisy.</w:t>
      </w:r>
    </w:p>
    <w:p w:rsidR="00AF4350" w:rsidRPr="008016BA" w:rsidRDefault="00AF4350" w:rsidP="00A34764">
      <w:pPr>
        <w:rPr>
          <w:lang w:eastAsia="cs-CZ"/>
        </w:rPr>
      </w:pPr>
      <w:r w:rsidRPr="00D46F1F">
        <w:rPr>
          <w:lang w:eastAsia="cs-CZ"/>
        </w:rPr>
        <w:t>Nespornou výzvou pro OK je nutnost zintenzivnit jednání mezi krajem jako správcem sítě a obcemi jako zadavateli. Součástí vyjednávání se musí rovněž stát diskuse týkající se podílů jednotlivých obcí na financování krajské sítě sociálních služeb, zejména pak zabezpečení jejich provozních potřeb, tak aby v nadcházejícím období mohl být položen základ spravedlivému systému podílení se jednotlivých územních samospráv se zohledněním dlouhodobé sociální situace v území. Jedině tak může dojít k zabezpečení dlouhodobé stability financování sítě.</w:t>
      </w:r>
    </w:p>
    <w:p w:rsidR="00AF4350" w:rsidRPr="00652BF6" w:rsidRDefault="00AF4350" w:rsidP="00A34764">
      <w:pPr>
        <w:pStyle w:val="Nadpis2"/>
      </w:pPr>
      <w:bookmarkStart w:id="250" w:name="_Toc399140751"/>
      <w:bookmarkStart w:id="251" w:name="_Toc470083140"/>
      <w:bookmarkStart w:id="252" w:name="_Toc22896404"/>
      <w:bookmarkStart w:id="253" w:name="_Toc22913794"/>
      <w:bookmarkStart w:id="254" w:name="_Toc117607016"/>
      <w:r w:rsidRPr="00652BF6">
        <w:lastRenderedPageBreak/>
        <w:t>Přehled vybraných údajů o sociálních službách zařazených v síti sociálních služeb</w:t>
      </w:r>
      <w:bookmarkEnd w:id="250"/>
      <w:bookmarkEnd w:id="251"/>
      <w:bookmarkEnd w:id="252"/>
      <w:bookmarkEnd w:id="253"/>
      <w:bookmarkEnd w:id="254"/>
    </w:p>
    <w:p w:rsidR="00AF4350" w:rsidRPr="00652BF6" w:rsidRDefault="00AF4350" w:rsidP="00A34764">
      <w:r>
        <w:t xml:space="preserve">Níže uvedená tabulka </w:t>
      </w:r>
      <w:r w:rsidRPr="00652BF6">
        <w:t>zobrazuje poskytované druhy služeb zařazených v síti sociálních služeb OK dle jejich četnosti v letech 2015–2023.</w:t>
      </w:r>
    </w:p>
    <w:p w:rsidR="00AF4350" w:rsidRPr="00652BF6" w:rsidRDefault="00AF4350" w:rsidP="00D41DBC">
      <w:pPr>
        <w:pStyle w:val="popistabulkySPRSS2024"/>
      </w:pPr>
      <w:bookmarkStart w:id="255" w:name="_Toc469995002"/>
      <w:bookmarkStart w:id="256" w:name="_Toc22561883"/>
      <w:bookmarkStart w:id="257" w:name="_Toc113616167"/>
      <w:bookmarkStart w:id="258" w:name="_Toc117607107"/>
      <w:r w:rsidRPr="00652BF6">
        <w:t xml:space="preserve">Tabulka </w:t>
      </w:r>
      <w:r w:rsidR="00412C70">
        <w:fldChar w:fldCharType="begin"/>
      </w:r>
      <w:r w:rsidR="00412C70">
        <w:instrText xml:space="preserve"> SEQ Tabulka \* ARABIC </w:instrText>
      </w:r>
      <w:r w:rsidR="00412C70">
        <w:fldChar w:fldCharType="separate"/>
      </w:r>
      <w:r w:rsidR="003A12AF">
        <w:rPr>
          <w:noProof/>
        </w:rPr>
        <w:t>47</w:t>
      </w:r>
      <w:r w:rsidR="00412C70">
        <w:rPr>
          <w:noProof/>
        </w:rPr>
        <w:fldChar w:fldCharType="end"/>
      </w:r>
      <w:r>
        <w:t>:</w:t>
      </w:r>
      <w:r w:rsidRPr="00652BF6">
        <w:t xml:space="preserve"> Přehled poskytovaných druhů služeb zařazených v síti sociálních služeb OK dle jejich četnosti v letech 2015</w:t>
      </w:r>
      <w:bookmarkEnd w:id="255"/>
      <w:r w:rsidRPr="00652BF6">
        <w:t>–20</w:t>
      </w:r>
      <w:bookmarkEnd w:id="256"/>
      <w:r w:rsidRPr="00652BF6">
        <w:t>23</w:t>
      </w:r>
      <w:bookmarkEnd w:id="257"/>
      <w:bookmarkEnd w:id="2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9"/>
        <w:gridCol w:w="645"/>
        <w:gridCol w:w="631"/>
        <w:gridCol w:w="709"/>
        <w:gridCol w:w="709"/>
        <w:gridCol w:w="709"/>
        <w:gridCol w:w="710"/>
        <w:gridCol w:w="710"/>
        <w:gridCol w:w="709"/>
        <w:gridCol w:w="701"/>
      </w:tblGrid>
      <w:tr w:rsidR="00F03B0A" w:rsidRPr="00F03B0A" w:rsidTr="00F03B0A">
        <w:trPr>
          <w:trHeight w:val="20"/>
          <w:tblHeader/>
        </w:trPr>
        <w:tc>
          <w:tcPr>
            <w:tcW w:w="1561" w:type="pct"/>
            <w:vMerge w:val="restart"/>
            <w:vAlign w:val="center"/>
          </w:tcPr>
          <w:p w:rsidR="00F03B0A" w:rsidRPr="00F03B0A" w:rsidRDefault="00F03B0A" w:rsidP="00F03B0A">
            <w:pPr>
              <w:autoSpaceDE w:val="0"/>
              <w:autoSpaceDN w:val="0"/>
              <w:adjustRightInd w:val="0"/>
              <w:spacing w:before="0"/>
              <w:jc w:val="center"/>
              <w:rPr>
                <w:rFonts w:eastAsia="Calibri" w:cs="Segoe UI"/>
                <w:color w:val="000000"/>
                <w:sz w:val="18"/>
                <w:szCs w:val="18"/>
              </w:rPr>
            </w:pPr>
          </w:p>
        </w:tc>
        <w:tc>
          <w:tcPr>
            <w:tcW w:w="3439" w:type="pct"/>
            <w:gridSpan w:val="9"/>
            <w:tcBorders>
              <w:bottom w:val="single" w:sz="4" w:space="0" w:color="auto"/>
            </w:tcBorders>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bCs/>
                <w:color w:val="000000"/>
                <w:sz w:val="18"/>
                <w:szCs w:val="18"/>
              </w:rPr>
              <w:t>Počet v roce</w:t>
            </w:r>
          </w:p>
        </w:tc>
      </w:tr>
      <w:tr w:rsidR="00F03B0A" w:rsidRPr="00F03B0A" w:rsidTr="00F03B0A">
        <w:trPr>
          <w:trHeight w:val="20"/>
          <w:tblHeader/>
        </w:trPr>
        <w:tc>
          <w:tcPr>
            <w:tcW w:w="1561" w:type="pct"/>
            <w:vMerge/>
            <w:tcBorders>
              <w:bottom w:val="single" w:sz="4" w:space="0" w:color="auto"/>
            </w:tcBorders>
            <w:vAlign w:val="center"/>
          </w:tcPr>
          <w:p w:rsidR="00F03B0A" w:rsidRPr="00F03B0A" w:rsidRDefault="00F03B0A" w:rsidP="00F03B0A">
            <w:pPr>
              <w:autoSpaceDE w:val="0"/>
              <w:autoSpaceDN w:val="0"/>
              <w:adjustRightInd w:val="0"/>
              <w:spacing w:before="0"/>
              <w:jc w:val="center"/>
              <w:rPr>
                <w:rFonts w:eastAsia="Calibri" w:cs="Segoe UI"/>
                <w:color w:val="000000"/>
                <w:sz w:val="18"/>
                <w:szCs w:val="18"/>
              </w:rPr>
            </w:pPr>
          </w:p>
        </w:tc>
        <w:tc>
          <w:tcPr>
            <w:tcW w:w="356" w:type="pct"/>
            <w:tcBorders>
              <w:bottom w:val="single" w:sz="4" w:space="0" w:color="auto"/>
            </w:tcBorders>
            <w:vAlign w:val="center"/>
          </w:tcPr>
          <w:p w:rsidR="00F03B0A" w:rsidRPr="00F03B0A" w:rsidRDefault="00F03B0A" w:rsidP="00F03B0A">
            <w:pPr>
              <w:autoSpaceDE w:val="0"/>
              <w:autoSpaceDN w:val="0"/>
              <w:adjustRightInd w:val="0"/>
              <w:spacing w:before="0"/>
              <w:jc w:val="center"/>
              <w:rPr>
                <w:rFonts w:eastAsia="Calibri" w:cs="Segoe UI"/>
                <w:color w:val="000000"/>
                <w:sz w:val="18"/>
                <w:szCs w:val="18"/>
              </w:rPr>
            </w:pPr>
            <w:r w:rsidRPr="00F03B0A">
              <w:rPr>
                <w:rFonts w:eastAsia="Calibri" w:cs="Segoe UI"/>
                <w:b/>
                <w:bCs/>
                <w:color w:val="000000"/>
                <w:sz w:val="18"/>
                <w:szCs w:val="18"/>
              </w:rPr>
              <w:t>2015</w:t>
            </w:r>
          </w:p>
        </w:tc>
        <w:tc>
          <w:tcPr>
            <w:tcW w:w="348" w:type="pct"/>
            <w:tcBorders>
              <w:bottom w:val="single" w:sz="4" w:space="0" w:color="auto"/>
            </w:tcBorders>
            <w:vAlign w:val="center"/>
          </w:tcPr>
          <w:p w:rsidR="00F03B0A" w:rsidRPr="00F03B0A" w:rsidRDefault="00F03B0A" w:rsidP="00F03B0A">
            <w:pPr>
              <w:autoSpaceDE w:val="0"/>
              <w:autoSpaceDN w:val="0"/>
              <w:adjustRightInd w:val="0"/>
              <w:spacing w:before="0"/>
              <w:jc w:val="center"/>
              <w:rPr>
                <w:rFonts w:eastAsia="Calibri" w:cs="Segoe UI"/>
                <w:color w:val="000000"/>
                <w:sz w:val="18"/>
                <w:szCs w:val="18"/>
              </w:rPr>
            </w:pPr>
            <w:r w:rsidRPr="00F03B0A">
              <w:rPr>
                <w:rFonts w:eastAsia="Calibri" w:cs="Segoe UI"/>
                <w:b/>
                <w:bCs/>
                <w:color w:val="000000"/>
                <w:sz w:val="18"/>
                <w:szCs w:val="18"/>
              </w:rPr>
              <w:t>2016</w:t>
            </w:r>
          </w:p>
        </w:tc>
        <w:tc>
          <w:tcPr>
            <w:tcW w:w="391" w:type="pct"/>
            <w:tcBorders>
              <w:bottom w:val="single" w:sz="4" w:space="0" w:color="auto"/>
            </w:tcBorders>
            <w:vAlign w:val="center"/>
          </w:tcPr>
          <w:p w:rsidR="00F03B0A" w:rsidRPr="00F03B0A" w:rsidRDefault="00F03B0A" w:rsidP="00F03B0A">
            <w:pPr>
              <w:autoSpaceDE w:val="0"/>
              <w:autoSpaceDN w:val="0"/>
              <w:adjustRightInd w:val="0"/>
              <w:spacing w:before="0"/>
              <w:jc w:val="center"/>
              <w:rPr>
                <w:rFonts w:eastAsia="Calibri" w:cs="Segoe UI"/>
                <w:color w:val="000000"/>
                <w:sz w:val="18"/>
                <w:szCs w:val="18"/>
              </w:rPr>
            </w:pPr>
            <w:r w:rsidRPr="00F03B0A">
              <w:rPr>
                <w:rFonts w:eastAsia="Calibri" w:cs="Segoe UI"/>
                <w:b/>
                <w:color w:val="000000"/>
                <w:sz w:val="18"/>
                <w:szCs w:val="18"/>
              </w:rPr>
              <w:t>2017</w:t>
            </w:r>
          </w:p>
        </w:tc>
        <w:tc>
          <w:tcPr>
            <w:tcW w:w="391" w:type="pct"/>
            <w:tcBorders>
              <w:bottom w:val="single" w:sz="4" w:space="0" w:color="auto"/>
            </w:tcBorders>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color w:val="000000"/>
                <w:sz w:val="18"/>
                <w:szCs w:val="18"/>
              </w:rPr>
              <w:t>2018</w:t>
            </w:r>
          </w:p>
        </w:tc>
        <w:tc>
          <w:tcPr>
            <w:tcW w:w="391" w:type="pct"/>
            <w:tcBorders>
              <w:bottom w:val="single" w:sz="4" w:space="0" w:color="auto"/>
            </w:tcBorders>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color w:val="000000"/>
                <w:sz w:val="18"/>
                <w:szCs w:val="18"/>
              </w:rPr>
              <w:t>2019</w:t>
            </w:r>
          </w:p>
        </w:tc>
        <w:tc>
          <w:tcPr>
            <w:tcW w:w="392" w:type="pct"/>
            <w:tcBorders>
              <w:bottom w:val="single" w:sz="4" w:space="0" w:color="auto"/>
            </w:tcBorders>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color w:val="000000"/>
                <w:sz w:val="18"/>
                <w:szCs w:val="18"/>
              </w:rPr>
              <w:t>2020</w:t>
            </w:r>
          </w:p>
        </w:tc>
        <w:tc>
          <w:tcPr>
            <w:tcW w:w="392" w:type="pct"/>
            <w:tcBorders>
              <w:bottom w:val="single" w:sz="4" w:space="0" w:color="auto"/>
            </w:tcBorders>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color w:val="000000"/>
                <w:sz w:val="18"/>
                <w:szCs w:val="18"/>
              </w:rPr>
              <w:t>2021</w:t>
            </w:r>
          </w:p>
        </w:tc>
        <w:tc>
          <w:tcPr>
            <w:tcW w:w="391" w:type="pct"/>
            <w:tcBorders>
              <w:bottom w:val="single" w:sz="4" w:space="0" w:color="auto"/>
            </w:tcBorders>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color w:val="000000"/>
                <w:sz w:val="18"/>
                <w:szCs w:val="18"/>
              </w:rPr>
              <w:t>2022</w:t>
            </w:r>
          </w:p>
        </w:tc>
        <w:tc>
          <w:tcPr>
            <w:tcW w:w="386" w:type="pct"/>
            <w:tcBorders>
              <w:bottom w:val="single" w:sz="4" w:space="0" w:color="auto"/>
            </w:tcBorders>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color w:val="000000"/>
                <w:sz w:val="18"/>
                <w:szCs w:val="18"/>
              </w:rPr>
              <w:t>2023</w:t>
            </w:r>
          </w:p>
        </w:tc>
      </w:tr>
      <w:tr w:rsidR="00D41DBC" w:rsidRPr="00F03B0A" w:rsidTr="00F03B0A">
        <w:trPr>
          <w:trHeight w:val="20"/>
        </w:trPr>
        <w:tc>
          <w:tcPr>
            <w:tcW w:w="5000" w:type="pct"/>
            <w:gridSpan w:val="10"/>
            <w:shd w:val="clear" w:color="auto" w:fill="C5E0B3" w:themeFill="accent6" w:themeFillTint="66"/>
            <w:vAlign w:val="center"/>
          </w:tcPr>
          <w:p w:rsidR="00D41DBC" w:rsidRPr="00F03B0A" w:rsidRDefault="00D41DBC" w:rsidP="00F03B0A">
            <w:pPr>
              <w:autoSpaceDE w:val="0"/>
              <w:autoSpaceDN w:val="0"/>
              <w:adjustRightInd w:val="0"/>
              <w:spacing w:before="0"/>
              <w:jc w:val="left"/>
              <w:rPr>
                <w:rFonts w:eastAsia="Calibri" w:cs="Segoe UI"/>
                <w:b/>
                <w:color w:val="000000"/>
                <w:sz w:val="18"/>
                <w:szCs w:val="18"/>
              </w:rPr>
            </w:pPr>
            <w:r w:rsidRPr="00F03B0A">
              <w:rPr>
                <w:rFonts w:eastAsia="Calibri" w:cs="Segoe UI"/>
                <w:b/>
                <w:color w:val="000000"/>
                <w:sz w:val="18"/>
                <w:szCs w:val="18"/>
              </w:rPr>
              <w:t>Sociální poradenství</w:t>
            </w:r>
          </w:p>
        </w:tc>
      </w:tr>
      <w:tr w:rsidR="00F03B0A" w:rsidRPr="00F03B0A" w:rsidTr="00F03B0A">
        <w:trPr>
          <w:trHeight w:val="20"/>
        </w:trPr>
        <w:tc>
          <w:tcPr>
            <w:tcW w:w="1561" w:type="pct"/>
            <w:tcBorders>
              <w:bottom w:val="single" w:sz="4" w:space="0" w:color="auto"/>
            </w:tcBorders>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Odborné sociální poradenství</w:t>
            </w:r>
          </w:p>
        </w:tc>
        <w:tc>
          <w:tcPr>
            <w:tcW w:w="356"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25</w:t>
            </w:r>
          </w:p>
        </w:tc>
        <w:tc>
          <w:tcPr>
            <w:tcW w:w="348"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23</w:t>
            </w:r>
          </w:p>
        </w:tc>
        <w:tc>
          <w:tcPr>
            <w:tcW w:w="391"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24</w:t>
            </w:r>
          </w:p>
        </w:tc>
        <w:tc>
          <w:tcPr>
            <w:tcW w:w="391"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23</w:t>
            </w:r>
          </w:p>
        </w:tc>
        <w:tc>
          <w:tcPr>
            <w:tcW w:w="391"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24</w:t>
            </w:r>
          </w:p>
        </w:tc>
        <w:tc>
          <w:tcPr>
            <w:tcW w:w="392"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25</w:t>
            </w:r>
          </w:p>
        </w:tc>
        <w:tc>
          <w:tcPr>
            <w:tcW w:w="392"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25</w:t>
            </w:r>
          </w:p>
        </w:tc>
        <w:tc>
          <w:tcPr>
            <w:tcW w:w="391" w:type="pct"/>
            <w:tcBorders>
              <w:bottom w:val="single" w:sz="4" w:space="0" w:color="auto"/>
            </w:tcBorders>
            <w:shd w:val="clear" w:color="auto" w:fill="auto"/>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25</w:t>
            </w:r>
          </w:p>
        </w:tc>
        <w:tc>
          <w:tcPr>
            <w:tcW w:w="386" w:type="pct"/>
            <w:tcBorders>
              <w:bottom w:val="single" w:sz="4" w:space="0" w:color="auto"/>
            </w:tcBorders>
            <w:vAlign w:val="center"/>
          </w:tcPr>
          <w:p w:rsidR="00D41DBC" w:rsidRPr="00F03B0A" w:rsidRDefault="00D41DBC" w:rsidP="00F03B0A">
            <w:pPr>
              <w:autoSpaceDE w:val="0"/>
              <w:autoSpaceDN w:val="0"/>
              <w:adjustRightInd w:val="0"/>
              <w:spacing w:before="0" w:line="360" w:lineRule="auto"/>
              <w:jc w:val="right"/>
              <w:rPr>
                <w:rFonts w:eastAsia="Calibri" w:cs="Segoe UI"/>
                <w:b/>
                <w:color w:val="000000"/>
                <w:sz w:val="18"/>
                <w:szCs w:val="18"/>
              </w:rPr>
            </w:pPr>
            <w:r w:rsidRPr="00F03B0A">
              <w:rPr>
                <w:rFonts w:eastAsia="Calibri" w:cs="Segoe UI"/>
                <w:color w:val="000000"/>
                <w:sz w:val="18"/>
                <w:szCs w:val="18"/>
              </w:rPr>
              <w:t>25</w:t>
            </w:r>
          </w:p>
        </w:tc>
      </w:tr>
      <w:tr w:rsidR="00D41DBC" w:rsidRPr="00F03B0A" w:rsidTr="00F03B0A">
        <w:trPr>
          <w:trHeight w:val="20"/>
        </w:trPr>
        <w:tc>
          <w:tcPr>
            <w:tcW w:w="5000" w:type="pct"/>
            <w:gridSpan w:val="10"/>
            <w:shd w:val="clear" w:color="auto" w:fill="C5E0B3" w:themeFill="accent6" w:themeFillTint="66"/>
            <w:vAlign w:val="center"/>
          </w:tcPr>
          <w:p w:rsidR="00D41DBC" w:rsidRPr="00F03B0A" w:rsidRDefault="00D41DBC" w:rsidP="00F03B0A">
            <w:pPr>
              <w:autoSpaceDE w:val="0"/>
              <w:autoSpaceDN w:val="0"/>
              <w:adjustRightInd w:val="0"/>
              <w:spacing w:before="0"/>
              <w:jc w:val="left"/>
              <w:rPr>
                <w:rFonts w:eastAsia="Calibri" w:cs="Segoe UI"/>
                <w:b/>
                <w:color w:val="000000"/>
                <w:sz w:val="18"/>
                <w:szCs w:val="18"/>
              </w:rPr>
            </w:pPr>
            <w:r w:rsidRPr="00F03B0A">
              <w:rPr>
                <w:rFonts w:eastAsia="Calibri" w:cs="Segoe UI"/>
                <w:b/>
                <w:color w:val="000000"/>
                <w:sz w:val="18"/>
                <w:szCs w:val="18"/>
              </w:rPr>
              <w:t>Služby sociální péče</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Osobní asistence</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11</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w:t>
            </w:r>
          </w:p>
        </w:tc>
        <w:tc>
          <w:tcPr>
            <w:tcW w:w="391" w:type="pct"/>
            <w:shd w:val="clear" w:color="auto" w:fill="auto"/>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Pečovatelská služba</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35</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35</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35</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35</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36</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36</w:t>
            </w:r>
          </w:p>
        </w:tc>
        <w:tc>
          <w:tcPr>
            <w:tcW w:w="391" w:type="pct"/>
            <w:shd w:val="clear" w:color="auto" w:fill="auto"/>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36</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36</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Tísňová péče</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Průvodcovské a předčitatelské služby</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Podpora samostatného bydlení</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Odlehčovací služby</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c>
          <w:tcPr>
            <w:tcW w:w="391" w:type="pct"/>
            <w:shd w:val="clear" w:color="auto" w:fill="auto"/>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Centra denních služeb</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1" w:type="pct"/>
            <w:shd w:val="clear" w:color="auto" w:fill="auto"/>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Denní stacionáře</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Týdenní stacionáře</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Domovy pro osoby se zdravotním posti</w:t>
            </w:r>
            <w:r w:rsidRPr="00F03B0A">
              <w:rPr>
                <w:rFonts w:eastAsia="Calibri" w:cs="Segoe UI"/>
                <w:color w:val="000000"/>
                <w:sz w:val="18"/>
                <w:szCs w:val="18"/>
              </w:rPr>
              <w:softHyphen/>
              <w:t>žením</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11</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Domovy pro seniory</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33</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34</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33</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33</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33</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33</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33</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33</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33</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Domovy se zvláštním režimem</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19</w:t>
            </w:r>
          </w:p>
        </w:tc>
        <w:tc>
          <w:tcPr>
            <w:tcW w:w="391" w:type="pct"/>
            <w:shd w:val="clear" w:color="auto" w:fill="auto"/>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19</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19</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Chráněné bydlení</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w:t>
            </w:r>
          </w:p>
        </w:tc>
        <w:tc>
          <w:tcPr>
            <w:tcW w:w="391" w:type="pct"/>
            <w:shd w:val="clear" w:color="auto" w:fill="auto"/>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w:t>
            </w:r>
          </w:p>
        </w:tc>
      </w:tr>
      <w:tr w:rsidR="00F03B0A" w:rsidRPr="00F03B0A" w:rsidTr="00F03B0A">
        <w:trPr>
          <w:trHeight w:val="20"/>
        </w:trPr>
        <w:tc>
          <w:tcPr>
            <w:tcW w:w="1561" w:type="pct"/>
            <w:tcBorders>
              <w:bottom w:val="single" w:sz="4" w:space="0" w:color="auto"/>
            </w:tcBorders>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Sociální služby poskytované ve zdravotnických zařízeních lůžkové péče</w:t>
            </w:r>
          </w:p>
        </w:tc>
        <w:tc>
          <w:tcPr>
            <w:tcW w:w="356"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48"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1"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1"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1"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2"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2"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1"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86"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r>
      <w:tr w:rsidR="00D41DBC" w:rsidRPr="00F03B0A" w:rsidTr="00F03B0A">
        <w:trPr>
          <w:trHeight w:val="20"/>
        </w:trPr>
        <w:tc>
          <w:tcPr>
            <w:tcW w:w="5000" w:type="pct"/>
            <w:gridSpan w:val="10"/>
            <w:shd w:val="clear" w:color="auto" w:fill="C5E0B3" w:themeFill="accent6" w:themeFillTint="66"/>
            <w:vAlign w:val="center"/>
          </w:tcPr>
          <w:p w:rsidR="00D41DBC" w:rsidRPr="00F03B0A" w:rsidRDefault="00D41DBC" w:rsidP="00F03B0A">
            <w:pPr>
              <w:autoSpaceDE w:val="0"/>
              <w:autoSpaceDN w:val="0"/>
              <w:adjustRightInd w:val="0"/>
              <w:spacing w:before="0"/>
              <w:jc w:val="left"/>
              <w:rPr>
                <w:rFonts w:eastAsia="Calibri" w:cs="Segoe UI"/>
                <w:b/>
                <w:color w:val="000000"/>
                <w:sz w:val="18"/>
                <w:szCs w:val="18"/>
              </w:rPr>
            </w:pPr>
            <w:r w:rsidRPr="00F03B0A">
              <w:rPr>
                <w:rFonts w:eastAsia="Calibri" w:cs="Segoe UI"/>
                <w:b/>
                <w:color w:val="000000"/>
                <w:sz w:val="18"/>
                <w:szCs w:val="18"/>
              </w:rPr>
              <w:t>Služby sociální prevence</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Raná péče</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Telefonická krizová pomoc</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Tlumočnické služby</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Azylové domy</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21</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20</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20</w:t>
            </w:r>
          </w:p>
        </w:tc>
        <w:tc>
          <w:tcPr>
            <w:tcW w:w="391" w:type="pct"/>
            <w:shd w:val="clear" w:color="auto" w:fill="auto"/>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20</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20</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Domy na půl cesty</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Kontaktní centra</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Krizová pomoc</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Intervenční centra</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Nízkoprahová denní centra</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Nízkoprahová zařízení pro děti a mládež</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Noclehárny</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Služby následné péče</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w:t>
            </w:r>
          </w:p>
        </w:tc>
      </w:tr>
      <w:tr w:rsidR="00F03B0A" w:rsidRPr="00F03B0A" w:rsidTr="00F03B0A">
        <w:trPr>
          <w:trHeight w:val="20"/>
        </w:trPr>
        <w:tc>
          <w:tcPr>
            <w:tcW w:w="1561" w:type="pct"/>
            <w:vAlign w:val="center"/>
          </w:tcPr>
          <w:p w:rsidR="00D41DBC" w:rsidRPr="00F03B0A" w:rsidRDefault="00F03B0A" w:rsidP="00F03B0A">
            <w:pPr>
              <w:autoSpaceDE w:val="0"/>
              <w:autoSpaceDN w:val="0"/>
              <w:adjustRightInd w:val="0"/>
              <w:spacing w:before="0"/>
              <w:jc w:val="left"/>
              <w:rPr>
                <w:rFonts w:eastAsia="Calibri" w:cs="Segoe UI"/>
                <w:color w:val="000000"/>
                <w:sz w:val="18"/>
                <w:szCs w:val="18"/>
              </w:rPr>
            </w:pPr>
            <w:r>
              <w:rPr>
                <w:rFonts w:eastAsia="Calibri" w:cs="Segoe UI"/>
                <w:color w:val="000000"/>
                <w:sz w:val="18"/>
                <w:szCs w:val="18"/>
              </w:rPr>
              <w:t>SAS</w:t>
            </w:r>
            <w:r w:rsidR="00D41DBC" w:rsidRPr="00F03B0A">
              <w:rPr>
                <w:rFonts w:eastAsia="Calibri" w:cs="Segoe UI"/>
                <w:color w:val="000000"/>
                <w:sz w:val="18"/>
                <w:szCs w:val="18"/>
              </w:rPr>
              <w:t xml:space="preserve"> pro rodiny s dětmi</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21</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18</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w:t>
            </w:r>
          </w:p>
        </w:tc>
        <w:tc>
          <w:tcPr>
            <w:tcW w:w="391" w:type="pct"/>
            <w:shd w:val="clear" w:color="auto" w:fill="auto"/>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w:t>
            </w:r>
          </w:p>
        </w:tc>
      </w:tr>
      <w:tr w:rsidR="00F03B0A" w:rsidRPr="00F03B0A" w:rsidTr="00F03B0A">
        <w:trPr>
          <w:trHeight w:val="20"/>
        </w:trPr>
        <w:tc>
          <w:tcPr>
            <w:tcW w:w="1561" w:type="pct"/>
            <w:vAlign w:val="center"/>
          </w:tcPr>
          <w:p w:rsidR="00D41DBC" w:rsidRPr="00F03B0A" w:rsidRDefault="00F03B0A" w:rsidP="00F03B0A">
            <w:pPr>
              <w:autoSpaceDE w:val="0"/>
              <w:autoSpaceDN w:val="0"/>
              <w:adjustRightInd w:val="0"/>
              <w:spacing w:before="0"/>
              <w:jc w:val="left"/>
              <w:rPr>
                <w:rFonts w:eastAsia="Calibri" w:cs="Segoe UI"/>
                <w:color w:val="000000"/>
                <w:sz w:val="18"/>
                <w:szCs w:val="18"/>
              </w:rPr>
            </w:pPr>
            <w:r>
              <w:rPr>
                <w:rFonts w:eastAsia="Calibri" w:cs="Segoe UI"/>
                <w:color w:val="000000"/>
                <w:sz w:val="18"/>
                <w:szCs w:val="18"/>
              </w:rPr>
              <w:t>SAS</w:t>
            </w:r>
            <w:r w:rsidR="00D41DBC" w:rsidRPr="00F03B0A">
              <w:rPr>
                <w:rFonts w:eastAsia="Calibri" w:cs="Segoe UI"/>
                <w:color w:val="000000"/>
                <w:sz w:val="18"/>
                <w:szCs w:val="18"/>
              </w:rPr>
              <w:t xml:space="preserve"> pro seniory a osoby se zdravotním postižením</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Sociálně terapeutické dílny</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w:t>
            </w:r>
          </w:p>
        </w:tc>
        <w:tc>
          <w:tcPr>
            <w:tcW w:w="391" w:type="pct"/>
            <w:shd w:val="clear" w:color="auto" w:fill="auto"/>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Terapeutické komunity</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w:t>
            </w:r>
          </w:p>
        </w:tc>
      </w:tr>
      <w:tr w:rsidR="00F03B0A" w:rsidRPr="00F03B0A" w:rsidTr="00F03B0A">
        <w:trPr>
          <w:trHeight w:val="20"/>
        </w:trPr>
        <w:tc>
          <w:tcPr>
            <w:tcW w:w="1561" w:type="pct"/>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Terénní programy</w:t>
            </w:r>
          </w:p>
        </w:tc>
        <w:tc>
          <w:tcPr>
            <w:tcW w:w="35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w:t>
            </w:r>
          </w:p>
        </w:tc>
        <w:tc>
          <w:tcPr>
            <w:tcW w:w="348"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392"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391"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c>
          <w:tcPr>
            <w:tcW w:w="386" w:type="pct"/>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r>
      <w:tr w:rsidR="00F03B0A" w:rsidRPr="00F03B0A" w:rsidTr="00F03B0A">
        <w:trPr>
          <w:trHeight w:val="20"/>
        </w:trPr>
        <w:tc>
          <w:tcPr>
            <w:tcW w:w="1561" w:type="pct"/>
            <w:tcBorders>
              <w:bottom w:val="single" w:sz="4" w:space="0" w:color="auto"/>
            </w:tcBorders>
            <w:vAlign w:val="center"/>
          </w:tcPr>
          <w:p w:rsidR="00D41DBC" w:rsidRPr="00F03B0A" w:rsidRDefault="00D41DBC"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Sociální rehabilitace</w:t>
            </w:r>
          </w:p>
        </w:tc>
        <w:tc>
          <w:tcPr>
            <w:tcW w:w="356"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348"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w:t>
            </w:r>
          </w:p>
        </w:tc>
        <w:tc>
          <w:tcPr>
            <w:tcW w:w="391"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w:t>
            </w:r>
          </w:p>
        </w:tc>
        <w:tc>
          <w:tcPr>
            <w:tcW w:w="391"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18</w:t>
            </w:r>
          </w:p>
        </w:tc>
        <w:tc>
          <w:tcPr>
            <w:tcW w:w="391"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18</w:t>
            </w:r>
          </w:p>
        </w:tc>
        <w:tc>
          <w:tcPr>
            <w:tcW w:w="392"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19</w:t>
            </w:r>
          </w:p>
        </w:tc>
        <w:tc>
          <w:tcPr>
            <w:tcW w:w="392"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19</w:t>
            </w:r>
          </w:p>
        </w:tc>
        <w:tc>
          <w:tcPr>
            <w:tcW w:w="391" w:type="pct"/>
            <w:tcBorders>
              <w:bottom w:val="single" w:sz="4" w:space="0" w:color="auto"/>
            </w:tcBorders>
            <w:shd w:val="clear" w:color="auto" w:fill="auto"/>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18</w:t>
            </w:r>
          </w:p>
        </w:tc>
        <w:tc>
          <w:tcPr>
            <w:tcW w:w="386" w:type="pct"/>
            <w:tcBorders>
              <w:bottom w:val="single" w:sz="4" w:space="0" w:color="auto"/>
            </w:tcBorders>
            <w:vAlign w:val="center"/>
          </w:tcPr>
          <w:p w:rsidR="00D41DBC" w:rsidRPr="00F03B0A" w:rsidRDefault="00D41DBC"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18</w:t>
            </w:r>
          </w:p>
        </w:tc>
      </w:tr>
      <w:tr w:rsidR="00F03B0A" w:rsidRPr="00F03B0A" w:rsidTr="00F03B0A">
        <w:trPr>
          <w:trHeight w:val="20"/>
        </w:trPr>
        <w:tc>
          <w:tcPr>
            <w:tcW w:w="1561" w:type="pct"/>
            <w:shd w:val="clear" w:color="auto" w:fill="F7CAAC" w:themeFill="accent2" w:themeFillTint="66"/>
            <w:vAlign w:val="center"/>
          </w:tcPr>
          <w:p w:rsidR="00D41DBC" w:rsidRPr="00F03B0A" w:rsidRDefault="00D41DBC" w:rsidP="00F03B0A">
            <w:pPr>
              <w:autoSpaceDE w:val="0"/>
              <w:autoSpaceDN w:val="0"/>
              <w:adjustRightInd w:val="0"/>
              <w:spacing w:before="0"/>
              <w:jc w:val="center"/>
              <w:rPr>
                <w:rFonts w:eastAsia="Calibri" w:cs="Segoe UI"/>
                <w:b/>
                <w:i/>
                <w:color w:val="000000"/>
                <w:sz w:val="18"/>
                <w:szCs w:val="18"/>
              </w:rPr>
            </w:pPr>
            <w:r w:rsidRPr="00F03B0A">
              <w:rPr>
                <w:rFonts w:eastAsia="Calibri" w:cs="Segoe UI"/>
                <w:b/>
                <w:i/>
                <w:color w:val="000000"/>
                <w:sz w:val="18"/>
                <w:szCs w:val="18"/>
              </w:rPr>
              <w:t>Celkem</w:t>
            </w:r>
          </w:p>
        </w:tc>
        <w:tc>
          <w:tcPr>
            <w:tcW w:w="356" w:type="pct"/>
            <w:shd w:val="clear" w:color="auto" w:fill="F7CAAC" w:themeFill="accent2" w:themeFillTint="66"/>
            <w:vAlign w:val="center"/>
          </w:tcPr>
          <w:p w:rsidR="00D41DBC" w:rsidRPr="00F03B0A" w:rsidRDefault="00D41DBC" w:rsidP="00F03B0A">
            <w:pPr>
              <w:autoSpaceDE w:val="0"/>
              <w:autoSpaceDN w:val="0"/>
              <w:adjustRightInd w:val="0"/>
              <w:spacing w:before="0"/>
              <w:jc w:val="right"/>
              <w:rPr>
                <w:rFonts w:eastAsia="Calibri" w:cs="Segoe UI"/>
                <w:b/>
                <w:i/>
                <w:color w:val="000000"/>
                <w:sz w:val="18"/>
                <w:szCs w:val="18"/>
              </w:rPr>
            </w:pPr>
            <w:r w:rsidRPr="00F03B0A">
              <w:rPr>
                <w:rFonts w:eastAsia="Calibri" w:cs="Segoe UI"/>
                <w:b/>
                <w:i/>
                <w:color w:val="000000"/>
                <w:sz w:val="18"/>
                <w:szCs w:val="18"/>
              </w:rPr>
              <w:t>304</w:t>
            </w:r>
          </w:p>
        </w:tc>
        <w:tc>
          <w:tcPr>
            <w:tcW w:w="348" w:type="pct"/>
            <w:shd w:val="clear" w:color="auto" w:fill="F7CAAC" w:themeFill="accent2" w:themeFillTint="66"/>
            <w:vAlign w:val="center"/>
          </w:tcPr>
          <w:p w:rsidR="00D41DBC" w:rsidRPr="00F03B0A" w:rsidRDefault="00D41DBC" w:rsidP="00F03B0A">
            <w:pPr>
              <w:autoSpaceDE w:val="0"/>
              <w:autoSpaceDN w:val="0"/>
              <w:adjustRightInd w:val="0"/>
              <w:spacing w:before="0"/>
              <w:jc w:val="right"/>
              <w:rPr>
                <w:rFonts w:eastAsia="Calibri" w:cs="Segoe UI"/>
                <w:b/>
                <w:i/>
                <w:color w:val="000000"/>
                <w:sz w:val="18"/>
                <w:szCs w:val="18"/>
              </w:rPr>
            </w:pPr>
            <w:r w:rsidRPr="00F03B0A">
              <w:rPr>
                <w:rFonts w:eastAsia="Calibri" w:cs="Segoe UI"/>
                <w:b/>
                <w:i/>
                <w:color w:val="000000"/>
                <w:sz w:val="18"/>
                <w:szCs w:val="18"/>
              </w:rPr>
              <w:t>302</w:t>
            </w:r>
          </w:p>
        </w:tc>
        <w:tc>
          <w:tcPr>
            <w:tcW w:w="391" w:type="pct"/>
            <w:shd w:val="clear" w:color="auto" w:fill="F7CAAC" w:themeFill="accent2" w:themeFillTint="66"/>
            <w:vAlign w:val="center"/>
          </w:tcPr>
          <w:p w:rsidR="00D41DBC" w:rsidRPr="00F03B0A" w:rsidRDefault="00D41DBC" w:rsidP="00F03B0A">
            <w:pPr>
              <w:autoSpaceDE w:val="0"/>
              <w:autoSpaceDN w:val="0"/>
              <w:adjustRightInd w:val="0"/>
              <w:spacing w:before="0"/>
              <w:jc w:val="right"/>
              <w:rPr>
                <w:rFonts w:eastAsia="Calibri" w:cs="Segoe UI"/>
                <w:b/>
                <w:i/>
                <w:color w:val="000000"/>
                <w:sz w:val="18"/>
                <w:szCs w:val="18"/>
              </w:rPr>
            </w:pPr>
            <w:r w:rsidRPr="00F03B0A">
              <w:rPr>
                <w:rFonts w:eastAsia="Calibri" w:cs="Segoe UI"/>
                <w:b/>
                <w:i/>
                <w:color w:val="000000"/>
                <w:sz w:val="18"/>
                <w:szCs w:val="18"/>
              </w:rPr>
              <w:t>304</w:t>
            </w:r>
          </w:p>
        </w:tc>
        <w:tc>
          <w:tcPr>
            <w:tcW w:w="391" w:type="pct"/>
            <w:shd w:val="clear" w:color="auto" w:fill="F7CAAC" w:themeFill="accent2" w:themeFillTint="66"/>
            <w:vAlign w:val="center"/>
          </w:tcPr>
          <w:p w:rsidR="00D41DBC" w:rsidRPr="00F03B0A" w:rsidRDefault="00D41DBC" w:rsidP="00F03B0A">
            <w:pPr>
              <w:autoSpaceDE w:val="0"/>
              <w:autoSpaceDN w:val="0"/>
              <w:adjustRightInd w:val="0"/>
              <w:spacing w:before="0"/>
              <w:jc w:val="right"/>
              <w:rPr>
                <w:rFonts w:eastAsia="Calibri" w:cs="Segoe UI"/>
                <w:b/>
                <w:i/>
                <w:color w:val="000000"/>
                <w:sz w:val="18"/>
                <w:szCs w:val="18"/>
              </w:rPr>
            </w:pPr>
            <w:r w:rsidRPr="00F03B0A">
              <w:rPr>
                <w:rFonts w:eastAsia="Calibri" w:cs="Segoe UI"/>
                <w:b/>
                <w:i/>
                <w:color w:val="000000"/>
                <w:sz w:val="18"/>
                <w:szCs w:val="18"/>
              </w:rPr>
              <w:t>309</w:t>
            </w:r>
          </w:p>
        </w:tc>
        <w:tc>
          <w:tcPr>
            <w:tcW w:w="391" w:type="pct"/>
            <w:shd w:val="clear" w:color="auto" w:fill="F7CAAC" w:themeFill="accent2" w:themeFillTint="66"/>
            <w:vAlign w:val="center"/>
          </w:tcPr>
          <w:p w:rsidR="00D41DBC" w:rsidRPr="00F03B0A" w:rsidRDefault="00D41DBC" w:rsidP="00F03B0A">
            <w:pPr>
              <w:autoSpaceDE w:val="0"/>
              <w:autoSpaceDN w:val="0"/>
              <w:adjustRightInd w:val="0"/>
              <w:spacing w:before="0"/>
              <w:jc w:val="right"/>
              <w:rPr>
                <w:rFonts w:eastAsia="Calibri" w:cs="Segoe UI"/>
                <w:b/>
                <w:i/>
                <w:color w:val="000000"/>
                <w:sz w:val="18"/>
                <w:szCs w:val="18"/>
              </w:rPr>
            </w:pPr>
            <w:r w:rsidRPr="00F03B0A">
              <w:rPr>
                <w:rFonts w:eastAsia="Calibri" w:cs="Segoe UI"/>
                <w:b/>
                <w:i/>
                <w:color w:val="000000"/>
                <w:sz w:val="18"/>
                <w:szCs w:val="18"/>
              </w:rPr>
              <w:t>310</w:t>
            </w:r>
          </w:p>
        </w:tc>
        <w:tc>
          <w:tcPr>
            <w:tcW w:w="392" w:type="pct"/>
            <w:shd w:val="clear" w:color="auto" w:fill="F7CAAC" w:themeFill="accent2" w:themeFillTint="66"/>
            <w:vAlign w:val="center"/>
          </w:tcPr>
          <w:p w:rsidR="00D41DBC" w:rsidRPr="00F03B0A" w:rsidRDefault="00D41DBC" w:rsidP="00F03B0A">
            <w:pPr>
              <w:autoSpaceDE w:val="0"/>
              <w:autoSpaceDN w:val="0"/>
              <w:adjustRightInd w:val="0"/>
              <w:spacing w:before="0"/>
              <w:jc w:val="right"/>
              <w:rPr>
                <w:rFonts w:eastAsia="Calibri" w:cs="Segoe UI"/>
                <w:b/>
                <w:i/>
                <w:color w:val="000000"/>
                <w:sz w:val="18"/>
                <w:szCs w:val="18"/>
              </w:rPr>
            </w:pPr>
            <w:r w:rsidRPr="00F03B0A">
              <w:rPr>
                <w:rFonts w:eastAsia="Calibri" w:cs="Segoe UI"/>
                <w:b/>
                <w:i/>
                <w:color w:val="000000"/>
                <w:sz w:val="18"/>
                <w:szCs w:val="18"/>
              </w:rPr>
              <w:t>316</w:t>
            </w:r>
          </w:p>
        </w:tc>
        <w:tc>
          <w:tcPr>
            <w:tcW w:w="392" w:type="pct"/>
            <w:shd w:val="clear" w:color="auto" w:fill="F7CAAC" w:themeFill="accent2" w:themeFillTint="66"/>
            <w:vAlign w:val="center"/>
          </w:tcPr>
          <w:p w:rsidR="00D41DBC" w:rsidRPr="00F03B0A" w:rsidRDefault="00D41DBC" w:rsidP="00F03B0A">
            <w:pPr>
              <w:autoSpaceDE w:val="0"/>
              <w:autoSpaceDN w:val="0"/>
              <w:adjustRightInd w:val="0"/>
              <w:spacing w:before="0"/>
              <w:jc w:val="right"/>
              <w:rPr>
                <w:rFonts w:eastAsia="Calibri" w:cs="Segoe UI"/>
                <w:b/>
                <w:i/>
                <w:color w:val="000000"/>
                <w:sz w:val="18"/>
                <w:szCs w:val="18"/>
              </w:rPr>
            </w:pPr>
            <w:r w:rsidRPr="00F03B0A">
              <w:rPr>
                <w:rFonts w:eastAsia="Calibri" w:cs="Segoe UI"/>
                <w:b/>
                <w:i/>
                <w:color w:val="000000"/>
                <w:sz w:val="18"/>
                <w:szCs w:val="18"/>
              </w:rPr>
              <w:t>320</w:t>
            </w:r>
          </w:p>
        </w:tc>
        <w:tc>
          <w:tcPr>
            <w:tcW w:w="391" w:type="pct"/>
            <w:shd w:val="clear" w:color="auto" w:fill="F7CAAC" w:themeFill="accent2" w:themeFillTint="66"/>
            <w:vAlign w:val="center"/>
          </w:tcPr>
          <w:p w:rsidR="00D41DBC" w:rsidRPr="00F03B0A" w:rsidRDefault="00D41DBC" w:rsidP="00F03B0A">
            <w:pPr>
              <w:autoSpaceDE w:val="0"/>
              <w:autoSpaceDN w:val="0"/>
              <w:adjustRightInd w:val="0"/>
              <w:spacing w:before="0"/>
              <w:jc w:val="right"/>
              <w:rPr>
                <w:rFonts w:eastAsia="Calibri" w:cs="Segoe UI"/>
                <w:b/>
                <w:i/>
                <w:color w:val="000000"/>
                <w:sz w:val="18"/>
                <w:szCs w:val="18"/>
              </w:rPr>
            </w:pPr>
            <w:r w:rsidRPr="00F03B0A">
              <w:rPr>
                <w:rFonts w:eastAsia="Calibri" w:cs="Segoe UI"/>
                <w:b/>
                <w:i/>
                <w:color w:val="000000"/>
                <w:sz w:val="18"/>
                <w:szCs w:val="18"/>
              </w:rPr>
              <w:t>320</w:t>
            </w:r>
          </w:p>
        </w:tc>
        <w:tc>
          <w:tcPr>
            <w:tcW w:w="386" w:type="pct"/>
            <w:shd w:val="clear" w:color="auto" w:fill="F7CAAC" w:themeFill="accent2" w:themeFillTint="66"/>
            <w:vAlign w:val="center"/>
          </w:tcPr>
          <w:p w:rsidR="00D41DBC" w:rsidRPr="00F03B0A" w:rsidRDefault="00D41DBC" w:rsidP="00F03B0A">
            <w:pPr>
              <w:autoSpaceDE w:val="0"/>
              <w:autoSpaceDN w:val="0"/>
              <w:adjustRightInd w:val="0"/>
              <w:spacing w:before="0"/>
              <w:jc w:val="right"/>
              <w:rPr>
                <w:rFonts w:eastAsia="Calibri" w:cs="Segoe UI"/>
                <w:b/>
                <w:color w:val="000000"/>
                <w:sz w:val="18"/>
                <w:szCs w:val="18"/>
              </w:rPr>
            </w:pPr>
            <w:r w:rsidRPr="00F03B0A">
              <w:rPr>
                <w:rFonts w:eastAsia="Calibri" w:cs="Segoe UI"/>
                <w:b/>
                <w:color w:val="000000"/>
                <w:sz w:val="18"/>
                <w:szCs w:val="18"/>
              </w:rPr>
              <w:t>320</w:t>
            </w:r>
          </w:p>
        </w:tc>
      </w:tr>
    </w:tbl>
    <w:p w:rsidR="00AF4350" w:rsidRPr="00F14241" w:rsidRDefault="00AF4350" w:rsidP="00D41DBC">
      <w:pPr>
        <w:pStyle w:val="Zdrojobjektu"/>
      </w:pPr>
      <w:r w:rsidRPr="00F14241">
        <w:t>Zdroj: síť sociálních služeb OK na příslušný rok</w:t>
      </w:r>
    </w:p>
    <w:p w:rsidR="00AF4350" w:rsidRPr="00652BF6" w:rsidRDefault="00AF4350" w:rsidP="00A34764">
      <w:pPr>
        <w:rPr>
          <w:rFonts w:eastAsia="Arial Unicode MS"/>
          <w:lang w:eastAsia="cs-CZ"/>
        </w:rPr>
      </w:pPr>
    </w:p>
    <w:p w:rsidR="00AF4350" w:rsidRPr="00652BF6" w:rsidRDefault="00AF4350" w:rsidP="00F03B0A">
      <w:pPr>
        <w:pStyle w:val="popistabulkySPRSS2024"/>
      </w:pPr>
      <w:bookmarkStart w:id="259" w:name="_Toc22561885"/>
      <w:bookmarkStart w:id="260" w:name="_Toc113616168"/>
      <w:bookmarkStart w:id="261" w:name="_Toc117607108"/>
      <w:r w:rsidRPr="00652BF6">
        <w:t xml:space="preserve">Tabulka </w:t>
      </w:r>
      <w:r w:rsidR="00412C70">
        <w:fldChar w:fldCharType="begin"/>
      </w:r>
      <w:r w:rsidR="00412C70">
        <w:instrText xml:space="preserve"> SEQ Tabulka \* ARABIC </w:instrText>
      </w:r>
      <w:r w:rsidR="00412C70">
        <w:fldChar w:fldCharType="separate"/>
      </w:r>
      <w:r w:rsidR="003A12AF">
        <w:rPr>
          <w:noProof/>
        </w:rPr>
        <w:t>48</w:t>
      </w:r>
      <w:r w:rsidR="00412C70">
        <w:rPr>
          <w:noProof/>
        </w:rPr>
        <w:fldChar w:fldCharType="end"/>
      </w:r>
      <w:r>
        <w:t>:</w:t>
      </w:r>
      <w:r w:rsidRPr="00652BF6">
        <w:t xml:space="preserve"> Přehled počtu jednotek zařazených v síti sociálních služeb OK dle druhů sociálních služeb v letech 2016–20</w:t>
      </w:r>
      <w:bookmarkEnd w:id="259"/>
      <w:r w:rsidRPr="00652BF6">
        <w:t>22</w:t>
      </w:r>
      <w:bookmarkEnd w:id="260"/>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3257"/>
        <w:gridCol w:w="852"/>
        <w:gridCol w:w="817"/>
        <w:gridCol w:w="741"/>
        <w:gridCol w:w="852"/>
        <w:gridCol w:w="848"/>
        <w:gridCol w:w="852"/>
        <w:gridCol w:w="843"/>
      </w:tblGrid>
      <w:tr w:rsidR="00F03B0A" w:rsidRPr="00F03B0A" w:rsidTr="00F03B0A">
        <w:trPr>
          <w:trHeight w:val="283"/>
          <w:tblHeader/>
        </w:trPr>
        <w:tc>
          <w:tcPr>
            <w:tcW w:w="1797"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center"/>
              <w:rPr>
                <w:rFonts w:eastAsia="Calibri" w:cs="Segoe UI"/>
                <w:b/>
                <w:sz w:val="22"/>
              </w:rPr>
            </w:pPr>
          </w:p>
        </w:tc>
        <w:tc>
          <w:tcPr>
            <w:tcW w:w="3203" w:type="pct"/>
            <w:gridSpan w:val="7"/>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bCs/>
                <w:color w:val="000000"/>
                <w:sz w:val="18"/>
                <w:szCs w:val="18"/>
              </w:rPr>
              <w:t>Počet v roce</w:t>
            </w:r>
          </w:p>
        </w:tc>
      </w:tr>
      <w:tr w:rsidR="00F03B0A" w:rsidRPr="00F03B0A" w:rsidTr="00F03B0A">
        <w:trPr>
          <w:trHeight w:val="283"/>
          <w:tblHeader/>
        </w:trPr>
        <w:tc>
          <w:tcPr>
            <w:tcW w:w="1797"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center"/>
              <w:rPr>
                <w:rFonts w:eastAsia="Calibri" w:cs="Segoe UI"/>
                <w:b/>
                <w:sz w:val="22"/>
              </w:rPr>
            </w:pPr>
          </w:p>
        </w:tc>
        <w:tc>
          <w:tcPr>
            <w:tcW w:w="470"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center"/>
              <w:rPr>
                <w:rFonts w:eastAsia="Calibri" w:cs="Segoe UI"/>
                <w:color w:val="000000"/>
                <w:sz w:val="18"/>
                <w:szCs w:val="18"/>
              </w:rPr>
            </w:pPr>
            <w:r w:rsidRPr="00F03B0A">
              <w:rPr>
                <w:rFonts w:eastAsia="Calibri" w:cs="Segoe UI"/>
                <w:b/>
                <w:bCs/>
                <w:color w:val="000000"/>
                <w:sz w:val="18"/>
                <w:szCs w:val="18"/>
              </w:rPr>
              <w:t>2016</w:t>
            </w:r>
          </w:p>
        </w:tc>
        <w:tc>
          <w:tcPr>
            <w:tcW w:w="451"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center"/>
              <w:rPr>
                <w:rFonts w:eastAsia="Calibri" w:cs="Segoe UI"/>
                <w:color w:val="000000"/>
                <w:sz w:val="18"/>
                <w:szCs w:val="18"/>
              </w:rPr>
            </w:pPr>
            <w:r w:rsidRPr="00F03B0A">
              <w:rPr>
                <w:rFonts w:eastAsia="Calibri" w:cs="Segoe UI"/>
                <w:b/>
                <w:color w:val="000000"/>
                <w:sz w:val="18"/>
                <w:szCs w:val="18"/>
              </w:rPr>
              <w:t>2017</w:t>
            </w:r>
          </w:p>
        </w:tc>
        <w:tc>
          <w:tcPr>
            <w:tcW w:w="409"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color w:val="000000"/>
                <w:sz w:val="18"/>
                <w:szCs w:val="18"/>
              </w:rPr>
              <w:t>2018</w:t>
            </w:r>
          </w:p>
        </w:tc>
        <w:tc>
          <w:tcPr>
            <w:tcW w:w="470"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color w:val="000000"/>
                <w:sz w:val="18"/>
                <w:szCs w:val="18"/>
              </w:rPr>
              <w:t>2019</w:t>
            </w:r>
          </w:p>
        </w:tc>
        <w:tc>
          <w:tcPr>
            <w:tcW w:w="468"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color w:val="000000"/>
                <w:sz w:val="18"/>
                <w:szCs w:val="18"/>
              </w:rPr>
              <w:t>2020</w:t>
            </w:r>
          </w:p>
        </w:tc>
        <w:tc>
          <w:tcPr>
            <w:tcW w:w="470"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color w:val="000000"/>
                <w:sz w:val="18"/>
                <w:szCs w:val="18"/>
              </w:rPr>
              <w:t>2021</w:t>
            </w:r>
          </w:p>
        </w:tc>
        <w:tc>
          <w:tcPr>
            <w:tcW w:w="466"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center"/>
              <w:rPr>
                <w:rFonts w:eastAsia="Calibri" w:cs="Segoe UI"/>
                <w:b/>
                <w:color w:val="000000"/>
                <w:sz w:val="18"/>
                <w:szCs w:val="18"/>
              </w:rPr>
            </w:pPr>
            <w:r w:rsidRPr="00F03B0A">
              <w:rPr>
                <w:rFonts w:eastAsia="Calibri" w:cs="Segoe UI"/>
                <w:b/>
                <w:color w:val="000000"/>
                <w:sz w:val="18"/>
                <w:szCs w:val="18"/>
              </w:rPr>
              <w:t>2022</w:t>
            </w:r>
          </w:p>
        </w:tc>
      </w:tr>
      <w:tr w:rsidR="00F03B0A" w:rsidRPr="00F03B0A" w:rsidTr="00F03B0A">
        <w:trPr>
          <w:trHeight w:val="283"/>
        </w:trPr>
        <w:tc>
          <w:tcPr>
            <w:tcW w:w="1797" w:type="pct"/>
            <w:shd w:val="clear" w:color="auto" w:fill="C5E0B3" w:themeFill="accent6" w:themeFillTint="66"/>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b/>
                <w:bCs/>
                <w:i/>
                <w:iCs/>
                <w:color w:val="000000"/>
                <w:sz w:val="18"/>
                <w:szCs w:val="18"/>
              </w:rPr>
              <w:t>Sociální poradenství</w:t>
            </w:r>
          </w:p>
        </w:tc>
        <w:tc>
          <w:tcPr>
            <w:tcW w:w="3203" w:type="pct"/>
            <w:gridSpan w:val="7"/>
            <w:shd w:val="clear" w:color="auto" w:fill="C5E0B3" w:themeFill="accent6" w:themeFillTint="66"/>
            <w:vAlign w:val="center"/>
          </w:tcPr>
          <w:p w:rsidR="00F03B0A" w:rsidRPr="00F03B0A" w:rsidRDefault="00F03B0A" w:rsidP="00F03B0A">
            <w:pPr>
              <w:autoSpaceDE w:val="0"/>
              <w:autoSpaceDN w:val="0"/>
              <w:adjustRightInd w:val="0"/>
              <w:spacing w:before="0"/>
              <w:jc w:val="left"/>
              <w:rPr>
                <w:rFonts w:eastAsia="Calibri" w:cs="Segoe UI"/>
                <w:b/>
                <w:bCs/>
                <w:i/>
                <w:iCs/>
                <w:color w:val="000000"/>
                <w:sz w:val="18"/>
                <w:szCs w:val="18"/>
              </w:rPr>
            </w:pPr>
            <w:r w:rsidRPr="00F03B0A">
              <w:rPr>
                <w:rFonts w:eastAsia="Calibri" w:cs="Segoe UI"/>
                <w:b/>
                <w:bCs/>
                <w:i/>
                <w:iCs/>
                <w:color w:val="000000"/>
                <w:sz w:val="18"/>
                <w:szCs w:val="18"/>
              </w:rPr>
              <w:t>jednotky úvazky pracovníků v přímé péči</w:t>
            </w:r>
          </w:p>
        </w:tc>
      </w:tr>
      <w:tr w:rsidR="00F03B0A" w:rsidRPr="00F03B0A" w:rsidTr="00F03B0A">
        <w:trPr>
          <w:trHeight w:val="283"/>
        </w:trPr>
        <w:tc>
          <w:tcPr>
            <w:tcW w:w="1797"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Odborné sociální poradenství</w:t>
            </w:r>
          </w:p>
        </w:tc>
        <w:tc>
          <w:tcPr>
            <w:tcW w:w="470"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32,507</w:t>
            </w:r>
          </w:p>
        </w:tc>
        <w:tc>
          <w:tcPr>
            <w:tcW w:w="451"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35,676</w:t>
            </w:r>
          </w:p>
        </w:tc>
        <w:tc>
          <w:tcPr>
            <w:tcW w:w="409"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37,671</w:t>
            </w:r>
          </w:p>
        </w:tc>
        <w:tc>
          <w:tcPr>
            <w:tcW w:w="470"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43,132</w:t>
            </w:r>
          </w:p>
        </w:tc>
        <w:tc>
          <w:tcPr>
            <w:tcW w:w="468"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45,537</w:t>
            </w:r>
          </w:p>
        </w:tc>
        <w:tc>
          <w:tcPr>
            <w:tcW w:w="470"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47,148</w:t>
            </w:r>
          </w:p>
        </w:tc>
        <w:tc>
          <w:tcPr>
            <w:tcW w:w="466" w:type="pct"/>
            <w:tcBorders>
              <w:bottom w:val="single" w:sz="4" w:space="0" w:color="auto"/>
            </w:tcBorders>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47,943</w:t>
            </w:r>
          </w:p>
        </w:tc>
      </w:tr>
      <w:tr w:rsidR="00F03B0A" w:rsidRPr="00F03B0A" w:rsidTr="00F03B0A">
        <w:trPr>
          <w:trHeight w:val="283"/>
        </w:trPr>
        <w:tc>
          <w:tcPr>
            <w:tcW w:w="1797" w:type="pct"/>
            <w:shd w:val="clear" w:color="auto" w:fill="C5E0B3" w:themeFill="accent6" w:themeFillTint="66"/>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b/>
                <w:bCs/>
                <w:i/>
                <w:iCs/>
                <w:color w:val="000000"/>
                <w:sz w:val="18"/>
                <w:szCs w:val="18"/>
              </w:rPr>
              <w:t>Služby sociální péče</w:t>
            </w:r>
          </w:p>
        </w:tc>
        <w:tc>
          <w:tcPr>
            <w:tcW w:w="3203" w:type="pct"/>
            <w:gridSpan w:val="7"/>
            <w:shd w:val="clear" w:color="auto" w:fill="C5E0B3" w:themeFill="accent6" w:themeFillTint="66"/>
            <w:vAlign w:val="center"/>
          </w:tcPr>
          <w:p w:rsidR="00F03B0A" w:rsidRPr="00F03B0A" w:rsidRDefault="00F03B0A" w:rsidP="00F03B0A">
            <w:pPr>
              <w:autoSpaceDE w:val="0"/>
              <w:autoSpaceDN w:val="0"/>
              <w:adjustRightInd w:val="0"/>
              <w:spacing w:before="0"/>
              <w:jc w:val="left"/>
              <w:rPr>
                <w:rFonts w:eastAsia="Calibri" w:cs="Segoe UI"/>
                <w:b/>
                <w:bCs/>
                <w:i/>
                <w:iCs/>
                <w:color w:val="000000"/>
                <w:sz w:val="18"/>
                <w:szCs w:val="18"/>
              </w:rPr>
            </w:pPr>
            <w:r w:rsidRPr="00F03B0A">
              <w:rPr>
                <w:rFonts w:eastAsia="Calibri" w:cs="Segoe UI"/>
                <w:b/>
                <w:bCs/>
                <w:i/>
                <w:iCs/>
                <w:color w:val="000000"/>
                <w:sz w:val="18"/>
                <w:szCs w:val="18"/>
              </w:rPr>
              <w:t>pobytové (jednotky lůžka)</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Týdenní stacionáře</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Domovy pro osoby se zdravotním postižením</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1057</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1041</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998</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993</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977</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985</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954</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Domovy pro seniory</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2642</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2636</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2661</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2609</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2565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2563</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2551</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Domovy se zvláštním režimem</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731</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767</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765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793</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795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819</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849</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Chráněné bydlení</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370</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392</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374</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362</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366</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332</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327</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Sociální služby poskytované ve zdravotnických zařízeních lůžkové péče</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91</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95</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95</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95</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95</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p>
        </w:tc>
        <w:tc>
          <w:tcPr>
            <w:tcW w:w="3203" w:type="pct"/>
            <w:gridSpan w:val="7"/>
            <w:shd w:val="clear" w:color="auto" w:fill="C5E0B3" w:themeFill="accent6" w:themeFillTint="66"/>
            <w:vAlign w:val="center"/>
          </w:tcPr>
          <w:p w:rsidR="00F03B0A" w:rsidRPr="00F03B0A" w:rsidRDefault="00F03B0A" w:rsidP="00F03B0A">
            <w:pPr>
              <w:autoSpaceDE w:val="0"/>
              <w:autoSpaceDN w:val="0"/>
              <w:adjustRightInd w:val="0"/>
              <w:spacing w:before="0"/>
              <w:jc w:val="left"/>
              <w:rPr>
                <w:rFonts w:eastAsia="Calibri" w:cs="Segoe UI"/>
                <w:b/>
                <w:bCs/>
                <w:i/>
                <w:iCs/>
                <w:color w:val="000000"/>
                <w:sz w:val="18"/>
                <w:szCs w:val="18"/>
              </w:rPr>
            </w:pPr>
            <w:r w:rsidRPr="00F03B0A">
              <w:rPr>
                <w:rFonts w:eastAsia="Calibri" w:cs="Segoe UI"/>
                <w:b/>
                <w:bCs/>
                <w:i/>
                <w:iCs/>
                <w:color w:val="000000"/>
                <w:sz w:val="18"/>
                <w:szCs w:val="18"/>
              </w:rPr>
              <w:t>terénní (jednotky úvazky pracovníků v přímé péči)</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Osobní asistence</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67,395</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68,096</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69,049</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72,925</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83,263</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83,708</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93,127</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Pečovatelská služba</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341,705</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353,59</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364,83</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378,038</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388,412</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393,315</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414,815</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Tísňová péče</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Průvodcovské a předčitatelské služby</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Podpora samostatného bydlení</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8,178</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8,178</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8,178</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8,678</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8,678</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9,618</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9,618</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Centra denních služeb</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35,533</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34,843</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34,668</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36,668</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36,668</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38,512</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39,563</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Denní stacionáře</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95,646</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93,463</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91,621</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92,871</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96,371</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96,331</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96,331</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Odlehčovací služby</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36,146</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38,146</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43,545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43,542</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42,689</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55,681</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67,071</w:t>
            </w:r>
          </w:p>
        </w:tc>
      </w:tr>
      <w:tr w:rsidR="00F03B0A" w:rsidRPr="00F03B0A" w:rsidTr="00F03B0A">
        <w:trPr>
          <w:trHeight w:val="283"/>
        </w:trPr>
        <w:tc>
          <w:tcPr>
            <w:tcW w:w="1797" w:type="pct"/>
            <w:shd w:val="clear" w:color="auto" w:fill="C5E0B3" w:themeFill="accent6" w:themeFillTint="66"/>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b/>
                <w:bCs/>
                <w:i/>
                <w:iCs/>
                <w:color w:val="000000"/>
                <w:sz w:val="18"/>
                <w:szCs w:val="18"/>
              </w:rPr>
              <w:t>Služby sociální prevence</w:t>
            </w:r>
          </w:p>
        </w:tc>
        <w:tc>
          <w:tcPr>
            <w:tcW w:w="3203" w:type="pct"/>
            <w:gridSpan w:val="7"/>
            <w:shd w:val="clear" w:color="auto" w:fill="C5E0B3" w:themeFill="accent6" w:themeFillTint="66"/>
            <w:vAlign w:val="center"/>
          </w:tcPr>
          <w:p w:rsidR="00F03B0A" w:rsidRPr="00F03B0A" w:rsidRDefault="00F03B0A" w:rsidP="00F03B0A">
            <w:pPr>
              <w:tabs>
                <w:tab w:val="left" w:pos="2229"/>
              </w:tabs>
              <w:autoSpaceDE w:val="0"/>
              <w:autoSpaceDN w:val="0"/>
              <w:adjustRightInd w:val="0"/>
              <w:spacing w:before="0"/>
              <w:jc w:val="left"/>
              <w:rPr>
                <w:rFonts w:eastAsia="Calibri" w:cs="Segoe UI"/>
                <w:b/>
                <w:bCs/>
                <w:i/>
                <w:iCs/>
                <w:color w:val="000000"/>
                <w:sz w:val="18"/>
                <w:szCs w:val="18"/>
              </w:rPr>
            </w:pPr>
            <w:r w:rsidRPr="00F03B0A">
              <w:rPr>
                <w:rFonts w:eastAsia="Calibri" w:cs="Segoe UI"/>
                <w:b/>
                <w:bCs/>
                <w:i/>
                <w:iCs/>
                <w:color w:val="000000"/>
                <w:sz w:val="18"/>
                <w:szCs w:val="18"/>
              </w:rPr>
              <w:t>pobytové (jednotky lůžka)</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Azylové domy</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476</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476</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506</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506</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495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501</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559</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Domy na půl cesty</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Noclehárny</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119</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119</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119</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119</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119</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125</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125</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Terapeutické komunity</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Raná péče</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11,4</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14,5</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18</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20,7</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21,7</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23,7</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25,70</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Telefonická krizová pomoc</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3,04</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3,04</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2,948</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2,948</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2,837</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2,837</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2,837</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Tlumočnické služby</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0,65</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0,85</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0,85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1,350</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1,350</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1,350</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1,350</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Kontaktní centra</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15,325</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15,325</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15,825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16,125</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16,525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17,025</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17,025</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Krizová pomoc</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4,163</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4,163</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3,897</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3,897</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3,897</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3,897</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3,897</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Intervenční centra</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2,9</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2,9</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2,9</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4,9</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4,9</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4,9</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4,9</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Nízkoprahová denní centra</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16,098</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13,448</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13,448</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15,948</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19,742</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22,092</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23,395</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Nízkoprahová zařízení pro děti a mládež</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33,228</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40,481</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45,266</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45,266</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42,665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43,152</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45,353</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Služby následné péče</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7,774</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10,3</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10,5</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10,5</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Pr>
                <w:rFonts w:eastAsia="Calibri" w:cs="Segoe UI"/>
                <w:color w:val="000000"/>
                <w:sz w:val="18"/>
                <w:szCs w:val="18"/>
              </w:rPr>
              <w:t>SAS</w:t>
            </w:r>
            <w:r w:rsidRPr="00F03B0A">
              <w:rPr>
                <w:rFonts w:eastAsia="Calibri" w:cs="Segoe UI"/>
                <w:color w:val="000000"/>
                <w:sz w:val="18"/>
                <w:szCs w:val="18"/>
              </w:rPr>
              <w:t xml:space="preserve"> pro rodiny s dětmi</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74,931</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73,931</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75,681</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78,762</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78,399</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78,930</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77,309</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Pr>
                <w:rFonts w:eastAsia="Calibri" w:cs="Segoe UI"/>
                <w:color w:val="000000"/>
                <w:sz w:val="18"/>
                <w:szCs w:val="18"/>
              </w:rPr>
              <w:t>SAS</w:t>
            </w:r>
            <w:r w:rsidRPr="00F03B0A">
              <w:rPr>
                <w:rFonts w:eastAsia="Calibri" w:cs="Segoe UI"/>
                <w:color w:val="000000"/>
                <w:sz w:val="18"/>
                <w:szCs w:val="18"/>
              </w:rPr>
              <w:t xml:space="preserve"> pro seniory a osoby se zdravotním postižením</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14,799</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16,49</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16,488</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17,638</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17,553</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14,458</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18,170</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Sociálně terapeutické dílny</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8,850</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8,850</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8,850</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8,850</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8,850</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8,850</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12,650</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Terénní programy</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49,015</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49,015</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49,815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54,515</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56,15</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54,715</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57,715</w:t>
            </w:r>
          </w:p>
        </w:tc>
      </w:tr>
      <w:tr w:rsidR="00F03B0A" w:rsidRPr="00F03B0A" w:rsidTr="00F03B0A">
        <w:trPr>
          <w:trHeight w:val="283"/>
        </w:trPr>
        <w:tc>
          <w:tcPr>
            <w:tcW w:w="1797" w:type="pct"/>
            <w:shd w:val="clear" w:color="auto" w:fill="auto"/>
            <w:vAlign w:val="center"/>
          </w:tcPr>
          <w:p w:rsidR="00F03B0A" w:rsidRPr="00F03B0A" w:rsidRDefault="00F03B0A" w:rsidP="00F03B0A">
            <w:pPr>
              <w:autoSpaceDE w:val="0"/>
              <w:autoSpaceDN w:val="0"/>
              <w:adjustRightInd w:val="0"/>
              <w:spacing w:before="0"/>
              <w:jc w:val="left"/>
              <w:rPr>
                <w:rFonts w:eastAsia="Calibri" w:cs="Segoe UI"/>
                <w:color w:val="000000"/>
                <w:sz w:val="18"/>
                <w:szCs w:val="18"/>
              </w:rPr>
            </w:pPr>
            <w:r w:rsidRPr="00F03B0A">
              <w:rPr>
                <w:rFonts w:eastAsia="Calibri" w:cs="Segoe UI"/>
                <w:color w:val="000000"/>
                <w:sz w:val="18"/>
                <w:szCs w:val="18"/>
              </w:rPr>
              <w:t>Sociální rehabilitace</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29,031</w:t>
            </w:r>
          </w:p>
        </w:tc>
        <w:tc>
          <w:tcPr>
            <w:tcW w:w="451"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39,401</w:t>
            </w:r>
          </w:p>
        </w:tc>
        <w:tc>
          <w:tcPr>
            <w:tcW w:w="409"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43,354</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47,963</w:t>
            </w:r>
          </w:p>
        </w:tc>
        <w:tc>
          <w:tcPr>
            <w:tcW w:w="468"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57,759</w:t>
            </w:r>
          </w:p>
        </w:tc>
        <w:tc>
          <w:tcPr>
            <w:tcW w:w="470"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61,256</w:t>
            </w:r>
          </w:p>
        </w:tc>
        <w:tc>
          <w:tcPr>
            <w:tcW w:w="466" w:type="pct"/>
            <w:shd w:val="clear" w:color="auto" w:fill="auto"/>
            <w:vAlign w:val="center"/>
          </w:tcPr>
          <w:p w:rsidR="00F03B0A" w:rsidRPr="00F03B0A" w:rsidRDefault="00F03B0A" w:rsidP="00F03B0A">
            <w:pPr>
              <w:autoSpaceDE w:val="0"/>
              <w:autoSpaceDN w:val="0"/>
              <w:adjustRightInd w:val="0"/>
              <w:spacing w:before="0"/>
              <w:jc w:val="right"/>
              <w:rPr>
                <w:rFonts w:eastAsia="Calibri" w:cs="Segoe UI"/>
                <w:color w:val="000000"/>
                <w:sz w:val="18"/>
                <w:szCs w:val="18"/>
              </w:rPr>
            </w:pPr>
            <w:r w:rsidRPr="00F03B0A">
              <w:rPr>
                <w:rFonts w:eastAsia="Calibri" w:cs="Segoe UI"/>
                <w:color w:val="000000"/>
                <w:sz w:val="18"/>
                <w:szCs w:val="18"/>
              </w:rPr>
              <w:t>60,306</w:t>
            </w:r>
          </w:p>
        </w:tc>
      </w:tr>
    </w:tbl>
    <w:p w:rsidR="00AF4350" w:rsidRPr="00F14241" w:rsidRDefault="00AF4350" w:rsidP="00F03B0A">
      <w:pPr>
        <w:pStyle w:val="Zdrojobjektu"/>
      </w:pPr>
      <w:r w:rsidRPr="00F14241">
        <w:t>Zdroj: síť sociálních služeb OK na příslušný rok</w:t>
      </w:r>
    </w:p>
    <w:p w:rsidR="00AF4350" w:rsidRPr="00652BF6" w:rsidRDefault="00AF4350" w:rsidP="00A34764"/>
    <w:p w:rsidR="00AF4350" w:rsidRPr="00652BF6" w:rsidRDefault="00AF4350" w:rsidP="00F03B0A">
      <w:pPr>
        <w:pStyle w:val="popistabulkySPRSS2024"/>
      </w:pPr>
      <w:bookmarkStart w:id="262" w:name="_Toc117607109"/>
      <w:r w:rsidRPr="00652BF6">
        <w:t xml:space="preserve">Tabulka </w:t>
      </w:r>
      <w:r w:rsidR="00412C70">
        <w:fldChar w:fldCharType="begin"/>
      </w:r>
      <w:r w:rsidR="00412C70">
        <w:instrText xml:space="preserve"> SEQ Tabulka \* ARABIC </w:instrText>
      </w:r>
      <w:r w:rsidR="00412C70">
        <w:fldChar w:fldCharType="separate"/>
      </w:r>
      <w:r w:rsidR="003A12AF">
        <w:rPr>
          <w:noProof/>
        </w:rPr>
        <w:t>49</w:t>
      </w:r>
      <w:r w:rsidR="00412C70">
        <w:rPr>
          <w:noProof/>
        </w:rPr>
        <w:fldChar w:fldCharType="end"/>
      </w:r>
      <w:r>
        <w:t>:</w:t>
      </w:r>
      <w:r w:rsidRPr="00652BF6">
        <w:t xml:space="preserve"> Přehled procentuálního nárůstu počtu jednotek zařazených v síti sociálních služeb OK v letech 2015–2023</w:t>
      </w:r>
      <w:bookmarkEnd w:id="262"/>
    </w:p>
    <w:tbl>
      <w:tblPr>
        <w:tblW w:w="5000" w:type="pct"/>
        <w:tblLayout w:type="fixed"/>
        <w:tblCellMar>
          <w:left w:w="70" w:type="dxa"/>
          <w:right w:w="70" w:type="dxa"/>
        </w:tblCellMar>
        <w:tblLook w:val="04A0" w:firstRow="1" w:lastRow="0" w:firstColumn="1" w:lastColumn="0" w:noHBand="0" w:noVBand="1"/>
      </w:tblPr>
      <w:tblGrid>
        <w:gridCol w:w="4391"/>
        <w:gridCol w:w="1559"/>
        <w:gridCol w:w="1700"/>
        <w:gridCol w:w="1412"/>
      </w:tblGrid>
      <w:tr w:rsidR="00AF4350" w:rsidRPr="00652BF6" w:rsidTr="00F03B0A">
        <w:trPr>
          <w:trHeight w:val="340"/>
        </w:trPr>
        <w:tc>
          <w:tcPr>
            <w:tcW w:w="2423" w:type="pct"/>
            <w:tcBorders>
              <w:top w:val="single" w:sz="4" w:space="0" w:color="auto"/>
              <w:left w:val="single" w:sz="4" w:space="0" w:color="auto"/>
              <w:bottom w:val="single" w:sz="4" w:space="0" w:color="auto"/>
              <w:right w:val="single" w:sz="4" w:space="0" w:color="auto"/>
            </w:tcBorders>
            <w:shd w:val="clear" w:color="F2DCDB" w:fill="F2DCDB"/>
            <w:noWrap/>
            <w:vAlign w:val="center"/>
            <w:hideMark/>
          </w:tcPr>
          <w:p w:rsidR="00AF4350" w:rsidRPr="00F03B0A" w:rsidRDefault="00AF4350" w:rsidP="00F03B0A">
            <w:pPr>
              <w:spacing w:before="0"/>
              <w:jc w:val="center"/>
              <w:rPr>
                <w:b/>
                <w:sz w:val="18"/>
              </w:rPr>
            </w:pPr>
            <w:r w:rsidRPr="00F03B0A">
              <w:rPr>
                <w:b/>
                <w:sz w:val="18"/>
              </w:rPr>
              <w:t>Jednotky</w:t>
            </w:r>
          </w:p>
        </w:tc>
        <w:tc>
          <w:tcPr>
            <w:tcW w:w="860" w:type="pct"/>
            <w:tcBorders>
              <w:top w:val="single" w:sz="4" w:space="0" w:color="auto"/>
              <w:left w:val="single" w:sz="4" w:space="0" w:color="auto"/>
              <w:bottom w:val="single" w:sz="4" w:space="0" w:color="auto"/>
              <w:right w:val="single" w:sz="4" w:space="0" w:color="auto"/>
            </w:tcBorders>
            <w:shd w:val="clear" w:color="F2DCDB" w:fill="F2DCDB"/>
            <w:noWrap/>
            <w:vAlign w:val="center"/>
            <w:hideMark/>
          </w:tcPr>
          <w:p w:rsidR="00AF4350" w:rsidRPr="00F03B0A" w:rsidRDefault="00AF4350" w:rsidP="00F03B0A">
            <w:pPr>
              <w:spacing w:before="0"/>
              <w:jc w:val="center"/>
              <w:rPr>
                <w:b/>
                <w:sz w:val="18"/>
              </w:rPr>
            </w:pPr>
            <w:r w:rsidRPr="00F03B0A">
              <w:rPr>
                <w:b/>
                <w:sz w:val="18"/>
              </w:rPr>
              <w:t>Součet z 2015</w:t>
            </w:r>
          </w:p>
        </w:tc>
        <w:tc>
          <w:tcPr>
            <w:tcW w:w="938" w:type="pct"/>
            <w:tcBorders>
              <w:top w:val="single" w:sz="4" w:space="0" w:color="auto"/>
              <w:left w:val="single" w:sz="4" w:space="0" w:color="auto"/>
              <w:bottom w:val="single" w:sz="4" w:space="0" w:color="auto"/>
              <w:right w:val="single" w:sz="4" w:space="0" w:color="auto"/>
            </w:tcBorders>
            <w:shd w:val="clear" w:color="F2DCDB" w:fill="F2DCDB"/>
            <w:noWrap/>
            <w:vAlign w:val="center"/>
            <w:hideMark/>
          </w:tcPr>
          <w:p w:rsidR="00AF4350" w:rsidRPr="00F03B0A" w:rsidRDefault="00AF4350" w:rsidP="00F03B0A">
            <w:pPr>
              <w:spacing w:before="0"/>
              <w:jc w:val="center"/>
              <w:rPr>
                <w:b/>
                <w:sz w:val="18"/>
              </w:rPr>
            </w:pPr>
            <w:r w:rsidRPr="00F03B0A">
              <w:rPr>
                <w:b/>
                <w:sz w:val="18"/>
              </w:rPr>
              <w:t>Součet z 2023</w:t>
            </w:r>
          </w:p>
        </w:tc>
        <w:tc>
          <w:tcPr>
            <w:tcW w:w="779" w:type="pct"/>
            <w:tcBorders>
              <w:top w:val="single" w:sz="4" w:space="0" w:color="auto"/>
              <w:left w:val="nil"/>
              <w:bottom w:val="single" w:sz="4" w:space="0" w:color="auto"/>
              <w:right w:val="single" w:sz="4" w:space="0" w:color="auto"/>
            </w:tcBorders>
            <w:shd w:val="clear" w:color="000000" w:fill="F2DCDB"/>
            <w:noWrap/>
            <w:vAlign w:val="center"/>
            <w:hideMark/>
          </w:tcPr>
          <w:p w:rsidR="00AF4350" w:rsidRPr="00F03B0A" w:rsidRDefault="00AF4350" w:rsidP="00F03B0A">
            <w:pPr>
              <w:spacing w:before="0"/>
              <w:jc w:val="center"/>
              <w:rPr>
                <w:b/>
                <w:sz w:val="18"/>
              </w:rPr>
            </w:pPr>
            <w:r w:rsidRPr="00F03B0A">
              <w:rPr>
                <w:b/>
                <w:sz w:val="18"/>
              </w:rPr>
              <w:t>Navýšení vyjádřené v %</w:t>
            </w:r>
          </w:p>
        </w:tc>
      </w:tr>
      <w:tr w:rsidR="00AF4350" w:rsidRPr="00652BF6" w:rsidTr="00F03B0A">
        <w:trPr>
          <w:trHeight w:val="340"/>
        </w:trPr>
        <w:tc>
          <w:tcPr>
            <w:tcW w:w="2423" w:type="pct"/>
            <w:tcBorders>
              <w:top w:val="nil"/>
              <w:left w:val="single" w:sz="4" w:space="0" w:color="auto"/>
              <w:bottom w:val="single" w:sz="4" w:space="0" w:color="auto"/>
              <w:right w:val="single" w:sz="4" w:space="0" w:color="auto"/>
            </w:tcBorders>
            <w:shd w:val="clear" w:color="auto" w:fill="auto"/>
            <w:noWrap/>
            <w:vAlign w:val="center"/>
            <w:hideMark/>
          </w:tcPr>
          <w:p w:rsidR="00AF4350" w:rsidRPr="00F03B0A" w:rsidRDefault="00AF4350" w:rsidP="00F03B0A">
            <w:pPr>
              <w:spacing w:before="0"/>
              <w:jc w:val="left"/>
              <w:rPr>
                <w:sz w:val="18"/>
              </w:rPr>
            </w:pPr>
            <w:r w:rsidRPr="00F03B0A">
              <w:rPr>
                <w:sz w:val="18"/>
              </w:rPr>
              <w:t>Počet registrovaných lůžek</w:t>
            </w:r>
          </w:p>
        </w:tc>
        <w:tc>
          <w:tcPr>
            <w:tcW w:w="860" w:type="pct"/>
            <w:tcBorders>
              <w:top w:val="nil"/>
              <w:left w:val="nil"/>
              <w:bottom w:val="single" w:sz="4" w:space="0" w:color="auto"/>
              <w:right w:val="single" w:sz="4" w:space="0" w:color="auto"/>
            </w:tcBorders>
            <w:shd w:val="clear" w:color="auto" w:fill="auto"/>
            <w:noWrap/>
            <w:vAlign w:val="center"/>
            <w:hideMark/>
          </w:tcPr>
          <w:p w:rsidR="00AF4350" w:rsidRPr="00F03B0A" w:rsidRDefault="00AF4350" w:rsidP="00F03B0A">
            <w:pPr>
              <w:spacing w:before="0"/>
              <w:jc w:val="right"/>
              <w:rPr>
                <w:sz w:val="18"/>
              </w:rPr>
            </w:pPr>
            <w:r w:rsidRPr="00F03B0A">
              <w:rPr>
                <w:sz w:val="18"/>
              </w:rPr>
              <w:t>5</w:t>
            </w:r>
            <w:r w:rsidR="00F03B0A">
              <w:rPr>
                <w:sz w:val="18"/>
              </w:rPr>
              <w:t xml:space="preserve"> </w:t>
            </w:r>
            <w:r w:rsidRPr="00F03B0A">
              <w:rPr>
                <w:sz w:val="18"/>
              </w:rPr>
              <w:t>060,505</w:t>
            </w:r>
          </w:p>
        </w:tc>
        <w:tc>
          <w:tcPr>
            <w:tcW w:w="938" w:type="pct"/>
            <w:tcBorders>
              <w:top w:val="nil"/>
              <w:left w:val="nil"/>
              <w:bottom w:val="single" w:sz="4" w:space="0" w:color="auto"/>
              <w:right w:val="single" w:sz="4" w:space="0" w:color="auto"/>
            </w:tcBorders>
            <w:shd w:val="clear" w:color="auto" w:fill="auto"/>
            <w:noWrap/>
            <w:vAlign w:val="center"/>
            <w:hideMark/>
          </w:tcPr>
          <w:p w:rsidR="00AF4350" w:rsidRPr="00F03B0A" w:rsidRDefault="00AF4350" w:rsidP="00F03B0A">
            <w:pPr>
              <w:spacing w:before="0"/>
              <w:jc w:val="right"/>
              <w:rPr>
                <w:sz w:val="18"/>
              </w:rPr>
            </w:pPr>
            <w:r w:rsidRPr="00F03B0A">
              <w:rPr>
                <w:sz w:val="18"/>
              </w:rPr>
              <w:t>5</w:t>
            </w:r>
            <w:r w:rsidR="00F03B0A">
              <w:rPr>
                <w:sz w:val="18"/>
              </w:rPr>
              <w:t xml:space="preserve"> </w:t>
            </w:r>
            <w:r w:rsidRPr="00F03B0A">
              <w:rPr>
                <w:sz w:val="18"/>
              </w:rPr>
              <w:t>484</w:t>
            </w:r>
          </w:p>
        </w:tc>
        <w:tc>
          <w:tcPr>
            <w:tcW w:w="779" w:type="pct"/>
            <w:tcBorders>
              <w:top w:val="nil"/>
              <w:left w:val="nil"/>
              <w:bottom w:val="single" w:sz="4" w:space="0" w:color="auto"/>
              <w:right w:val="single" w:sz="4" w:space="0" w:color="auto"/>
            </w:tcBorders>
            <w:shd w:val="clear" w:color="auto" w:fill="auto"/>
            <w:noWrap/>
            <w:vAlign w:val="center"/>
            <w:hideMark/>
          </w:tcPr>
          <w:p w:rsidR="00AF4350" w:rsidRPr="00F03B0A" w:rsidRDefault="00AF4350" w:rsidP="00F03B0A">
            <w:pPr>
              <w:spacing w:before="0"/>
              <w:jc w:val="right"/>
              <w:rPr>
                <w:sz w:val="18"/>
              </w:rPr>
            </w:pPr>
            <w:r w:rsidRPr="00F03B0A">
              <w:rPr>
                <w:sz w:val="18"/>
              </w:rPr>
              <w:t>8%</w:t>
            </w:r>
          </w:p>
        </w:tc>
      </w:tr>
      <w:tr w:rsidR="00AF4350" w:rsidRPr="00652BF6" w:rsidTr="00F03B0A">
        <w:trPr>
          <w:trHeight w:val="340"/>
        </w:trPr>
        <w:tc>
          <w:tcPr>
            <w:tcW w:w="2423" w:type="pct"/>
            <w:tcBorders>
              <w:top w:val="nil"/>
              <w:left w:val="single" w:sz="4" w:space="0" w:color="auto"/>
              <w:bottom w:val="single" w:sz="4" w:space="0" w:color="auto"/>
              <w:right w:val="single" w:sz="4" w:space="0" w:color="auto"/>
            </w:tcBorders>
            <w:shd w:val="clear" w:color="auto" w:fill="auto"/>
            <w:noWrap/>
            <w:vAlign w:val="center"/>
            <w:hideMark/>
          </w:tcPr>
          <w:p w:rsidR="00AF4350" w:rsidRPr="00F03B0A" w:rsidRDefault="00AF4350" w:rsidP="00F03B0A">
            <w:pPr>
              <w:spacing w:before="0"/>
              <w:jc w:val="left"/>
              <w:rPr>
                <w:sz w:val="18"/>
              </w:rPr>
            </w:pPr>
            <w:r w:rsidRPr="00F03B0A">
              <w:rPr>
                <w:sz w:val="18"/>
              </w:rPr>
              <w:t>Údaje o personálním zabezpečení - úvazky pracovníků v přímé péči</w:t>
            </w:r>
          </w:p>
        </w:tc>
        <w:tc>
          <w:tcPr>
            <w:tcW w:w="860" w:type="pct"/>
            <w:tcBorders>
              <w:top w:val="nil"/>
              <w:left w:val="nil"/>
              <w:bottom w:val="single" w:sz="4" w:space="0" w:color="auto"/>
              <w:right w:val="single" w:sz="4" w:space="0" w:color="auto"/>
            </w:tcBorders>
            <w:shd w:val="clear" w:color="auto" w:fill="auto"/>
            <w:noWrap/>
            <w:vAlign w:val="center"/>
            <w:hideMark/>
          </w:tcPr>
          <w:p w:rsidR="00AF4350" w:rsidRPr="00F03B0A" w:rsidRDefault="00AF4350" w:rsidP="00F03B0A">
            <w:pPr>
              <w:spacing w:before="0"/>
              <w:jc w:val="right"/>
              <w:rPr>
                <w:sz w:val="18"/>
              </w:rPr>
            </w:pPr>
            <w:r w:rsidRPr="00F03B0A">
              <w:rPr>
                <w:sz w:val="18"/>
              </w:rPr>
              <w:t>811,358</w:t>
            </w:r>
          </w:p>
        </w:tc>
        <w:tc>
          <w:tcPr>
            <w:tcW w:w="938" w:type="pct"/>
            <w:tcBorders>
              <w:top w:val="nil"/>
              <w:left w:val="nil"/>
              <w:bottom w:val="single" w:sz="4" w:space="0" w:color="auto"/>
              <w:right w:val="single" w:sz="4" w:space="0" w:color="auto"/>
            </w:tcBorders>
            <w:shd w:val="clear" w:color="auto" w:fill="auto"/>
            <w:noWrap/>
            <w:vAlign w:val="center"/>
            <w:hideMark/>
          </w:tcPr>
          <w:p w:rsidR="00AF4350" w:rsidRPr="00F03B0A" w:rsidRDefault="00AF4350" w:rsidP="00F03B0A">
            <w:pPr>
              <w:spacing w:before="0"/>
              <w:jc w:val="right"/>
              <w:rPr>
                <w:sz w:val="18"/>
              </w:rPr>
            </w:pPr>
            <w:r w:rsidRPr="00F03B0A">
              <w:rPr>
                <w:sz w:val="18"/>
              </w:rPr>
              <w:t>1</w:t>
            </w:r>
            <w:r w:rsidR="00F03B0A">
              <w:rPr>
                <w:sz w:val="18"/>
              </w:rPr>
              <w:t xml:space="preserve"> </w:t>
            </w:r>
            <w:r w:rsidRPr="00F03B0A">
              <w:rPr>
                <w:sz w:val="18"/>
              </w:rPr>
              <w:t>096,03</w:t>
            </w:r>
          </w:p>
        </w:tc>
        <w:tc>
          <w:tcPr>
            <w:tcW w:w="779" w:type="pct"/>
            <w:tcBorders>
              <w:top w:val="nil"/>
              <w:left w:val="nil"/>
              <w:bottom w:val="single" w:sz="4" w:space="0" w:color="auto"/>
              <w:right w:val="single" w:sz="4" w:space="0" w:color="auto"/>
            </w:tcBorders>
            <w:shd w:val="clear" w:color="auto" w:fill="auto"/>
            <w:noWrap/>
            <w:vAlign w:val="center"/>
            <w:hideMark/>
          </w:tcPr>
          <w:p w:rsidR="00AF4350" w:rsidRPr="00F03B0A" w:rsidRDefault="00AF4350" w:rsidP="00F03B0A">
            <w:pPr>
              <w:spacing w:before="0"/>
              <w:jc w:val="right"/>
              <w:rPr>
                <w:sz w:val="18"/>
              </w:rPr>
            </w:pPr>
            <w:r w:rsidRPr="00F03B0A">
              <w:rPr>
                <w:sz w:val="18"/>
              </w:rPr>
              <w:t>35%</w:t>
            </w:r>
          </w:p>
        </w:tc>
      </w:tr>
    </w:tbl>
    <w:p w:rsidR="00AF4350" w:rsidRPr="00F14241" w:rsidRDefault="00AF4350" w:rsidP="00F03B0A">
      <w:pPr>
        <w:pStyle w:val="Zdrojobjektu"/>
      </w:pPr>
      <w:r w:rsidRPr="00F14241">
        <w:t>Zdroj: síť sociálních služeb OK na příslušný rok</w:t>
      </w:r>
    </w:p>
    <w:p w:rsidR="00AF4350" w:rsidRPr="00652BF6" w:rsidRDefault="00AF4350" w:rsidP="00F03B0A">
      <w:pPr>
        <w:pStyle w:val="popistabulkySPRSS2024"/>
      </w:pPr>
      <w:bookmarkStart w:id="263" w:name="_Toc117607052"/>
      <w:r w:rsidRPr="00396ACC">
        <w:t xml:space="preserve">Graf </w:t>
      </w:r>
      <w:r w:rsidR="00412C70">
        <w:fldChar w:fldCharType="begin"/>
      </w:r>
      <w:r w:rsidR="00412C70">
        <w:instrText xml:space="preserve"> SEQ Graf \* ARABIC </w:instrText>
      </w:r>
      <w:r w:rsidR="00412C70">
        <w:fldChar w:fldCharType="separate"/>
      </w:r>
      <w:r w:rsidR="003A12AF">
        <w:rPr>
          <w:noProof/>
        </w:rPr>
        <w:t>26</w:t>
      </w:r>
      <w:r w:rsidR="00412C70">
        <w:rPr>
          <w:noProof/>
        </w:rPr>
        <w:fldChar w:fldCharType="end"/>
      </w:r>
      <w:r w:rsidRPr="00396ACC">
        <w:t>: Přehled procentuálního nárůstu počtu jednotek zařazených v síti sociálních služeb OK v letech 2015–2023</w:t>
      </w:r>
      <w:bookmarkEnd w:id="263"/>
    </w:p>
    <w:p w:rsidR="00AF4350" w:rsidRPr="00396ACC" w:rsidRDefault="00AF4350" w:rsidP="00A34764">
      <w:r w:rsidRPr="00652BF6">
        <w:rPr>
          <w:noProof/>
          <w:lang w:eastAsia="cs-CZ"/>
        </w:rPr>
        <w:drawing>
          <wp:inline distT="0" distB="0" distL="0" distR="0" wp14:anchorId="1C2CDA11" wp14:editId="78F2B246">
            <wp:extent cx="2834912" cy="3098800"/>
            <wp:effectExtent l="0" t="0" r="3810" b="6350"/>
            <wp:docPr id="1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65"/>
                    <a:stretch>
                      <a:fillRect/>
                    </a:stretch>
                  </pic:blipFill>
                  <pic:spPr>
                    <a:xfrm>
                      <a:off x="0" y="0"/>
                      <a:ext cx="2865327" cy="3132046"/>
                    </a:xfrm>
                    <a:prstGeom prst="rect">
                      <a:avLst/>
                    </a:prstGeom>
                  </pic:spPr>
                </pic:pic>
              </a:graphicData>
            </a:graphic>
          </wp:inline>
        </w:drawing>
      </w:r>
      <w:r w:rsidRPr="00652BF6">
        <w:rPr>
          <w:noProof/>
          <w:lang w:eastAsia="cs-CZ"/>
        </w:rPr>
        <w:drawing>
          <wp:inline distT="0" distB="0" distL="0" distR="0" wp14:anchorId="14BFEA84" wp14:editId="54A4BA36">
            <wp:extent cx="2838339" cy="3102545"/>
            <wp:effectExtent l="0" t="0" r="635" b="3175"/>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66"/>
                    <a:stretch>
                      <a:fillRect/>
                    </a:stretch>
                  </pic:blipFill>
                  <pic:spPr>
                    <a:xfrm>
                      <a:off x="0" y="0"/>
                      <a:ext cx="2897633" cy="3167358"/>
                    </a:xfrm>
                    <a:prstGeom prst="rect">
                      <a:avLst/>
                    </a:prstGeom>
                  </pic:spPr>
                </pic:pic>
              </a:graphicData>
            </a:graphic>
          </wp:inline>
        </w:drawing>
      </w:r>
    </w:p>
    <w:p w:rsidR="00AF4350" w:rsidRPr="00396ACC" w:rsidRDefault="00AF4350" w:rsidP="00F03B0A">
      <w:pPr>
        <w:pStyle w:val="Zdrojobjektu"/>
      </w:pPr>
      <w:r w:rsidRPr="00F14241">
        <w:t>Zdroj: síť sociál</w:t>
      </w:r>
      <w:r>
        <w:t>ních služeb OK na příslušný rok</w:t>
      </w:r>
    </w:p>
    <w:p w:rsidR="00AF4350" w:rsidRPr="00652BF6" w:rsidRDefault="00AF4350" w:rsidP="00F03B0A">
      <w:pPr>
        <w:pStyle w:val="popistabulkySPRSS2024"/>
      </w:pPr>
      <w:bookmarkStart w:id="264" w:name="_Toc117607110"/>
      <w:r w:rsidRPr="00652BF6">
        <w:t xml:space="preserve">Tabulka </w:t>
      </w:r>
      <w:r w:rsidR="00412C70">
        <w:fldChar w:fldCharType="begin"/>
      </w:r>
      <w:r w:rsidR="00412C70">
        <w:instrText xml:space="preserve"> SEQ Tabulka \* ARABIC </w:instrText>
      </w:r>
      <w:r w:rsidR="00412C70">
        <w:fldChar w:fldCharType="separate"/>
      </w:r>
      <w:r w:rsidR="003A12AF">
        <w:rPr>
          <w:noProof/>
        </w:rPr>
        <w:t>50</w:t>
      </w:r>
      <w:r w:rsidR="00412C70">
        <w:rPr>
          <w:noProof/>
        </w:rPr>
        <w:fldChar w:fldCharType="end"/>
      </w:r>
      <w:r>
        <w:t>:</w:t>
      </w:r>
      <w:r w:rsidRPr="00652BF6">
        <w:t xml:space="preserve"> Přehled pohybu jednotek v síti sociálních služeb OK v letech 2015–2023</w:t>
      </w:r>
      <w:bookmarkEnd w:id="2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86"/>
        <w:gridCol w:w="2038"/>
        <w:gridCol w:w="2409"/>
        <w:gridCol w:w="1129"/>
      </w:tblGrid>
      <w:tr w:rsidR="00F03B0A" w:rsidRPr="00F03B0A" w:rsidTr="00F03B0A">
        <w:trPr>
          <w:cantSplit/>
          <w:trHeight w:val="20"/>
          <w:tblHeader/>
        </w:trPr>
        <w:tc>
          <w:tcPr>
            <w:tcW w:w="1923" w:type="pct"/>
            <w:shd w:val="clear" w:color="auto" w:fill="F2F2F2" w:themeFill="background1" w:themeFillShade="F2"/>
            <w:noWrap/>
            <w:vAlign w:val="center"/>
            <w:hideMark/>
          </w:tcPr>
          <w:p w:rsidR="00F03B0A" w:rsidRPr="00F03B0A" w:rsidRDefault="00F03B0A" w:rsidP="00F03B0A">
            <w:pPr>
              <w:spacing w:before="0"/>
              <w:jc w:val="center"/>
              <w:rPr>
                <w:rFonts w:eastAsiaTheme="minorHAnsi" w:cs="Segoe UI"/>
                <w:b/>
                <w:sz w:val="18"/>
                <w:szCs w:val="18"/>
              </w:rPr>
            </w:pPr>
            <w:r w:rsidRPr="00F03B0A">
              <w:rPr>
                <w:rFonts w:eastAsiaTheme="minorHAnsi" w:cs="Segoe UI"/>
                <w:b/>
                <w:sz w:val="18"/>
                <w:szCs w:val="18"/>
              </w:rPr>
              <w:t>Druh sociální služby</w:t>
            </w:r>
          </w:p>
        </w:tc>
        <w:tc>
          <w:tcPr>
            <w:tcW w:w="1124" w:type="pct"/>
            <w:shd w:val="clear" w:color="auto" w:fill="F2F2F2" w:themeFill="background1" w:themeFillShade="F2"/>
            <w:noWrap/>
            <w:vAlign w:val="center"/>
            <w:hideMark/>
          </w:tcPr>
          <w:p w:rsidR="00F03B0A" w:rsidRPr="00F03B0A" w:rsidRDefault="00F03B0A" w:rsidP="00F03B0A">
            <w:pPr>
              <w:spacing w:before="0"/>
              <w:jc w:val="center"/>
              <w:rPr>
                <w:rFonts w:eastAsiaTheme="minorHAnsi" w:cs="Segoe UI"/>
                <w:b/>
                <w:sz w:val="18"/>
                <w:szCs w:val="18"/>
              </w:rPr>
            </w:pPr>
            <w:r w:rsidRPr="00F03B0A">
              <w:rPr>
                <w:rFonts w:eastAsiaTheme="minorHAnsi" w:cs="Segoe UI"/>
                <w:b/>
                <w:sz w:val="18"/>
                <w:szCs w:val="18"/>
              </w:rPr>
              <w:t>Celkový počet jednotek zařazených v síti v roce 2015</w:t>
            </w:r>
          </w:p>
        </w:tc>
        <w:tc>
          <w:tcPr>
            <w:tcW w:w="1329" w:type="pct"/>
            <w:shd w:val="clear" w:color="auto" w:fill="F2F2F2" w:themeFill="background1" w:themeFillShade="F2"/>
            <w:noWrap/>
            <w:vAlign w:val="center"/>
            <w:hideMark/>
          </w:tcPr>
          <w:p w:rsidR="00F03B0A" w:rsidRPr="00F03B0A" w:rsidRDefault="00F03B0A" w:rsidP="00F03B0A">
            <w:pPr>
              <w:spacing w:before="0"/>
              <w:jc w:val="center"/>
              <w:rPr>
                <w:rFonts w:eastAsiaTheme="minorHAnsi" w:cs="Segoe UI"/>
                <w:b/>
                <w:sz w:val="18"/>
                <w:szCs w:val="18"/>
              </w:rPr>
            </w:pPr>
            <w:r w:rsidRPr="00F03B0A">
              <w:rPr>
                <w:rFonts w:eastAsiaTheme="minorHAnsi" w:cs="Segoe UI"/>
                <w:b/>
                <w:sz w:val="18"/>
                <w:szCs w:val="18"/>
              </w:rPr>
              <w:t>Celkový počet jednotek zařazených v síti v roce 2023</w:t>
            </w:r>
          </w:p>
        </w:tc>
        <w:tc>
          <w:tcPr>
            <w:tcW w:w="623" w:type="pct"/>
            <w:shd w:val="clear" w:color="auto" w:fill="F2F2F2" w:themeFill="background1" w:themeFillShade="F2"/>
            <w:noWrap/>
            <w:vAlign w:val="center"/>
            <w:hideMark/>
          </w:tcPr>
          <w:p w:rsidR="00F03B0A" w:rsidRPr="00F03B0A" w:rsidRDefault="00F03B0A" w:rsidP="00F03B0A">
            <w:pPr>
              <w:spacing w:before="0"/>
              <w:jc w:val="center"/>
              <w:rPr>
                <w:rFonts w:eastAsiaTheme="minorHAnsi" w:cs="Segoe UI"/>
                <w:b/>
                <w:sz w:val="18"/>
                <w:szCs w:val="18"/>
              </w:rPr>
            </w:pPr>
            <w:r w:rsidRPr="00F03B0A">
              <w:rPr>
                <w:rFonts w:eastAsiaTheme="minorHAnsi" w:cs="Segoe UI"/>
                <w:b/>
                <w:sz w:val="18"/>
                <w:szCs w:val="18"/>
              </w:rPr>
              <w:t>Rozdíl</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 xml:space="preserve">azylové domy </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352</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559</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207</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centra denních služeb</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27,249</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39,563</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12,314</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denní stacionáře</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76,372</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96,331</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19,959</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domovy pro osoby se zdravotním postižením</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985</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954</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-31</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domovy pro seniory</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2415</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2551</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136</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domovy se zvláštním režimem</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646</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823</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177</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domy na půl cesty</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12</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12</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0</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chráněné bydlení</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399</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315</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-84</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intervenční centra</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2,9</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4,9</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kontaktní centra</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15,23</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17,025</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1,795</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krizová pomoc</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4,163</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3,897</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-0,266</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nízkoprahová denní centra</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12,548</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19,595</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7,047</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nízkoprahová zařízení pro děti a mládež</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33,796</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43,353</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9,557</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noclehárny</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107</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125</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18</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odborné sociální poradenství</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34,908</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44,448</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9,54</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odlehčovací služby</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60</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92,571</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32,571</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lastRenderedPageBreak/>
              <w:t>osobní asistence</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66,455</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93,127</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26,672</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pečovatelská služba</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322,157</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414,815</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92,658</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podpora samostatného bydlení</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3,56</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9,618</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6,058</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raná péče</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11,508</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25,7</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14,192</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služby následné péče</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7,774</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10,5</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2,726</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Pr>
                <w:rFonts w:eastAsiaTheme="minorHAnsi" w:cs="Segoe UI"/>
                <w:sz w:val="18"/>
                <w:szCs w:val="18"/>
              </w:rPr>
              <w:t>SAS</w:t>
            </w:r>
            <w:r w:rsidRPr="00F03B0A">
              <w:rPr>
                <w:rFonts w:eastAsiaTheme="minorHAnsi" w:cs="Segoe UI"/>
                <w:sz w:val="18"/>
                <w:szCs w:val="18"/>
              </w:rPr>
              <w:t xml:space="preserve"> pro rodiny s dětmi</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64,112</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75,059</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10,947</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Pr>
                <w:rFonts w:eastAsiaTheme="minorHAnsi" w:cs="Segoe UI"/>
                <w:sz w:val="18"/>
                <w:szCs w:val="18"/>
              </w:rPr>
              <w:t>SAS</w:t>
            </w:r>
            <w:r w:rsidRPr="00F03B0A">
              <w:rPr>
                <w:rFonts w:eastAsiaTheme="minorHAnsi" w:cs="Segoe UI"/>
                <w:sz w:val="18"/>
                <w:szCs w:val="18"/>
              </w:rPr>
              <w:t xml:space="preserve"> pro seniory a osoby se zdravotním postižením</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14,149</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18,17</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4,021</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sociálně terapeutické dílny</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7,45</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9,15</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1,7</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sociální rehabilitace</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27,117</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49,306</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22,189</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sociální služby poskytované ve zdravotnických zařízeních lůžkové péče</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91</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95</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4</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telefonická krizová pomoc</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0,125</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2,837</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2,712</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terapeutické komunity</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16</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14</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-2</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terénní programy</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50,64</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54,715</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4,075</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tlumočnické služby</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0,65</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1,35</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0,7</w:t>
            </w:r>
          </w:p>
        </w:tc>
      </w:tr>
      <w:tr w:rsidR="00F03B0A" w:rsidRPr="00F03B0A" w:rsidTr="00F03B0A">
        <w:trPr>
          <w:trHeight w:val="20"/>
        </w:trPr>
        <w:tc>
          <w:tcPr>
            <w:tcW w:w="1923" w:type="pct"/>
            <w:shd w:val="clear" w:color="auto" w:fill="auto"/>
            <w:noWrap/>
            <w:vAlign w:val="bottom"/>
            <w:hideMark/>
          </w:tcPr>
          <w:p w:rsidR="00F03B0A" w:rsidRPr="00F03B0A" w:rsidRDefault="00F03B0A" w:rsidP="00F03B0A">
            <w:pPr>
              <w:spacing w:before="0"/>
              <w:jc w:val="left"/>
              <w:rPr>
                <w:rFonts w:eastAsiaTheme="minorHAnsi" w:cs="Segoe UI"/>
                <w:sz w:val="18"/>
                <w:szCs w:val="18"/>
              </w:rPr>
            </w:pPr>
            <w:r w:rsidRPr="00F03B0A">
              <w:rPr>
                <w:rFonts w:eastAsiaTheme="minorHAnsi" w:cs="Segoe UI"/>
                <w:sz w:val="18"/>
                <w:szCs w:val="18"/>
              </w:rPr>
              <w:t>týdenní stacionáře</w:t>
            </w:r>
          </w:p>
        </w:tc>
        <w:tc>
          <w:tcPr>
            <w:tcW w:w="1124"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6</w:t>
            </w:r>
          </w:p>
        </w:tc>
        <w:tc>
          <w:tcPr>
            <w:tcW w:w="1329"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6</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0</w:t>
            </w:r>
          </w:p>
        </w:tc>
      </w:tr>
      <w:tr w:rsidR="00F03B0A" w:rsidRPr="00F03B0A" w:rsidTr="00F03B0A">
        <w:trPr>
          <w:trHeight w:val="20"/>
        </w:trPr>
        <w:tc>
          <w:tcPr>
            <w:tcW w:w="1923" w:type="pct"/>
            <w:shd w:val="clear" w:color="auto" w:fill="F2F2F2" w:themeFill="background1" w:themeFillShade="F2"/>
            <w:noWrap/>
            <w:vAlign w:val="bottom"/>
            <w:hideMark/>
          </w:tcPr>
          <w:p w:rsidR="00F03B0A" w:rsidRPr="00F03B0A" w:rsidRDefault="00F03B0A" w:rsidP="00F03B0A">
            <w:pPr>
              <w:spacing w:before="0"/>
              <w:jc w:val="left"/>
              <w:rPr>
                <w:rFonts w:eastAsiaTheme="minorHAnsi" w:cs="Segoe UI"/>
                <w:b/>
                <w:sz w:val="18"/>
                <w:szCs w:val="18"/>
              </w:rPr>
            </w:pPr>
            <w:r w:rsidRPr="00F03B0A">
              <w:rPr>
                <w:rFonts w:eastAsiaTheme="minorHAnsi" w:cs="Segoe UI"/>
                <w:b/>
                <w:sz w:val="18"/>
                <w:szCs w:val="18"/>
              </w:rPr>
              <w:t>Celkový součet</w:t>
            </w:r>
          </w:p>
        </w:tc>
        <w:tc>
          <w:tcPr>
            <w:tcW w:w="1124" w:type="pct"/>
            <w:shd w:val="clear" w:color="auto" w:fill="F2F2F2" w:themeFill="background1" w:themeFillShade="F2"/>
            <w:noWrap/>
            <w:vAlign w:val="bottom"/>
            <w:hideMark/>
          </w:tcPr>
          <w:p w:rsidR="00F03B0A" w:rsidRPr="00F03B0A" w:rsidRDefault="00F03B0A" w:rsidP="00F03B0A">
            <w:pPr>
              <w:spacing w:before="0"/>
              <w:jc w:val="right"/>
              <w:rPr>
                <w:rFonts w:eastAsiaTheme="minorHAnsi" w:cs="Segoe UI"/>
                <w:b/>
                <w:sz w:val="18"/>
                <w:szCs w:val="18"/>
              </w:rPr>
            </w:pPr>
            <w:r w:rsidRPr="00F03B0A">
              <w:rPr>
                <w:rFonts w:eastAsiaTheme="minorHAnsi" w:cs="Segoe UI"/>
                <w:b/>
                <w:sz w:val="18"/>
                <w:szCs w:val="18"/>
              </w:rPr>
              <w:t>5</w:t>
            </w:r>
            <w:r>
              <w:rPr>
                <w:rFonts w:eastAsiaTheme="minorHAnsi" w:cs="Segoe UI"/>
                <w:b/>
                <w:sz w:val="18"/>
                <w:szCs w:val="18"/>
              </w:rPr>
              <w:t xml:space="preserve"> </w:t>
            </w:r>
            <w:r w:rsidRPr="00F03B0A">
              <w:rPr>
                <w:rFonts w:eastAsiaTheme="minorHAnsi" w:cs="Segoe UI"/>
                <w:b/>
                <w:sz w:val="18"/>
                <w:szCs w:val="18"/>
              </w:rPr>
              <w:t>871,863</w:t>
            </w:r>
          </w:p>
        </w:tc>
        <w:tc>
          <w:tcPr>
            <w:tcW w:w="1329" w:type="pct"/>
            <w:shd w:val="clear" w:color="auto" w:fill="F2F2F2" w:themeFill="background1" w:themeFillShade="F2"/>
            <w:noWrap/>
            <w:vAlign w:val="bottom"/>
            <w:hideMark/>
          </w:tcPr>
          <w:p w:rsidR="00F03B0A" w:rsidRPr="00F03B0A" w:rsidRDefault="00F03B0A" w:rsidP="00F03B0A">
            <w:pPr>
              <w:spacing w:before="0"/>
              <w:jc w:val="right"/>
              <w:rPr>
                <w:rFonts w:eastAsiaTheme="minorHAnsi" w:cs="Segoe UI"/>
                <w:b/>
                <w:sz w:val="18"/>
                <w:szCs w:val="18"/>
              </w:rPr>
            </w:pPr>
            <w:r w:rsidRPr="00F03B0A">
              <w:rPr>
                <w:rFonts w:eastAsiaTheme="minorHAnsi" w:cs="Segoe UI"/>
                <w:b/>
                <w:sz w:val="18"/>
                <w:szCs w:val="18"/>
              </w:rPr>
              <w:t>6</w:t>
            </w:r>
            <w:r>
              <w:rPr>
                <w:rFonts w:eastAsiaTheme="minorHAnsi" w:cs="Segoe UI"/>
                <w:b/>
                <w:sz w:val="18"/>
                <w:szCs w:val="18"/>
              </w:rPr>
              <w:t xml:space="preserve"> </w:t>
            </w:r>
            <w:r w:rsidRPr="00F03B0A">
              <w:rPr>
                <w:rFonts w:eastAsiaTheme="minorHAnsi" w:cs="Segoe UI"/>
                <w:b/>
                <w:sz w:val="18"/>
                <w:szCs w:val="18"/>
              </w:rPr>
              <w:t>580,03</w:t>
            </w:r>
          </w:p>
        </w:tc>
        <w:tc>
          <w:tcPr>
            <w:tcW w:w="623" w:type="pct"/>
            <w:shd w:val="clear" w:color="auto" w:fill="auto"/>
            <w:noWrap/>
            <w:vAlign w:val="bottom"/>
            <w:hideMark/>
          </w:tcPr>
          <w:p w:rsidR="00F03B0A" w:rsidRPr="00F03B0A" w:rsidRDefault="00F03B0A" w:rsidP="00F03B0A">
            <w:pPr>
              <w:spacing w:before="0"/>
              <w:jc w:val="right"/>
              <w:rPr>
                <w:rFonts w:eastAsiaTheme="minorHAnsi" w:cs="Segoe UI"/>
                <w:sz w:val="18"/>
                <w:szCs w:val="18"/>
              </w:rPr>
            </w:pPr>
            <w:r w:rsidRPr="00F03B0A">
              <w:rPr>
                <w:rFonts w:eastAsiaTheme="minorHAnsi" w:cs="Segoe UI"/>
                <w:sz w:val="18"/>
                <w:szCs w:val="18"/>
              </w:rPr>
              <w:t> </w:t>
            </w:r>
          </w:p>
        </w:tc>
      </w:tr>
    </w:tbl>
    <w:p w:rsidR="00AF4350" w:rsidRPr="00396ACC" w:rsidRDefault="00AF4350" w:rsidP="00F03B0A">
      <w:pPr>
        <w:pStyle w:val="Zdrojobjektu"/>
      </w:pPr>
      <w:r w:rsidRPr="00396ACC">
        <w:t>Zdroj: síť sociálních služeb OK na příslušný rok</w:t>
      </w:r>
    </w:p>
    <w:p w:rsidR="00AF4350" w:rsidRPr="00652BF6" w:rsidRDefault="00AF4350" w:rsidP="00A34764">
      <w:pPr>
        <w:rPr>
          <w:rFonts w:eastAsia="Arial Unicode MS"/>
          <w:lang w:eastAsia="cs-CZ"/>
        </w:rPr>
      </w:pPr>
      <w:r w:rsidRPr="00652BF6">
        <w:t>V souvislosti s plněním cílů a opatření střednědobých plánů narostl v posledních letech zejména počet odlehčovacích služeb určených převážně seniorům a osobám s chronickým onemocněním a služeb chráněného bydlení určených převážně osobám se zdravotním postižením. Tento nárůst odpovídal evropskému trendu, který se i v případě OK projevoval v mírném odklonu od péče poskytované v rezidenčních zařízeních k péči poskytované v přirozeném domácím prostředí. U služeb sociální prevence lze pozorovat rostoucí tendenci u sociální rehabilitace, která je souborem specifických činností směřujících k dosažení samostatnosti, nezávislosti a soběstačnosti osob, a to rozvojem jejich specifických schopností a dovedností, posilováním návyků a nácvikem výkonu běžných, pro samostatný život nezbytných činností alternativním způsobem využívajícím zachovan</w:t>
      </w:r>
      <w:r>
        <w:t>í</w:t>
      </w:r>
      <w:r w:rsidRPr="00652BF6">
        <w:t xml:space="preserve"> schopností, potenciálů a kompetencí, což je v souladu s výše zmíněným evropským trendem. V souvislosti se sociodemografickým vývojem obyvatelstva rovněž významně narostly kapacity pečovatelských služeb. Tento nárůst souvisí i s jedním z hlavních cílů rozvoje sociálních služeb v OK v </w:t>
      </w:r>
      <w:r w:rsidRPr="00652BF6">
        <w:rPr>
          <w:rFonts w:eastAsia="Arial Unicode MS"/>
          <w:lang w:eastAsia="cs-CZ"/>
        </w:rPr>
        <w:t>podpoře setrvání osob v jejich přirozeném sociálním prostředí.</w:t>
      </w:r>
    </w:p>
    <w:p w:rsidR="00AF4350" w:rsidRPr="007C2EB2" w:rsidRDefault="00AF4350" w:rsidP="00A34764">
      <w:pPr>
        <w:rPr>
          <w:lang w:eastAsia="cs-CZ"/>
        </w:rPr>
      </w:pPr>
    </w:p>
    <w:p w:rsidR="005061EB" w:rsidRPr="005061EB" w:rsidRDefault="005061EB" w:rsidP="005061EB">
      <w:pPr>
        <w:keepNext/>
        <w:keepLines/>
        <w:pageBreakBefore/>
        <w:pBdr>
          <w:bottom w:val="single" w:sz="12" w:space="1" w:color="2F5496" w:themeColor="accent5" w:themeShade="BF"/>
        </w:pBdr>
        <w:spacing w:before="0" w:after="360"/>
        <w:jc w:val="center"/>
        <w:outlineLvl w:val="0"/>
        <w:rPr>
          <w:rFonts w:eastAsia="Arial Unicode MS" w:cs="Segoe UI"/>
          <w:bCs/>
          <w:color w:val="2F5496" w:themeColor="accent5" w:themeShade="BF"/>
          <w:sz w:val="36"/>
          <w:szCs w:val="32"/>
        </w:rPr>
      </w:pPr>
      <w:bookmarkStart w:id="265" w:name="_Toc22896407"/>
      <w:bookmarkStart w:id="266" w:name="_Toc113622099"/>
      <w:bookmarkStart w:id="267" w:name="_Toc117607017"/>
      <w:bookmarkStart w:id="268" w:name="_Toc22896406"/>
      <w:bookmarkStart w:id="269" w:name="_Toc113622098"/>
      <w:r w:rsidRPr="005061EB">
        <w:rPr>
          <w:rFonts w:eastAsia="Arial Unicode MS" w:cs="Segoe UI"/>
          <w:bCs/>
          <w:color w:val="2F5496" w:themeColor="accent5" w:themeShade="BF"/>
          <w:sz w:val="36"/>
          <w:szCs w:val="32"/>
        </w:rPr>
        <w:lastRenderedPageBreak/>
        <w:t>SEZNAM, OBRÁZKŮ, GRAFŮ, MAP A TABULEK</w:t>
      </w:r>
      <w:bookmarkEnd w:id="265"/>
      <w:bookmarkEnd w:id="266"/>
      <w:bookmarkEnd w:id="267"/>
    </w:p>
    <w:p w:rsidR="005061EB" w:rsidRPr="00B92773" w:rsidRDefault="005061EB" w:rsidP="005061EB">
      <w:pPr>
        <w:pStyle w:val="Tun"/>
      </w:pPr>
      <w:r w:rsidRPr="00B92773">
        <w:t>Seznam obrázků</w:t>
      </w:r>
    </w:p>
    <w:p w:rsidR="00A86077" w:rsidRPr="00B92773" w:rsidRDefault="005061EB">
      <w:pPr>
        <w:pStyle w:val="Seznamobrzk"/>
        <w:tabs>
          <w:tab w:val="right" w:leader="dot" w:pos="9062"/>
        </w:tabs>
        <w:rPr>
          <w:rFonts w:ascii="Segoe UI" w:eastAsiaTheme="minorEastAsia" w:hAnsi="Segoe UI" w:cs="Segoe UI"/>
          <w:noProof/>
          <w:sz w:val="20"/>
          <w:szCs w:val="20"/>
        </w:rPr>
      </w:pPr>
      <w:r w:rsidRPr="00B92773">
        <w:rPr>
          <w:rFonts w:ascii="Segoe UI" w:hAnsi="Segoe UI" w:cs="Segoe UI"/>
          <w:sz w:val="20"/>
          <w:szCs w:val="20"/>
        </w:rPr>
        <w:fldChar w:fldCharType="begin"/>
      </w:r>
      <w:r w:rsidRPr="00B92773">
        <w:rPr>
          <w:rFonts w:ascii="Segoe UI" w:hAnsi="Segoe UI" w:cs="Segoe UI"/>
          <w:sz w:val="20"/>
          <w:szCs w:val="20"/>
        </w:rPr>
        <w:instrText xml:space="preserve"> TOC \h \z \c "Obrázek" </w:instrText>
      </w:r>
      <w:r w:rsidRPr="00B92773">
        <w:rPr>
          <w:rFonts w:ascii="Segoe UI" w:hAnsi="Segoe UI" w:cs="Segoe UI"/>
          <w:sz w:val="20"/>
          <w:szCs w:val="20"/>
        </w:rPr>
        <w:fldChar w:fldCharType="separate"/>
      </w:r>
      <w:hyperlink w:anchor="_Toc117607021" w:history="1">
        <w:r w:rsidR="00A86077" w:rsidRPr="00B92773">
          <w:rPr>
            <w:rStyle w:val="Hypertextovodkaz"/>
            <w:rFonts w:ascii="Segoe UI" w:hAnsi="Segoe UI" w:cs="Segoe UI"/>
            <w:noProof/>
            <w:sz w:val="20"/>
            <w:szCs w:val="20"/>
          </w:rPr>
          <w:t>Obrázek 1: Tři úrovně plánování sociálních služeb</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_Toc117607021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17</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22" w:history="1">
        <w:r w:rsidR="00A86077" w:rsidRPr="00B92773">
          <w:rPr>
            <w:rStyle w:val="Hypertextovodkaz"/>
            <w:rFonts w:ascii="Segoe UI" w:hAnsi="Segoe UI" w:cs="Segoe UI"/>
            <w:noProof/>
            <w:sz w:val="20"/>
            <w:szCs w:val="20"/>
          </w:rPr>
          <w:t>Obrázek 2: Schématické zobrazení organizační struktury plánování sociálních služeb na krajské úrovni</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_Toc117607022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22</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23" w:history="1">
        <w:r w:rsidR="00A86077" w:rsidRPr="00B92773">
          <w:rPr>
            <w:rStyle w:val="Hypertextovodkaz"/>
            <w:rFonts w:ascii="Segoe UI" w:hAnsi="Segoe UI" w:cs="Segoe UI"/>
            <w:noProof/>
            <w:sz w:val="20"/>
            <w:szCs w:val="20"/>
          </w:rPr>
          <w:t>Obrázek 3: Schéma procesu transformace Nových Zámků</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_Toc117607023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67</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24" w:history="1">
        <w:r w:rsidR="00A86077" w:rsidRPr="00B92773">
          <w:rPr>
            <w:rStyle w:val="Hypertextovodkaz"/>
            <w:rFonts w:ascii="Segoe UI" w:hAnsi="Segoe UI" w:cs="Segoe UI"/>
            <w:noProof/>
            <w:sz w:val="20"/>
            <w:szCs w:val="20"/>
          </w:rPr>
          <w:t>Obrázek 4: Schéma financování sociálních služeb</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_Toc117607024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76</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25" w:history="1">
        <w:r w:rsidR="00A86077" w:rsidRPr="00B92773">
          <w:rPr>
            <w:rStyle w:val="Hypertextovodkaz"/>
            <w:rFonts w:ascii="Segoe UI" w:hAnsi="Segoe UI" w:cs="Segoe UI"/>
            <w:noProof/>
            <w:sz w:val="20"/>
            <w:szCs w:val="20"/>
          </w:rPr>
          <w:t>Obrázek 5 Schéma Strategické části</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_Toc117607025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93</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26" w:history="1">
        <w:r w:rsidR="00A86077" w:rsidRPr="00B92773">
          <w:rPr>
            <w:rStyle w:val="Hypertextovodkaz"/>
            <w:rFonts w:ascii="Segoe UI" w:hAnsi="Segoe UI" w:cs="Segoe UI"/>
            <w:noProof/>
            <w:sz w:val="20"/>
            <w:szCs w:val="20"/>
          </w:rPr>
          <w:t>Obrázek 6: Parametry</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_Toc117607026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199</w:t>
        </w:r>
        <w:r w:rsidR="00A86077" w:rsidRPr="00B92773">
          <w:rPr>
            <w:rFonts w:ascii="Segoe UI" w:hAnsi="Segoe UI" w:cs="Segoe UI"/>
            <w:noProof/>
            <w:webHidden/>
            <w:sz w:val="20"/>
            <w:szCs w:val="20"/>
          </w:rPr>
          <w:fldChar w:fldCharType="end"/>
        </w:r>
      </w:hyperlink>
    </w:p>
    <w:p w:rsidR="005061EB" w:rsidRPr="00B92773" w:rsidRDefault="005061EB" w:rsidP="005061EB">
      <w:pPr>
        <w:rPr>
          <w:rFonts w:eastAsia="Arial Unicode MS" w:cs="Segoe UI"/>
          <w:szCs w:val="20"/>
          <w:lang w:eastAsia="cs-CZ"/>
        </w:rPr>
      </w:pPr>
      <w:r w:rsidRPr="00B92773">
        <w:rPr>
          <w:rFonts w:eastAsia="Arial Unicode MS" w:cs="Segoe UI"/>
          <w:szCs w:val="20"/>
          <w:lang w:eastAsia="cs-CZ"/>
        </w:rPr>
        <w:fldChar w:fldCharType="end"/>
      </w:r>
    </w:p>
    <w:p w:rsidR="005061EB" w:rsidRPr="00B92773" w:rsidRDefault="005061EB" w:rsidP="005061EB">
      <w:pPr>
        <w:pStyle w:val="Tun"/>
      </w:pPr>
      <w:r w:rsidRPr="00B92773">
        <w:t>Seznam grafů</w:t>
      </w:r>
    </w:p>
    <w:p w:rsidR="00A86077" w:rsidRPr="00B92773" w:rsidRDefault="005061EB">
      <w:pPr>
        <w:pStyle w:val="Seznamobrzk"/>
        <w:tabs>
          <w:tab w:val="right" w:leader="dot" w:pos="9062"/>
        </w:tabs>
        <w:rPr>
          <w:rFonts w:ascii="Segoe UI" w:eastAsiaTheme="minorEastAsia" w:hAnsi="Segoe UI" w:cs="Segoe UI"/>
          <w:noProof/>
          <w:sz w:val="20"/>
          <w:szCs w:val="20"/>
        </w:rPr>
      </w:pPr>
      <w:r w:rsidRPr="00B92773">
        <w:rPr>
          <w:rFonts w:ascii="Segoe UI" w:hAnsi="Segoe UI" w:cs="Segoe UI"/>
          <w:sz w:val="20"/>
          <w:szCs w:val="20"/>
        </w:rPr>
        <w:fldChar w:fldCharType="begin"/>
      </w:r>
      <w:r w:rsidRPr="00B92773">
        <w:rPr>
          <w:rFonts w:ascii="Segoe UI" w:hAnsi="Segoe UI" w:cs="Segoe UI"/>
          <w:sz w:val="20"/>
          <w:szCs w:val="20"/>
        </w:rPr>
        <w:instrText xml:space="preserve"> TOC \h \z \c "Graf" </w:instrText>
      </w:r>
      <w:r w:rsidRPr="00B92773">
        <w:rPr>
          <w:rFonts w:ascii="Segoe UI" w:hAnsi="Segoe UI" w:cs="Segoe UI"/>
          <w:sz w:val="20"/>
          <w:szCs w:val="20"/>
        </w:rPr>
        <w:fldChar w:fldCharType="separate"/>
      </w:r>
      <w:hyperlink w:anchor="_Toc117607027" w:history="1">
        <w:r w:rsidR="00A86077" w:rsidRPr="00B92773">
          <w:rPr>
            <w:rStyle w:val="Hypertextovodkaz"/>
            <w:rFonts w:ascii="Segoe UI" w:hAnsi="Segoe UI" w:cs="Segoe UI"/>
            <w:noProof/>
            <w:sz w:val="20"/>
            <w:szCs w:val="20"/>
          </w:rPr>
          <w:t>Graf 1: Změna počtu obyvatel mezi lety 2011–2021 v OK</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_Toc117607027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28</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28" w:history="1">
        <w:r w:rsidR="00A86077" w:rsidRPr="00B92773">
          <w:rPr>
            <w:rStyle w:val="Hypertextovodkaz"/>
            <w:rFonts w:ascii="Segoe UI" w:hAnsi="Segoe UI" w:cs="Segoe UI"/>
            <w:noProof/>
            <w:sz w:val="20"/>
            <w:szCs w:val="20"/>
          </w:rPr>
          <w:t>Graf 2: Vývoj počtu obyvatel a podílu seniorské a dětské složky mezi lety 2002 až 2032 v OK</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_Toc117607028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28</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29" w:history="1">
        <w:r w:rsidR="00A86077" w:rsidRPr="00B92773">
          <w:rPr>
            <w:rStyle w:val="Hypertextovodkaz"/>
            <w:rFonts w:ascii="Segoe UI" w:hAnsi="Segoe UI" w:cs="Segoe UI"/>
            <w:noProof/>
            <w:sz w:val="20"/>
            <w:szCs w:val="20"/>
          </w:rPr>
          <w:t>Graf 3: Věková pyramida OK, srovnání roků 2022 a prognózy do roku 2032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_Toc117607029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29</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30" w:history="1">
        <w:r w:rsidR="00A86077" w:rsidRPr="00B92773">
          <w:rPr>
            <w:rStyle w:val="Hypertextovodkaz"/>
            <w:rFonts w:ascii="Segoe UI" w:hAnsi="Segoe UI" w:cs="Segoe UI"/>
            <w:noProof/>
            <w:sz w:val="20"/>
            <w:szCs w:val="20"/>
          </w:rPr>
          <w:t>Graf 4: Vývoj počtu zaměstnaných a nezaměstnaných mezi lety 2012 a 2022 v OK</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_Toc117607030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31</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31" w:history="1">
        <w:r w:rsidR="00A86077" w:rsidRPr="00B92773">
          <w:rPr>
            <w:rStyle w:val="Hypertextovodkaz"/>
            <w:rFonts w:ascii="Segoe UI" w:hAnsi="Segoe UI" w:cs="Segoe UI"/>
            <w:noProof/>
            <w:sz w:val="20"/>
            <w:szCs w:val="20"/>
          </w:rPr>
          <w:t>Graf 5: Ekonomické postavení obyvatelstva podle pětiletých věkových skupin v OK v roce 2021</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_Toc117607031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32</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32" w:history="1">
        <w:r w:rsidR="00A86077" w:rsidRPr="00B92773">
          <w:rPr>
            <w:rStyle w:val="Hypertextovodkaz"/>
            <w:rFonts w:ascii="Segoe UI" w:hAnsi="Segoe UI" w:cs="Segoe UI"/>
            <w:noProof/>
            <w:sz w:val="20"/>
            <w:szCs w:val="20"/>
          </w:rPr>
          <w:t>Graf 6: Podíl nezaměstnaných osob v okresech OK – roční průměry</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_Toc117607032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32</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33" w:history="1">
        <w:r w:rsidR="00A86077" w:rsidRPr="00B92773">
          <w:rPr>
            <w:rStyle w:val="Hypertextovodkaz"/>
            <w:rFonts w:ascii="Segoe UI" w:hAnsi="Segoe UI" w:cs="Segoe UI"/>
            <w:noProof/>
            <w:sz w:val="20"/>
            <w:szCs w:val="20"/>
          </w:rPr>
          <w:t>Graf 7: Průměrné hrubé měsíční mzdy podle krajů v I. čtvrtletí roku 2022 v Kč</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_Toc117607033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33</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34" w:history="1">
        <w:r w:rsidR="00A86077" w:rsidRPr="00B92773">
          <w:rPr>
            <w:rStyle w:val="Hypertextovodkaz"/>
            <w:rFonts w:ascii="Segoe UI" w:hAnsi="Segoe UI" w:cs="Segoe UI"/>
            <w:noProof/>
            <w:sz w:val="20"/>
            <w:szCs w:val="20"/>
          </w:rPr>
          <w:t>Graf 8: Vývoj mezd v OK v letech 2018–2021</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_Toc117607034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33</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35" w:history="1">
        <w:r w:rsidR="00A86077" w:rsidRPr="00B92773">
          <w:rPr>
            <w:rStyle w:val="Hypertextovodkaz"/>
            <w:rFonts w:ascii="Segoe UI" w:hAnsi="Segoe UI" w:cs="Segoe UI"/>
            <w:noProof/>
            <w:sz w:val="20"/>
            <w:szCs w:val="20"/>
          </w:rPr>
          <w:t xml:space="preserve">Graf 9: </w:t>
        </w:r>
        <w:r w:rsidR="00A86077" w:rsidRPr="00B92773">
          <w:rPr>
            <w:rStyle w:val="Hypertextovodkaz"/>
            <w:rFonts w:ascii="Segoe UI" w:hAnsi="Segoe UI" w:cs="Segoe UI"/>
            <w:noProof/>
            <w:sz w:val="20"/>
            <w:szCs w:val="20"/>
            <w:shd w:val="clear" w:color="auto" w:fill="FFFFFF"/>
          </w:rPr>
          <w:t>Rozložení příjemců starobního důchodu (sólo) podle průměrné měsíční výše</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_Toc117607035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34</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36" w:history="1">
        <w:r w:rsidR="00A86077" w:rsidRPr="00B92773">
          <w:rPr>
            <w:rStyle w:val="Hypertextovodkaz"/>
            <w:rFonts w:ascii="Segoe UI" w:hAnsi="Segoe UI" w:cs="Segoe UI"/>
            <w:noProof/>
            <w:sz w:val="20"/>
            <w:szCs w:val="20"/>
          </w:rPr>
          <w:t>Graf 10: Počet osob pobírajících starobní důchod v OK k 31. 12. 2021</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_Toc117607036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35</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37" w:history="1">
        <w:r w:rsidR="00A86077" w:rsidRPr="00B92773">
          <w:rPr>
            <w:rStyle w:val="Hypertextovodkaz"/>
            <w:rFonts w:ascii="Segoe UI" w:hAnsi="Segoe UI" w:cs="Segoe UI"/>
            <w:noProof/>
            <w:sz w:val="20"/>
            <w:szCs w:val="20"/>
          </w:rPr>
          <w:t>Graf 11 Počet osob pobírajících invalidní důchod v OK k 31. 12. 2021</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_Toc117607037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35</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38" w:history="1">
        <w:r w:rsidR="00A86077" w:rsidRPr="00B92773">
          <w:rPr>
            <w:rStyle w:val="Hypertextovodkaz"/>
            <w:rFonts w:ascii="Segoe UI" w:hAnsi="Segoe UI" w:cs="Segoe UI"/>
            <w:noProof/>
            <w:sz w:val="20"/>
            <w:szCs w:val="20"/>
          </w:rPr>
          <w:t>Graf 12: Počty důchodců s exekuční srážkou, průměrná výše důchodů, srážky v OK – březen 2022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_Toc117607038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38</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39" w:history="1">
        <w:r w:rsidR="00A86077" w:rsidRPr="00B92773">
          <w:rPr>
            <w:rStyle w:val="Hypertextovodkaz"/>
            <w:rFonts w:ascii="Segoe UI" w:hAnsi="Segoe UI" w:cs="Segoe UI"/>
            <w:noProof/>
            <w:sz w:val="20"/>
            <w:szCs w:val="20"/>
          </w:rPr>
          <w:t>Graf 13: Počet uživatelů vybraných sociálních služeb* s příspěvkem na péči v letech 2015–2021</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_Toc117607039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43</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40" w:history="1">
        <w:r w:rsidR="00A86077" w:rsidRPr="00B92773">
          <w:rPr>
            <w:rStyle w:val="Hypertextovodkaz"/>
            <w:rFonts w:ascii="Segoe UI" w:hAnsi="Segoe UI" w:cs="Segoe UI"/>
            <w:noProof/>
            <w:sz w:val="20"/>
            <w:szCs w:val="20"/>
          </w:rPr>
          <w:t>Graf 14: Počet uživatelů sociálních služeb pro seniory*</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_Toc117607040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45</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41" w:history="1">
        <w:r w:rsidR="00A86077" w:rsidRPr="00B92773">
          <w:rPr>
            <w:rStyle w:val="Hypertextovodkaz"/>
            <w:rFonts w:ascii="Segoe UI" w:hAnsi="Segoe UI" w:cs="Segoe UI"/>
            <w:noProof/>
            <w:sz w:val="20"/>
            <w:szCs w:val="20"/>
          </w:rPr>
          <w:t>Graf 15: Vývoj počtu cizinců v OK v letech 2005 až 2022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_Toc117607041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46</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42" w:history="1">
        <w:r w:rsidR="00A86077" w:rsidRPr="00B92773">
          <w:rPr>
            <w:rStyle w:val="Hypertextovodkaz"/>
            <w:rFonts w:ascii="Segoe UI" w:hAnsi="Segoe UI" w:cs="Segoe UI"/>
            <w:noProof/>
            <w:sz w:val="20"/>
            <w:szCs w:val="20"/>
          </w:rPr>
          <w:t>Graf 16: Počty osob s uděleným pobytovým oprávněním v souvislosti s válkou na Ukrajině v OK</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_Toc117607042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47</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43" w:history="1">
        <w:r w:rsidR="00A86077" w:rsidRPr="00B92773">
          <w:rPr>
            <w:rStyle w:val="Hypertextovodkaz"/>
            <w:rFonts w:ascii="Segoe UI" w:hAnsi="Segoe UI" w:cs="Segoe UI"/>
            <w:noProof/>
            <w:sz w:val="20"/>
            <w:szCs w:val="20"/>
          </w:rPr>
          <w:t>Graf 17: Počet osob s uděleným pobytovým oprávněním v souvislosti s válkou na Ukrajině podle pohlaví a věku v OK</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_Toc117607043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48</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44" w:history="1">
        <w:r w:rsidR="00A86077" w:rsidRPr="00B92773">
          <w:rPr>
            <w:rStyle w:val="Hypertextovodkaz"/>
            <w:rFonts w:ascii="Segoe UI" w:hAnsi="Segoe UI" w:cs="Segoe UI"/>
            <w:noProof/>
            <w:sz w:val="20"/>
            <w:szCs w:val="20"/>
          </w:rPr>
          <w:t>Graf 18: Počet osob bez přístřeší na 100 tis. obyvatel v krajích ČR v roce 2021</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_Toc117607044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49</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45" w:history="1">
        <w:r w:rsidR="00A86077" w:rsidRPr="00B92773">
          <w:rPr>
            <w:rStyle w:val="Hypertextovodkaz"/>
            <w:rFonts w:ascii="Segoe UI" w:hAnsi="Segoe UI" w:cs="Segoe UI"/>
            <w:noProof/>
            <w:sz w:val="20"/>
            <w:szCs w:val="20"/>
          </w:rPr>
          <w:t>Graf 19: Věková struktura osob spících venku, v noclehárnách, v azylových domech v OK</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_Toc117607045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51</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46" w:history="1">
        <w:r w:rsidR="00A86077" w:rsidRPr="00B92773">
          <w:rPr>
            <w:rStyle w:val="Hypertextovodkaz"/>
            <w:rFonts w:ascii="Segoe UI" w:hAnsi="Segoe UI" w:cs="Segoe UI"/>
            <w:noProof/>
            <w:sz w:val="20"/>
            <w:szCs w:val="20"/>
          </w:rPr>
          <w:t>Graf: 20: Doba strávená bez střechy a bez bytu dle věkových kategorií v OK</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_Toc117607046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52</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47" w:history="1">
        <w:r w:rsidR="00A86077" w:rsidRPr="00B92773">
          <w:rPr>
            <w:rStyle w:val="Hypertextovodkaz"/>
            <w:rFonts w:ascii="Segoe UI" w:hAnsi="Segoe UI" w:cs="Segoe UI"/>
            <w:noProof/>
            <w:sz w:val="20"/>
            <w:szCs w:val="20"/>
          </w:rPr>
          <w:t>Graf 21: Azylové domy - vybraná data</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_Toc117607047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52</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48" w:history="1">
        <w:r w:rsidR="00A86077" w:rsidRPr="00B92773">
          <w:rPr>
            <w:rStyle w:val="Hypertextovodkaz"/>
            <w:rFonts w:ascii="Segoe UI" w:hAnsi="Segoe UI" w:cs="Segoe UI"/>
            <w:noProof/>
            <w:sz w:val="20"/>
            <w:szCs w:val="20"/>
          </w:rPr>
          <w:t>Graf 22: Struktura výdajů s krajským určením na protidrogovou politiku ze státního a místních rozpočtů ČR v r. 2020 podle krajů</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_Toc117607048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57</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49" w:history="1">
        <w:r w:rsidR="00A86077" w:rsidRPr="00B92773">
          <w:rPr>
            <w:rStyle w:val="Hypertextovodkaz"/>
            <w:rFonts w:ascii="Segoe UI" w:hAnsi="Segoe UI" w:cs="Segoe UI"/>
            <w:noProof/>
            <w:sz w:val="20"/>
            <w:szCs w:val="20"/>
          </w:rPr>
          <w:t>Graf 23: Podíl zdrojů financování sociálních služeb v letech 2019–2021</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_Toc117607049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78</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50" w:history="1">
        <w:r w:rsidR="00A86077" w:rsidRPr="00B92773">
          <w:rPr>
            <w:rStyle w:val="Hypertextovodkaz"/>
            <w:rFonts w:ascii="Segoe UI" w:hAnsi="Segoe UI" w:cs="Segoe UI"/>
            <w:noProof/>
            <w:sz w:val="20"/>
            <w:szCs w:val="20"/>
          </w:rPr>
          <w:t>Graf 24: Vývoj výše dotace ze státního rozpočtu (v tis. Kč)</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_Toc117607050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86</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51" w:history="1">
        <w:r w:rsidR="00A86077" w:rsidRPr="00B92773">
          <w:rPr>
            <w:rStyle w:val="Hypertextovodkaz"/>
            <w:rFonts w:ascii="Segoe UI" w:hAnsi="Segoe UI" w:cs="Segoe UI"/>
            <w:noProof/>
            <w:sz w:val="20"/>
            <w:szCs w:val="20"/>
          </w:rPr>
          <w:t>Graf 25: Souhrnné informace k Podprogramům č. 1 a 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_Toc117607051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90</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52" w:history="1">
        <w:r w:rsidR="00A86077" w:rsidRPr="00B92773">
          <w:rPr>
            <w:rStyle w:val="Hypertextovodkaz"/>
            <w:rFonts w:ascii="Segoe UI" w:hAnsi="Segoe UI" w:cs="Segoe UI"/>
            <w:noProof/>
            <w:sz w:val="20"/>
            <w:szCs w:val="20"/>
          </w:rPr>
          <w:t>Graf 26: Přehled procentuálního nárůstu počtu jednotek zařazených v síti sociálních služeb OK v letech 2015–2023</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_Toc117607052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202</w:t>
        </w:r>
        <w:r w:rsidR="00A86077" w:rsidRPr="00B92773">
          <w:rPr>
            <w:rFonts w:ascii="Segoe UI" w:hAnsi="Segoe UI" w:cs="Segoe UI"/>
            <w:noProof/>
            <w:webHidden/>
            <w:sz w:val="20"/>
            <w:szCs w:val="20"/>
          </w:rPr>
          <w:fldChar w:fldCharType="end"/>
        </w:r>
      </w:hyperlink>
    </w:p>
    <w:p w:rsidR="005061EB" w:rsidRPr="00B92773" w:rsidRDefault="005061EB" w:rsidP="005061EB">
      <w:pPr>
        <w:rPr>
          <w:rFonts w:eastAsia="Arial Unicode MS" w:cs="Segoe UI"/>
          <w:szCs w:val="20"/>
          <w:lang w:eastAsia="cs-CZ"/>
        </w:rPr>
      </w:pPr>
      <w:r w:rsidRPr="00B92773">
        <w:rPr>
          <w:rFonts w:eastAsia="Arial Unicode MS" w:cs="Segoe UI"/>
          <w:szCs w:val="20"/>
          <w:lang w:eastAsia="cs-CZ"/>
        </w:rPr>
        <w:fldChar w:fldCharType="end"/>
      </w:r>
    </w:p>
    <w:p w:rsidR="005061EB" w:rsidRPr="00B92773" w:rsidRDefault="005061EB" w:rsidP="005061EB">
      <w:pPr>
        <w:pStyle w:val="Tun"/>
      </w:pPr>
      <w:r w:rsidRPr="00B92773">
        <w:t>Seznam map</w:t>
      </w:r>
    </w:p>
    <w:p w:rsidR="00A86077" w:rsidRPr="00B92773" w:rsidRDefault="005061EB">
      <w:pPr>
        <w:pStyle w:val="Seznamobrzk"/>
        <w:tabs>
          <w:tab w:val="right" w:leader="dot" w:pos="9062"/>
        </w:tabs>
        <w:rPr>
          <w:rFonts w:ascii="Segoe UI" w:eastAsiaTheme="minorEastAsia" w:hAnsi="Segoe UI" w:cs="Segoe UI"/>
          <w:noProof/>
          <w:sz w:val="20"/>
          <w:szCs w:val="20"/>
        </w:rPr>
      </w:pPr>
      <w:r w:rsidRPr="00B92773">
        <w:rPr>
          <w:rFonts w:ascii="Segoe UI" w:hAnsi="Segoe UI" w:cs="Segoe UI"/>
          <w:sz w:val="20"/>
          <w:szCs w:val="20"/>
        </w:rPr>
        <w:fldChar w:fldCharType="begin"/>
      </w:r>
      <w:r w:rsidRPr="00B92773">
        <w:rPr>
          <w:rFonts w:ascii="Segoe UI" w:hAnsi="Segoe UI" w:cs="Segoe UI"/>
          <w:sz w:val="20"/>
          <w:szCs w:val="20"/>
        </w:rPr>
        <w:instrText xml:space="preserve"> TOC \h \z \c "Mapa" </w:instrText>
      </w:r>
      <w:r w:rsidRPr="00B92773">
        <w:rPr>
          <w:rFonts w:ascii="Segoe UI" w:hAnsi="Segoe UI" w:cs="Segoe UI"/>
          <w:sz w:val="20"/>
          <w:szCs w:val="20"/>
        </w:rPr>
        <w:fldChar w:fldCharType="separate"/>
      </w:r>
      <w:hyperlink w:anchor="_Toc117607053" w:history="1">
        <w:r w:rsidR="00A86077" w:rsidRPr="00B92773">
          <w:rPr>
            <w:rStyle w:val="Hypertextovodkaz"/>
            <w:rFonts w:ascii="Segoe UI" w:hAnsi="Segoe UI" w:cs="Segoe UI"/>
            <w:noProof/>
            <w:sz w:val="20"/>
            <w:szCs w:val="20"/>
          </w:rPr>
          <w:t>Mapa 1: Administrativní členění OK</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_Toc117607053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25</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54" w:history="1">
        <w:r w:rsidR="00A86077" w:rsidRPr="00B92773">
          <w:rPr>
            <w:rStyle w:val="Hypertextovodkaz"/>
            <w:rFonts w:ascii="Segoe UI" w:hAnsi="Segoe UI" w:cs="Segoe UI"/>
            <w:noProof/>
            <w:sz w:val="20"/>
            <w:szCs w:val="20"/>
          </w:rPr>
          <w:t>Mapa 2: Změna počtu obyvatel ve SO ORP mezi roky 2018 a 2022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_Toc117607054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27</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55" w:history="1">
        <w:r w:rsidR="00A86077" w:rsidRPr="00B92773">
          <w:rPr>
            <w:rStyle w:val="Hypertextovodkaz"/>
            <w:rFonts w:ascii="Segoe UI" w:hAnsi="Segoe UI" w:cs="Segoe UI"/>
            <w:noProof/>
            <w:sz w:val="20"/>
            <w:szCs w:val="20"/>
          </w:rPr>
          <w:t>Mapa 3: Podíl exekucí a výše celkového dluhu ve SO ORP a krajích ČR v letech 2018 a 2022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_Toc117607055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36</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56" w:history="1">
        <w:r w:rsidR="00A86077" w:rsidRPr="00B92773">
          <w:rPr>
            <w:rStyle w:val="Hypertextovodkaz"/>
            <w:rFonts w:ascii="Segoe UI" w:hAnsi="Segoe UI" w:cs="Segoe UI"/>
            <w:noProof/>
            <w:sz w:val="20"/>
            <w:szCs w:val="20"/>
          </w:rPr>
          <w:t>Mapa 4: Počet a podíl osob ve věku 0–18 let v letech 2012, 2022 a 2032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_Toc117607056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39</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57" w:history="1">
        <w:r w:rsidR="00A86077" w:rsidRPr="00B92773">
          <w:rPr>
            <w:rStyle w:val="Hypertextovodkaz"/>
            <w:rFonts w:ascii="Segoe UI" w:hAnsi="Segoe UI" w:cs="Segoe UI"/>
            <w:noProof/>
            <w:sz w:val="20"/>
            <w:szCs w:val="20"/>
          </w:rPr>
          <w:t>Mapa 5: Počet a podíl osob ve věku 65 let a více v letech 2012, 2022 a 2032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_Toc117607057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44</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58" w:history="1">
        <w:r w:rsidR="00A86077" w:rsidRPr="00B92773">
          <w:rPr>
            <w:rStyle w:val="Hypertextovodkaz"/>
            <w:rFonts w:ascii="Segoe UI" w:hAnsi="Segoe UI" w:cs="Segoe UI"/>
            <w:noProof/>
            <w:sz w:val="20"/>
            <w:szCs w:val="20"/>
          </w:rPr>
          <w:t>Mapa 6: Počet a struktura cizinců v okresech OK k 1. 1. 2022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_Toc117607058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47</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59" w:history="1">
        <w:r w:rsidR="00A86077" w:rsidRPr="00B92773">
          <w:rPr>
            <w:rStyle w:val="Hypertextovodkaz"/>
            <w:rFonts w:ascii="Segoe UI" w:hAnsi="Segoe UI" w:cs="Segoe UI"/>
            <w:noProof/>
            <w:sz w:val="20"/>
            <w:szCs w:val="20"/>
          </w:rPr>
          <w:t>Mapa 7: Počty osob s uděleným pobytovým oprávněním v souvislosti s válkou na Ukrajině ve SO ORP OK a krajích ČR</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_Toc117607059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48</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60" w:history="1">
        <w:r w:rsidR="00A86077" w:rsidRPr="00B92773">
          <w:rPr>
            <w:rStyle w:val="Hypertextovodkaz"/>
            <w:rFonts w:ascii="Segoe UI" w:hAnsi="Segoe UI" w:cs="Segoe UI"/>
            <w:noProof/>
            <w:sz w:val="20"/>
            <w:szCs w:val="20"/>
          </w:rPr>
          <w:t>Mapa 8: Přehled lůžek akutní a následné péče v Olomouckém kraji</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_Toc117607060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60</w:t>
        </w:r>
        <w:r w:rsidR="00A86077" w:rsidRPr="00B92773">
          <w:rPr>
            <w:rFonts w:ascii="Segoe UI" w:hAnsi="Segoe UI" w:cs="Segoe UI"/>
            <w:noProof/>
            <w:webHidden/>
            <w:sz w:val="20"/>
            <w:szCs w:val="20"/>
          </w:rPr>
          <w:fldChar w:fldCharType="end"/>
        </w:r>
      </w:hyperlink>
    </w:p>
    <w:p w:rsidR="005061EB" w:rsidRPr="00B92773" w:rsidRDefault="005061EB" w:rsidP="005061EB">
      <w:pPr>
        <w:pStyle w:val="Tun"/>
      </w:pPr>
      <w:r w:rsidRPr="00B92773">
        <w:fldChar w:fldCharType="end"/>
      </w:r>
    </w:p>
    <w:p w:rsidR="005061EB" w:rsidRPr="00B92773" w:rsidRDefault="005061EB" w:rsidP="005061EB">
      <w:pPr>
        <w:pStyle w:val="Tun"/>
      </w:pPr>
      <w:r w:rsidRPr="00B92773">
        <w:t>Seznam tabulek</w:t>
      </w:r>
    </w:p>
    <w:p w:rsidR="00A86077" w:rsidRPr="00B92773" w:rsidRDefault="005061EB">
      <w:pPr>
        <w:pStyle w:val="Seznamobrzk"/>
        <w:tabs>
          <w:tab w:val="right" w:leader="dot" w:pos="9062"/>
        </w:tabs>
        <w:rPr>
          <w:rFonts w:ascii="Segoe UI" w:eastAsiaTheme="minorEastAsia" w:hAnsi="Segoe UI" w:cs="Segoe UI"/>
          <w:noProof/>
          <w:sz w:val="20"/>
          <w:szCs w:val="20"/>
        </w:rPr>
      </w:pPr>
      <w:r w:rsidRPr="00B92773">
        <w:rPr>
          <w:rFonts w:ascii="Segoe UI" w:hAnsi="Segoe UI" w:cs="Segoe UI"/>
          <w:sz w:val="20"/>
          <w:szCs w:val="20"/>
        </w:rPr>
        <w:fldChar w:fldCharType="begin"/>
      </w:r>
      <w:r w:rsidRPr="00B92773">
        <w:rPr>
          <w:rFonts w:ascii="Segoe UI" w:hAnsi="Segoe UI" w:cs="Segoe UI"/>
          <w:sz w:val="20"/>
          <w:szCs w:val="20"/>
        </w:rPr>
        <w:instrText xml:space="preserve"> TOC \h \z \c "Tabulka" </w:instrText>
      </w:r>
      <w:r w:rsidRPr="00B92773">
        <w:rPr>
          <w:rFonts w:ascii="Segoe UI" w:hAnsi="Segoe UI" w:cs="Segoe UI"/>
          <w:sz w:val="20"/>
          <w:szCs w:val="20"/>
        </w:rPr>
        <w:fldChar w:fldCharType="separate"/>
      </w:r>
      <w:hyperlink w:anchor="_Toc117607061" w:history="1">
        <w:r w:rsidR="00A86077" w:rsidRPr="00B92773">
          <w:rPr>
            <w:rStyle w:val="Hypertextovodkaz"/>
            <w:rFonts w:ascii="Segoe UI" w:hAnsi="Segoe UI" w:cs="Segoe UI"/>
            <w:noProof/>
            <w:sz w:val="20"/>
            <w:szCs w:val="20"/>
          </w:rPr>
          <w:t>Tabulka 1 Územní a časová působnost obecních komunitních plánů</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_Toc117607061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18</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62" w:history="1">
        <w:r w:rsidR="00A86077" w:rsidRPr="00B92773">
          <w:rPr>
            <w:rStyle w:val="Hypertextovodkaz"/>
            <w:rFonts w:ascii="Segoe UI" w:hAnsi="Segoe UI" w:cs="Segoe UI"/>
            <w:noProof/>
            <w:sz w:val="20"/>
            <w:szCs w:val="20"/>
          </w:rPr>
          <w:t>Tabulka 2: Časový harmonogram přípravy a schválení návrhu střednědobého plánu</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_Toc117607062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20</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63" w:history="1">
        <w:r w:rsidR="00A86077" w:rsidRPr="00B92773">
          <w:rPr>
            <w:rStyle w:val="Hypertextovodkaz"/>
            <w:rFonts w:ascii="Segoe UI" w:hAnsi="Segoe UI" w:cs="Segoe UI"/>
            <w:noProof/>
            <w:sz w:val="20"/>
            <w:szCs w:val="20"/>
          </w:rPr>
          <w:t>Tabulka 3: Přehledová tabulka administrativního členění kraje</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_Toc117607063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26</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64" w:history="1">
        <w:r w:rsidR="00A86077" w:rsidRPr="00B92773">
          <w:rPr>
            <w:rStyle w:val="Hypertextovodkaz"/>
            <w:rFonts w:ascii="Segoe UI" w:hAnsi="Segoe UI" w:cs="Segoe UI"/>
            <w:noProof/>
            <w:sz w:val="20"/>
            <w:szCs w:val="20"/>
          </w:rPr>
          <w:t>Tabulka 4: Vývoj počtu obyvatel a hustoty zalidnění ve SO ORP mezi roky 2018 a 2022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_Toc117607064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27</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65" w:history="1">
        <w:r w:rsidR="00A86077" w:rsidRPr="00B92773">
          <w:rPr>
            <w:rStyle w:val="Hypertextovodkaz"/>
            <w:rFonts w:ascii="Segoe UI" w:hAnsi="Segoe UI" w:cs="Segoe UI"/>
            <w:noProof/>
            <w:sz w:val="20"/>
            <w:szCs w:val="20"/>
          </w:rPr>
          <w:t>Tabulka 5: Vývoj věkových skupin obyvatel OK mezi roky 2022 a 2032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_Toc117607065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29</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66" w:history="1">
        <w:r w:rsidR="00A86077" w:rsidRPr="00B92773">
          <w:rPr>
            <w:rStyle w:val="Hypertextovodkaz"/>
            <w:rFonts w:ascii="Segoe UI" w:hAnsi="Segoe UI" w:cs="Segoe UI"/>
            <w:noProof/>
            <w:sz w:val="20"/>
            <w:szCs w:val="20"/>
          </w:rPr>
          <w:t>Tabulka 6: Průměrný věk a index stáří ve SO ORP OK v letech 2018–2022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_Toc117607066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30</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67" w:history="1">
        <w:r w:rsidR="00A86077" w:rsidRPr="00B92773">
          <w:rPr>
            <w:rStyle w:val="Hypertextovodkaz"/>
            <w:rFonts w:ascii="Segoe UI" w:hAnsi="Segoe UI" w:cs="Segoe UI"/>
            <w:noProof/>
            <w:sz w:val="20"/>
            <w:szCs w:val="20"/>
          </w:rPr>
          <w:t>Tabulka 7:</w:t>
        </w:r>
        <w:r w:rsidR="00A86077" w:rsidRPr="00B92773">
          <w:rPr>
            <w:rStyle w:val="Hypertextovodkaz"/>
            <w:rFonts w:ascii="Segoe UI" w:hAnsi="Segoe UI" w:cs="Segoe UI"/>
            <w:noProof/>
            <w:sz w:val="20"/>
            <w:szCs w:val="20"/>
            <w:shd w:val="clear" w:color="auto" w:fill="FFFFFF"/>
          </w:rPr>
          <w:t xml:space="preserve"> Rozložení příjemců starobního důchodu (sólo) podle průměrné měsíční výše</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_Toc117607067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34</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68" w:history="1">
        <w:r w:rsidR="00A86077" w:rsidRPr="00B92773">
          <w:rPr>
            <w:rStyle w:val="Hypertextovodkaz"/>
            <w:rFonts w:ascii="Segoe UI" w:hAnsi="Segoe UI" w:cs="Segoe UI"/>
            <w:noProof/>
            <w:sz w:val="20"/>
            <w:szCs w:val="20"/>
          </w:rPr>
          <w:t>Tabulka 8: Rozložení příjemců důchodů v okresech OK k 31. 12. 2021</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_Toc117607068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35</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69" w:history="1">
        <w:r w:rsidR="00A86077" w:rsidRPr="00B92773">
          <w:rPr>
            <w:rStyle w:val="Hypertextovodkaz"/>
            <w:rFonts w:ascii="Segoe UI" w:hAnsi="Segoe UI" w:cs="Segoe UI"/>
            <w:noProof/>
            <w:sz w:val="20"/>
            <w:szCs w:val="20"/>
          </w:rPr>
          <w:t>Tabulka 9: Počet a podíl obyvatel v exekuci v SO ORP OK v letech 2018 a 2022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_Toc117607069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37</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70" w:history="1">
        <w:r w:rsidR="00A86077" w:rsidRPr="00B92773">
          <w:rPr>
            <w:rStyle w:val="Hypertextovodkaz"/>
            <w:rFonts w:ascii="Segoe UI" w:hAnsi="Segoe UI" w:cs="Segoe UI"/>
            <w:noProof/>
            <w:sz w:val="20"/>
            <w:szCs w:val="20"/>
          </w:rPr>
          <w:t>Tabulka 10: Výše dluhu z exekucí a průměrná částka na dlužníka v SO ORP OK v letech 2018 a 2022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_Toc117607070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37</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71" w:history="1">
        <w:r w:rsidR="00A86077" w:rsidRPr="00B92773">
          <w:rPr>
            <w:rStyle w:val="Hypertextovodkaz"/>
            <w:rFonts w:ascii="Segoe UI" w:hAnsi="Segoe UI" w:cs="Segoe UI"/>
            <w:noProof/>
            <w:sz w:val="20"/>
            <w:szCs w:val="20"/>
          </w:rPr>
          <w:t>Tabulka 11: Počty důchodců s exekuční srážkou, průměrná výše důchodů, srážky a věk v OK – březen 2022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_Toc117607071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38</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72" w:history="1">
        <w:r w:rsidR="00A86077" w:rsidRPr="00B92773">
          <w:rPr>
            <w:rStyle w:val="Hypertextovodkaz"/>
            <w:rFonts w:ascii="Segoe UI" w:hAnsi="Segoe UI" w:cs="Segoe UI"/>
            <w:noProof/>
            <w:sz w:val="20"/>
            <w:szCs w:val="20"/>
          </w:rPr>
          <w:t>Tabulka 12: Počet a podíl osob ve věku 0–18 let v letech 2012, 2022 a 2032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_Toc117607072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39</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73" w:history="1">
        <w:r w:rsidR="00A86077" w:rsidRPr="00B92773">
          <w:rPr>
            <w:rStyle w:val="Hypertextovodkaz"/>
            <w:rFonts w:ascii="Segoe UI" w:hAnsi="Segoe UI" w:cs="Segoe UI"/>
            <w:noProof/>
            <w:sz w:val="20"/>
            <w:szCs w:val="20"/>
          </w:rPr>
          <w:t>Tabulka 13 Počet a podíl dětské složky (osob ve věku 0–14 let) v letech 2012, 2022 a 2032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_Toc117607073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40</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74" w:history="1">
        <w:r w:rsidR="00A86077" w:rsidRPr="00B92773">
          <w:rPr>
            <w:rStyle w:val="Hypertextovodkaz"/>
            <w:rFonts w:ascii="Segoe UI" w:hAnsi="Segoe UI" w:cs="Segoe UI"/>
            <w:noProof/>
            <w:sz w:val="20"/>
            <w:szCs w:val="20"/>
          </w:rPr>
          <w:t>Tabulka 14: Vývoj dětské složky obyvatel ve SO ORP včetně prognózy do roku 2032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_Toc117607074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40</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75" w:history="1">
        <w:r w:rsidR="00A86077" w:rsidRPr="00B92773">
          <w:rPr>
            <w:rStyle w:val="Hypertextovodkaz"/>
            <w:rFonts w:ascii="Segoe UI" w:hAnsi="Segoe UI" w:cs="Segoe UI"/>
            <w:noProof/>
            <w:sz w:val="20"/>
            <w:szCs w:val="20"/>
          </w:rPr>
          <w:t>Tabulka 15: Podíl osob do 18 let v letech 2012, 2022 a 2032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_Toc117607075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41</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76" w:history="1">
        <w:r w:rsidR="00A86077" w:rsidRPr="00B92773">
          <w:rPr>
            <w:rStyle w:val="Hypertextovodkaz"/>
            <w:rFonts w:ascii="Segoe UI" w:hAnsi="Segoe UI" w:cs="Segoe UI"/>
            <w:noProof/>
            <w:sz w:val="20"/>
            <w:szCs w:val="20"/>
          </w:rPr>
          <w:t>Tabulka 16: Příspěvek na péči podle stupně závislosti, věku a krajů v roce 2020</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_Toc117607076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41</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77" w:history="1">
        <w:r w:rsidR="00A86077" w:rsidRPr="00B92773">
          <w:rPr>
            <w:rStyle w:val="Hypertextovodkaz"/>
            <w:rFonts w:ascii="Segoe UI" w:hAnsi="Segoe UI" w:cs="Segoe UI"/>
            <w:noProof/>
            <w:sz w:val="20"/>
            <w:szCs w:val="20"/>
          </w:rPr>
          <w:t>Tabulka 17: Příspěvek na péči podle stupně závislosti a ORP OK v roce 2020</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_Toc117607077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42</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78" w:history="1">
        <w:r w:rsidR="00A86077" w:rsidRPr="00B92773">
          <w:rPr>
            <w:rStyle w:val="Hypertextovodkaz"/>
            <w:rFonts w:ascii="Segoe UI" w:hAnsi="Segoe UI" w:cs="Segoe UI"/>
            <w:noProof/>
            <w:sz w:val="20"/>
            <w:szCs w:val="20"/>
          </w:rPr>
          <w:t>Tabulka 18: Příspěvek na péči podle věku a ORP OK v roce 2020</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_Toc117607078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42</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79" w:history="1">
        <w:r w:rsidR="00A86077" w:rsidRPr="00B92773">
          <w:rPr>
            <w:rStyle w:val="Hypertextovodkaz"/>
            <w:rFonts w:ascii="Segoe UI" w:hAnsi="Segoe UI" w:cs="Segoe UI"/>
            <w:noProof/>
            <w:sz w:val="20"/>
            <w:szCs w:val="20"/>
          </w:rPr>
          <w:t>Tabulka 19: Vývoj seniorské složky obyvatel (65 let a více) ve SO ORP vč. prognózy do roku 2032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_Toc117607079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44</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80" w:history="1">
        <w:r w:rsidR="00A86077" w:rsidRPr="00B92773">
          <w:rPr>
            <w:rStyle w:val="Hypertextovodkaz"/>
            <w:rFonts w:ascii="Segoe UI" w:hAnsi="Segoe UI" w:cs="Segoe UI"/>
            <w:noProof/>
            <w:sz w:val="20"/>
            <w:szCs w:val="20"/>
          </w:rPr>
          <w:t>Tabulka 20: Kapacita pobytových služeb pro seniory v roce 2022 vzhledem k počtu seniorů v SO ORP OK</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_Toc117607080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45</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81" w:history="1">
        <w:r w:rsidR="00A86077" w:rsidRPr="00B92773">
          <w:rPr>
            <w:rStyle w:val="Hypertextovodkaz"/>
            <w:rFonts w:ascii="Segoe UI" w:hAnsi="Segoe UI" w:cs="Segoe UI"/>
            <w:noProof/>
            <w:sz w:val="20"/>
            <w:szCs w:val="20"/>
          </w:rPr>
          <w:t>Tabulka 21: Počet cizinců v okresech OK podle národnosti k 1. 1. 2022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_Toc117607081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46</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82" w:history="1">
        <w:r w:rsidR="00A86077" w:rsidRPr="00B92773">
          <w:rPr>
            <w:rStyle w:val="Hypertextovodkaz"/>
            <w:rFonts w:ascii="Segoe UI" w:hAnsi="Segoe UI" w:cs="Segoe UI"/>
            <w:noProof/>
            <w:sz w:val="20"/>
            <w:szCs w:val="20"/>
          </w:rPr>
          <w:t>Tabulka 22: Počet osob s uděleným pobytovým oprávněním v souvislosti s válkou na Ukrajině podle pohlaví a věku v OK</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_Toc117607082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48</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83" w:history="1">
        <w:r w:rsidR="00A86077" w:rsidRPr="00B92773">
          <w:rPr>
            <w:rStyle w:val="Hypertextovodkaz"/>
            <w:rFonts w:ascii="Segoe UI" w:hAnsi="Segoe UI" w:cs="Segoe UI"/>
            <w:noProof/>
            <w:sz w:val="20"/>
            <w:szCs w:val="20"/>
          </w:rPr>
          <w:t>Tabulka 23: Osoby bez přístřeší dle místa přespávání</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_Toc117607083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50</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84" w:history="1">
        <w:r w:rsidR="00A86077" w:rsidRPr="00B92773">
          <w:rPr>
            <w:rStyle w:val="Hypertextovodkaz"/>
            <w:rFonts w:ascii="Segoe UI" w:hAnsi="Segoe UI" w:cs="Segoe UI"/>
            <w:noProof/>
            <w:sz w:val="20"/>
            <w:szCs w:val="20"/>
          </w:rPr>
          <w:t>Tabulka 24: Odhadovaný počet lidí užívajících drogy rizikově</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_Toc117607084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55</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85" w:history="1">
        <w:r w:rsidR="00A86077" w:rsidRPr="00B92773">
          <w:rPr>
            <w:rStyle w:val="Hypertextovodkaz"/>
            <w:rFonts w:ascii="Segoe UI" w:hAnsi="Segoe UI" w:cs="Segoe UI"/>
            <w:noProof/>
            <w:sz w:val="20"/>
            <w:szCs w:val="20"/>
          </w:rPr>
          <w:t>Tabulka 25: Počet žadatelů o léčbu podle základních skupin užívaných drog (problémů) a kraje bydliště (všechna léčení)</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_Toc117607085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55</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86" w:history="1">
        <w:r w:rsidR="00A86077" w:rsidRPr="00B92773">
          <w:rPr>
            <w:rStyle w:val="Hypertextovodkaz"/>
            <w:rFonts w:ascii="Segoe UI" w:hAnsi="Segoe UI" w:cs="Segoe UI"/>
            <w:noProof/>
            <w:sz w:val="20"/>
            <w:szCs w:val="20"/>
          </w:rPr>
          <w:t>Tabulka 26: Vybrané výkony nízkoprahových programů v r. 2020 podle krajů</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_Toc117607086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56</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87" w:history="1">
        <w:r w:rsidR="00A86077" w:rsidRPr="00B92773">
          <w:rPr>
            <w:rStyle w:val="Hypertextovodkaz"/>
            <w:rFonts w:ascii="Segoe UI" w:hAnsi="Segoe UI" w:cs="Segoe UI"/>
            <w:noProof/>
            <w:sz w:val="20"/>
            <w:szCs w:val="20"/>
          </w:rPr>
          <w:t>Tabulka 27: Vývoj počtu přímých drogových úmrtí v OK mezi lety 2016–2019</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_Toc117607087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56</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88" w:history="1">
        <w:r w:rsidR="00A86077" w:rsidRPr="00B92773">
          <w:rPr>
            <w:rStyle w:val="Hypertextovodkaz"/>
            <w:rFonts w:ascii="Segoe UI" w:hAnsi="Segoe UI" w:cs="Segoe UI"/>
            <w:noProof/>
            <w:sz w:val="20"/>
            <w:szCs w:val="20"/>
          </w:rPr>
          <w:t>Tabulka 28: Vybrané indikátory konzumace alkoholu v posledních 30 dnech</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_Toc117607088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57</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89" w:history="1">
        <w:r w:rsidR="00A86077" w:rsidRPr="00B92773">
          <w:rPr>
            <w:rStyle w:val="Hypertextovodkaz"/>
            <w:rFonts w:ascii="Segoe UI" w:hAnsi="Segoe UI" w:cs="Segoe UI"/>
            <w:noProof/>
            <w:sz w:val="20"/>
            <w:szCs w:val="20"/>
          </w:rPr>
          <w:t>Tabulka 29 Výdaje z územních rozpočtů na prevenci před drogami, alkoholem, nikotinem aj. závislostmi mezi lety 2011–2021, v mil. Kč</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_Toc117607089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58</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90" w:history="1">
        <w:r w:rsidR="00A86077" w:rsidRPr="00B92773">
          <w:rPr>
            <w:rStyle w:val="Hypertextovodkaz"/>
            <w:rFonts w:ascii="Segoe UI" w:hAnsi="Segoe UI" w:cs="Segoe UI"/>
            <w:noProof/>
            <w:sz w:val="20"/>
            <w:szCs w:val="20"/>
          </w:rPr>
          <w:t>Tabulka 30: Přehled všech poskytovaných druhů sociálních služeb v OK pro cílovou skupinu osoby s chronickým duševním onemocněním</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_Toc117607090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61</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91" w:history="1">
        <w:r w:rsidR="00A86077" w:rsidRPr="00B92773">
          <w:rPr>
            <w:rStyle w:val="Hypertextovodkaz"/>
            <w:rFonts w:ascii="Segoe UI" w:hAnsi="Segoe UI" w:cs="Segoe UI"/>
            <w:noProof/>
            <w:sz w:val="20"/>
            <w:szCs w:val="20"/>
          </w:rPr>
          <w:t>Tabulka 31: Personální složení Regionálního transformačního týmu</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_Toc117607091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68</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92" w:history="1">
        <w:r w:rsidR="00A86077" w:rsidRPr="00B92773">
          <w:rPr>
            <w:rStyle w:val="Hypertextovodkaz"/>
            <w:rFonts w:ascii="Segoe UI" w:hAnsi="Segoe UI" w:cs="Segoe UI"/>
            <w:noProof/>
            <w:sz w:val="20"/>
            <w:szCs w:val="20"/>
          </w:rPr>
          <w:t>Tabulka 32: Přehled zdrojů financování sociálních služeb v letech 2019–2021</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_Toc117607092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77</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93" w:history="1">
        <w:r w:rsidR="00A86077" w:rsidRPr="00B92773">
          <w:rPr>
            <w:rStyle w:val="Hypertextovodkaz"/>
            <w:rFonts w:ascii="Segoe UI" w:hAnsi="Segoe UI" w:cs="Segoe UI"/>
            <w:noProof/>
            <w:sz w:val="20"/>
            <w:szCs w:val="20"/>
          </w:rPr>
          <w:t>Tabulka 33: Rámcový přehled nákladovosti jednotlivých druhů sociálních služeb v přepočtu na jednotku</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_Toc117607093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80</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94" w:history="1">
        <w:r w:rsidR="00A86077" w:rsidRPr="00B92773">
          <w:rPr>
            <w:rStyle w:val="Hypertextovodkaz"/>
            <w:rFonts w:ascii="Segoe UI" w:hAnsi="Segoe UI" w:cs="Segoe UI"/>
            <w:noProof/>
            <w:sz w:val="20"/>
            <w:szCs w:val="20"/>
          </w:rPr>
          <w:t>Tabulka 34: Predikce vývoje nákladů sociálních služeb (v tis. Kč)</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_Toc117607094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81</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95" w:history="1">
        <w:r w:rsidR="00A86077" w:rsidRPr="00B92773">
          <w:rPr>
            <w:rStyle w:val="Hypertextovodkaz"/>
            <w:rFonts w:ascii="Segoe UI" w:hAnsi="Segoe UI" w:cs="Segoe UI"/>
            <w:noProof/>
            <w:sz w:val="20"/>
            <w:szCs w:val="20"/>
          </w:rPr>
          <w:t>Tabulka 35: Požadovaná výše dotace 2019</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_Toc117607095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82</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96" w:history="1">
        <w:r w:rsidR="00A86077" w:rsidRPr="00B92773">
          <w:rPr>
            <w:rStyle w:val="Hypertextovodkaz"/>
            <w:rFonts w:ascii="Segoe UI" w:hAnsi="Segoe UI" w:cs="Segoe UI"/>
            <w:noProof/>
            <w:sz w:val="20"/>
            <w:szCs w:val="20"/>
          </w:rPr>
          <w:t>Tabulka 36 Přiznaná výše dotace 2019</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_Toc117607096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83</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97" w:history="1">
        <w:r w:rsidR="00A86077" w:rsidRPr="00B92773">
          <w:rPr>
            <w:rStyle w:val="Hypertextovodkaz"/>
            <w:rFonts w:ascii="Segoe UI" w:hAnsi="Segoe UI" w:cs="Segoe UI"/>
            <w:noProof/>
            <w:sz w:val="20"/>
            <w:szCs w:val="20"/>
          </w:rPr>
          <w:t>Tabulka 37: Požadovaná výše dotace 2020</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_Toc117607097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84</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98" w:history="1">
        <w:r w:rsidR="00A86077" w:rsidRPr="00B92773">
          <w:rPr>
            <w:rStyle w:val="Hypertextovodkaz"/>
            <w:rFonts w:ascii="Segoe UI" w:hAnsi="Segoe UI" w:cs="Segoe UI"/>
            <w:noProof/>
            <w:sz w:val="20"/>
            <w:szCs w:val="20"/>
          </w:rPr>
          <w:t>Tabulka 38 Přiznaná výše dotace 2020</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_Toc117607098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84</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099" w:history="1">
        <w:r w:rsidR="00A86077" w:rsidRPr="00B92773">
          <w:rPr>
            <w:rStyle w:val="Hypertextovodkaz"/>
            <w:rFonts w:ascii="Segoe UI" w:hAnsi="Segoe UI" w:cs="Segoe UI"/>
            <w:noProof/>
            <w:sz w:val="20"/>
            <w:szCs w:val="20"/>
          </w:rPr>
          <w:t>Tabulka 39: Požadovaná výše dotace 2021</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_Toc117607099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84</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100" w:history="1">
        <w:r w:rsidR="00A86077" w:rsidRPr="00B92773">
          <w:rPr>
            <w:rStyle w:val="Hypertextovodkaz"/>
            <w:rFonts w:ascii="Segoe UI" w:hAnsi="Segoe UI" w:cs="Segoe UI"/>
            <w:noProof/>
            <w:sz w:val="20"/>
            <w:szCs w:val="20"/>
          </w:rPr>
          <w:t>Tabulka 40 Přiznaná výše dotace 2021</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_Toc117607100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85</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101" w:history="1">
        <w:r w:rsidR="00A86077" w:rsidRPr="00B92773">
          <w:rPr>
            <w:rStyle w:val="Hypertextovodkaz"/>
            <w:rFonts w:ascii="Segoe UI" w:hAnsi="Segoe UI" w:cs="Segoe UI"/>
            <w:noProof/>
            <w:sz w:val="20"/>
            <w:szCs w:val="20"/>
          </w:rPr>
          <w:t>Tabulka 41: Souhrn požadavků na dotaci 2019</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_Toc117607101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87</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102" w:history="1">
        <w:r w:rsidR="00A86077" w:rsidRPr="00B92773">
          <w:rPr>
            <w:rStyle w:val="Hypertextovodkaz"/>
            <w:rFonts w:ascii="Segoe UI" w:hAnsi="Segoe UI" w:cs="Segoe UI"/>
            <w:noProof/>
            <w:sz w:val="20"/>
            <w:szCs w:val="20"/>
          </w:rPr>
          <w:t>Tabulka 42: Souhrn požadavků na dotaci 2020</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_Toc117607102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88</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103" w:history="1">
        <w:r w:rsidR="00A86077" w:rsidRPr="00B92773">
          <w:rPr>
            <w:rStyle w:val="Hypertextovodkaz"/>
            <w:rFonts w:ascii="Segoe UI" w:hAnsi="Segoe UI" w:cs="Segoe UI"/>
            <w:noProof/>
            <w:sz w:val="20"/>
            <w:szCs w:val="20"/>
          </w:rPr>
          <w:t>Tabulka 43: Souhrn požadavků na dotaci 2021</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_Toc117607103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89</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104" w:history="1">
        <w:r w:rsidR="00A86077" w:rsidRPr="00B92773">
          <w:rPr>
            <w:rStyle w:val="Hypertextovodkaz"/>
            <w:rFonts w:ascii="Segoe UI" w:hAnsi="Segoe UI" w:cs="Segoe UI"/>
            <w:noProof/>
            <w:sz w:val="20"/>
            <w:szCs w:val="20"/>
          </w:rPr>
          <w:t>Tabulka 44 Souhrnné informace k Podprogramu č. 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_Toc117607104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89</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105" w:history="1">
        <w:r w:rsidR="00A86077" w:rsidRPr="00B92773">
          <w:rPr>
            <w:rStyle w:val="Hypertextovodkaz"/>
            <w:rFonts w:ascii="Segoe UI" w:hAnsi="Segoe UI" w:cs="Segoe UI"/>
            <w:noProof/>
            <w:sz w:val="20"/>
            <w:szCs w:val="20"/>
          </w:rPr>
          <w:t>Tabulka 45 Souhrnné informace k Podprogramu č. 3</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_Toc117607105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91</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106" w:history="1">
        <w:r w:rsidR="00A86077" w:rsidRPr="00B92773">
          <w:rPr>
            <w:rStyle w:val="Hypertextovodkaz"/>
            <w:rFonts w:ascii="Segoe UI" w:hAnsi="Segoe UI" w:cs="Segoe UI"/>
            <w:noProof/>
            <w:sz w:val="20"/>
            <w:szCs w:val="20"/>
          </w:rPr>
          <w:t>Tabulka 46 Souhrnné informace k financování z IP</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_Toc117607106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91</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107" w:history="1">
        <w:r w:rsidR="00A86077" w:rsidRPr="00B92773">
          <w:rPr>
            <w:rStyle w:val="Hypertextovodkaz"/>
            <w:rFonts w:ascii="Segoe UI" w:hAnsi="Segoe UI" w:cs="Segoe UI"/>
            <w:noProof/>
            <w:sz w:val="20"/>
            <w:szCs w:val="20"/>
          </w:rPr>
          <w:t>Tabulka 47: Přehled poskytovaných druhů služeb zařazených v síti sociálních služeb OK dle jejich četnosti v letech 2015–2023</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_Toc117607107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200</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108" w:history="1">
        <w:r w:rsidR="00A86077" w:rsidRPr="00B92773">
          <w:rPr>
            <w:rStyle w:val="Hypertextovodkaz"/>
            <w:rFonts w:ascii="Segoe UI" w:hAnsi="Segoe UI" w:cs="Segoe UI"/>
            <w:noProof/>
            <w:sz w:val="20"/>
            <w:szCs w:val="20"/>
          </w:rPr>
          <w:t>Tabulka 48: Přehled počtu jednotek zařazených v síti sociálních služeb OK dle druhů sociálních služeb v letech 2016–2022</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_Toc117607108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201</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109" w:history="1">
        <w:r w:rsidR="00A86077" w:rsidRPr="00B92773">
          <w:rPr>
            <w:rStyle w:val="Hypertextovodkaz"/>
            <w:rFonts w:ascii="Segoe UI" w:hAnsi="Segoe UI" w:cs="Segoe UI"/>
            <w:noProof/>
            <w:sz w:val="20"/>
            <w:szCs w:val="20"/>
          </w:rPr>
          <w:t>Tabulka 49: Přehled procentuálního nárůstu počtu jednotek zařazených v síti sociálních služeb OK v letech 2015–2023</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_Toc117607109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202</w:t>
        </w:r>
        <w:r w:rsidR="00A86077" w:rsidRPr="00B92773">
          <w:rPr>
            <w:rFonts w:ascii="Segoe UI" w:hAnsi="Segoe UI" w:cs="Segoe UI"/>
            <w:noProof/>
            <w:webHidden/>
            <w:sz w:val="20"/>
            <w:szCs w:val="20"/>
          </w:rPr>
          <w:fldChar w:fldCharType="end"/>
        </w:r>
      </w:hyperlink>
    </w:p>
    <w:p w:rsidR="00A86077" w:rsidRPr="00B92773" w:rsidRDefault="00412C70">
      <w:pPr>
        <w:pStyle w:val="Seznamobrzk"/>
        <w:tabs>
          <w:tab w:val="right" w:leader="dot" w:pos="9062"/>
        </w:tabs>
        <w:rPr>
          <w:rFonts w:ascii="Segoe UI" w:eastAsiaTheme="minorEastAsia" w:hAnsi="Segoe UI" w:cs="Segoe UI"/>
          <w:noProof/>
          <w:sz w:val="20"/>
          <w:szCs w:val="20"/>
        </w:rPr>
      </w:pPr>
      <w:hyperlink w:anchor="_Toc117607110" w:history="1">
        <w:r w:rsidR="00A86077" w:rsidRPr="00B92773">
          <w:rPr>
            <w:rStyle w:val="Hypertextovodkaz"/>
            <w:rFonts w:ascii="Segoe UI" w:hAnsi="Segoe UI" w:cs="Segoe UI"/>
            <w:noProof/>
            <w:sz w:val="20"/>
            <w:szCs w:val="20"/>
          </w:rPr>
          <w:t>Tabulka 50: Přehled pohybu jednotek v síti sociálních služeb OK v letech 2015–2023</w:t>
        </w:r>
        <w:r w:rsidR="00A86077" w:rsidRPr="00B92773">
          <w:rPr>
            <w:rFonts w:ascii="Segoe UI" w:hAnsi="Segoe UI" w:cs="Segoe UI"/>
            <w:noProof/>
            <w:webHidden/>
            <w:sz w:val="20"/>
            <w:szCs w:val="20"/>
          </w:rPr>
          <w:tab/>
        </w:r>
        <w:r w:rsidR="00A86077" w:rsidRPr="00B92773">
          <w:rPr>
            <w:rFonts w:ascii="Segoe UI" w:hAnsi="Segoe UI" w:cs="Segoe UI"/>
            <w:noProof/>
            <w:webHidden/>
            <w:sz w:val="20"/>
            <w:szCs w:val="20"/>
          </w:rPr>
          <w:fldChar w:fldCharType="begin"/>
        </w:r>
        <w:r w:rsidR="00A86077" w:rsidRPr="00B92773">
          <w:rPr>
            <w:rFonts w:ascii="Segoe UI" w:hAnsi="Segoe UI" w:cs="Segoe UI"/>
            <w:noProof/>
            <w:webHidden/>
            <w:sz w:val="20"/>
            <w:szCs w:val="20"/>
          </w:rPr>
          <w:instrText xml:space="preserve"> PAGEREF _Toc117607110 \h </w:instrText>
        </w:r>
        <w:r w:rsidR="00A86077" w:rsidRPr="00B92773">
          <w:rPr>
            <w:rFonts w:ascii="Segoe UI" w:hAnsi="Segoe UI" w:cs="Segoe UI"/>
            <w:noProof/>
            <w:webHidden/>
            <w:sz w:val="20"/>
            <w:szCs w:val="20"/>
          </w:rPr>
        </w:r>
        <w:r w:rsidR="00A86077" w:rsidRPr="00B92773">
          <w:rPr>
            <w:rFonts w:ascii="Segoe UI" w:hAnsi="Segoe UI" w:cs="Segoe UI"/>
            <w:noProof/>
            <w:webHidden/>
            <w:sz w:val="20"/>
            <w:szCs w:val="20"/>
          </w:rPr>
          <w:fldChar w:fldCharType="separate"/>
        </w:r>
        <w:r w:rsidR="003A12AF" w:rsidRPr="00B92773">
          <w:rPr>
            <w:rFonts w:ascii="Segoe UI" w:hAnsi="Segoe UI" w:cs="Segoe UI"/>
            <w:noProof/>
            <w:webHidden/>
            <w:sz w:val="20"/>
            <w:szCs w:val="20"/>
          </w:rPr>
          <w:t>202</w:t>
        </w:r>
        <w:r w:rsidR="00A86077" w:rsidRPr="00B92773">
          <w:rPr>
            <w:rFonts w:ascii="Segoe UI" w:hAnsi="Segoe UI" w:cs="Segoe UI"/>
            <w:noProof/>
            <w:webHidden/>
            <w:sz w:val="20"/>
            <w:szCs w:val="20"/>
          </w:rPr>
          <w:fldChar w:fldCharType="end"/>
        </w:r>
      </w:hyperlink>
    </w:p>
    <w:p w:rsidR="005061EB" w:rsidRPr="00B92773" w:rsidRDefault="005061EB" w:rsidP="005061EB">
      <w:pPr>
        <w:rPr>
          <w:rFonts w:cs="Segoe UI"/>
          <w:szCs w:val="20"/>
          <w:lang w:eastAsia="cs-CZ"/>
        </w:rPr>
      </w:pPr>
      <w:r w:rsidRPr="00B92773">
        <w:rPr>
          <w:rFonts w:eastAsia="Arial Unicode MS" w:cs="Segoe UI"/>
          <w:szCs w:val="20"/>
          <w:lang w:eastAsia="cs-CZ"/>
        </w:rPr>
        <w:fldChar w:fldCharType="end"/>
      </w:r>
    </w:p>
    <w:p w:rsidR="00AF4350" w:rsidRPr="00F03B0A" w:rsidRDefault="00AF4350" w:rsidP="00F03B0A">
      <w:pPr>
        <w:keepNext/>
        <w:keepLines/>
        <w:pageBreakBefore/>
        <w:pBdr>
          <w:bottom w:val="single" w:sz="12" w:space="1" w:color="2F5496" w:themeColor="accent5" w:themeShade="BF"/>
        </w:pBdr>
        <w:spacing w:before="0" w:after="360"/>
        <w:jc w:val="center"/>
        <w:outlineLvl w:val="0"/>
        <w:rPr>
          <w:rFonts w:eastAsia="Arial Unicode MS" w:cs="Segoe UI"/>
          <w:bCs/>
          <w:color w:val="2F5496" w:themeColor="accent5" w:themeShade="BF"/>
          <w:sz w:val="36"/>
          <w:szCs w:val="32"/>
        </w:rPr>
      </w:pPr>
      <w:bookmarkStart w:id="270" w:name="_Toc117607018"/>
      <w:r w:rsidRPr="00F03B0A">
        <w:rPr>
          <w:rFonts w:eastAsia="Arial Unicode MS" w:cs="Segoe UI"/>
          <w:bCs/>
          <w:color w:val="2F5496" w:themeColor="accent5" w:themeShade="BF"/>
          <w:sz w:val="36"/>
          <w:szCs w:val="32"/>
        </w:rPr>
        <w:lastRenderedPageBreak/>
        <w:t>SEZNAM POUŽITÝCH ZKRATEK</w:t>
      </w:r>
      <w:bookmarkEnd w:id="268"/>
      <w:bookmarkEnd w:id="269"/>
      <w:bookmarkEnd w:id="270"/>
    </w:p>
    <w:p w:rsidR="00AF4350" w:rsidRDefault="00AF4350" w:rsidP="00A34764">
      <w:pPr>
        <w:rPr>
          <w:rFonts w:eastAsia="Arial Unicode MS"/>
          <w:lang w:eastAsia="cs-CZ"/>
        </w:rPr>
      </w:pPr>
      <w:r>
        <w:rPr>
          <w:rFonts w:eastAsia="Arial Unicode MS"/>
          <w:lang w:eastAsia="cs-CZ"/>
        </w:rPr>
        <w:t>AD</w:t>
      </w:r>
      <w:r>
        <w:rPr>
          <w:rFonts w:eastAsia="Arial Unicode MS"/>
          <w:lang w:eastAsia="cs-CZ"/>
        </w:rPr>
        <w:tab/>
      </w:r>
      <w:r>
        <w:rPr>
          <w:rFonts w:eastAsia="Arial Unicode MS"/>
          <w:lang w:eastAsia="cs-CZ"/>
        </w:rPr>
        <w:tab/>
        <w:t>Azylový dům</w:t>
      </w:r>
    </w:p>
    <w:p w:rsidR="00AF4350" w:rsidRDefault="00AF4350" w:rsidP="00A34764">
      <w:pPr>
        <w:rPr>
          <w:rFonts w:eastAsia="Arial Unicode MS"/>
          <w:lang w:eastAsia="cs-CZ"/>
        </w:rPr>
      </w:pPr>
      <w:r>
        <w:rPr>
          <w:rFonts w:eastAsia="Arial Unicode MS"/>
          <w:lang w:eastAsia="cs-CZ"/>
        </w:rPr>
        <w:t>AKČR</w:t>
      </w:r>
      <w:r>
        <w:rPr>
          <w:rFonts w:eastAsia="Arial Unicode MS"/>
          <w:lang w:eastAsia="cs-CZ"/>
        </w:rPr>
        <w:tab/>
      </w:r>
      <w:r>
        <w:rPr>
          <w:rFonts w:eastAsia="Arial Unicode MS"/>
          <w:lang w:eastAsia="cs-CZ"/>
        </w:rPr>
        <w:tab/>
      </w:r>
      <w:r w:rsidRPr="00375AA8">
        <w:rPr>
          <w:rFonts w:eastAsia="Arial Unicode MS"/>
          <w:lang w:eastAsia="cs-CZ"/>
        </w:rPr>
        <w:t>Asociace krajů České republiky</w:t>
      </w:r>
    </w:p>
    <w:p w:rsidR="00AF4350" w:rsidRDefault="00AF4350" w:rsidP="00A34764">
      <w:pPr>
        <w:rPr>
          <w:rFonts w:eastAsia="Arial Unicode MS"/>
          <w:lang w:eastAsia="cs-CZ"/>
        </w:rPr>
      </w:pPr>
      <w:r>
        <w:rPr>
          <w:rFonts w:eastAsia="Arial Unicode MS"/>
          <w:lang w:eastAsia="cs-CZ"/>
        </w:rPr>
        <w:t>ČCE</w:t>
      </w:r>
      <w:r>
        <w:rPr>
          <w:rFonts w:eastAsia="Arial Unicode MS"/>
          <w:lang w:eastAsia="cs-CZ"/>
        </w:rPr>
        <w:tab/>
      </w:r>
      <w:r>
        <w:rPr>
          <w:rFonts w:eastAsia="Arial Unicode MS"/>
          <w:lang w:eastAsia="cs-CZ"/>
        </w:rPr>
        <w:tab/>
      </w:r>
      <w:r w:rsidRPr="00A608FB">
        <w:rPr>
          <w:rFonts w:eastAsia="Arial Unicode MS"/>
          <w:lang w:eastAsia="cs-CZ"/>
        </w:rPr>
        <w:t>Českobratrská církev evangelická</w:t>
      </w:r>
    </w:p>
    <w:p w:rsidR="00AF4350" w:rsidRPr="007C2EB2" w:rsidRDefault="00AF4350" w:rsidP="00A34764">
      <w:pPr>
        <w:rPr>
          <w:rFonts w:eastAsia="Arial Unicode MS"/>
          <w:lang w:eastAsia="cs-CZ"/>
        </w:rPr>
      </w:pPr>
      <w:r w:rsidRPr="007C2EB2">
        <w:rPr>
          <w:rFonts w:eastAsia="Arial Unicode MS"/>
          <w:lang w:eastAsia="cs-CZ"/>
        </w:rPr>
        <w:t>CDZ</w:t>
      </w:r>
      <w:r w:rsidRPr="007C2EB2">
        <w:rPr>
          <w:rFonts w:eastAsia="Arial Unicode MS"/>
          <w:lang w:eastAsia="cs-CZ"/>
        </w:rPr>
        <w:tab/>
      </w:r>
      <w:r w:rsidRPr="007C2EB2">
        <w:rPr>
          <w:rFonts w:eastAsia="Arial Unicode MS"/>
          <w:lang w:eastAsia="cs-CZ"/>
        </w:rPr>
        <w:tab/>
        <w:t>Centrum duševního zdraví</w:t>
      </w:r>
    </w:p>
    <w:p w:rsidR="00AF4350" w:rsidRDefault="00AF4350" w:rsidP="00A34764">
      <w:pPr>
        <w:rPr>
          <w:rFonts w:eastAsia="Arial Unicode MS"/>
          <w:lang w:eastAsia="cs-CZ"/>
        </w:rPr>
      </w:pPr>
      <w:r w:rsidRPr="007C2EB2">
        <w:rPr>
          <w:rFonts w:eastAsia="Arial Unicode MS"/>
          <w:lang w:eastAsia="cs-CZ"/>
        </w:rPr>
        <w:t xml:space="preserve">ČSSZ </w:t>
      </w:r>
      <w:r w:rsidRPr="007C2EB2">
        <w:rPr>
          <w:rFonts w:eastAsia="Arial Unicode MS"/>
          <w:lang w:eastAsia="cs-CZ"/>
        </w:rPr>
        <w:tab/>
      </w:r>
      <w:r w:rsidRPr="007C2EB2">
        <w:rPr>
          <w:rFonts w:eastAsia="Arial Unicode MS"/>
          <w:lang w:eastAsia="cs-CZ"/>
        </w:rPr>
        <w:tab/>
        <w:t>Česká správa sociálního zabezpečení</w:t>
      </w:r>
    </w:p>
    <w:p w:rsidR="00AF4350" w:rsidRDefault="00AF4350" w:rsidP="00A34764">
      <w:pPr>
        <w:rPr>
          <w:rFonts w:eastAsia="Arial Unicode MS"/>
          <w:lang w:eastAsia="cs-CZ"/>
        </w:rPr>
      </w:pPr>
      <w:r>
        <w:rPr>
          <w:rFonts w:eastAsia="Arial Unicode MS"/>
          <w:lang w:eastAsia="cs-CZ"/>
        </w:rPr>
        <w:t>ČR</w:t>
      </w:r>
      <w:r>
        <w:rPr>
          <w:rFonts w:eastAsia="Arial Unicode MS"/>
          <w:lang w:eastAsia="cs-CZ"/>
        </w:rPr>
        <w:tab/>
      </w:r>
      <w:r>
        <w:rPr>
          <w:rFonts w:eastAsia="Arial Unicode MS"/>
          <w:lang w:eastAsia="cs-CZ"/>
        </w:rPr>
        <w:tab/>
        <w:t>Česká republika</w:t>
      </w:r>
    </w:p>
    <w:p w:rsidR="00AF4350" w:rsidRPr="007C2EB2" w:rsidRDefault="00AF4350" w:rsidP="00A34764">
      <w:pPr>
        <w:rPr>
          <w:rFonts w:eastAsia="Arial Unicode MS"/>
          <w:lang w:eastAsia="cs-CZ"/>
        </w:rPr>
      </w:pPr>
      <w:r>
        <w:rPr>
          <w:rFonts w:eastAsia="Arial Unicode MS"/>
          <w:lang w:eastAsia="cs-CZ"/>
        </w:rPr>
        <w:t>ČSSZ</w:t>
      </w:r>
      <w:r>
        <w:rPr>
          <w:rFonts w:eastAsia="Arial Unicode MS"/>
          <w:lang w:eastAsia="cs-CZ"/>
        </w:rPr>
        <w:tab/>
      </w:r>
      <w:r>
        <w:rPr>
          <w:rFonts w:eastAsia="Arial Unicode MS"/>
          <w:lang w:eastAsia="cs-CZ"/>
        </w:rPr>
        <w:tab/>
      </w:r>
      <w:r w:rsidRPr="00A608FB">
        <w:rPr>
          <w:rFonts w:eastAsia="Arial Unicode MS"/>
          <w:lang w:eastAsia="cs-CZ"/>
        </w:rPr>
        <w:t>Česká správa sociálního zabezpečení</w:t>
      </w:r>
    </w:p>
    <w:p w:rsidR="00AF4350" w:rsidRDefault="00AF4350" w:rsidP="00A34764">
      <w:pPr>
        <w:rPr>
          <w:rFonts w:eastAsia="Arial Unicode MS"/>
          <w:lang w:eastAsia="cs-CZ"/>
        </w:rPr>
      </w:pPr>
      <w:r w:rsidRPr="007C2EB2">
        <w:rPr>
          <w:rFonts w:eastAsia="Arial Unicode MS"/>
          <w:lang w:eastAsia="cs-CZ"/>
        </w:rPr>
        <w:t>ČSÚ</w:t>
      </w:r>
      <w:r w:rsidRPr="007C2EB2">
        <w:rPr>
          <w:rFonts w:eastAsia="Arial Unicode MS"/>
          <w:lang w:eastAsia="cs-CZ"/>
        </w:rPr>
        <w:tab/>
      </w:r>
      <w:r w:rsidRPr="007C2EB2">
        <w:rPr>
          <w:rFonts w:eastAsia="Arial Unicode MS"/>
          <w:lang w:eastAsia="cs-CZ"/>
        </w:rPr>
        <w:tab/>
        <w:t>Český statistický úřad</w:t>
      </w:r>
    </w:p>
    <w:p w:rsidR="00AF4350" w:rsidRPr="007C2EB2" w:rsidRDefault="00AF4350" w:rsidP="00A34764">
      <w:pPr>
        <w:rPr>
          <w:rFonts w:eastAsia="Arial Unicode MS"/>
          <w:lang w:eastAsia="cs-CZ"/>
        </w:rPr>
      </w:pPr>
      <w:r>
        <w:rPr>
          <w:rFonts w:eastAsia="Arial Unicode MS"/>
          <w:lang w:eastAsia="cs-CZ"/>
        </w:rPr>
        <w:t>DOZP</w:t>
      </w:r>
      <w:r>
        <w:rPr>
          <w:rFonts w:eastAsia="Arial Unicode MS"/>
          <w:lang w:eastAsia="cs-CZ"/>
        </w:rPr>
        <w:tab/>
      </w:r>
      <w:r>
        <w:rPr>
          <w:rFonts w:eastAsia="Arial Unicode MS"/>
          <w:lang w:eastAsia="cs-CZ"/>
        </w:rPr>
        <w:tab/>
        <w:t>Domov pro osoby se zdravotním postižením</w:t>
      </w:r>
    </w:p>
    <w:p w:rsidR="00AF4350" w:rsidRPr="007C2EB2" w:rsidRDefault="00AF4350" w:rsidP="00A34764">
      <w:pPr>
        <w:rPr>
          <w:rFonts w:eastAsia="Arial Unicode MS"/>
          <w:lang w:eastAsia="cs-CZ"/>
        </w:rPr>
      </w:pPr>
      <w:r w:rsidRPr="007C2EB2">
        <w:rPr>
          <w:rFonts w:eastAsia="Arial Unicode MS"/>
          <w:lang w:eastAsia="cs-CZ"/>
        </w:rPr>
        <w:t>ESF</w:t>
      </w:r>
      <w:r w:rsidRPr="007C2EB2">
        <w:rPr>
          <w:rFonts w:eastAsia="Arial Unicode MS"/>
          <w:lang w:eastAsia="cs-CZ"/>
        </w:rPr>
        <w:tab/>
      </w:r>
      <w:r w:rsidRPr="007C2EB2">
        <w:rPr>
          <w:rFonts w:eastAsia="Arial Unicode MS"/>
          <w:lang w:eastAsia="cs-CZ"/>
        </w:rPr>
        <w:tab/>
        <w:t>Evropský sociální fond</w:t>
      </w:r>
    </w:p>
    <w:p w:rsidR="00AF4350" w:rsidRDefault="00AF4350" w:rsidP="00A34764">
      <w:pPr>
        <w:rPr>
          <w:rFonts w:eastAsia="Arial Unicode MS"/>
          <w:lang w:eastAsia="cs-CZ"/>
        </w:rPr>
      </w:pPr>
      <w:r w:rsidRPr="007C2EB2">
        <w:rPr>
          <w:rFonts w:eastAsia="Arial Unicode MS"/>
          <w:lang w:eastAsia="cs-CZ"/>
        </w:rPr>
        <w:t>EU</w:t>
      </w:r>
      <w:r w:rsidRPr="007C2EB2">
        <w:rPr>
          <w:rFonts w:eastAsia="Arial Unicode MS"/>
          <w:lang w:eastAsia="cs-CZ"/>
        </w:rPr>
        <w:tab/>
      </w:r>
      <w:r w:rsidRPr="007C2EB2">
        <w:rPr>
          <w:rFonts w:eastAsia="Arial Unicode MS"/>
          <w:lang w:eastAsia="cs-CZ"/>
        </w:rPr>
        <w:tab/>
        <w:t>Evropská unie</w:t>
      </w:r>
    </w:p>
    <w:p w:rsidR="00AF4350" w:rsidRPr="007C2EB2" w:rsidRDefault="00AF4350" w:rsidP="00A34764">
      <w:pPr>
        <w:rPr>
          <w:rFonts w:eastAsia="Arial Unicode MS"/>
          <w:lang w:eastAsia="cs-CZ"/>
        </w:rPr>
      </w:pPr>
      <w:r>
        <w:rPr>
          <w:rFonts w:eastAsia="Arial Unicode MS"/>
          <w:lang w:eastAsia="cs-CZ"/>
        </w:rPr>
        <w:t>FNOL</w:t>
      </w:r>
      <w:r>
        <w:rPr>
          <w:rFonts w:eastAsia="Arial Unicode MS"/>
          <w:lang w:eastAsia="cs-CZ"/>
        </w:rPr>
        <w:tab/>
      </w:r>
      <w:r>
        <w:rPr>
          <w:rFonts w:eastAsia="Arial Unicode MS"/>
          <w:lang w:eastAsia="cs-CZ"/>
        </w:rPr>
        <w:tab/>
        <w:t>Fakultní nemocnice Olomouc</w:t>
      </w:r>
    </w:p>
    <w:p w:rsidR="00AF4350" w:rsidRPr="007C2EB2" w:rsidRDefault="00AF4350" w:rsidP="00A34764">
      <w:pPr>
        <w:rPr>
          <w:rFonts w:eastAsia="Arial Unicode MS"/>
          <w:lang w:eastAsia="cs-CZ"/>
        </w:rPr>
      </w:pPr>
      <w:r w:rsidRPr="007C2EB2">
        <w:rPr>
          <w:rFonts w:eastAsia="Arial Unicode MS"/>
          <w:lang w:eastAsia="cs-CZ"/>
        </w:rPr>
        <w:t>IP</w:t>
      </w:r>
      <w:r w:rsidRPr="007C2EB2">
        <w:rPr>
          <w:rFonts w:eastAsia="Arial Unicode MS"/>
          <w:lang w:eastAsia="cs-CZ"/>
        </w:rPr>
        <w:tab/>
      </w:r>
      <w:r w:rsidRPr="007C2EB2">
        <w:rPr>
          <w:rFonts w:eastAsia="Arial Unicode MS"/>
          <w:lang w:eastAsia="cs-CZ"/>
        </w:rPr>
        <w:tab/>
        <w:t>Individuální projekt</w:t>
      </w:r>
    </w:p>
    <w:p w:rsidR="00AF4350" w:rsidRPr="007C2EB2" w:rsidRDefault="00AF4350" w:rsidP="00A34764">
      <w:pPr>
        <w:rPr>
          <w:rFonts w:eastAsia="Arial Unicode MS"/>
          <w:lang w:eastAsia="cs-CZ"/>
        </w:rPr>
      </w:pPr>
      <w:r w:rsidRPr="007C2EB2">
        <w:rPr>
          <w:rFonts w:eastAsia="Arial Unicode MS"/>
          <w:lang w:eastAsia="cs-CZ"/>
        </w:rPr>
        <w:t>IROP</w:t>
      </w:r>
      <w:r w:rsidRPr="007C2EB2">
        <w:rPr>
          <w:rFonts w:eastAsia="Arial Unicode MS"/>
          <w:lang w:eastAsia="cs-CZ"/>
        </w:rPr>
        <w:tab/>
      </w:r>
      <w:r w:rsidRPr="007C2EB2">
        <w:rPr>
          <w:rFonts w:eastAsia="Arial Unicode MS"/>
          <w:lang w:eastAsia="cs-CZ"/>
        </w:rPr>
        <w:tab/>
        <w:t>Integrovaný regionální program</w:t>
      </w:r>
    </w:p>
    <w:p w:rsidR="00AF4350" w:rsidRPr="007C2EB2" w:rsidRDefault="00AF4350" w:rsidP="00A34764">
      <w:pPr>
        <w:rPr>
          <w:rFonts w:eastAsia="Arial Unicode MS"/>
          <w:lang w:eastAsia="cs-CZ"/>
        </w:rPr>
      </w:pPr>
      <w:r w:rsidRPr="007C2EB2">
        <w:rPr>
          <w:rFonts w:eastAsia="Arial Unicode MS"/>
          <w:lang w:eastAsia="cs-CZ"/>
        </w:rPr>
        <w:t>IZS</w:t>
      </w:r>
      <w:r w:rsidRPr="007C2EB2">
        <w:rPr>
          <w:rFonts w:eastAsia="Arial Unicode MS"/>
          <w:lang w:eastAsia="cs-CZ"/>
        </w:rPr>
        <w:tab/>
      </w:r>
      <w:r w:rsidRPr="007C2EB2">
        <w:rPr>
          <w:rFonts w:eastAsia="Arial Unicode MS"/>
          <w:lang w:eastAsia="cs-CZ"/>
        </w:rPr>
        <w:tab/>
        <w:t>Integrovaný záchranný systém</w:t>
      </w:r>
    </w:p>
    <w:p w:rsidR="00AF4350" w:rsidRPr="007C2EB2" w:rsidRDefault="00AF4350" w:rsidP="00A34764">
      <w:pPr>
        <w:rPr>
          <w:rFonts w:eastAsia="Arial Unicode MS"/>
          <w:lang w:eastAsia="cs-CZ"/>
        </w:rPr>
      </w:pPr>
      <w:proofErr w:type="spellStart"/>
      <w:r w:rsidRPr="007C2EB2">
        <w:rPr>
          <w:rFonts w:eastAsia="Arial Unicode MS"/>
          <w:lang w:eastAsia="cs-CZ"/>
        </w:rPr>
        <w:t>KISSoS</w:t>
      </w:r>
      <w:proofErr w:type="spellEnd"/>
      <w:r w:rsidRPr="007C2EB2">
        <w:rPr>
          <w:rFonts w:eastAsia="Arial Unicode MS"/>
          <w:lang w:eastAsia="cs-CZ"/>
        </w:rPr>
        <w:tab/>
      </w:r>
      <w:r w:rsidRPr="007C2EB2">
        <w:rPr>
          <w:rFonts w:eastAsia="Arial Unicode MS"/>
          <w:lang w:eastAsia="cs-CZ"/>
        </w:rPr>
        <w:tab/>
        <w:t>Krajský informační systém sociálních služeb</w:t>
      </w:r>
    </w:p>
    <w:p w:rsidR="00AF4350" w:rsidRDefault="00AF4350" w:rsidP="00A34764">
      <w:pPr>
        <w:rPr>
          <w:rFonts w:eastAsia="Arial Unicode MS"/>
          <w:lang w:eastAsia="cs-CZ"/>
        </w:rPr>
      </w:pPr>
      <w:r w:rsidRPr="007C2EB2">
        <w:rPr>
          <w:rFonts w:eastAsia="Arial Unicode MS"/>
          <w:lang w:eastAsia="cs-CZ"/>
        </w:rPr>
        <w:t>KPSS</w:t>
      </w:r>
      <w:r w:rsidRPr="007C2EB2">
        <w:rPr>
          <w:rFonts w:eastAsia="Arial Unicode MS"/>
          <w:lang w:eastAsia="cs-CZ"/>
        </w:rPr>
        <w:tab/>
      </w:r>
      <w:r w:rsidRPr="007C2EB2">
        <w:rPr>
          <w:rFonts w:eastAsia="Arial Unicode MS"/>
          <w:lang w:eastAsia="cs-CZ"/>
        </w:rPr>
        <w:tab/>
        <w:t>Komunitní plánování sociálních služeb</w:t>
      </w:r>
    </w:p>
    <w:p w:rsidR="00AF4350" w:rsidRPr="007C2EB2" w:rsidRDefault="00AF4350" w:rsidP="00A34764">
      <w:pPr>
        <w:rPr>
          <w:rFonts w:eastAsia="Arial Unicode MS"/>
          <w:lang w:eastAsia="cs-CZ"/>
        </w:rPr>
      </w:pPr>
      <w:r w:rsidRPr="00A516BB">
        <w:rPr>
          <w:rFonts w:eastAsia="Arial Unicode MS"/>
          <w:lang w:eastAsia="cs-CZ"/>
        </w:rPr>
        <w:t>KPSVL</w:t>
      </w:r>
      <w:r>
        <w:rPr>
          <w:rFonts w:eastAsia="Arial Unicode MS"/>
          <w:lang w:eastAsia="cs-CZ"/>
        </w:rPr>
        <w:tab/>
      </w:r>
      <w:r>
        <w:rPr>
          <w:rFonts w:eastAsia="Arial Unicode MS"/>
          <w:lang w:eastAsia="cs-CZ"/>
        </w:rPr>
        <w:tab/>
        <w:t>Koordinovaný přístup k sociálně vyloučeným lokalitám</w:t>
      </w:r>
    </w:p>
    <w:p w:rsidR="00AF4350" w:rsidRPr="007C2EB2" w:rsidRDefault="00AF4350" w:rsidP="00A34764">
      <w:pPr>
        <w:rPr>
          <w:rFonts w:eastAsia="Arial Unicode MS"/>
          <w:lang w:eastAsia="cs-CZ"/>
        </w:rPr>
      </w:pPr>
      <w:r w:rsidRPr="007C2EB2">
        <w:rPr>
          <w:rFonts w:eastAsia="Arial Unicode MS"/>
          <w:lang w:eastAsia="cs-CZ"/>
        </w:rPr>
        <w:t>KRKOS</w:t>
      </w:r>
      <w:r w:rsidRPr="007C2EB2">
        <w:rPr>
          <w:rFonts w:eastAsia="Arial Unicode MS"/>
          <w:lang w:eastAsia="cs-CZ"/>
        </w:rPr>
        <w:tab/>
      </w:r>
      <w:r w:rsidRPr="007C2EB2">
        <w:rPr>
          <w:rFonts w:eastAsia="Arial Unicode MS"/>
          <w:lang w:eastAsia="cs-CZ"/>
        </w:rPr>
        <w:tab/>
        <w:t>Krajská koordinační skupina</w:t>
      </w:r>
    </w:p>
    <w:p w:rsidR="00AF4350" w:rsidRPr="007C2EB2" w:rsidRDefault="00AF4350" w:rsidP="00A34764">
      <w:pPr>
        <w:rPr>
          <w:rFonts w:eastAsia="Arial Unicode MS"/>
          <w:lang w:eastAsia="cs-CZ"/>
        </w:rPr>
      </w:pPr>
      <w:r w:rsidRPr="007C2EB2">
        <w:rPr>
          <w:rFonts w:eastAsia="Arial Unicode MS"/>
          <w:lang w:eastAsia="cs-CZ"/>
        </w:rPr>
        <w:t>KÚOK</w:t>
      </w:r>
      <w:r w:rsidRPr="007C2EB2">
        <w:rPr>
          <w:rFonts w:eastAsia="Arial Unicode MS"/>
          <w:lang w:eastAsia="cs-CZ"/>
        </w:rPr>
        <w:tab/>
      </w:r>
      <w:r w:rsidRPr="007C2EB2">
        <w:rPr>
          <w:rFonts w:eastAsia="Arial Unicode MS"/>
          <w:lang w:eastAsia="cs-CZ"/>
        </w:rPr>
        <w:tab/>
        <w:t>Krajský úřad Olomouckého kraje</w:t>
      </w:r>
    </w:p>
    <w:p w:rsidR="00AF4350" w:rsidRDefault="00AF4350" w:rsidP="00A34764">
      <w:pPr>
        <w:rPr>
          <w:rFonts w:eastAsia="Arial Unicode MS"/>
          <w:lang w:eastAsia="cs-CZ"/>
        </w:rPr>
      </w:pPr>
      <w:r w:rsidRPr="007C2EB2">
        <w:rPr>
          <w:rFonts w:eastAsia="Arial Unicode MS"/>
          <w:lang w:eastAsia="cs-CZ"/>
        </w:rPr>
        <w:t>MAS</w:t>
      </w:r>
      <w:r w:rsidRPr="007C2EB2">
        <w:rPr>
          <w:rFonts w:eastAsia="Arial Unicode MS"/>
          <w:lang w:eastAsia="cs-CZ"/>
        </w:rPr>
        <w:tab/>
      </w:r>
      <w:r w:rsidRPr="007C2EB2">
        <w:rPr>
          <w:rFonts w:eastAsia="Arial Unicode MS"/>
          <w:lang w:eastAsia="cs-CZ"/>
        </w:rPr>
        <w:tab/>
        <w:t>Místní akční skupina</w:t>
      </w:r>
    </w:p>
    <w:p w:rsidR="00AF4350" w:rsidRPr="007C2EB2" w:rsidRDefault="00AF4350" w:rsidP="00A34764">
      <w:pPr>
        <w:rPr>
          <w:rFonts w:eastAsia="Arial Unicode MS"/>
          <w:lang w:eastAsia="cs-CZ"/>
        </w:rPr>
      </w:pPr>
      <w:r>
        <w:rPr>
          <w:rFonts w:eastAsia="Arial Unicode MS"/>
          <w:lang w:eastAsia="cs-CZ"/>
        </w:rPr>
        <w:t>MF</w:t>
      </w:r>
      <w:r>
        <w:rPr>
          <w:rFonts w:eastAsia="Arial Unicode MS"/>
          <w:lang w:eastAsia="cs-CZ"/>
        </w:rPr>
        <w:tab/>
      </w:r>
      <w:r>
        <w:rPr>
          <w:rFonts w:eastAsia="Arial Unicode MS"/>
          <w:lang w:eastAsia="cs-CZ"/>
        </w:rPr>
        <w:tab/>
        <w:t>Ministerstvo financí</w:t>
      </w:r>
    </w:p>
    <w:p w:rsidR="00AF4350" w:rsidRPr="007C2EB2" w:rsidRDefault="00AF4350" w:rsidP="00A34764">
      <w:pPr>
        <w:rPr>
          <w:rFonts w:eastAsia="Arial Unicode MS"/>
          <w:lang w:eastAsia="cs-CZ"/>
        </w:rPr>
      </w:pPr>
      <w:r w:rsidRPr="007C2EB2">
        <w:rPr>
          <w:rFonts w:eastAsia="Arial Unicode MS"/>
          <w:lang w:eastAsia="cs-CZ"/>
        </w:rPr>
        <w:t>MPSV</w:t>
      </w:r>
      <w:r w:rsidRPr="007C2EB2">
        <w:rPr>
          <w:rFonts w:eastAsia="Arial Unicode MS"/>
          <w:lang w:eastAsia="cs-CZ"/>
        </w:rPr>
        <w:tab/>
      </w:r>
      <w:r w:rsidRPr="007C2EB2">
        <w:rPr>
          <w:rFonts w:eastAsia="Arial Unicode MS"/>
          <w:lang w:eastAsia="cs-CZ"/>
        </w:rPr>
        <w:tab/>
        <w:t xml:space="preserve">Ministerstvo práce a sociálních věcí </w:t>
      </w:r>
    </w:p>
    <w:p w:rsidR="00AF4350" w:rsidRPr="007C2EB2" w:rsidRDefault="00AF4350" w:rsidP="00A34764">
      <w:pPr>
        <w:rPr>
          <w:rFonts w:eastAsia="Arial Unicode MS"/>
          <w:lang w:eastAsia="cs-CZ"/>
        </w:rPr>
      </w:pPr>
      <w:r w:rsidRPr="007C2EB2">
        <w:rPr>
          <w:rFonts w:eastAsia="Arial Unicode MS"/>
          <w:lang w:eastAsia="cs-CZ"/>
        </w:rPr>
        <w:t>MS</w:t>
      </w:r>
      <w:r w:rsidRPr="007C2EB2">
        <w:rPr>
          <w:rFonts w:eastAsia="Arial Unicode MS"/>
          <w:lang w:eastAsia="cs-CZ"/>
        </w:rPr>
        <w:tab/>
      </w:r>
      <w:r w:rsidRPr="007C2EB2">
        <w:rPr>
          <w:rFonts w:eastAsia="Arial Unicode MS"/>
          <w:lang w:eastAsia="cs-CZ"/>
        </w:rPr>
        <w:tab/>
        <w:t>Ministerstvo spravedlnosti</w:t>
      </w:r>
    </w:p>
    <w:p w:rsidR="00AF4350" w:rsidRPr="007C2EB2" w:rsidRDefault="00AF4350" w:rsidP="00A34764">
      <w:pPr>
        <w:rPr>
          <w:rFonts w:eastAsia="Arial Unicode MS"/>
          <w:lang w:eastAsia="cs-CZ"/>
        </w:rPr>
      </w:pPr>
      <w:r w:rsidRPr="007C2EB2">
        <w:rPr>
          <w:rFonts w:eastAsia="Arial Unicode MS"/>
          <w:lang w:eastAsia="cs-CZ"/>
        </w:rPr>
        <w:t>NNO</w:t>
      </w:r>
      <w:r w:rsidRPr="007C2EB2">
        <w:rPr>
          <w:rFonts w:eastAsia="Arial Unicode MS"/>
          <w:lang w:eastAsia="cs-CZ"/>
        </w:rPr>
        <w:tab/>
      </w:r>
      <w:r w:rsidRPr="007C2EB2">
        <w:rPr>
          <w:rFonts w:eastAsia="Arial Unicode MS"/>
          <w:lang w:eastAsia="cs-CZ"/>
        </w:rPr>
        <w:tab/>
        <w:t>Nestátní neziskové organizace</w:t>
      </w:r>
    </w:p>
    <w:p w:rsidR="00AF4350" w:rsidRPr="007C2EB2" w:rsidRDefault="00AF4350" w:rsidP="00A34764">
      <w:pPr>
        <w:rPr>
          <w:rFonts w:eastAsia="Arial Unicode MS"/>
          <w:lang w:eastAsia="cs-CZ"/>
        </w:rPr>
      </w:pPr>
      <w:r w:rsidRPr="007C2EB2">
        <w:rPr>
          <w:rFonts w:eastAsia="Arial Unicode MS"/>
          <w:lang w:eastAsia="cs-CZ"/>
        </w:rPr>
        <w:t>NZDM</w:t>
      </w:r>
      <w:r w:rsidRPr="007C2EB2">
        <w:rPr>
          <w:rFonts w:eastAsia="Arial Unicode MS"/>
          <w:lang w:eastAsia="cs-CZ"/>
        </w:rPr>
        <w:tab/>
      </w:r>
      <w:r w:rsidRPr="007C2EB2">
        <w:rPr>
          <w:rFonts w:eastAsia="Arial Unicode MS"/>
          <w:lang w:eastAsia="cs-CZ"/>
        </w:rPr>
        <w:tab/>
        <w:t>Nízkoprahové zařízení pro děti a mládež</w:t>
      </w:r>
    </w:p>
    <w:p w:rsidR="00AF4350" w:rsidRPr="007C2EB2" w:rsidRDefault="00AF4350" w:rsidP="00A34764">
      <w:pPr>
        <w:rPr>
          <w:rFonts w:eastAsia="Arial Unicode MS"/>
          <w:lang w:eastAsia="cs-CZ"/>
        </w:rPr>
      </w:pPr>
      <w:r w:rsidRPr="007C2EB2">
        <w:rPr>
          <w:rFonts w:eastAsia="Arial Unicode MS"/>
          <w:lang w:eastAsia="cs-CZ"/>
        </w:rPr>
        <w:t>o. p. s.</w:t>
      </w:r>
      <w:r w:rsidRPr="007C2EB2">
        <w:rPr>
          <w:rFonts w:eastAsia="Arial Unicode MS"/>
          <w:lang w:eastAsia="cs-CZ"/>
        </w:rPr>
        <w:tab/>
      </w:r>
      <w:r w:rsidRPr="007C2EB2">
        <w:rPr>
          <w:rFonts w:eastAsia="Arial Unicode MS"/>
          <w:lang w:eastAsia="cs-CZ"/>
        </w:rPr>
        <w:tab/>
        <w:t>Obecně prospěšná společnost</w:t>
      </w:r>
    </w:p>
    <w:p w:rsidR="00304487" w:rsidRDefault="00304487" w:rsidP="00A34764">
      <w:pPr>
        <w:rPr>
          <w:rFonts w:eastAsia="Arial Unicode MS"/>
          <w:lang w:eastAsia="cs-CZ"/>
        </w:rPr>
      </w:pPr>
      <w:proofErr w:type="spellStart"/>
      <w:r>
        <w:rPr>
          <w:rFonts w:eastAsia="Arial Unicode MS"/>
          <w:lang w:eastAsia="cs-CZ"/>
        </w:rPr>
        <w:t>OdPSS</w:t>
      </w:r>
      <w:proofErr w:type="spellEnd"/>
      <w:r>
        <w:rPr>
          <w:rFonts w:eastAsia="Arial Unicode MS"/>
          <w:lang w:eastAsia="cs-CZ"/>
        </w:rPr>
        <w:tab/>
      </w:r>
      <w:r>
        <w:rPr>
          <w:rFonts w:eastAsia="Arial Unicode MS"/>
          <w:lang w:eastAsia="cs-CZ"/>
        </w:rPr>
        <w:tab/>
        <w:t>Oddělení plánování sociálních služeb</w:t>
      </w:r>
    </w:p>
    <w:p w:rsidR="00AF4350" w:rsidRPr="007C2EB2" w:rsidRDefault="00AF4350" w:rsidP="00A34764">
      <w:pPr>
        <w:rPr>
          <w:rFonts w:eastAsia="Arial Unicode MS"/>
          <w:lang w:eastAsia="cs-CZ"/>
        </w:rPr>
      </w:pPr>
      <w:r w:rsidRPr="007C2EB2">
        <w:rPr>
          <w:rFonts w:eastAsia="Arial Unicode MS"/>
          <w:lang w:eastAsia="cs-CZ"/>
        </w:rPr>
        <w:t>OK</w:t>
      </w:r>
      <w:r w:rsidRPr="007C2EB2">
        <w:rPr>
          <w:rFonts w:eastAsia="Arial Unicode MS"/>
          <w:lang w:eastAsia="cs-CZ"/>
        </w:rPr>
        <w:tab/>
      </w:r>
      <w:r w:rsidRPr="007C2EB2">
        <w:rPr>
          <w:rFonts w:eastAsia="Arial Unicode MS"/>
          <w:lang w:eastAsia="cs-CZ"/>
        </w:rPr>
        <w:tab/>
        <w:t>Olomoucký kraj</w:t>
      </w:r>
    </w:p>
    <w:p w:rsidR="00AF4350" w:rsidRPr="007C2EB2" w:rsidRDefault="00AF4350" w:rsidP="00A34764">
      <w:pPr>
        <w:rPr>
          <w:rFonts w:eastAsia="Arial Unicode MS"/>
          <w:lang w:eastAsia="cs-CZ"/>
        </w:rPr>
      </w:pPr>
      <w:r w:rsidRPr="007C2EB2">
        <w:rPr>
          <w:rFonts w:eastAsia="Arial Unicode MS"/>
          <w:lang w:eastAsia="cs-CZ"/>
        </w:rPr>
        <w:t>OOP</w:t>
      </w:r>
      <w:r w:rsidRPr="007C2EB2">
        <w:rPr>
          <w:rFonts w:eastAsia="Arial Unicode MS"/>
          <w:lang w:eastAsia="cs-CZ"/>
        </w:rPr>
        <w:tab/>
      </w:r>
      <w:r w:rsidRPr="007C2EB2">
        <w:rPr>
          <w:rFonts w:eastAsia="Arial Unicode MS"/>
          <w:lang w:eastAsia="cs-CZ"/>
        </w:rPr>
        <w:tab/>
        <w:t>Opatření obecné povahy</w:t>
      </w:r>
    </w:p>
    <w:p w:rsidR="00AF4350" w:rsidRPr="007C2EB2" w:rsidRDefault="00AF4350" w:rsidP="00A34764">
      <w:pPr>
        <w:rPr>
          <w:rFonts w:eastAsia="Arial Unicode MS"/>
          <w:lang w:eastAsia="cs-CZ"/>
        </w:rPr>
      </w:pPr>
      <w:r w:rsidRPr="007C2EB2">
        <w:rPr>
          <w:rFonts w:eastAsia="Arial Unicode MS"/>
          <w:lang w:eastAsia="cs-CZ"/>
        </w:rPr>
        <w:t>ORP</w:t>
      </w:r>
      <w:r w:rsidRPr="007C2EB2">
        <w:rPr>
          <w:rFonts w:eastAsia="Arial Unicode MS"/>
          <w:lang w:eastAsia="cs-CZ"/>
        </w:rPr>
        <w:tab/>
      </w:r>
      <w:r w:rsidRPr="007C2EB2">
        <w:rPr>
          <w:rFonts w:eastAsia="Arial Unicode MS"/>
          <w:lang w:eastAsia="cs-CZ"/>
        </w:rPr>
        <w:tab/>
        <w:t>Obec s rozšířenou působností</w:t>
      </w:r>
    </w:p>
    <w:p w:rsidR="00AF4350" w:rsidRPr="007C2EB2" w:rsidRDefault="00AF4350" w:rsidP="00A34764">
      <w:pPr>
        <w:rPr>
          <w:rFonts w:eastAsia="Arial Unicode MS"/>
          <w:lang w:eastAsia="cs-CZ"/>
        </w:rPr>
      </w:pPr>
      <w:r w:rsidRPr="007C2EB2">
        <w:rPr>
          <w:rFonts w:eastAsia="Arial Unicode MS"/>
          <w:lang w:eastAsia="cs-CZ"/>
        </w:rPr>
        <w:t>OSPOD</w:t>
      </w:r>
      <w:r w:rsidRPr="007C2EB2">
        <w:rPr>
          <w:rFonts w:eastAsia="Arial Unicode MS"/>
          <w:lang w:eastAsia="cs-CZ"/>
        </w:rPr>
        <w:tab/>
      </w:r>
      <w:r w:rsidRPr="007C2EB2">
        <w:rPr>
          <w:rFonts w:eastAsia="Arial Unicode MS"/>
          <w:lang w:eastAsia="cs-CZ"/>
        </w:rPr>
        <w:tab/>
        <w:t>Orgán sociálně-právní ochrany dětí</w:t>
      </w:r>
    </w:p>
    <w:p w:rsidR="00AF4350" w:rsidRPr="007C2EB2" w:rsidRDefault="00AF4350" w:rsidP="00A34764">
      <w:pPr>
        <w:rPr>
          <w:rFonts w:eastAsia="Arial Unicode MS"/>
          <w:lang w:eastAsia="cs-CZ"/>
        </w:rPr>
      </w:pPr>
      <w:r w:rsidRPr="007C2EB2">
        <w:rPr>
          <w:rFonts w:eastAsia="Arial Unicode MS"/>
          <w:lang w:eastAsia="cs-CZ"/>
        </w:rPr>
        <w:t>OSV</w:t>
      </w:r>
      <w:r w:rsidRPr="007C2EB2">
        <w:rPr>
          <w:rFonts w:eastAsia="Arial Unicode MS"/>
          <w:lang w:eastAsia="cs-CZ"/>
        </w:rPr>
        <w:tab/>
      </w:r>
      <w:r w:rsidRPr="007C2EB2">
        <w:rPr>
          <w:rFonts w:eastAsia="Arial Unicode MS"/>
          <w:lang w:eastAsia="cs-CZ"/>
        </w:rPr>
        <w:tab/>
        <w:t>Odbor sociálních věcí</w:t>
      </w:r>
    </w:p>
    <w:p w:rsidR="00AF4350" w:rsidRPr="007C2EB2" w:rsidRDefault="00AF4350" w:rsidP="00A34764">
      <w:pPr>
        <w:rPr>
          <w:rFonts w:eastAsia="Arial Unicode MS"/>
          <w:lang w:eastAsia="cs-CZ"/>
        </w:rPr>
      </w:pPr>
      <w:r w:rsidRPr="007C2EB2">
        <w:rPr>
          <w:rFonts w:eastAsia="Arial Unicode MS"/>
          <w:lang w:eastAsia="cs-CZ"/>
        </w:rPr>
        <w:t>OÚ</w:t>
      </w:r>
      <w:r>
        <w:rPr>
          <w:rFonts w:eastAsia="Arial Unicode MS"/>
          <w:lang w:eastAsia="cs-CZ"/>
        </w:rPr>
        <w:t>ORP</w:t>
      </w:r>
      <w:r>
        <w:rPr>
          <w:rFonts w:eastAsia="Arial Unicode MS"/>
          <w:lang w:eastAsia="cs-CZ"/>
        </w:rPr>
        <w:tab/>
      </w:r>
      <w:r>
        <w:rPr>
          <w:rFonts w:eastAsia="Arial Unicode MS"/>
          <w:lang w:eastAsia="cs-CZ"/>
        </w:rPr>
        <w:tab/>
      </w:r>
      <w:r w:rsidRPr="007C2EB2">
        <w:rPr>
          <w:rFonts w:eastAsia="Arial Unicode MS"/>
          <w:lang w:eastAsia="cs-CZ"/>
        </w:rPr>
        <w:t>Obecní úřad obcí s rozšířenou působností</w:t>
      </w:r>
    </w:p>
    <w:p w:rsidR="00AF4350" w:rsidRPr="007C2EB2" w:rsidRDefault="00AF4350" w:rsidP="00A34764">
      <w:pPr>
        <w:rPr>
          <w:rFonts w:eastAsia="Arial Unicode MS"/>
          <w:lang w:eastAsia="cs-CZ"/>
        </w:rPr>
      </w:pPr>
      <w:r w:rsidRPr="007C2EB2">
        <w:rPr>
          <w:rFonts w:eastAsia="Arial Unicode MS"/>
          <w:lang w:eastAsia="cs-CZ"/>
        </w:rPr>
        <w:lastRenderedPageBreak/>
        <w:t>p. o.</w:t>
      </w:r>
      <w:r w:rsidRPr="007C2EB2">
        <w:rPr>
          <w:rFonts w:eastAsia="Arial Unicode MS"/>
          <w:lang w:eastAsia="cs-CZ"/>
        </w:rPr>
        <w:tab/>
      </w:r>
      <w:r w:rsidRPr="007C2EB2">
        <w:rPr>
          <w:rFonts w:eastAsia="Arial Unicode MS"/>
          <w:lang w:eastAsia="cs-CZ"/>
        </w:rPr>
        <w:tab/>
        <w:t>Příspěvková organizace</w:t>
      </w:r>
    </w:p>
    <w:p w:rsidR="00AF4350" w:rsidRPr="007C2EB2" w:rsidRDefault="00AF4350" w:rsidP="00A34764">
      <w:pPr>
        <w:rPr>
          <w:rFonts w:eastAsia="Arial Unicode MS"/>
          <w:lang w:eastAsia="cs-CZ"/>
        </w:rPr>
      </w:pPr>
      <w:r w:rsidRPr="007C2EB2">
        <w:rPr>
          <w:rFonts w:eastAsia="Arial Unicode MS"/>
          <w:lang w:eastAsia="cs-CZ"/>
        </w:rPr>
        <w:t>PAS</w:t>
      </w:r>
      <w:r w:rsidRPr="007C2EB2">
        <w:rPr>
          <w:rFonts w:eastAsia="Arial Unicode MS"/>
          <w:lang w:eastAsia="cs-CZ"/>
        </w:rPr>
        <w:tab/>
      </w:r>
      <w:r w:rsidRPr="007C2EB2">
        <w:rPr>
          <w:rFonts w:eastAsia="Arial Unicode MS"/>
          <w:lang w:eastAsia="cs-CZ"/>
        </w:rPr>
        <w:tab/>
        <w:t>Porucha autistického spektra</w:t>
      </w:r>
    </w:p>
    <w:p w:rsidR="00AF4350" w:rsidRPr="007C2EB2" w:rsidRDefault="00AF4350" w:rsidP="00A34764">
      <w:pPr>
        <w:rPr>
          <w:rFonts w:eastAsia="Arial Unicode MS"/>
          <w:lang w:eastAsia="cs-CZ"/>
        </w:rPr>
      </w:pPr>
      <w:r w:rsidRPr="007C2EB2">
        <w:rPr>
          <w:rFonts w:eastAsia="Arial Unicode MS"/>
          <w:lang w:eastAsia="cs-CZ"/>
        </w:rPr>
        <w:t>PČR</w:t>
      </w:r>
      <w:r w:rsidRPr="007C2EB2">
        <w:rPr>
          <w:rFonts w:eastAsia="Arial Unicode MS"/>
          <w:lang w:eastAsia="cs-CZ"/>
        </w:rPr>
        <w:tab/>
      </w:r>
      <w:r w:rsidRPr="007C2EB2">
        <w:rPr>
          <w:rFonts w:eastAsia="Arial Unicode MS"/>
          <w:lang w:eastAsia="cs-CZ"/>
        </w:rPr>
        <w:tab/>
        <w:t>Policie České republiky</w:t>
      </w:r>
    </w:p>
    <w:p w:rsidR="00AF4350" w:rsidRPr="007C2EB2" w:rsidRDefault="00AF4350" w:rsidP="00A34764">
      <w:pPr>
        <w:rPr>
          <w:rFonts w:eastAsia="Arial Unicode MS"/>
          <w:lang w:eastAsia="cs-CZ"/>
        </w:rPr>
      </w:pPr>
      <w:r w:rsidRPr="007C2EB2">
        <w:rPr>
          <w:rFonts w:eastAsia="Arial Unicode MS"/>
          <w:lang w:eastAsia="cs-CZ"/>
        </w:rPr>
        <w:t>PL</w:t>
      </w:r>
      <w:r w:rsidRPr="007C2EB2">
        <w:rPr>
          <w:rFonts w:eastAsia="Arial Unicode MS"/>
          <w:lang w:eastAsia="cs-CZ"/>
        </w:rPr>
        <w:tab/>
      </w:r>
      <w:r w:rsidRPr="007C2EB2">
        <w:rPr>
          <w:rFonts w:eastAsia="Arial Unicode MS"/>
          <w:lang w:eastAsia="cs-CZ"/>
        </w:rPr>
        <w:tab/>
        <w:t>Psychiatrická léčebna</w:t>
      </w:r>
    </w:p>
    <w:p w:rsidR="00AF4350" w:rsidRPr="007C2EB2" w:rsidRDefault="00AF4350" w:rsidP="00A34764">
      <w:pPr>
        <w:rPr>
          <w:rFonts w:eastAsia="Arial Unicode MS"/>
          <w:lang w:eastAsia="cs-CZ"/>
        </w:rPr>
      </w:pPr>
      <w:r w:rsidRPr="007C2EB2">
        <w:rPr>
          <w:rFonts w:eastAsia="Arial Unicode MS"/>
          <w:lang w:eastAsia="cs-CZ"/>
        </w:rPr>
        <w:t>PN</w:t>
      </w:r>
      <w:r w:rsidRPr="007C2EB2">
        <w:rPr>
          <w:rFonts w:eastAsia="Arial Unicode MS"/>
          <w:lang w:eastAsia="cs-CZ"/>
        </w:rPr>
        <w:tab/>
      </w:r>
      <w:r w:rsidRPr="007C2EB2">
        <w:rPr>
          <w:rFonts w:eastAsia="Arial Unicode MS"/>
          <w:lang w:eastAsia="cs-CZ"/>
        </w:rPr>
        <w:tab/>
        <w:t>Psychiatrická nemocnice</w:t>
      </w:r>
    </w:p>
    <w:p w:rsidR="00AF4350" w:rsidRPr="007C2EB2" w:rsidRDefault="00AF4350" w:rsidP="00A34764">
      <w:pPr>
        <w:rPr>
          <w:rFonts w:eastAsia="Arial Unicode MS"/>
          <w:lang w:eastAsia="cs-CZ"/>
        </w:rPr>
      </w:pPr>
      <w:proofErr w:type="spellStart"/>
      <w:r w:rsidRPr="007C2EB2">
        <w:rPr>
          <w:rFonts w:eastAsia="Arial Unicode MS"/>
          <w:lang w:eastAsia="cs-CZ"/>
        </w:rPr>
        <w:t>PnP</w:t>
      </w:r>
      <w:proofErr w:type="spellEnd"/>
      <w:r w:rsidRPr="007C2EB2">
        <w:rPr>
          <w:rFonts w:eastAsia="Arial Unicode MS"/>
          <w:lang w:eastAsia="cs-CZ"/>
        </w:rPr>
        <w:tab/>
      </w:r>
      <w:r w:rsidRPr="007C2EB2">
        <w:rPr>
          <w:rFonts w:eastAsia="Arial Unicode MS"/>
          <w:lang w:eastAsia="cs-CZ"/>
        </w:rPr>
        <w:tab/>
        <w:t>Příspěvek na péči</w:t>
      </w:r>
    </w:p>
    <w:p w:rsidR="00AF4350" w:rsidRPr="007C2EB2" w:rsidRDefault="00AF4350" w:rsidP="00A34764">
      <w:pPr>
        <w:rPr>
          <w:rFonts w:eastAsia="Arial Unicode MS"/>
          <w:lang w:eastAsia="cs-CZ"/>
        </w:rPr>
      </w:pPr>
      <w:r w:rsidRPr="007C2EB2">
        <w:rPr>
          <w:rFonts w:eastAsia="Arial Unicode MS"/>
          <w:lang w:eastAsia="cs-CZ"/>
        </w:rPr>
        <w:t>PS</w:t>
      </w:r>
      <w:r w:rsidRPr="007C2EB2">
        <w:rPr>
          <w:rFonts w:eastAsia="Arial Unicode MS"/>
          <w:lang w:eastAsia="cs-CZ"/>
        </w:rPr>
        <w:tab/>
      </w:r>
      <w:r w:rsidRPr="007C2EB2">
        <w:rPr>
          <w:rFonts w:eastAsia="Arial Unicode MS"/>
          <w:lang w:eastAsia="cs-CZ"/>
        </w:rPr>
        <w:tab/>
        <w:t>Pracovní skupina</w:t>
      </w:r>
    </w:p>
    <w:p w:rsidR="00AF4350" w:rsidRPr="007C2EB2" w:rsidRDefault="00AF4350" w:rsidP="00A34764">
      <w:pPr>
        <w:rPr>
          <w:rFonts w:eastAsia="Arial Unicode MS"/>
          <w:lang w:eastAsia="cs-CZ"/>
        </w:rPr>
      </w:pPr>
      <w:r w:rsidRPr="007C2EB2">
        <w:rPr>
          <w:rFonts w:eastAsia="Arial Unicode MS"/>
          <w:lang w:eastAsia="cs-CZ"/>
        </w:rPr>
        <w:t>RMT</w:t>
      </w:r>
      <w:r w:rsidRPr="007C2EB2">
        <w:rPr>
          <w:rFonts w:eastAsia="Arial Unicode MS"/>
          <w:lang w:eastAsia="cs-CZ"/>
        </w:rPr>
        <w:tab/>
      </w:r>
      <w:r w:rsidRPr="007C2EB2">
        <w:rPr>
          <w:rFonts w:eastAsia="Arial Unicode MS"/>
          <w:lang w:eastAsia="cs-CZ"/>
        </w:rPr>
        <w:tab/>
        <w:t>Realizačně manažerský tým</w:t>
      </w:r>
    </w:p>
    <w:p w:rsidR="00AF4350" w:rsidRDefault="00AF4350" w:rsidP="00A34764">
      <w:pPr>
        <w:rPr>
          <w:rFonts w:eastAsia="Arial Unicode MS"/>
          <w:lang w:eastAsia="cs-CZ"/>
        </w:rPr>
      </w:pPr>
      <w:r w:rsidRPr="007C2EB2">
        <w:rPr>
          <w:rFonts w:eastAsia="Arial Unicode MS"/>
          <w:lang w:eastAsia="cs-CZ"/>
        </w:rPr>
        <w:t>ROK</w:t>
      </w:r>
      <w:r w:rsidRPr="007C2EB2">
        <w:rPr>
          <w:rFonts w:eastAsia="Arial Unicode MS"/>
          <w:lang w:eastAsia="cs-CZ"/>
        </w:rPr>
        <w:tab/>
      </w:r>
      <w:r w:rsidRPr="007C2EB2">
        <w:rPr>
          <w:rFonts w:eastAsia="Arial Unicode MS"/>
          <w:lang w:eastAsia="cs-CZ"/>
        </w:rPr>
        <w:tab/>
        <w:t>Rada Olomouckého kraje</w:t>
      </w:r>
    </w:p>
    <w:p w:rsidR="00AF4350" w:rsidRDefault="00AF4350" w:rsidP="00A34764">
      <w:r>
        <w:rPr>
          <w:rFonts w:eastAsia="Arial Unicode MS"/>
          <w:lang w:eastAsia="cs-CZ"/>
        </w:rPr>
        <w:t>RTT</w:t>
      </w:r>
      <w:r>
        <w:rPr>
          <w:rFonts w:eastAsia="Arial Unicode MS"/>
          <w:lang w:eastAsia="cs-CZ"/>
        </w:rPr>
        <w:tab/>
      </w:r>
      <w:r>
        <w:rPr>
          <w:rFonts w:eastAsia="Arial Unicode MS"/>
          <w:lang w:eastAsia="cs-CZ"/>
        </w:rPr>
        <w:tab/>
      </w:r>
      <w:r w:rsidRPr="00EB799B">
        <w:t>Regionální transformační tým</w:t>
      </w:r>
    </w:p>
    <w:p w:rsidR="00AF4350" w:rsidRDefault="00AF4350" w:rsidP="00A34764">
      <w:pPr>
        <w:rPr>
          <w:rFonts w:eastAsia="Arial Unicode MS"/>
          <w:lang w:eastAsia="cs-CZ"/>
        </w:rPr>
      </w:pPr>
      <w:r>
        <w:t>s. r. o.</w:t>
      </w:r>
      <w:r>
        <w:tab/>
      </w:r>
      <w:r>
        <w:tab/>
      </w:r>
      <w:r w:rsidRPr="00A608FB">
        <w:t>Společnost s ručením omezeným</w:t>
      </w:r>
    </w:p>
    <w:p w:rsidR="00C45CC1" w:rsidRDefault="00C45CC1" w:rsidP="00A34764">
      <w:pPr>
        <w:rPr>
          <w:rFonts w:eastAsia="Arial Unicode MS"/>
          <w:lang w:eastAsia="cs-CZ"/>
        </w:rPr>
      </w:pPr>
      <w:r>
        <w:rPr>
          <w:rFonts w:eastAsia="Arial Unicode MS"/>
          <w:lang w:eastAsia="cs-CZ"/>
        </w:rPr>
        <w:t>SAS</w:t>
      </w:r>
      <w:r>
        <w:rPr>
          <w:rFonts w:eastAsia="Arial Unicode MS"/>
          <w:lang w:eastAsia="cs-CZ"/>
        </w:rPr>
        <w:tab/>
      </w:r>
      <w:r>
        <w:rPr>
          <w:rFonts w:eastAsia="Arial Unicode MS"/>
          <w:lang w:eastAsia="cs-CZ"/>
        </w:rPr>
        <w:tab/>
        <w:t>Sociálně aktivizační služby</w:t>
      </w:r>
    </w:p>
    <w:p w:rsidR="00AF4350" w:rsidRPr="007C2EB2" w:rsidRDefault="00AF4350" w:rsidP="00A34764">
      <w:pPr>
        <w:rPr>
          <w:rFonts w:eastAsia="Arial Unicode MS"/>
          <w:lang w:eastAsia="cs-CZ"/>
        </w:rPr>
      </w:pPr>
      <w:r>
        <w:rPr>
          <w:rFonts w:eastAsia="Arial Unicode MS"/>
          <w:lang w:eastAsia="cs-CZ"/>
        </w:rPr>
        <w:t>SASRD</w:t>
      </w:r>
      <w:r>
        <w:rPr>
          <w:rFonts w:eastAsia="Arial Unicode MS"/>
          <w:lang w:eastAsia="cs-CZ"/>
        </w:rPr>
        <w:tab/>
      </w:r>
      <w:r>
        <w:rPr>
          <w:rFonts w:eastAsia="Arial Unicode MS"/>
          <w:lang w:eastAsia="cs-CZ"/>
        </w:rPr>
        <w:tab/>
        <w:t>Sociálně aktivizační služby pro rodiny s dětmi</w:t>
      </w:r>
    </w:p>
    <w:p w:rsidR="00AF4350" w:rsidRDefault="00AF4350" w:rsidP="00A34764">
      <w:pPr>
        <w:rPr>
          <w:rFonts w:eastAsia="Arial Unicode MS"/>
          <w:lang w:eastAsia="cs-CZ"/>
        </w:rPr>
      </w:pPr>
      <w:r w:rsidRPr="007C2EB2">
        <w:rPr>
          <w:rFonts w:eastAsia="Arial Unicode MS"/>
          <w:lang w:eastAsia="cs-CZ"/>
        </w:rPr>
        <w:t>SO</w:t>
      </w:r>
      <w:r>
        <w:rPr>
          <w:rFonts w:eastAsia="Arial Unicode MS"/>
          <w:lang w:eastAsia="cs-CZ"/>
        </w:rPr>
        <w:t xml:space="preserve"> </w:t>
      </w:r>
      <w:r w:rsidRPr="007C2EB2">
        <w:rPr>
          <w:rFonts w:eastAsia="Arial Unicode MS"/>
          <w:lang w:eastAsia="cs-CZ"/>
        </w:rPr>
        <w:t>ORP</w:t>
      </w:r>
      <w:r w:rsidRPr="007C2EB2">
        <w:rPr>
          <w:rFonts w:eastAsia="Arial Unicode MS"/>
          <w:lang w:eastAsia="cs-CZ"/>
        </w:rPr>
        <w:tab/>
      </w:r>
      <w:r w:rsidRPr="007C2EB2">
        <w:rPr>
          <w:rFonts w:eastAsia="Arial Unicode MS"/>
          <w:lang w:eastAsia="cs-CZ"/>
        </w:rPr>
        <w:tab/>
        <w:t>Správní obvod obce s rozšířenou působnosti</w:t>
      </w:r>
    </w:p>
    <w:p w:rsidR="00AF4350" w:rsidRDefault="00AF4350" w:rsidP="00A34764">
      <w:pPr>
        <w:rPr>
          <w:rFonts w:eastAsia="Arial Unicode MS"/>
          <w:lang w:eastAsia="cs-CZ"/>
        </w:rPr>
      </w:pPr>
      <w:r>
        <w:rPr>
          <w:rFonts w:eastAsia="Arial Unicode MS"/>
          <w:lang w:eastAsia="cs-CZ"/>
        </w:rPr>
        <w:t>SOHZ</w:t>
      </w:r>
      <w:r>
        <w:rPr>
          <w:rFonts w:eastAsia="Arial Unicode MS"/>
          <w:lang w:eastAsia="cs-CZ"/>
        </w:rPr>
        <w:tab/>
      </w:r>
      <w:r>
        <w:rPr>
          <w:rFonts w:eastAsia="Arial Unicode MS"/>
          <w:lang w:eastAsia="cs-CZ"/>
        </w:rPr>
        <w:tab/>
        <w:t>S</w:t>
      </w:r>
      <w:r w:rsidRPr="00652BF6">
        <w:rPr>
          <w:rFonts w:eastAsia="Arial Unicode MS"/>
          <w:lang w:eastAsia="cs-CZ"/>
        </w:rPr>
        <w:t>luž</w:t>
      </w:r>
      <w:r>
        <w:rPr>
          <w:rFonts w:eastAsia="Arial Unicode MS"/>
          <w:lang w:eastAsia="cs-CZ"/>
        </w:rPr>
        <w:t>by obecného hospodářského zájmu</w:t>
      </w:r>
    </w:p>
    <w:p w:rsidR="00AF4350" w:rsidRPr="007C2EB2" w:rsidRDefault="00AF4350" w:rsidP="00A34764">
      <w:pPr>
        <w:rPr>
          <w:rFonts w:eastAsia="Arial Unicode MS"/>
          <w:lang w:eastAsia="cs-CZ"/>
        </w:rPr>
      </w:pPr>
      <w:r>
        <w:rPr>
          <w:rFonts w:eastAsia="Arial Unicode MS"/>
          <w:lang w:eastAsia="cs-CZ"/>
        </w:rPr>
        <w:t>SPRP</w:t>
      </w:r>
      <w:r>
        <w:rPr>
          <w:rFonts w:eastAsia="Arial Unicode MS"/>
          <w:lang w:eastAsia="cs-CZ"/>
        </w:rPr>
        <w:tab/>
      </w:r>
      <w:r>
        <w:rPr>
          <w:rFonts w:eastAsia="Arial Unicode MS"/>
          <w:lang w:eastAsia="cs-CZ"/>
        </w:rPr>
        <w:tab/>
      </w:r>
      <w:r w:rsidRPr="00A608FB">
        <w:rPr>
          <w:rFonts w:eastAsia="Arial Unicode MS"/>
          <w:lang w:eastAsia="cs-CZ"/>
        </w:rPr>
        <w:t>Společnost pro ranou péči</w:t>
      </w:r>
    </w:p>
    <w:p w:rsidR="00AF4350" w:rsidRPr="007C2EB2" w:rsidRDefault="00AF4350" w:rsidP="00A34764">
      <w:pPr>
        <w:rPr>
          <w:rFonts w:eastAsia="Arial Unicode MS"/>
          <w:lang w:eastAsia="cs-CZ"/>
        </w:rPr>
      </w:pPr>
      <w:r w:rsidRPr="007C2EB2">
        <w:rPr>
          <w:rFonts w:eastAsia="Arial Unicode MS"/>
          <w:lang w:eastAsia="cs-CZ"/>
        </w:rPr>
        <w:t>SVL</w:t>
      </w:r>
      <w:r w:rsidRPr="007C2EB2">
        <w:rPr>
          <w:rFonts w:eastAsia="Arial Unicode MS"/>
          <w:lang w:eastAsia="cs-CZ"/>
        </w:rPr>
        <w:tab/>
      </w:r>
      <w:r w:rsidRPr="007C2EB2">
        <w:rPr>
          <w:rFonts w:eastAsia="Arial Unicode MS"/>
          <w:lang w:eastAsia="cs-CZ"/>
        </w:rPr>
        <w:tab/>
        <w:t>Sociálně vyloučená lokalita</w:t>
      </w:r>
    </w:p>
    <w:p w:rsidR="00AF4350" w:rsidRDefault="00AF4350" w:rsidP="00A34764">
      <w:pPr>
        <w:rPr>
          <w:rFonts w:eastAsia="Arial Unicode MS"/>
          <w:lang w:eastAsia="cs-CZ"/>
        </w:rPr>
      </w:pPr>
      <w:r w:rsidRPr="007C2EB2">
        <w:rPr>
          <w:rFonts w:eastAsia="Arial Unicode MS"/>
          <w:lang w:eastAsia="cs-CZ"/>
        </w:rPr>
        <w:t>ÚP</w:t>
      </w:r>
      <w:r w:rsidRPr="007C2EB2">
        <w:rPr>
          <w:rFonts w:eastAsia="Arial Unicode MS"/>
          <w:lang w:eastAsia="cs-CZ"/>
        </w:rPr>
        <w:tab/>
      </w:r>
      <w:r w:rsidRPr="007C2EB2">
        <w:rPr>
          <w:rFonts w:eastAsia="Arial Unicode MS"/>
          <w:lang w:eastAsia="cs-CZ"/>
        </w:rPr>
        <w:tab/>
        <w:t>Úřad práce</w:t>
      </w:r>
    </w:p>
    <w:p w:rsidR="00AF4350" w:rsidRPr="007C2EB2" w:rsidRDefault="00AF4350" w:rsidP="00A34764">
      <w:pPr>
        <w:rPr>
          <w:rFonts w:eastAsia="Arial Unicode MS"/>
          <w:lang w:eastAsia="cs-CZ"/>
        </w:rPr>
      </w:pPr>
      <w:r>
        <w:rPr>
          <w:rFonts w:eastAsia="Arial Unicode MS"/>
          <w:lang w:eastAsia="cs-CZ"/>
        </w:rPr>
        <w:t>VNOL</w:t>
      </w:r>
      <w:r>
        <w:rPr>
          <w:rFonts w:eastAsia="Arial Unicode MS"/>
          <w:lang w:eastAsia="cs-CZ"/>
        </w:rPr>
        <w:tab/>
      </w:r>
      <w:r>
        <w:rPr>
          <w:rFonts w:eastAsia="Arial Unicode MS"/>
          <w:lang w:eastAsia="cs-CZ"/>
        </w:rPr>
        <w:tab/>
      </w:r>
      <w:r w:rsidRPr="00F125FC">
        <w:rPr>
          <w:rFonts w:eastAsia="Arial Unicode MS"/>
          <w:lang w:eastAsia="cs-CZ"/>
        </w:rPr>
        <w:t>Vojenská nemocnice Olomouc</w:t>
      </w:r>
    </w:p>
    <w:p w:rsidR="00AF4350" w:rsidRDefault="00AF4350" w:rsidP="00A34764">
      <w:pPr>
        <w:rPr>
          <w:rFonts w:eastAsia="Arial Unicode MS"/>
          <w:lang w:eastAsia="cs-CZ"/>
        </w:rPr>
      </w:pPr>
      <w:r w:rsidRPr="007C2EB2">
        <w:rPr>
          <w:rFonts w:eastAsia="Arial Unicode MS"/>
          <w:lang w:eastAsia="cs-CZ"/>
        </w:rPr>
        <w:t xml:space="preserve">VÚPSV, </w:t>
      </w:r>
      <w:proofErr w:type="spellStart"/>
      <w:proofErr w:type="gramStart"/>
      <w:r w:rsidRPr="007C2EB2">
        <w:rPr>
          <w:rFonts w:eastAsia="Arial Unicode MS"/>
          <w:lang w:eastAsia="cs-CZ"/>
        </w:rPr>
        <w:t>v.v.</w:t>
      </w:r>
      <w:proofErr w:type="gramEnd"/>
      <w:r w:rsidRPr="007C2EB2">
        <w:rPr>
          <w:rFonts w:eastAsia="Arial Unicode MS"/>
          <w:lang w:eastAsia="cs-CZ"/>
        </w:rPr>
        <w:t>i</w:t>
      </w:r>
      <w:proofErr w:type="spellEnd"/>
      <w:r w:rsidRPr="007C2EB2">
        <w:rPr>
          <w:rFonts w:eastAsia="Arial Unicode MS"/>
          <w:lang w:eastAsia="cs-CZ"/>
        </w:rPr>
        <w:t>.</w:t>
      </w:r>
      <w:r w:rsidRPr="007C2EB2">
        <w:rPr>
          <w:rFonts w:eastAsia="Arial Unicode MS"/>
          <w:lang w:eastAsia="cs-CZ"/>
        </w:rPr>
        <w:tab/>
        <w:t>Výzkumný ústav práce a sociálních věcí, v. v. i.</w:t>
      </w:r>
    </w:p>
    <w:p w:rsidR="00AF4350" w:rsidRDefault="00AF4350" w:rsidP="00A34764">
      <w:pPr>
        <w:rPr>
          <w:rFonts w:eastAsia="Arial Unicode MS"/>
          <w:lang w:eastAsia="cs-CZ"/>
        </w:rPr>
      </w:pPr>
      <w:r>
        <w:rPr>
          <w:rFonts w:eastAsia="Arial Unicode MS"/>
          <w:lang w:eastAsia="cs-CZ"/>
        </w:rPr>
        <w:t xml:space="preserve">z. </w:t>
      </w:r>
      <w:proofErr w:type="gramStart"/>
      <w:r>
        <w:rPr>
          <w:rFonts w:eastAsia="Arial Unicode MS"/>
          <w:lang w:eastAsia="cs-CZ"/>
        </w:rPr>
        <w:t>s.</w:t>
      </w:r>
      <w:proofErr w:type="gramEnd"/>
      <w:r>
        <w:rPr>
          <w:rFonts w:eastAsia="Arial Unicode MS"/>
          <w:lang w:eastAsia="cs-CZ"/>
        </w:rPr>
        <w:tab/>
      </w:r>
      <w:r>
        <w:rPr>
          <w:rFonts w:eastAsia="Arial Unicode MS"/>
          <w:lang w:eastAsia="cs-CZ"/>
        </w:rPr>
        <w:tab/>
        <w:t>Z</w:t>
      </w:r>
      <w:r w:rsidRPr="00F125FC">
        <w:rPr>
          <w:rFonts w:eastAsia="Arial Unicode MS"/>
          <w:lang w:eastAsia="cs-CZ"/>
        </w:rPr>
        <w:t>apsaný spolek</w:t>
      </w:r>
    </w:p>
    <w:p w:rsidR="00AF4350" w:rsidRPr="007C2EB2" w:rsidRDefault="00AF4350" w:rsidP="00A34764">
      <w:pPr>
        <w:rPr>
          <w:rFonts w:eastAsia="Arial Unicode MS"/>
          <w:lang w:eastAsia="cs-CZ"/>
        </w:rPr>
      </w:pPr>
      <w:proofErr w:type="gramStart"/>
      <w:r>
        <w:rPr>
          <w:rFonts w:eastAsia="Arial Unicode MS"/>
          <w:lang w:eastAsia="cs-CZ"/>
        </w:rPr>
        <w:t xml:space="preserve">z. </w:t>
      </w:r>
      <w:proofErr w:type="spellStart"/>
      <w:r>
        <w:rPr>
          <w:rFonts w:eastAsia="Arial Unicode MS"/>
          <w:lang w:eastAsia="cs-CZ"/>
        </w:rPr>
        <w:t>ú.</w:t>
      </w:r>
      <w:proofErr w:type="spellEnd"/>
      <w:r>
        <w:rPr>
          <w:rFonts w:eastAsia="Arial Unicode MS"/>
          <w:lang w:eastAsia="cs-CZ"/>
        </w:rPr>
        <w:tab/>
      </w:r>
      <w:r>
        <w:rPr>
          <w:rFonts w:eastAsia="Arial Unicode MS"/>
          <w:lang w:eastAsia="cs-CZ"/>
        </w:rPr>
        <w:tab/>
        <w:t>Z</w:t>
      </w:r>
      <w:r w:rsidRPr="00F125FC">
        <w:rPr>
          <w:rFonts w:eastAsia="Arial Unicode MS"/>
          <w:lang w:eastAsia="cs-CZ"/>
        </w:rPr>
        <w:t>apsaný</w:t>
      </w:r>
      <w:proofErr w:type="gramEnd"/>
      <w:r w:rsidRPr="00F125FC">
        <w:rPr>
          <w:rFonts w:eastAsia="Arial Unicode MS"/>
          <w:lang w:eastAsia="cs-CZ"/>
        </w:rPr>
        <w:t xml:space="preserve"> ústav</w:t>
      </w:r>
    </w:p>
    <w:p w:rsidR="00AF4350" w:rsidRDefault="00AF4350" w:rsidP="00A34764">
      <w:pPr>
        <w:rPr>
          <w:rFonts w:eastAsia="Arial Unicode MS"/>
          <w:lang w:eastAsia="cs-CZ"/>
        </w:rPr>
      </w:pPr>
      <w:r w:rsidRPr="007C2EB2">
        <w:rPr>
          <w:rFonts w:eastAsia="Arial Unicode MS"/>
          <w:lang w:eastAsia="cs-CZ"/>
        </w:rPr>
        <w:t>ZOK</w:t>
      </w:r>
      <w:r w:rsidRPr="007C2EB2">
        <w:rPr>
          <w:rFonts w:eastAsia="Arial Unicode MS"/>
          <w:lang w:eastAsia="cs-CZ"/>
        </w:rPr>
        <w:tab/>
      </w:r>
      <w:r w:rsidRPr="007C2EB2">
        <w:rPr>
          <w:rFonts w:eastAsia="Arial Unicode MS"/>
          <w:lang w:eastAsia="cs-CZ"/>
        </w:rPr>
        <w:tab/>
        <w:t>Zastupitelstvo Olomouckého kraje</w:t>
      </w:r>
    </w:p>
    <w:p w:rsidR="00AF4350" w:rsidRPr="007C2EB2" w:rsidRDefault="00AF4350" w:rsidP="00A34764">
      <w:pPr>
        <w:rPr>
          <w:rFonts w:eastAsia="Arial Unicode MS"/>
          <w:lang w:eastAsia="cs-CZ"/>
        </w:rPr>
      </w:pPr>
      <w:r>
        <w:rPr>
          <w:rFonts w:eastAsia="Arial Unicode MS"/>
          <w:lang w:eastAsia="cs-CZ"/>
        </w:rPr>
        <w:t>ZDVOP</w:t>
      </w:r>
      <w:r>
        <w:rPr>
          <w:rFonts w:eastAsia="Arial Unicode MS"/>
          <w:lang w:eastAsia="cs-CZ"/>
        </w:rPr>
        <w:tab/>
        <w:t xml:space="preserve"> </w:t>
      </w:r>
      <w:r>
        <w:rPr>
          <w:rFonts w:eastAsia="Arial Unicode MS"/>
          <w:lang w:eastAsia="cs-CZ"/>
        </w:rPr>
        <w:tab/>
      </w:r>
      <w:r w:rsidRPr="001844C8">
        <w:rPr>
          <w:rFonts w:eastAsia="Arial Unicode MS"/>
          <w:lang w:eastAsia="cs-CZ"/>
        </w:rPr>
        <w:t>Zařízení pro děti vyžadující okamžitou pomoc</w:t>
      </w:r>
      <w:r>
        <w:rPr>
          <w:rFonts w:eastAsia="Arial Unicode MS"/>
          <w:lang w:eastAsia="cs-CZ"/>
        </w:rPr>
        <w:tab/>
      </w:r>
    </w:p>
    <w:p w:rsidR="00AF4350" w:rsidRPr="005061EB" w:rsidRDefault="005061EB" w:rsidP="005061EB">
      <w:pPr>
        <w:keepNext/>
        <w:keepLines/>
        <w:pageBreakBefore/>
        <w:pBdr>
          <w:bottom w:val="single" w:sz="12" w:space="1" w:color="2F5496" w:themeColor="accent5" w:themeShade="BF"/>
        </w:pBdr>
        <w:spacing w:before="0" w:after="360"/>
        <w:jc w:val="center"/>
        <w:outlineLvl w:val="0"/>
        <w:rPr>
          <w:rFonts w:eastAsia="Arial Unicode MS" w:cs="Segoe UI"/>
          <w:bCs/>
          <w:color w:val="2F5496" w:themeColor="accent5" w:themeShade="BF"/>
          <w:sz w:val="36"/>
          <w:szCs w:val="32"/>
        </w:rPr>
      </w:pPr>
      <w:bookmarkStart w:id="271" w:name="_Toc117607019"/>
      <w:r>
        <w:rPr>
          <w:rFonts w:eastAsia="Arial Unicode MS" w:cs="Segoe UI"/>
          <w:bCs/>
          <w:color w:val="2F5496" w:themeColor="accent5" w:themeShade="BF"/>
          <w:sz w:val="36"/>
          <w:szCs w:val="32"/>
        </w:rPr>
        <w:lastRenderedPageBreak/>
        <w:t>SEZNAM POUŽITÝCH ZDROJŮ</w:t>
      </w:r>
      <w:bookmarkEnd w:id="271"/>
    </w:p>
    <w:p w:rsidR="00AF4350" w:rsidRPr="00F125FC" w:rsidRDefault="00AF4350" w:rsidP="00A34764">
      <w:pPr>
        <w:rPr>
          <w:lang w:eastAsia="cs-CZ"/>
        </w:rPr>
      </w:pPr>
      <w:r w:rsidRPr="00F125FC">
        <w:rPr>
          <w:lang w:eastAsia="cs-CZ"/>
        </w:rPr>
        <w:t>FEANTSA, ETHOS – Evropská typologie bezdomovství a vyloučení z bydlení v prostředí ČR</w:t>
      </w:r>
      <w:r w:rsidR="00AD50BD">
        <w:rPr>
          <w:lang w:eastAsia="cs-CZ"/>
        </w:rPr>
        <w:t>. Dostupné na:</w:t>
      </w:r>
      <w:r w:rsidRPr="00F125FC">
        <w:rPr>
          <w:lang w:eastAsia="cs-CZ"/>
        </w:rPr>
        <w:t xml:space="preserve"> </w:t>
      </w:r>
    </w:p>
    <w:p w:rsidR="00540F36" w:rsidRPr="00540F36" w:rsidRDefault="00412C70" w:rsidP="00A34764">
      <w:pPr>
        <w:rPr>
          <w:rStyle w:val="Hypertextovodkaz"/>
        </w:rPr>
      </w:pPr>
      <w:hyperlink r:id="rId67" w:history="1">
        <w:r w:rsidR="00AF4350" w:rsidRPr="00540F36">
          <w:rPr>
            <w:rStyle w:val="Hypertextovodkaz"/>
          </w:rPr>
          <w:t>https://www.feantsa.org/download/cz___8621229557703714801.pdf</w:t>
        </w:r>
      </w:hyperlink>
    </w:p>
    <w:p w:rsidR="00540F36" w:rsidRPr="00F125FC" w:rsidRDefault="00540F36" w:rsidP="00A34764">
      <w:pPr>
        <w:rPr>
          <w:lang w:eastAsia="cs-CZ"/>
        </w:rPr>
      </w:pPr>
    </w:p>
    <w:p w:rsidR="00AD50BD" w:rsidRDefault="00AF4350" w:rsidP="00A34764">
      <w:pPr>
        <w:rPr>
          <w:lang w:eastAsia="cs-CZ"/>
        </w:rPr>
      </w:pPr>
      <w:r w:rsidRPr="00F125FC">
        <w:rPr>
          <w:lang w:eastAsia="cs-CZ"/>
        </w:rPr>
        <w:t xml:space="preserve">MPSV. Aktualizovaná metodická doporučení pro oblast plánování sociálních služeb. 2020. Dostupné </w:t>
      </w:r>
      <w:r w:rsidR="00AD50BD">
        <w:rPr>
          <w:lang w:eastAsia="cs-CZ"/>
        </w:rPr>
        <w:t>na</w:t>
      </w:r>
      <w:r w:rsidRPr="00F125FC">
        <w:rPr>
          <w:lang w:eastAsia="cs-CZ"/>
        </w:rPr>
        <w:t>:</w:t>
      </w:r>
    </w:p>
    <w:p w:rsidR="00AF4350" w:rsidRDefault="00412C70" w:rsidP="00A34764">
      <w:pPr>
        <w:rPr>
          <w:lang w:eastAsia="cs-CZ"/>
        </w:rPr>
      </w:pPr>
      <w:hyperlink r:id="rId68" w:history="1">
        <w:r w:rsidR="00540F36" w:rsidRPr="00803F28">
          <w:rPr>
            <w:rStyle w:val="Hypertextovodkaz"/>
            <w:lang w:eastAsia="cs-CZ"/>
          </w:rPr>
          <w:t>https://www.mpsv.cz/documents/20142/225517/K3_Metodick%C3%A1_doporu%C4%8Den%C3%AD_v2.pdf/d812783a-e5cb-1dbb-daf8-6975b13af8b3</w:t>
        </w:r>
      </w:hyperlink>
    </w:p>
    <w:p w:rsidR="00AF4350" w:rsidRPr="00F125FC" w:rsidRDefault="00AF4350" w:rsidP="00A34764">
      <w:pPr>
        <w:rPr>
          <w:lang w:eastAsia="cs-CZ"/>
        </w:rPr>
      </w:pPr>
    </w:p>
    <w:p w:rsidR="00AD50BD" w:rsidRDefault="00AF4350" w:rsidP="00A34764">
      <w:pPr>
        <w:rPr>
          <w:lang w:eastAsia="cs-CZ"/>
        </w:rPr>
      </w:pPr>
      <w:r w:rsidRPr="00F125FC">
        <w:rPr>
          <w:lang w:eastAsia="cs-CZ"/>
        </w:rPr>
        <w:t>Nešporová, O., Holpuch, P., Janurová, K., Kuchařová, V. (2019). Sčítání osob bez domova v České republice 2019; VÚPSV, v. v. i.</w:t>
      </w:r>
      <w:r w:rsidR="00AD50BD">
        <w:rPr>
          <w:lang w:eastAsia="cs-CZ"/>
        </w:rPr>
        <w:t xml:space="preserve"> Dostupné na:</w:t>
      </w:r>
    </w:p>
    <w:p w:rsidR="00AF4350" w:rsidRDefault="00412C70" w:rsidP="00A34764">
      <w:pPr>
        <w:rPr>
          <w:lang w:eastAsia="cs-CZ"/>
        </w:rPr>
      </w:pPr>
      <w:hyperlink r:id="rId69" w:tgtFrame="blank" w:history="1">
        <w:r w:rsidR="00AF4350" w:rsidRPr="00540F36">
          <w:rPr>
            <w:rStyle w:val="Hypertextovodkaz"/>
          </w:rPr>
          <w:t>https://1url.cz/WrE66</w:t>
        </w:r>
      </w:hyperlink>
    </w:p>
    <w:p w:rsidR="00540F36" w:rsidRPr="00F125FC" w:rsidRDefault="00540F36" w:rsidP="00A34764">
      <w:pPr>
        <w:rPr>
          <w:lang w:eastAsia="cs-CZ"/>
        </w:rPr>
      </w:pPr>
    </w:p>
    <w:p w:rsidR="00AF4350" w:rsidRDefault="00AF4350" w:rsidP="00A34764">
      <w:pPr>
        <w:rPr>
          <w:lang w:eastAsia="cs-CZ"/>
        </w:rPr>
      </w:pPr>
      <w:r w:rsidRPr="00F125FC">
        <w:rPr>
          <w:lang w:eastAsia="cs-CZ"/>
        </w:rPr>
        <w:t>Nešporová, O., Holpuch, P., Janurová, K., Kuchařová, V. (srpen 2019). Sčítání osob bez domova v České republice 2019 – Výběr výsledků pro účel tvorby krajského střednědobého pl</w:t>
      </w:r>
      <w:r>
        <w:rPr>
          <w:lang w:eastAsia="cs-CZ"/>
        </w:rPr>
        <w:t>ánu; VÚPSV, v. v. i.</w:t>
      </w:r>
    </w:p>
    <w:p w:rsidR="00AF4350" w:rsidRPr="00F125FC" w:rsidRDefault="00AF4350" w:rsidP="00A34764">
      <w:pPr>
        <w:rPr>
          <w:lang w:eastAsia="cs-CZ"/>
        </w:rPr>
      </w:pPr>
    </w:p>
    <w:p w:rsidR="00AF4350" w:rsidRPr="00F125FC" w:rsidRDefault="00AF4350" w:rsidP="00A34764">
      <w:pPr>
        <w:rPr>
          <w:lang w:eastAsia="cs-CZ"/>
        </w:rPr>
      </w:pPr>
      <w:r w:rsidRPr="00F125FC">
        <w:rPr>
          <w:lang w:eastAsia="cs-CZ"/>
        </w:rPr>
        <w:t>SOCIOFACTOR S.R.O. Závěrečná evaluace projektu azylové domy v Olomouckém kraji I., 2022</w:t>
      </w:r>
    </w:p>
    <w:p w:rsidR="00AF4350" w:rsidRPr="007C2EB2" w:rsidRDefault="00AF4350" w:rsidP="00A34764">
      <w:pPr>
        <w:rPr>
          <w:rFonts w:eastAsia="Arial Unicode MS"/>
          <w:sz w:val="18"/>
          <w:szCs w:val="18"/>
          <w:lang w:eastAsia="cs-CZ"/>
        </w:rPr>
      </w:pPr>
    </w:p>
    <w:p w:rsidR="00AF4350" w:rsidRPr="007C2EB2" w:rsidRDefault="00AF4350" w:rsidP="00A34764">
      <w:pPr>
        <w:rPr>
          <w:rFonts w:eastAsia="Arial Unicode MS"/>
          <w:lang w:eastAsia="cs-CZ"/>
        </w:rPr>
      </w:pPr>
      <w:r w:rsidRPr="007C2EB2">
        <w:rPr>
          <w:rFonts w:eastAsia="Arial Unicode MS"/>
          <w:lang w:eastAsia="cs-CZ"/>
        </w:rPr>
        <w:br w:type="page"/>
      </w:r>
    </w:p>
    <w:p w:rsidR="00AF4350" w:rsidRPr="00503CCE" w:rsidRDefault="00AF4350" w:rsidP="00503CCE">
      <w:pPr>
        <w:keepNext/>
        <w:keepLines/>
        <w:pageBreakBefore/>
        <w:pBdr>
          <w:bottom w:val="single" w:sz="12" w:space="1" w:color="2F5496" w:themeColor="accent5" w:themeShade="BF"/>
        </w:pBdr>
        <w:spacing w:before="0" w:after="360"/>
        <w:jc w:val="center"/>
        <w:outlineLvl w:val="0"/>
        <w:rPr>
          <w:rFonts w:eastAsia="Arial Unicode MS" w:cs="Segoe UI"/>
          <w:bCs/>
          <w:color w:val="2F5496" w:themeColor="accent5" w:themeShade="BF"/>
          <w:sz w:val="36"/>
          <w:szCs w:val="32"/>
          <w:lang w:eastAsia="cs-CZ"/>
        </w:rPr>
      </w:pPr>
      <w:bookmarkStart w:id="272" w:name="_Toc113622100"/>
      <w:bookmarkStart w:id="273" w:name="_Toc117607020"/>
      <w:r w:rsidRPr="00503CCE">
        <w:rPr>
          <w:rFonts w:eastAsia="Arial Unicode MS" w:cs="Segoe UI"/>
          <w:bCs/>
          <w:color w:val="2F5496" w:themeColor="accent5" w:themeShade="BF"/>
          <w:sz w:val="36"/>
          <w:szCs w:val="32"/>
          <w:lang w:eastAsia="cs-CZ"/>
        </w:rPr>
        <w:lastRenderedPageBreak/>
        <w:t>PŘÍLOHY</w:t>
      </w:r>
      <w:bookmarkEnd w:id="272"/>
      <w:bookmarkEnd w:id="273"/>
    </w:p>
    <w:p w:rsidR="00AF4350" w:rsidRPr="007C2EB2" w:rsidRDefault="00AF4350" w:rsidP="00A34764">
      <w:pPr>
        <w:rPr>
          <w:rFonts w:eastAsia="Arial Unicode MS"/>
          <w:lang w:eastAsia="cs-CZ"/>
        </w:rPr>
      </w:pPr>
      <w:r w:rsidRPr="007C2EB2">
        <w:rPr>
          <w:rFonts w:eastAsia="Arial Unicode MS"/>
          <w:lang w:eastAsia="cs-CZ"/>
        </w:rPr>
        <w:t>Příloha č. 1</w:t>
      </w:r>
    </w:p>
    <w:p w:rsidR="00AF4350" w:rsidRPr="00A34764" w:rsidRDefault="00AF4350" w:rsidP="00A34764">
      <w:pPr>
        <w:pStyle w:val="Odstavecseseznamem"/>
        <w:numPr>
          <w:ilvl w:val="0"/>
          <w:numId w:val="14"/>
        </w:numPr>
      </w:pPr>
      <w:r w:rsidRPr="00A34764">
        <w:t>Seznam členů PS</w:t>
      </w:r>
    </w:p>
    <w:p w:rsidR="00AF4350" w:rsidRPr="00A34764" w:rsidRDefault="00AF4350" w:rsidP="00A34764">
      <w:pPr>
        <w:pStyle w:val="Odstavecseseznamem"/>
        <w:numPr>
          <w:ilvl w:val="0"/>
          <w:numId w:val="14"/>
        </w:numPr>
      </w:pPr>
      <w:r w:rsidRPr="00A34764">
        <w:t>Seznam členů RMT</w:t>
      </w:r>
    </w:p>
    <w:p w:rsidR="00AF4350" w:rsidRPr="00A34764" w:rsidRDefault="00AF4350" w:rsidP="00A34764">
      <w:pPr>
        <w:pStyle w:val="Odstavecseseznamem"/>
        <w:numPr>
          <w:ilvl w:val="0"/>
          <w:numId w:val="14"/>
        </w:numPr>
      </w:pPr>
      <w:r w:rsidRPr="00A34764">
        <w:t>Seznam členů KRKOS</w:t>
      </w:r>
    </w:p>
    <w:p w:rsidR="00AF4350" w:rsidRPr="00A34764" w:rsidRDefault="00AF4350" w:rsidP="00A34764">
      <w:pPr>
        <w:pStyle w:val="Odstavecseseznamem"/>
        <w:numPr>
          <w:ilvl w:val="0"/>
          <w:numId w:val="14"/>
        </w:numPr>
      </w:pPr>
      <w:r w:rsidRPr="00A34764">
        <w:t>Seznam členů Skupiny ORP</w:t>
      </w:r>
    </w:p>
    <w:p w:rsidR="00AF4350" w:rsidRPr="007C2EB2" w:rsidRDefault="00AF4350" w:rsidP="00A34764">
      <w:pPr>
        <w:rPr>
          <w:rFonts w:eastAsia="Arial Unicode MS"/>
          <w:lang w:eastAsia="cs-CZ"/>
        </w:rPr>
      </w:pPr>
    </w:p>
    <w:p w:rsidR="00AF4350" w:rsidRPr="00AF4350" w:rsidRDefault="00AF4350" w:rsidP="00273758">
      <w:pPr>
        <w:pStyle w:val="Tun"/>
        <w:spacing w:after="240"/>
      </w:pPr>
      <w:r w:rsidRPr="00AF4350">
        <w:t>Příloha č. 1 A) Seznam členů PS</w:t>
      </w:r>
    </w:p>
    <w:tbl>
      <w:tblPr>
        <w:tblStyle w:val="Mkatabulky252"/>
        <w:tblpPr w:leftFromText="141" w:rightFromText="141" w:vertAnchor="text" w:tblpXSpec="center"/>
        <w:tblW w:w="5284" w:type="pct"/>
        <w:jc w:val="center"/>
        <w:shd w:val="clear" w:color="auto" w:fill="FFFFFF" w:themeFill="background1"/>
        <w:tblLayout w:type="fixed"/>
        <w:tblLook w:val="01E0" w:firstRow="1" w:lastRow="1" w:firstColumn="1" w:lastColumn="1" w:noHBand="0" w:noVBand="0"/>
      </w:tblPr>
      <w:tblGrid>
        <w:gridCol w:w="1696"/>
        <w:gridCol w:w="1496"/>
        <w:gridCol w:w="1596"/>
        <w:gridCol w:w="1596"/>
        <w:gridCol w:w="1596"/>
        <w:gridCol w:w="1597"/>
      </w:tblGrid>
      <w:tr w:rsidR="00AF4350" w:rsidRPr="00273758" w:rsidTr="00E368D3">
        <w:trPr>
          <w:cantSplit/>
          <w:trHeight w:val="20"/>
          <w:tblHeader/>
          <w:jc w:val="center"/>
        </w:trPr>
        <w:tc>
          <w:tcPr>
            <w:tcW w:w="885" w:type="pct"/>
            <w:shd w:val="clear" w:color="auto" w:fill="F2F2F2" w:themeFill="background1" w:themeFillShade="F2"/>
          </w:tcPr>
          <w:p w:rsidR="00AF4350" w:rsidRPr="00273758" w:rsidRDefault="00AF4350" w:rsidP="00A86077">
            <w:pPr>
              <w:spacing w:before="0"/>
              <w:jc w:val="center"/>
              <w:rPr>
                <w:rFonts w:eastAsia="Arial Unicode MS" w:cs="Segoe UI"/>
                <w:b/>
                <w:sz w:val="16"/>
                <w:szCs w:val="16"/>
              </w:rPr>
            </w:pPr>
            <w:r w:rsidRPr="00273758">
              <w:rPr>
                <w:rFonts w:eastAsia="Arial Unicode MS" w:cs="Segoe UI"/>
                <w:b/>
                <w:sz w:val="16"/>
                <w:szCs w:val="16"/>
              </w:rPr>
              <w:t>PS 1 – Děti, mládež a rodina</w:t>
            </w:r>
          </w:p>
        </w:tc>
        <w:tc>
          <w:tcPr>
            <w:tcW w:w="781" w:type="pct"/>
            <w:shd w:val="clear" w:color="auto" w:fill="F2F2F2" w:themeFill="background1" w:themeFillShade="F2"/>
            <w:hideMark/>
          </w:tcPr>
          <w:p w:rsidR="00AF4350" w:rsidRPr="00273758" w:rsidRDefault="00AF4350" w:rsidP="00A86077">
            <w:pPr>
              <w:spacing w:before="0"/>
              <w:jc w:val="center"/>
              <w:rPr>
                <w:rFonts w:eastAsia="Calibri" w:cs="Segoe UI"/>
                <w:b/>
                <w:sz w:val="16"/>
                <w:szCs w:val="16"/>
              </w:rPr>
            </w:pPr>
            <w:r w:rsidRPr="00273758">
              <w:rPr>
                <w:rFonts w:eastAsia="Arial Unicode MS" w:cs="Segoe UI"/>
                <w:b/>
                <w:sz w:val="16"/>
                <w:szCs w:val="16"/>
              </w:rPr>
              <w:t>PS 2 – Osoby se zdravotním postižením</w:t>
            </w:r>
          </w:p>
        </w:tc>
        <w:tc>
          <w:tcPr>
            <w:tcW w:w="833" w:type="pct"/>
            <w:shd w:val="clear" w:color="auto" w:fill="F2F2F2" w:themeFill="background1" w:themeFillShade="F2"/>
            <w:hideMark/>
          </w:tcPr>
          <w:p w:rsidR="00AF4350" w:rsidRPr="00273758" w:rsidRDefault="00AF4350" w:rsidP="00A86077">
            <w:pPr>
              <w:spacing w:before="0"/>
              <w:jc w:val="center"/>
              <w:rPr>
                <w:rFonts w:eastAsia="Calibri" w:cs="Segoe UI"/>
                <w:b/>
                <w:sz w:val="16"/>
                <w:szCs w:val="16"/>
              </w:rPr>
            </w:pPr>
            <w:r w:rsidRPr="00273758">
              <w:rPr>
                <w:rFonts w:eastAsia="Arial Unicode MS" w:cs="Segoe UI"/>
                <w:b/>
                <w:sz w:val="16"/>
                <w:szCs w:val="16"/>
              </w:rPr>
              <w:t>PS 3 – Senioři</w:t>
            </w:r>
          </w:p>
        </w:tc>
        <w:tc>
          <w:tcPr>
            <w:tcW w:w="833" w:type="pct"/>
            <w:shd w:val="clear" w:color="auto" w:fill="F2F2F2" w:themeFill="background1" w:themeFillShade="F2"/>
            <w:hideMark/>
          </w:tcPr>
          <w:p w:rsidR="00AF4350" w:rsidRPr="00273758" w:rsidRDefault="00AF4350" w:rsidP="00A86077">
            <w:pPr>
              <w:spacing w:before="0"/>
              <w:jc w:val="center"/>
              <w:rPr>
                <w:rFonts w:eastAsia="Calibri" w:cs="Segoe UI"/>
                <w:b/>
                <w:sz w:val="16"/>
                <w:szCs w:val="16"/>
              </w:rPr>
            </w:pPr>
            <w:r w:rsidRPr="00273758">
              <w:rPr>
                <w:rFonts w:eastAsia="Arial Unicode MS" w:cs="Segoe UI"/>
                <w:b/>
                <w:sz w:val="16"/>
                <w:szCs w:val="16"/>
              </w:rPr>
              <w:t>PS 4 – Etnické menšiny a cizinci</w:t>
            </w:r>
          </w:p>
        </w:tc>
        <w:tc>
          <w:tcPr>
            <w:tcW w:w="833" w:type="pct"/>
            <w:shd w:val="clear" w:color="auto" w:fill="F2F2F2" w:themeFill="background1" w:themeFillShade="F2"/>
            <w:hideMark/>
          </w:tcPr>
          <w:p w:rsidR="00AF4350" w:rsidRPr="00273758" w:rsidRDefault="00AF4350" w:rsidP="00A86077">
            <w:pPr>
              <w:spacing w:before="0"/>
              <w:jc w:val="center"/>
              <w:rPr>
                <w:rFonts w:eastAsia="Calibri" w:cs="Segoe UI"/>
                <w:b/>
                <w:sz w:val="16"/>
                <w:szCs w:val="16"/>
              </w:rPr>
            </w:pPr>
            <w:r w:rsidRPr="00273758">
              <w:rPr>
                <w:rFonts w:eastAsia="Arial Unicode MS" w:cs="Segoe UI"/>
                <w:b/>
                <w:sz w:val="16"/>
                <w:szCs w:val="16"/>
              </w:rPr>
              <w:t>PS 5 – Osoby v krizi a osoby sociálně vyloučené</w:t>
            </w:r>
          </w:p>
        </w:tc>
        <w:tc>
          <w:tcPr>
            <w:tcW w:w="834" w:type="pct"/>
            <w:shd w:val="clear" w:color="auto" w:fill="F2F2F2" w:themeFill="background1" w:themeFillShade="F2"/>
            <w:hideMark/>
          </w:tcPr>
          <w:p w:rsidR="00AF4350" w:rsidRPr="00273758" w:rsidRDefault="00AF4350" w:rsidP="00A86077">
            <w:pPr>
              <w:spacing w:before="0"/>
              <w:jc w:val="center"/>
              <w:rPr>
                <w:rFonts w:eastAsia="Calibri" w:cs="Segoe UI"/>
                <w:b/>
                <w:sz w:val="16"/>
                <w:szCs w:val="16"/>
              </w:rPr>
            </w:pPr>
            <w:r w:rsidRPr="00273758">
              <w:rPr>
                <w:rFonts w:eastAsia="Arial Unicode MS" w:cs="Segoe UI"/>
                <w:b/>
                <w:sz w:val="16"/>
                <w:szCs w:val="16"/>
              </w:rPr>
              <w:t>PS 6 - Osoby ohrožené návykovým jednáním</w:t>
            </w:r>
          </w:p>
        </w:tc>
      </w:tr>
      <w:tr w:rsidR="00AF4350" w:rsidRPr="00273758" w:rsidTr="00E368D3">
        <w:trPr>
          <w:cantSplit/>
          <w:trHeight w:val="20"/>
          <w:jc w:val="center"/>
        </w:trPr>
        <w:tc>
          <w:tcPr>
            <w:tcW w:w="885" w:type="pct"/>
            <w:shd w:val="clear" w:color="auto" w:fill="FFFFFF" w:themeFill="background1"/>
            <w:hideMark/>
          </w:tcPr>
          <w:p w:rsidR="00AF4350" w:rsidRPr="00273758" w:rsidRDefault="00AF4350" w:rsidP="00273758">
            <w:pPr>
              <w:spacing w:before="0"/>
              <w:jc w:val="center"/>
              <w:rPr>
                <w:rFonts w:eastAsia="Calibri" w:cs="Segoe UI"/>
                <w:sz w:val="16"/>
                <w:szCs w:val="16"/>
              </w:rPr>
            </w:pPr>
            <w:proofErr w:type="spellStart"/>
            <w:r w:rsidRPr="00273758">
              <w:rPr>
                <w:rFonts w:eastAsia="Arial Unicode MS" w:cs="Segoe UI"/>
                <w:sz w:val="16"/>
                <w:szCs w:val="16"/>
              </w:rPr>
              <w:t>ThLic</w:t>
            </w:r>
            <w:proofErr w:type="spellEnd"/>
            <w:r w:rsidRPr="00273758">
              <w:rPr>
                <w:rFonts w:eastAsia="Arial Unicode MS" w:cs="Segoe UI"/>
                <w:sz w:val="16"/>
                <w:szCs w:val="16"/>
              </w:rPr>
              <w:t>. Michal Umlauf</w:t>
            </w:r>
          </w:p>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Maltézská pomoc, o. p. s.</w:t>
            </w:r>
          </w:p>
        </w:tc>
        <w:tc>
          <w:tcPr>
            <w:tcW w:w="781"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Mgr. Pavla Matyášová</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Středisko rané péče SPRP Olomouc</w:t>
            </w:r>
          </w:p>
        </w:tc>
        <w:tc>
          <w:tcPr>
            <w:tcW w:w="833" w:type="pct"/>
            <w:shd w:val="clear" w:color="auto" w:fill="FFFFFF" w:themeFill="background1"/>
            <w:hideMark/>
          </w:tcPr>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PhDr. Karla Boháčková</w:t>
            </w:r>
          </w:p>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Sociální služby pro seniory Olomouc, p. o.</w:t>
            </w:r>
          </w:p>
        </w:tc>
        <w:tc>
          <w:tcPr>
            <w:tcW w:w="833"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Bc. Michal Láš</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Člověk v tísni, o. p. s., pobočka Olomouc</w:t>
            </w:r>
          </w:p>
          <w:p w:rsidR="00AF4350" w:rsidRPr="00273758" w:rsidRDefault="00AF4350" w:rsidP="00273758">
            <w:pPr>
              <w:spacing w:before="0"/>
              <w:jc w:val="center"/>
              <w:rPr>
                <w:rFonts w:eastAsia="Arial Unicode MS" w:cs="Segoe UI"/>
                <w:sz w:val="16"/>
                <w:szCs w:val="16"/>
              </w:rPr>
            </w:pPr>
          </w:p>
        </w:tc>
        <w:tc>
          <w:tcPr>
            <w:tcW w:w="833"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 xml:space="preserve">David </w:t>
            </w:r>
            <w:proofErr w:type="spellStart"/>
            <w:r w:rsidRPr="00273758">
              <w:rPr>
                <w:rFonts w:eastAsia="Calibri" w:cs="Segoe UI"/>
                <w:sz w:val="16"/>
                <w:szCs w:val="16"/>
              </w:rPr>
              <w:t>Jersák</w:t>
            </w:r>
            <w:proofErr w:type="spellEnd"/>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Armáda spásy v </w:t>
            </w:r>
            <w:proofErr w:type="gramStart"/>
            <w:r w:rsidRPr="00273758">
              <w:rPr>
                <w:rFonts w:eastAsia="Calibri" w:cs="Segoe UI"/>
                <w:sz w:val="16"/>
                <w:szCs w:val="16"/>
              </w:rPr>
              <w:t>ČR, z. s.</w:t>
            </w:r>
            <w:proofErr w:type="gramEnd"/>
          </w:p>
          <w:p w:rsidR="00AF4350" w:rsidRPr="00273758" w:rsidRDefault="00AF4350" w:rsidP="00273758">
            <w:pPr>
              <w:spacing w:before="0"/>
              <w:jc w:val="center"/>
              <w:rPr>
                <w:rFonts w:eastAsia="Calibri" w:cs="Segoe UI"/>
                <w:sz w:val="16"/>
                <w:szCs w:val="16"/>
              </w:rPr>
            </w:pPr>
          </w:p>
        </w:tc>
        <w:tc>
          <w:tcPr>
            <w:tcW w:w="834" w:type="pct"/>
            <w:shd w:val="clear" w:color="auto" w:fill="FFFFFF" w:themeFill="background1"/>
            <w:hideMark/>
          </w:tcPr>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PhDr. Dagmar Krutilová</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P-centrum, spolek</w:t>
            </w:r>
          </w:p>
        </w:tc>
      </w:tr>
      <w:tr w:rsidR="00AF4350" w:rsidRPr="00273758" w:rsidTr="00E368D3">
        <w:trPr>
          <w:cantSplit/>
          <w:trHeight w:val="20"/>
          <w:jc w:val="center"/>
        </w:trPr>
        <w:tc>
          <w:tcPr>
            <w:tcW w:w="885"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Mgr. Kristýna Michálková</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Městský úřad Jeseník, Odbor sociálních věcí a zdravotnictví</w:t>
            </w:r>
          </w:p>
          <w:p w:rsidR="00AF4350" w:rsidRPr="00273758" w:rsidRDefault="00AF4350" w:rsidP="00273758">
            <w:pPr>
              <w:spacing w:before="0"/>
              <w:jc w:val="center"/>
              <w:rPr>
                <w:rFonts w:eastAsia="Arial Unicode MS" w:cs="Segoe UI"/>
                <w:sz w:val="16"/>
                <w:szCs w:val="16"/>
              </w:rPr>
            </w:pPr>
          </w:p>
        </w:tc>
        <w:tc>
          <w:tcPr>
            <w:tcW w:w="781" w:type="pct"/>
            <w:shd w:val="clear" w:color="auto" w:fill="FFFFFF" w:themeFill="background1"/>
            <w:hideMark/>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PhDr. Jana Haasová</w:t>
            </w:r>
          </w:p>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Magistrát města Olomouce,</w:t>
            </w:r>
            <w:r w:rsidRPr="00273758">
              <w:rPr>
                <w:rFonts w:eastAsia="Calibri" w:cs="Segoe UI"/>
                <w:sz w:val="16"/>
                <w:szCs w:val="16"/>
              </w:rPr>
              <w:t xml:space="preserve"> </w:t>
            </w:r>
            <w:r w:rsidRPr="00273758">
              <w:rPr>
                <w:rFonts w:eastAsia="Arial Unicode MS" w:cs="Segoe UI"/>
                <w:sz w:val="16"/>
                <w:szCs w:val="16"/>
              </w:rPr>
              <w:t>Odbor sociálních věcí</w:t>
            </w:r>
          </w:p>
        </w:tc>
        <w:tc>
          <w:tcPr>
            <w:tcW w:w="833" w:type="pct"/>
            <w:shd w:val="clear" w:color="auto" w:fill="FFFFFF" w:themeFill="background1"/>
            <w:hideMark/>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 xml:space="preserve">Mgr. Lubomír </w:t>
            </w:r>
            <w:proofErr w:type="spellStart"/>
            <w:r w:rsidRPr="00273758">
              <w:rPr>
                <w:rFonts w:eastAsia="Calibri" w:cs="Segoe UI"/>
                <w:sz w:val="16"/>
                <w:szCs w:val="16"/>
              </w:rPr>
              <w:t>Vraj</w:t>
            </w:r>
            <w:proofErr w:type="spellEnd"/>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Domov seniorů POHODA Chválkovice, p. o.</w:t>
            </w:r>
          </w:p>
        </w:tc>
        <w:tc>
          <w:tcPr>
            <w:tcW w:w="833" w:type="pct"/>
            <w:shd w:val="clear" w:color="auto" w:fill="FFFFFF" w:themeFill="background1"/>
            <w:hideMark/>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 xml:space="preserve">Romana </w:t>
            </w:r>
            <w:proofErr w:type="spellStart"/>
            <w:r w:rsidRPr="00273758">
              <w:rPr>
                <w:rFonts w:eastAsia="Calibri" w:cs="Segoe UI"/>
                <w:sz w:val="16"/>
                <w:szCs w:val="16"/>
              </w:rPr>
              <w:t>Němčáková</w:t>
            </w:r>
            <w:proofErr w:type="spellEnd"/>
            <w:r w:rsidRPr="00273758">
              <w:rPr>
                <w:rFonts w:eastAsia="Calibri" w:cs="Segoe UI"/>
                <w:sz w:val="16"/>
                <w:szCs w:val="16"/>
              </w:rPr>
              <w:t xml:space="preserve"> DiS.</w:t>
            </w:r>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Magistrát města Přerova</w:t>
            </w:r>
          </w:p>
        </w:tc>
        <w:tc>
          <w:tcPr>
            <w:tcW w:w="833" w:type="pct"/>
            <w:shd w:val="clear" w:color="auto" w:fill="FFFFFF" w:themeFill="background1"/>
            <w:hideMark/>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 xml:space="preserve">Mgr. Jan </w:t>
            </w:r>
            <w:proofErr w:type="spellStart"/>
            <w:r w:rsidRPr="00273758">
              <w:rPr>
                <w:rFonts w:eastAsia="Calibri" w:cs="Segoe UI"/>
                <w:sz w:val="16"/>
                <w:szCs w:val="16"/>
              </w:rPr>
              <w:t>Kalla</w:t>
            </w:r>
            <w:proofErr w:type="spellEnd"/>
            <w:r w:rsidRPr="00273758">
              <w:rPr>
                <w:rFonts w:eastAsia="Calibri" w:cs="Segoe UI"/>
                <w:sz w:val="16"/>
                <w:szCs w:val="16"/>
              </w:rPr>
              <w:t xml:space="preserve"> MBA</w:t>
            </w:r>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Azylové centrum Prostějov, o. p. s.</w:t>
            </w:r>
          </w:p>
        </w:tc>
        <w:tc>
          <w:tcPr>
            <w:tcW w:w="834" w:type="pct"/>
            <w:shd w:val="clear" w:color="auto" w:fill="FFFFFF" w:themeFill="background1"/>
            <w:hideMark/>
          </w:tcPr>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Mgr. Lukáš Carlos Hrubý</w:t>
            </w:r>
          </w:p>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Společnost Podané ruce, o. p. s.</w:t>
            </w:r>
          </w:p>
        </w:tc>
      </w:tr>
      <w:tr w:rsidR="00AF4350" w:rsidRPr="00273758" w:rsidTr="00E368D3">
        <w:trPr>
          <w:cantSplit/>
          <w:trHeight w:val="20"/>
          <w:jc w:val="center"/>
        </w:trPr>
        <w:tc>
          <w:tcPr>
            <w:tcW w:w="885"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Mgr. Nicol Homolková</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Poradna pro občanství/Občanská a lidská práva</w:t>
            </w:r>
          </w:p>
        </w:tc>
        <w:tc>
          <w:tcPr>
            <w:tcW w:w="781" w:type="pct"/>
            <w:shd w:val="clear" w:color="auto" w:fill="FFFFFF" w:themeFill="background1"/>
          </w:tcPr>
          <w:p w:rsidR="00AF4350" w:rsidRPr="00273758" w:rsidRDefault="00372B70" w:rsidP="00273758">
            <w:pPr>
              <w:spacing w:before="0"/>
              <w:jc w:val="center"/>
              <w:rPr>
                <w:rFonts w:eastAsia="Calibri" w:cs="Segoe UI"/>
                <w:sz w:val="16"/>
                <w:szCs w:val="16"/>
              </w:rPr>
            </w:pPr>
            <w:r w:rsidRPr="00273758">
              <w:rPr>
                <w:rFonts w:eastAsia="Arial Unicode MS" w:cs="Segoe UI"/>
                <w:sz w:val="16"/>
                <w:szCs w:val="16"/>
              </w:rPr>
              <w:t>Mgr. Jana Ochotová</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 xml:space="preserve">SPOLU </w:t>
            </w:r>
            <w:proofErr w:type="gramStart"/>
            <w:r w:rsidRPr="00273758">
              <w:rPr>
                <w:rFonts w:eastAsia="Arial Unicode MS" w:cs="Segoe UI"/>
                <w:sz w:val="16"/>
                <w:szCs w:val="16"/>
              </w:rPr>
              <w:t xml:space="preserve">Olomouc, z. </w:t>
            </w:r>
            <w:proofErr w:type="spellStart"/>
            <w:r w:rsidRPr="00273758">
              <w:rPr>
                <w:rFonts w:eastAsia="Arial Unicode MS" w:cs="Segoe UI"/>
                <w:sz w:val="16"/>
                <w:szCs w:val="16"/>
              </w:rPr>
              <w:t>ú.</w:t>
            </w:r>
            <w:proofErr w:type="spellEnd"/>
            <w:proofErr w:type="gramEnd"/>
          </w:p>
        </w:tc>
        <w:tc>
          <w:tcPr>
            <w:tcW w:w="833"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Mgr. Bc. Blanka Laboňová</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Centrum sociálních služeb Kojetín, p. o.</w:t>
            </w:r>
          </w:p>
        </w:tc>
        <w:tc>
          <w:tcPr>
            <w:tcW w:w="833"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 xml:space="preserve">Ivan </w:t>
            </w:r>
            <w:proofErr w:type="spellStart"/>
            <w:r w:rsidRPr="00273758">
              <w:rPr>
                <w:rFonts w:eastAsia="Calibri" w:cs="Segoe UI"/>
                <w:sz w:val="16"/>
                <w:szCs w:val="16"/>
              </w:rPr>
              <w:t>Kandráč</w:t>
            </w:r>
            <w:proofErr w:type="spellEnd"/>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Člověk v tísni, o. p. s.</w:t>
            </w:r>
          </w:p>
        </w:tc>
        <w:tc>
          <w:tcPr>
            <w:tcW w:w="833"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Bc. Bohuslav Rybníček</w:t>
            </w:r>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ELIM Hranice, o. p. s.</w:t>
            </w:r>
          </w:p>
        </w:tc>
        <w:tc>
          <w:tcPr>
            <w:tcW w:w="834"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 xml:space="preserve">Mgr. Ivana </w:t>
            </w:r>
            <w:proofErr w:type="spellStart"/>
            <w:r w:rsidRPr="00273758">
              <w:rPr>
                <w:rFonts w:eastAsia="Arial Unicode MS" w:cs="Segoe UI"/>
                <w:sz w:val="16"/>
                <w:szCs w:val="16"/>
              </w:rPr>
              <w:t>Smětalová</w:t>
            </w:r>
            <w:proofErr w:type="spellEnd"/>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o. s. KAPPA-HELP</w:t>
            </w:r>
          </w:p>
          <w:p w:rsidR="00AF4350" w:rsidRPr="00273758" w:rsidRDefault="00AF4350" w:rsidP="00273758">
            <w:pPr>
              <w:spacing w:before="0"/>
              <w:jc w:val="center"/>
              <w:rPr>
                <w:rFonts w:eastAsia="Arial Unicode MS" w:cs="Segoe UI"/>
                <w:sz w:val="16"/>
                <w:szCs w:val="16"/>
              </w:rPr>
            </w:pPr>
          </w:p>
        </w:tc>
      </w:tr>
      <w:tr w:rsidR="00AF4350" w:rsidRPr="00273758" w:rsidTr="00E368D3">
        <w:trPr>
          <w:cantSplit/>
          <w:trHeight w:val="20"/>
          <w:jc w:val="center"/>
        </w:trPr>
        <w:tc>
          <w:tcPr>
            <w:tcW w:w="885"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Mgr. Et Mgr. Andrea Kafková</w:t>
            </w:r>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Magistrát města Olomouce,</w:t>
            </w:r>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Odbor sociálních věcí</w:t>
            </w:r>
          </w:p>
        </w:tc>
        <w:tc>
          <w:tcPr>
            <w:tcW w:w="781"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Zdeňka Hrubá, Dis.</w:t>
            </w:r>
          </w:p>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Charita Zábřeh</w:t>
            </w:r>
          </w:p>
        </w:tc>
        <w:tc>
          <w:tcPr>
            <w:tcW w:w="833"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PhDr. Yvona Andělová</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Domov pro seniory Soběsuky, p. o.</w:t>
            </w:r>
          </w:p>
        </w:tc>
        <w:tc>
          <w:tcPr>
            <w:tcW w:w="833"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Bc. Petra Pavlíčková, DiS.</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Charita Olomouc</w:t>
            </w:r>
          </w:p>
          <w:p w:rsidR="00AF4350" w:rsidRPr="00273758" w:rsidRDefault="00AF4350" w:rsidP="00273758">
            <w:pPr>
              <w:spacing w:before="0"/>
              <w:jc w:val="center"/>
              <w:rPr>
                <w:rFonts w:eastAsia="Arial Unicode MS" w:cs="Segoe UI"/>
                <w:sz w:val="16"/>
                <w:szCs w:val="16"/>
              </w:rPr>
            </w:pPr>
          </w:p>
        </w:tc>
        <w:tc>
          <w:tcPr>
            <w:tcW w:w="833"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Mgr. Dana Axmanová DiS.</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Charita Šternberk</w:t>
            </w:r>
          </w:p>
        </w:tc>
        <w:tc>
          <w:tcPr>
            <w:tcW w:w="834"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 xml:space="preserve">Mgr. Marek </w:t>
            </w:r>
            <w:proofErr w:type="spellStart"/>
            <w:r w:rsidRPr="00273758">
              <w:rPr>
                <w:rFonts w:eastAsia="Arial Unicode MS" w:cs="Segoe UI"/>
                <w:sz w:val="16"/>
                <w:szCs w:val="16"/>
              </w:rPr>
              <w:t>Laštovica</w:t>
            </w:r>
            <w:proofErr w:type="spellEnd"/>
          </w:p>
          <w:p w:rsidR="00AF4350" w:rsidRPr="00273758" w:rsidRDefault="00AF4350" w:rsidP="00273758">
            <w:pPr>
              <w:spacing w:before="0"/>
              <w:jc w:val="center"/>
              <w:rPr>
                <w:rFonts w:eastAsia="Calibri" w:cs="Segoe UI"/>
                <w:sz w:val="16"/>
                <w:szCs w:val="16"/>
              </w:rPr>
            </w:pPr>
            <w:proofErr w:type="spellStart"/>
            <w:proofErr w:type="gramStart"/>
            <w:r w:rsidRPr="00273758">
              <w:rPr>
                <w:rFonts w:eastAsia="Arial Unicode MS" w:cs="Segoe UI"/>
                <w:sz w:val="16"/>
                <w:szCs w:val="16"/>
              </w:rPr>
              <w:t>Darmoděj</w:t>
            </w:r>
            <w:proofErr w:type="spellEnd"/>
            <w:r w:rsidRPr="00273758">
              <w:rPr>
                <w:rFonts w:eastAsia="Arial Unicode MS" w:cs="Segoe UI"/>
                <w:sz w:val="16"/>
                <w:szCs w:val="16"/>
              </w:rPr>
              <w:t xml:space="preserve"> z. </w:t>
            </w:r>
            <w:proofErr w:type="spellStart"/>
            <w:r w:rsidRPr="00273758">
              <w:rPr>
                <w:rFonts w:eastAsia="Arial Unicode MS" w:cs="Segoe UI"/>
                <w:sz w:val="16"/>
                <w:szCs w:val="16"/>
              </w:rPr>
              <w:t>ú.</w:t>
            </w:r>
            <w:proofErr w:type="spellEnd"/>
            <w:proofErr w:type="gramEnd"/>
          </w:p>
        </w:tc>
      </w:tr>
      <w:tr w:rsidR="00AF4350" w:rsidRPr="00273758" w:rsidTr="00E368D3">
        <w:trPr>
          <w:cantSplit/>
          <w:trHeight w:val="20"/>
          <w:jc w:val="center"/>
        </w:trPr>
        <w:tc>
          <w:tcPr>
            <w:tcW w:w="885"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 xml:space="preserve">David </w:t>
            </w:r>
            <w:proofErr w:type="spellStart"/>
            <w:r w:rsidRPr="00273758">
              <w:rPr>
                <w:rFonts w:eastAsia="Calibri" w:cs="Segoe UI"/>
                <w:sz w:val="16"/>
                <w:szCs w:val="16"/>
              </w:rPr>
              <w:t>Bezdomnikov</w:t>
            </w:r>
            <w:proofErr w:type="spellEnd"/>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Společnost Podané ruce, o. p. s</w:t>
            </w:r>
          </w:p>
        </w:tc>
        <w:tc>
          <w:tcPr>
            <w:tcW w:w="781"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Jana Sedláková</w:t>
            </w:r>
          </w:p>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Centrum pro dětský sluch Tamtam, o. p. s.</w:t>
            </w:r>
          </w:p>
        </w:tc>
        <w:tc>
          <w:tcPr>
            <w:tcW w:w="833"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Mgr. Zdislav Doleček</w:t>
            </w:r>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UPOL</w:t>
            </w:r>
          </w:p>
        </w:tc>
        <w:tc>
          <w:tcPr>
            <w:tcW w:w="833"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Bc. Věra Sedláčková, DiS.</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Správa uprchlických zařízení MVČR, Praha</w:t>
            </w:r>
          </w:p>
        </w:tc>
        <w:tc>
          <w:tcPr>
            <w:tcW w:w="833" w:type="pct"/>
            <w:shd w:val="clear" w:color="auto" w:fill="FFFFFF" w:themeFill="background1"/>
          </w:tcPr>
          <w:p w:rsidR="00AF4350" w:rsidRPr="00273758" w:rsidRDefault="00E368D3" w:rsidP="00273758">
            <w:pPr>
              <w:spacing w:before="0"/>
              <w:jc w:val="center"/>
              <w:rPr>
                <w:rFonts w:eastAsia="Arial Unicode MS" w:cs="Segoe UI"/>
                <w:sz w:val="16"/>
                <w:szCs w:val="16"/>
              </w:rPr>
            </w:pPr>
            <w:r>
              <w:rPr>
                <w:rFonts w:eastAsia="Arial Unicode MS" w:cs="Segoe UI"/>
                <w:sz w:val="16"/>
                <w:szCs w:val="16"/>
              </w:rPr>
              <w:t>Bc. Alexandr Dvořák</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Charita Olomouc</w:t>
            </w:r>
          </w:p>
        </w:tc>
        <w:tc>
          <w:tcPr>
            <w:tcW w:w="834"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Mgr. Gabriela Mahrová</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PN Marianny Oranžské</w:t>
            </w:r>
          </w:p>
        </w:tc>
      </w:tr>
      <w:tr w:rsidR="00AF4350" w:rsidRPr="00273758" w:rsidTr="00E368D3">
        <w:trPr>
          <w:cantSplit/>
          <w:trHeight w:val="20"/>
          <w:jc w:val="center"/>
        </w:trPr>
        <w:tc>
          <w:tcPr>
            <w:tcW w:w="885"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Soňa Kolářová, DiS.</w:t>
            </w:r>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Sdružení SOS dětských vesniček</w:t>
            </w:r>
          </w:p>
        </w:tc>
        <w:tc>
          <w:tcPr>
            <w:tcW w:w="781"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Mgr. Bc. Tomáš Zrnka</w:t>
            </w:r>
          </w:p>
          <w:p w:rsidR="00AF4350" w:rsidRPr="00273758" w:rsidRDefault="00AF4350" w:rsidP="00273758">
            <w:pPr>
              <w:spacing w:before="0"/>
              <w:jc w:val="center"/>
              <w:rPr>
                <w:rFonts w:eastAsia="Calibri" w:cs="Segoe UI"/>
                <w:bCs/>
                <w:sz w:val="16"/>
                <w:szCs w:val="16"/>
              </w:rPr>
            </w:pPr>
            <w:r w:rsidRPr="00273758">
              <w:rPr>
                <w:rFonts w:eastAsia="Arial Unicode MS" w:cs="Segoe UI"/>
                <w:sz w:val="16"/>
                <w:szCs w:val="16"/>
              </w:rPr>
              <w:t>Spolek Trend vozíčkářů Olomouc</w:t>
            </w:r>
          </w:p>
        </w:tc>
        <w:tc>
          <w:tcPr>
            <w:tcW w:w="833"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Bohdana Březinová, Dis.</w:t>
            </w:r>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PONTIS Šumperk o. p. s.</w:t>
            </w:r>
          </w:p>
        </w:tc>
        <w:tc>
          <w:tcPr>
            <w:tcW w:w="833" w:type="pct"/>
            <w:shd w:val="clear" w:color="auto" w:fill="FFFFFF" w:themeFill="background1"/>
          </w:tcPr>
          <w:p w:rsidR="00AF4350" w:rsidRPr="00273758" w:rsidRDefault="00E368D3" w:rsidP="00273758">
            <w:pPr>
              <w:spacing w:before="0"/>
              <w:jc w:val="center"/>
              <w:rPr>
                <w:rFonts w:eastAsia="Calibri" w:cs="Segoe UI"/>
                <w:sz w:val="16"/>
                <w:szCs w:val="16"/>
              </w:rPr>
            </w:pPr>
            <w:r>
              <w:rPr>
                <w:rFonts w:eastAsia="Calibri" w:cs="Segoe UI"/>
                <w:sz w:val="16"/>
                <w:szCs w:val="16"/>
              </w:rPr>
              <w:t xml:space="preserve">Bc. </w:t>
            </w:r>
            <w:r w:rsidR="00AF4350" w:rsidRPr="00273758">
              <w:rPr>
                <w:rFonts w:eastAsia="Calibri" w:cs="Segoe UI"/>
                <w:sz w:val="16"/>
                <w:szCs w:val="16"/>
              </w:rPr>
              <w:t>Bohumila Ptáčková</w:t>
            </w:r>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Městský úřad Jeseník, Odbor sociálních věcí a zdravotnictví</w:t>
            </w:r>
          </w:p>
        </w:tc>
        <w:tc>
          <w:tcPr>
            <w:tcW w:w="833"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 xml:space="preserve">David </w:t>
            </w:r>
            <w:proofErr w:type="spellStart"/>
            <w:r w:rsidRPr="00273758">
              <w:rPr>
                <w:rFonts w:eastAsia="Arial Unicode MS" w:cs="Segoe UI"/>
                <w:sz w:val="16"/>
                <w:szCs w:val="16"/>
              </w:rPr>
              <w:t>Bezdomnikov</w:t>
            </w:r>
            <w:proofErr w:type="spellEnd"/>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Společnost Podané ruce o. p. s.</w:t>
            </w:r>
          </w:p>
        </w:tc>
        <w:tc>
          <w:tcPr>
            <w:tcW w:w="834"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Mgr. Tomáš Kocman</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Magistrát města Olomouce, Odbor sociálních věcí</w:t>
            </w:r>
          </w:p>
          <w:p w:rsidR="00AF4350" w:rsidRPr="00273758" w:rsidRDefault="00AF4350" w:rsidP="00273758">
            <w:pPr>
              <w:spacing w:before="0"/>
              <w:jc w:val="center"/>
              <w:rPr>
                <w:rFonts w:eastAsia="Arial Unicode MS" w:cs="Segoe UI"/>
                <w:sz w:val="16"/>
                <w:szCs w:val="16"/>
              </w:rPr>
            </w:pPr>
          </w:p>
        </w:tc>
      </w:tr>
      <w:tr w:rsidR="00AF4350" w:rsidRPr="00273758" w:rsidTr="00E368D3">
        <w:trPr>
          <w:cantSplit/>
          <w:trHeight w:val="20"/>
          <w:jc w:val="center"/>
        </w:trPr>
        <w:tc>
          <w:tcPr>
            <w:tcW w:w="885"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Mgr. Simona Dohnalová</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Středisko sociální prevence Olomouc, p. o.</w:t>
            </w:r>
          </w:p>
        </w:tc>
        <w:tc>
          <w:tcPr>
            <w:tcW w:w="781"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Arial Unicode MS" w:cs="Segoe UI"/>
                <w:sz w:val="16"/>
                <w:szCs w:val="16"/>
              </w:rPr>
              <w:t>Mgr. Hana Mazalová</w:t>
            </w:r>
          </w:p>
          <w:p w:rsidR="00AF4350" w:rsidRPr="00273758" w:rsidRDefault="00AF4350" w:rsidP="00273758">
            <w:pPr>
              <w:spacing w:before="0"/>
              <w:jc w:val="center"/>
              <w:rPr>
                <w:rFonts w:eastAsia="Arial Unicode MS" w:cs="Segoe UI"/>
                <w:sz w:val="16"/>
                <w:szCs w:val="16"/>
              </w:rPr>
            </w:pPr>
            <w:proofErr w:type="spellStart"/>
            <w:r w:rsidRPr="00273758">
              <w:rPr>
                <w:rFonts w:eastAsia="Arial Unicode MS" w:cs="Segoe UI"/>
                <w:sz w:val="16"/>
                <w:szCs w:val="16"/>
              </w:rPr>
              <w:t>Vincentinum</w:t>
            </w:r>
            <w:proofErr w:type="spellEnd"/>
            <w:r w:rsidRPr="00273758">
              <w:rPr>
                <w:rFonts w:eastAsia="Arial Unicode MS" w:cs="Segoe UI"/>
                <w:sz w:val="16"/>
                <w:szCs w:val="16"/>
              </w:rPr>
              <w:t>- poskytovatel sociálních služeb Šternberk, p. o.</w:t>
            </w:r>
          </w:p>
        </w:tc>
        <w:tc>
          <w:tcPr>
            <w:tcW w:w="833"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Bc. Monika Kubjatová</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Mobilní hospic Strom života</w:t>
            </w:r>
          </w:p>
        </w:tc>
        <w:tc>
          <w:tcPr>
            <w:tcW w:w="833" w:type="pct"/>
            <w:shd w:val="clear" w:color="auto" w:fill="FFFFFF" w:themeFill="background1"/>
          </w:tcPr>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Mgr. Břetislav Fiala</w:t>
            </w:r>
          </w:p>
          <w:p w:rsidR="00AF4350" w:rsidRPr="00273758" w:rsidRDefault="00AF4350" w:rsidP="00273758">
            <w:pPr>
              <w:spacing w:before="0"/>
              <w:jc w:val="center"/>
              <w:rPr>
                <w:rFonts w:eastAsia="Arial Unicode MS" w:cs="Segoe UI"/>
                <w:sz w:val="16"/>
                <w:szCs w:val="16"/>
              </w:rPr>
            </w:pPr>
            <w:r w:rsidRPr="00273758">
              <w:rPr>
                <w:rFonts w:eastAsia="Arial Unicode MS" w:cs="Segoe UI"/>
                <w:sz w:val="16"/>
                <w:szCs w:val="16"/>
              </w:rPr>
              <w:t>Úřad vlády ČR – Agentura pro sociální začleňování</w:t>
            </w:r>
          </w:p>
        </w:tc>
        <w:tc>
          <w:tcPr>
            <w:tcW w:w="833"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Mgr. Alena Pizúrová</w:t>
            </w:r>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Charita Přerov</w:t>
            </w:r>
          </w:p>
        </w:tc>
        <w:tc>
          <w:tcPr>
            <w:tcW w:w="834" w:type="pct"/>
            <w:shd w:val="clear" w:color="auto" w:fill="FFFFFF" w:themeFill="background1"/>
          </w:tcPr>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Bc. Miroslava Machová</w:t>
            </w:r>
          </w:p>
          <w:p w:rsidR="00AF4350" w:rsidRPr="00273758" w:rsidRDefault="00AF4350" w:rsidP="00273758">
            <w:pPr>
              <w:spacing w:before="0"/>
              <w:jc w:val="center"/>
              <w:rPr>
                <w:rFonts w:eastAsia="Calibri" w:cs="Segoe UI"/>
                <w:sz w:val="16"/>
                <w:szCs w:val="16"/>
              </w:rPr>
            </w:pPr>
            <w:r w:rsidRPr="00273758">
              <w:rPr>
                <w:rFonts w:eastAsia="Calibri" w:cs="Segoe UI"/>
                <w:sz w:val="16"/>
                <w:szCs w:val="16"/>
              </w:rPr>
              <w:t>Městský úřad Zábřeh, Odbor sociálních věci</w:t>
            </w:r>
          </w:p>
        </w:tc>
      </w:tr>
    </w:tbl>
    <w:p w:rsidR="00A86077" w:rsidRDefault="00A86077"/>
    <w:tbl>
      <w:tblPr>
        <w:tblStyle w:val="Mkatabulky252"/>
        <w:tblpPr w:leftFromText="141" w:rightFromText="141" w:vertAnchor="text" w:tblpXSpec="center"/>
        <w:tblW w:w="5284" w:type="pct"/>
        <w:jc w:val="center"/>
        <w:shd w:val="clear" w:color="auto" w:fill="FFFFFF" w:themeFill="background1"/>
        <w:tblLayout w:type="fixed"/>
        <w:tblLook w:val="01E0" w:firstRow="1" w:lastRow="1" w:firstColumn="1" w:lastColumn="1" w:noHBand="0" w:noVBand="0"/>
      </w:tblPr>
      <w:tblGrid>
        <w:gridCol w:w="1596"/>
        <w:gridCol w:w="1596"/>
        <w:gridCol w:w="1596"/>
        <w:gridCol w:w="1596"/>
        <w:gridCol w:w="1596"/>
        <w:gridCol w:w="1597"/>
      </w:tblGrid>
      <w:tr w:rsidR="00A86077" w:rsidRPr="00273758" w:rsidTr="00A86077">
        <w:trPr>
          <w:cantSplit/>
          <w:trHeight w:val="20"/>
          <w:jc w:val="center"/>
        </w:trPr>
        <w:tc>
          <w:tcPr>
            <w:tcW w:w="833" w:type="pct"/>
            <w:shd w:val="clear" w:color="auto" w:fill="F2F2F2" w:themeFill="background1" w:themeFillShade="F2"/>
          </w:tcPr>
          <w:p w:rsidR="00A86077" w:rsidRPr="00273758" w:rsidRDefault="00A86077" w:rsidP="00A86077">
            <w:pPr>
              <w:spacing w:before="0"/>
              <w:jc w:val="center"/>
              <w:rPr>
                <w:rFonts w:eastAsia="Arial Unicode MS" w:cs="Segoe UI"/>
                <w:bCs/>
                <w:sz w:val="16"/>
                <w:szCs w:val="16"/>
              </w:rPr>
            </w:pPr>
            <w:r w:rsidRPr="00273758">
              <w:rPr>
                <w:rFonts w:eastAsia="Arial Unicode MS" w:cs="Segoe UI"/>
                <w:b/>
                <w:sz w:val="16"/>
                <w:szCs w:val="16"/>
              </w:rPr>
              <w:lastRenderedPageBreak/>
              <w:t>PS 1 – Děti, mládež a rodina</w:t>
            </w:r>
          </w:p>
        </w:tc>
        <w:tc>
          <w:tcPr>
            <w:tcW w:w="833" w:type="pct"/>
            <w:shd w:val="clear" w:color="auto" w:fill="F2F2F2" w:themeFill="background1" w:themeFillShade="F2"/>
          </w:tcPr>
          <w:p w:rsidR="00A86077" w:rsidRPr="00273758" w:rsidRDefault="00A86077" w:rsidP="00A86077">
            <w:pPr>
              <w:jc w:val="center"/>
              <w:rPr>
                <w:rFonts w:eastAsia="Arial Unicode MS" w:cs="Segoe UI"/>
                <w:sz w:val="16"/>
                <w:szCs w:val="16"/>
              </w:rPr>
            </w:pPr>
            <w:r w:rsidRPr="00273758">
              <w:rPr>
                <w:rFonts w:eastAsia="Arial Unicode MS" w:cs="Segoe UI"/>
                <w:b/>
                <w:sz w:val="16"/>
                <w:szCs w:val="16"/>
              </w:rPr>
              <w:t>PS 2 – Osoby se zdravotním postižením</w:t>
            </w:r>
          </w:p>
        </w:tc>
        <w:tc>
          <w:tcPr>
            <w:tcW w:w="833" w:type="pct"/>
            <w:shd w:val="clear" w:color="auto" w:fill="F2F2F2" w:themeFill="background1" w:themeFillShade="F2"/>
          </w:tcPr>
          <w:p w:rsidR="00A86077" w:rsidRPr="00273758" w:rsidRDefault="00A86077" w:rsidP="00A86077">
            <w:pPr>
              <w:jc w:val="center"/>
              <w:rPr>
                <w:rFonts w:eastAsia="Arial Unicode MS" w:cs="Segoe UI"/>
                <w:sz w:val="16"/>
                <w:szCs w:val="16"/>
              </w:rPr>
            </w:pPr>
            <w:r w:rsidRPr="00273758">
              <w:rPr>
                <w:rFonts w:eastAsia="Arial Unicode MS" w:cs="Segoe UI"/>
                <w:b/>
                <w:sz w:val="16"/>
                <w:szCs w:val="16"/>
              </w:rPr>
              <w:t>PS 3 – Senioři</w:t>
            </w:r>
          </w:p>
        </w:tc>
        <w:tc>
          <w:tcPr>
            <w:tcW w:w="833" w:type="pct"/>
            <w:shd w:val="clear" w:color="auto" w:fill="F2F2F2" w:themeFill="background1" w:themeFillShade="F2"/>
          </w:tcPr>
          <w:p w:rsidR="00A86077" w:rsidRPr="00273758" w:rsidRDefault="00A86077" w:rsidP="00A86077">
            <w:pPr>
              <w:jc w:val="center"/>
              <w:rPr>
                <w:rFonts w:eastAsia="Calibri" w:cs="Segoe UI"/>
                <w:sz w:val="16"/>
                <w:szCs w:val="16"/>
              </w:rPr>
            </w:pPr>
            <w:r w:rsidRPr="00273758">
              <w:rPr>
                <w:rFonts w:eastAsia="Arial Unicode MS" w:cs="Segoe UI"/>
                <w:b/>
                <w:sz w:val="16"/>
                <w:szCs w:val="16"/>
              </w:rPr>
              <w:t>PS 4 – Etnické menšiny a cizinci</w:t>
            </w:r>
          </w:p>
        </w:tc>
        <w:tc>
          <w:tcPr>
            <w:tcW w:w="833" w:type="pct"/>
            <w:shd w:val="clear" w:color="auto" w:fill="F2F2F2" w:themeFill="background1" w:themeFillShade="F2"/>
          </w:tcPr>
          <w:p w:rsidR="00A86077" w:rsidRPr="00273758" w:rsidRDefault="00A86077" w:rsidP="00A86077">
            <w:pPr>
              <w:jc w:val="center"/>
              <w:rPr>
                <w:rFonts w:eastAsia="Arial Unicode MS" w:cs="Segoe UI"/>
                <w:sz w:val="16"/>
                <w:szCs w:val="16"/>
              </w:rPr>
            </w:pPr>
            <w:r w:rsidRPr="00273758">
              <w:rPr>
                <w:rFonts w:eastAsia="Arial Unicode MS" w:cs="Segoe UI"/>
                <w:b/>
                <w:sz w:val="16"/>
                <w:szCs w:val="16"/>
              </w:rPr>
              <w:t>PS 5 – Osoby v krizi a osoby sociálně vyloučené</w:t>
            </w:r>
          </w:p>
        </w:tc>
        <w:tc>
          <w:tcPr>
            <w:tcW w:w="834" w:type="pct"/>
            <w:shd w:val="clear" w:color="auto" w:fill="F2F2F2" w:themeFill="background1" w:themeFillShade="F2"/>
          </w:tcPr>
          <w:p w:rsidR="00A86077" w:rsidRPr="00273758" w:rsidRDefault="00A86077" w:rsidP="00A86077">
            <w:pPr>
              <w:jc w:val="center"/>
              <w:rPr>
                <w:rFonts w:eastAsia="Calibri" w:cs="Segoe UI"/>
                <w:sz w:val="16"/>
                <w:szCs w:val="16"/>
              </w:rPr>
            </w:pPr>
            <w:r w:rsidRPr="00273758">
              <w:rPr>
                <w:rFonts w:eastAsia="Arial Unicode MS" w:cs="Segoe UI"/>
                <w:b/>
                <w:sz w:val="16"/>
                <w:szCs w:val="16"/>
              </w:rPr>
              <w:t>PS 6 - Osoby ohrožené návykovým jednáním</w:t>
            </w:r>
          </w:p>
        </w:tc>
      </w:tr>
      <w:tr w:rsidR="00A86077" w:rsidRPr="00273758" w:rsidTr="00A86077">
        <w:trPr>
          <w:cantSplit/>
          <w:trHeight w:val="20"/>
          <w:jc w:val="center"/>
        </w:trPr>
        <w:tc>
          <w:tcPr>
            <w:tcW w:w="833" w:type="pct"/>
            <w:shd w:val="clear" w:color="auto" w:fill="FFFFFF" w:themeFill="background1"/>
          </w:tcPr>
          <w:p w:rsidR="00A86077" w:rsidRPr="00273758" w:rsidRDefault="00A86077" w:rsidP="00A86077">
            <w:pPr>
              <w:spacing w:before="0"/>
              <w:jc w:val="center"/>
              <w:rPr>
                <w:rFonts w:eastAsia="Arial Unicode MS" w:cs="Segoe UI"/>
                <w:sz w:val="16"/>
                <w:szCs w:val="16"/>
              </w:rPr>
            </w:pPr>
            <w:r w:rsidRPr="00273758">
              <w:rPr>
                <w:rFonts w:eastAsia="Arial Unicode MS" w:cs="Segoe UI"/>
                <w:bCs/>
                <w:sz w:val="16"/>
                <w:szCs w:val="16"/>
              </w:rPr>
              <w:t>Mgr.</w:t>
            </w:r>
            <w:r w:rsidRPr="00273758">
              <w:rPr>
                <w:rFonts w:eastAsia="Arial Unicode MS" w:cs="Segoe UI"/>
                <w:sz w:val="16"/>
                <w:szCs w:val="16"/>
              </w:rPr>
              <w:t xml:space="preserve"> </w:t>
            </w:r>
            <w:r w:rsidRPr="00273758">
              <w:rPr>
                <w:rFonts w:eastAsia="Arial Unicode MS" w:cs="Segoe UI"/>
                <w:bCs/>
                <w:sz w:val="16"/>
                <w:szCs w:val="16"/>
              </w:rPr>
              <w:t xml:space="preserve">Hana </w:t>
            </w:r>
            <w:proofErr w:type="spellStart"/>
            <w:r w:rsidRPr="00273758">
              <w:rPr>
                <w:rFonts w:eastAsia="Arial Unicode MS" w:cs="Segoe UI"/>
                <w:bCs/>
                <w:sz w:val="16"/>
                <w:szCs w:val="16"/>
              </w:rPr>
              <w:t>Horčicová</w:t>
            </w:r>
            <w:proofErr w:type="spellEnd"/>
            <w:r w:rsidRPr="00273758">
              <w:rPr>
                <w:rFonts w:eastAsia="Arial Unicode MS" w:cs="Segoe UI"/>
                <w:sz w:val="16"/>
                <w:szCs w:val="16"/>
              </w:rPr>
              <w:t xml:space="preserve"> Městský úřad Zábřeh</w:t>
            </w:r>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Ing. Martina Pekařová</w:t>
            </w:r>
          </w:p>
          <w:p w:rsidR="00A86077" w:rsidRPr="00273758" w:rsidRDefault="00A86077" w:rsidP="00A86077">
            <w:pPr>
              <w:spacing w:before="0"/>
              <w:jc w:val="center"/>
              <w:rPr>
                <w:rFonts w:eastAsia="Arial Unicode MS" w:cs="Segoe UI"/>
                <w:sz w:val="16"/>
                <w:szCs w:val="16"/>
              </w:rPr>
            </w:pPr>
            <w:r w:rsidRPr="00273758">
              <w:rPr>
                <w:rFonts w:eastAsia="Calibri" w:cs="Segoe UI"/>
                <w:sz w:val="16"/>
                <w:szCs w:val="16"/>
              </w:rPr>
              <w:t>Společnost pro ranou péči,</w:t>
            </w:r>
            <w:r>
              <w:rPr>
                <w:rFonts w:eastAsia="Calibri" w:cs="Segoe UI"/>
                <w:sz w:val="16"/>
                <w:szCs w:val="16"/>
              </w:rPr>
              <w:t xml:space="preserve"> </w:t>
            </w:r>
            <w:r w:rsidRPr="00273758">
              <w:rPr>
                <w:rFonts w:eastAsia="Calibri" w:cs="Segoe UI"/>
                <w:sz w:val="16"/>
                <w:szCs w:val="16"/>
              </w:rPr>
              <w:t>pobočka pro zrak Olomouc</w:t>
            </w:r>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Bc. Petra Kejvalová, Dis.</w:t>
            </w:r>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Charita Litovel</w:t>
            </w:r>
          </w:p>
        </w:tc>
        <w:tc>
          <w:tcPr>
            <w:tcW w:w="833" w:type="pct"/>
            <w:shd w:val="clear" w:color="auto" w:fill="FFFFFF" w:themeFill="background1"/>
          </w:tcPr>
          <w:p w:rsidR="00A86077" w:rsidRPr="00273758" w:rsidRDefault="00E368D3" w:rsidP="00A86077">
            <w:pPr>
              <w:jc w:val="center"/>
              <w:rPr>
                <w:rFonts w:eastAsia="Calibri" w:cs="Segoe UI"/>
                <w:sz w:val="16"/>
                <w:szCs w:val="16"/>
              </w:rPr>
            </w:pPr>
            <w:r>
              <w:rPr>
                <w:rFonts w:eastAsia="Calibri" w:cs="Segoe UI"/>
                <w:sz w:val="16"/>
                <w:szCs w:val="16"/>
              </w:rPr>
              <w:t xml:space="preserve">Mgr. </w:t>
            </w:r>
            <w:r w:rsidR="00A86077" w:rsidRPr="00273758">
              <w:rPr>
                <w:rFonts w:eastAsia="Calibri" w:cs="Segoe UI"/>
                <w:sz w:val="16"/>
                <w:szCs w:val="16"/>
              </w:rPr>
              <w:t xml:space="preserve">Robert </w:t>
            </w:r>
            <w:proofErr w:type="spellStart"/>
            <w:r w:rsidR="00A86077" w:rsidRPr="00273758">
              <w:rPr>
                <w:rFonts w:eastAsia="Calibri" w:cs="Segoe UI"/>
                <w:sz w:val="16"/>
                <w:szCs w:val="16"/>
              </w:rPr>
              <w:t>Sutorý</w:t>
            </w:r>
            <w:proofErr w:type="spellEnd"/>
          </w:p>
          <w:p w:rsidR="00A86077" w:rsidRPr="00273758" w:rsidRDefault="00A86077" w:rsidP="00A86077">
            <w:pPr>
              <w:spacing w:before="0"/>
              <w:jc w:val="center"/>
              <w:rPr>
                <w:rFonts w:eastAsia="Arial Unicode MS" w:cs="Segoe UI"/>
                <w:sz w:val="16"/>
                <w:szCs w:val="16"/>
              </w:rPr>
            </w:pPr>
            <w:r w:rsidRPr="00273758">
              <w:rPr>
                <w:rFonts w:eastAsia="Calibri" w:cs="Segoe UI"/>
                <w:sz w:val="16"/>
                <w:szCs w:val="16"/>
              </w:rPr>
              <w:t>Městský úřad Hranice, oddělení sociálně-právní ochrany dětí, sociální prevence</w:t>
            </w:r>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Bc. Michal Láš</w:t>
            </w:r>
          </w:p>
          <w:p w:rsidR="00A86077" w:rsidRPr="00273758" w:rsidRDefault="00A86077" w:rsidP="00A86077">
            <w:pPr>
              <w:spacing w:before="0"/>
              <w:jc w:val="center"/>
              <w:rPr>
                <w:rFonts w:eastAsia="Calibri" w:cs="Segoe UI"/>
                <w:sz w:val="16"/>
                <w:szCs w:val="16"/>
              </w:rPr>
            </w:pPr>
            <w:r w:rsidRPr="00273758">
              <w:rPr>
                <w:rFonts w:eastAsia="Arial Unicode MS" w:cs="Segoe UI"/>
                <w:sz w:val="16"/>
                <w:szCs w:val="16"/>
              </w:rPr>
              <w:t>Člověk v tísni, o. p. s., pobočka Olomoucký kraj</w:t>
            </w:r>
          </w:p>
        </w:tc>
        <w:tc>
          <w:tcPr>
            <w:tcW w:w="834"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Calibri" w:cs="Segoe UI"/>
                <w:sz w:val="16"/>
                <w:szCs w:val="16"/>
              </w:rPr>
              <w:t xml:space="preserve">Jakub </w:t>
            </w:r>
            <w:proofErr w:type="spellStart"/>
            <w:r w:rsidRPr="00273758">
              <w:rPr>
                <w:rFonts w:eastAsia="Calibri" w:cs="Segoe UI"/>
                <w:sz w:val="16"/>
                <w:szCs w:val="16"/>
              </w:rPr>
              <w:t>Lívanský</w:t>
            </w:r>
            <w:proofErr w:type="spellEnd"/>
            <w:r w:rsidRPr="00273758">
              <w:rPr>
                <w:rFonts w:eastAsia="Calibri" w:cs="Segoe UI"/>
                <w:sz w:val="16"/>
                <w:szCs w:val="16"/>
              </w:rPr>
              <w:t>, DiS.</w:t>
            </w:r>
          </w:p>
          <w:p w:rsidR="00A86077" w:rsidRPr="00273758" w:rsidRDefault="00A86077" w:rsidP="00A86077">
            <w:pPr>
              <w:spacing w:before="0"/>
              <w:jc w:val="center"/>
              <w:rPr>
                <w:rFonts w:eastAsia="Calibri" w:cs="Segoe UI"/>
                <w:sz w:val="16"/>
                <w:szCs w:val="16"/>
              </w:rPr>
            </w:pPr>
            <w:r w:rsidRPr="00273758">
              <w:rPr>
                <w:rFonts w:eastAsia="Calibri" w:cs="Segoe UI"/>
                <w:sz w:val="16"/>
                <w:szCs w:val="16"/>
              </w:rPr>
              <w:t>PONTIS Šumperk o. p. s.</w:t>
            </w:r>
          </w:p>
        </w:tc>
      </w:tr>
      <w:tr w:rsidR="00A86077" w:rsidRPr="00273758" w:rsidTr="00A86077">
        <w:trPr>
          <w:cantSplit/>
          <w:trHeight w:val="20"/>
          <w:jc w:val="center"/>
        </w:trPr>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Calibri" w:cs="Segoe UI"/>
                <w:sz w:val="16"/>
                <w:szCs w:val="16"/>
              </w:rPr>
              <w:t>PhDr. Lenka Poláková</w:t>
            </w:r>
          </w:p>
          <w:p w:rsidR="00A86077" w:rsidRPr="00273758" w:rsidRDefault="00A86077" w:rsidP="00A86077">
            <w:pPr>
              <w:jc w:val="center"/>
              <w:rPr>
                <w:rFonts w:eastAsia="Calibri" w:cs="Segoe UI"/>
                <w:sz w:val="16"/>
                <w:szCs w:val="16"/>
              </w:rPr>
            </w:pPr>
            <w:r w:rsidRPr="00273758">
              <w:rPr>
                <w:rFonts w:eastAsia="Calibri" w:cs="Segoe UI"/>
                <w:sz w:val="16"/>
                <w:szCs w:val="16"/>
              </w:rPr>
              <w:t>Rodinné centrum</w:t>
            </w:r>
          </w:p>
          <w:p w:rsidR="00A86077" w:rsidRPr="00273758" w:rsidRDefault="00A86077" w:rsidP="00A86077">
            <w:pPr>
              <w:spacing w:before="0"/>
              <w:jc w:val="center"/>
              <w:rPr>
                <w:rFonts w:eastAsia="Arial Unicode MS" w:cs="Segoe UI"/>
                <w:sz w:val="16"/>
                <w:szCs w:val="16"/>
              </w:rPr>
            </w:pPr>
            <w:r w:rsidRPr="00273758">
              <w:rPr>
                <w:rFonts w:eastAsia="Calibri" w:cs="Segoe UI"/>
                <w:sz w:val="16"/>
                <w:szCs w:val="16"/>
              </w:rPr>
              <w:t>U mloka</w:t>
            </w:r>
          </w:p>
        </w:tc>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Arial Unicode MS" w:cs="Segoe UI"/>
                <w:sz w:val="16"/>
                <w:szCs w:val="16"/>
              </w:rPr>
              <w:t>Mgr. Věra Jurečková</w:t>
            </w:r>
          </w:p>
          <w:p w:rsidR="00A86077" w:rsidRPr="00273758" w:rsidRDefault="00A86077" w:rsidP="00A86077">
            <w:pPr>
              <w:jc w:val="center"/>
              <w:rPr>
                <w:rFonts w:eastAsia="Arial Unicode MS" w:cs="Segoe UI"/>
                <w:sz w:val="16"/>
                <w:szCs w:val="16"/>
              </w:rPr>
            </w:pPr>
            <w:proofErr w:type="spellStart"/>
            <w:r w:rsidRPr="00273758">
              <w:rPr>
                <w:rFonts w:eastAsia="Arial Unicode MS" w:cs="Segoe UI"/>
                <w:sz w:val="16"/>
                <w:szCs w:val="16"/>
              </w:rPr>
              <w:t>TyfloCentrum</w:t>
            </w:r>
            <w:proofErr w:type="spellEnd"/>
            <w:r w:rsidRPr="00273758">
              <w:rPr>
                <w:rFonts w:eastAsia="Arial Unicode MS" w:cs="Segoe UI"/>
                <w:sz w:val="16"/>
                <w:szCs w:val="16"/>
              </w:rPr>
              <w:t xml:space="preserve"> Olomouc, o. p. s.</w:t>
            </w:r>
          </w:p>
          <w:p w:rsidR="00A86077" w:rsidRPr="00273758" w:rsidRDefault="00A86077" w:rsidP="00A86077">
            <w:pPr>
              <w:spacing w:before="0"/>
              <w:jc w:val="center"/>
              <w:rPr>
                <w:rFonts w:eastAsia="Arial Unicode MS" w:cs="Segoe UI"/>
                <w:sz w:val="16"/>
                <w:szCs w:val="16"/>
              </w:rPr>
            </w:pPr>
          </w:p>
        </w:tc>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Calibri" w:cs="Segoe UI"/>
                <w:sz w:val="16"/>
                <w:szCs w:val="16"/>
              </w:rPr>
              <w:t>Karel Junek</w:t>
            </w:r>
          </w:p>
          <w:p w:rsidR="00A86077" w:rsidRPr="00273758" w:rsidRDefault="00A86077" w:rsidP="00A86077">
            <w:pPr>
              <w:spacing w:before="0"/>
              <w:jc w:val="center"/>
              <w:rPr>
                <w:rFonts w:eastAsia="Arial Unicode MS" w:cs="Segoe UI"/>
                <w:sz w:val="16"/>
                <w:szCs w:val="16"/>
              </w:rPr>
            </w:pPr>
            <w:r w:rsidRPr="00273758">
              <w:rPr>
                <w:rFonts w:eastAsia="Calibri" w:cs="Segoe UI"/>
                <w:sz w:val="16"/>
                <w:szCs w:val="16"/>
              </w:rPr>
              <w:t>Domov pro seniory a pečovatelská služba Mohelnice, p. o.</w:t>
            </w:r>
          </w:p>
        </w:tc>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Calibri" w:cs="Segoe UI"/>
                <w:sz w:val="16"/>
                <w:szCs w:val="16"/>
              </w:rPr>
              <w:t>Mgr. Vratislav Číhal</w:t>
            </w:r>
          </w:p>
          <w:p w:rsidR="00A86077" w:rsidRPr="00273758" w:rsidRDefault="00A86077" w:rsidP="00A86077">
            <w:pPr>
              <w:spacing w:before="0"/>
              <w:jc w:val="center"/>
              <w:rPr>
                <w:rFonts w:eastAsia="Arial Unicode MS" w:cs="Segoe UI"/>
                <w:sz w:val="16"/>
                <w:szCs w:val="16"/>
              </w:rPr>
            </w:pPr>
            <w:r w:rsidRPr="00273758">
              <w:rPr>
                <w:rFonts w:eastAsia="Calibri" w:cs="Segoe UI"/>
                <w:sz w:val="16"/>
                <w:szCs w:val="16"/>
              </w:rPr>
              <w:t>KŘ Policie ČR</w:t>
            </w:r>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Bc. Lenka Jořenková, DiS.</w:t>
            </w:r>
          </w:p>
          <w:p w:rsidR="00A86077" w:rsidRPr="00273758" w:rsidRDefault="00A86077" w:rsidP="00A86077">
            <w:pPr>
              <w:spacing w:before="0"/>
              <w:jc w:val="center"/>
              <w:rPr>
                <w:rFonts w:eastAsia="Calibri" w:cs="Segoe UI"/>
                <w:sz w:val="16"/>
                <w:szCs w:val="16"/>
              </w:rPr>
            </w:pPr>
            <w:r w:rsidRPr="00273758">
              <w:rPr>
                <w:rFonts w:eastAsia="Arial Unicode MS" w:cs="Segoe UI"/>
                <w:sz w:val="16"/>
                <w:szCs w:val="16"/>
              </w:rPr>
              <w:t>Centrum sociálních služeb Uničov, p. o.</w:t>
            </w:r>
          </w:p>
        </w:tc>
        <w:tc>
          <w:tcPr>
            <w:tcW w:w="834"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Arial Unicode MS" w:cs="Segoe UI"/>
                <w:sz w:val="16"/>
                <w:szCs w:val="16"/>
              </w:rPr>
              <w:t xml:space="preserve">MUDr. Jarmila </w:t>
            </w:r>
            <w:proofErr w:type="spellStart"/>
            <w:r w:rsidRPr="00273758">
              <w:rPr>
                <w:rFonts w:eastAsia="Arial Unicode MS" w:cs="Segoe UI"/>
                <w:sz w:val="16"/>
                <w:szCs w:val="16"/>
              </w:rPr>
              <w:t>Šmoldasová</w:t>
            </w:r>
            <w:proofErr w:type="spellEnd"/>
          </w:p>
          <w:p w:rsidR="00A86077" w:rsidRPr="00273758" w:rsidRDefault="00A86077" w:rsidP="00A86077">
            <w:pPr>
              <w:spacing w:before="0"/>
              <w:jc w:val="center"/>
              <w:rPr>
                <w:rFonts w:eastAsia="Calibri" w:cs="Segoe UI"/>
                <w:sz w:val="16"/>
                <w:szCs w:val="16"/>
              </w:rPr>
            </w:pPr>
            <w:r w:rsidRPr="00273758">
              <w:rPr>
                <w:rFonts w:eastAsia="Arial Unicode MS" w:cs="Segoe UI"/>
                <w:sz w:val="16"/>
                <w:szCs w:val="16"/>
              </w:rPr>
              <w:t>Klinika psychiatrie, FN Olomouc</w:t>
            </w:r>
          </w:p>
        </w:tc>
      </w:tr>
      <w:tr w:rsidR="00A86077" w:rsidRPr="00273758" w:rsidTr="00A86077">
        <w:trPr>
          <w:cantSplit/>
          <w:trHeight w:val="20"/>
          <w:jc w:val="center"/>
        </w:trPr>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Calibri" w:cs="Segoe UI"/>
                <w:sz w:val="16"/>
                <w:szCs w:val="16"/>
              </w:rPr>
              <w:t>Mgr. Bc. Pavlína Dočkalová</w:t>
            </w:r>
          </w:p>
          <w:p w:rsidR="00A86077" w:rsidRPr="00273758" w:rsidRDefault="00A86077" w:rsidP="00A86077">
            <w:pPr>
              <w:spacing w:before="0"/>
              <w:jc w:val="center"/>
              <w:rPr>
                <w:rFonts w:eastAsia="Arial Unicode MS" w:cs="Segoe UI"/>
                <w:sz w:val="16"/>
                <w:szCs w:val="16"/>
              </w:rPr>
            </w:pPr>
            <w:r w:rsidRPr="00273758">
              <w:rPr>
                <w:rFonts w:eastAsia="Calibri" w:cs="Segoe UI"/>
                <w:sz w:val="16"/>
                <w:szCs w:val="16"/>
              </w:rPr>
              <w:t>Magistrát města Prostějova, Odbor sociálních věcí</w:t>
            </w:r>
          </w:p>
        </w:tc>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Arial Unicode MS" w:cs="Segoe UI"/>
                <w:sz w:val="16"/>
                <w:szCs w:val="16"/>
              </w:rPr>
              <w:t>Ing. Věra Nedomová</w:t>
            </w:r>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DĚTSKÝ KLÍČ Šumperk, o. p. s.</w:t>
            </w:r>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Mgr. Simona Hašová</w:t>
            </w:r>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Domov seniorů Hranice, p. o.</w:t>
            </w:r>
          </w:p>
        </w:tc>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Arial Unicode MS" w:cs="Segoe UI"/>
                <w:sz w:val="16"/>
                <w:szCs w:val="16"/>
              </w:rPr>
              <w:t>Mgr. Jana Kapplová</w:t>
            </w:r>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Městský úřad Zábřeh, Odbor sociálních věcí</w:t>
            </w:r>
          </w:p>
        </w:tc>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Calibri" w:cs="Segoe UI"/>
                <w:sz w:val="16"/>
                <w:szCs w:val="16"/>
              </w:rPr>
              <w:t>Mgr. Jiří Novák</w:t>
            </w:r>
          </w:p>
          <w:p w:rsidR="00A86077" w:rsidRPr="00273758" w:rsidRDefault="00A86077" w:rsidP="00A86077">
            <w:pPr>
              <w:spacing w:before="0"/>
              <w:jc w:val="center"/>
              <w:rPr>
                <w:rFonts w:eastAsia="Calibri" w:cs="Segoe UI"/>
                <w:sz w:val="16"/>
                <w:szCs w:val="16"/>
              </w:rPr>
            </w:pPr>
            <w:r w:rsidRPr="00273758">
              <w:rPr>
                <w:rFonts w:eastAsia="Calibri" w:cs="Segoe UI"/>
                <w:sz w:val="16"/>
                <w:szCs w:val="16"/>
              </w:rPr>
              <w:t>PONTIS, Šumperk, o. p. s.</w:t>
            </w:r>
          </w:p>
        </w:tc>
        <w:tc>
          <w:tcPr>
            <w:tcW w:w="834" w:type="pct"/>
            <w:shd w:val="clear" w:color="auto" w:fill="FFFFFF" w:themeFill="background1"/>
          </w:tcPr>
          <w:p w:rsidR="00A86077" w:rsidRPr="00273758" w:rsidRDefault="00A86077" w:rsidP="00A86077">
            <w:pPr>
              <w:spacing w:before="0"/>
              <w:jc w:val="center"/>
              <w:rPr>
                <w:rFonts w:eastAsia="Calibri" w:cs="Segoe UI"/>
                <w:sz w:val="16"/>
                <w:szCs w:val="16"/>
              </w:rPr>
            </w:pPr>
          </w:p>
        </w:tc>
      </w:tr>
      <w:tr w:rsidR="00A86077" w:rsidRPr="00273758" w:rsidTr="00A86077">
        <w:trPr>
          <w:cantSplit/>
          <w:trHeight w:val="20"/>
          <w:jc w:val="center"/>
        </w:trPr>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Calibri" w:cs="Segoe UI"/>
                <w:sz w:val="16"/>
                <w:szCs w:val="16"/>
              </w:rPr>
              <w:t>Bc. Eva Poláchová, DiS.</w:t>
            </w:r>
          </w:p>
          <w:p w:rsidR="00A86077" w:rsidRPr="00273758" w:rsidRDefault="00A86077" w:rsidP="00A86077">
            <w:pPr>
              <w:spacing w:before="0"/>
              <w:jc w:val="center"/>
              <w:rPr>
                <w:rFonts w:eastAsia="Arial Unicode MS" w:cs="Segoe UI"/>
                <w:sz w:val="16"/>
                <w:szCs w:val="16"/>
              </w:rPr>
            </w:pPr>
            <w:r w:rsidRPr="00273758">
              <w:rPr>
                <w:rFonts w:eastAsia="Calibri" w:cs="Segoe UI"/>
                <w:sz w:val="16"/>
                <w:szCs w:val="16"/>
              </w:rPr>
              <w:t>Magistrát města Přerova, Odbor sociálních věcí a školství</w:t>
            </w:r>
          </w:p>
        </w:tc>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Arial Unicode MS" w:cs="Segoe UI"/>
                <w:sz w:val="16"/>
                <w:szCs w:val="16"/>
              </w:rPr>
              <w:t>Mgr. Stanislav Turek</w:t>
            </w:r>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Zahrada 2000, o. s., Jeseník</w:t>
            </w:r>
          </w:p>
        </w:tc>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Calibri" w:cs="Segoe UI"/>
                <w:sz w:val="16"/>
                <w:szCs w:val="16"/>
              </w:rPr>
              <w:t>Mgr. Hana Dvorská</w:t>
            </w:r>
          </w:p>
          <w:p w:rsidR="00A86077" w:rsidRPr="00273758" w:rsidRDefault="00A86077" w:rsidP="00A86077">
            <w:pPr>
              <w:spacing w:before="0"/>
              <w:jc w:val="center"/>
              <w:rPr>
                <w:rFonts w:eastAsia="Arial Unicode MS" w:cs="Segoe UI"/>
                <w:sz w:val="16"/>
                <w:szCs w:val="16"/>
              </w:rPr>
            </w:pPr>
            <w:r w:rsidRPr="00273758">
              <w:rPr>
                <w:rFonts w:eastAsia="Calibri" w:cs="Segoe UI"/>
                <w:sz w:val="16"/>
                <w:szCs w:val="16"/>
              </w:rPr>
              <w:t xml:space="preserve">Sociální služby Šternberk, </w:t>
            </w:r>
            <w:proofErr w:type="spellStart"/>
            <w:proofErr w:type="gramStart"/>
            <w:r w:rsidRPr="00273758">
              <w:rPr>
                <w:rFonts w:eastAsia="Calibri" w:cs="Segoe UI"/>
                <w:sz w:val="16"/>
                <w:szCs w:val="16"/>
              </w:rPr>
              <w:t>p.o</w:t>
            </w:r>
            <w:proofErr w:type="spellEnd"/>
            <w:r w:rsidRPr="00273758">
              <w:rPr>
                <w:rFonts w:eastAsia="Calibri" w:cs="Segoe UI"/>
                <w:sz w:val="16"/>
                <w:szCs w:val="16"/>
              </w:rPr>
              <w:t>.</w:t>
            </w:r>
            <w:proofErr w:type="gramEnd"/>
          </w:p>
        </w:tc>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Calibri" w:cs="Segoe UI"/>
                <w:sz w:val="16"/>
                <w:szCs w:val="16"/>
              </w:rPr>
              <w:t>Mgr.</w:t>
            </w:r>
            <w:r w:rsidRPr="00273758">
              <w:rPr>
                <w:rFonts w:eastAsia="Arial Unicode MS" w:cs="Segoe UI"/>
                <w:sz w:val="16"/>
                <w:szCs w:val="16"/>
              </w:rPr>
              <w:t xml:space="preserve"> </w:t>
            </w:r>
            <w:r w:rsidRPr="00273758">
              <w:rPr>
                <w:rFonts w:eastAsia="Calibri" w:cs="Segoe UI"/>
                <w:sz w:val="16"/>
                <w:szCs w:val="16"/>
              </w:rPr>
              <w:t>Nicol Homolková</w:t>
            </w:r>
          </w:p>
          <w:p w:rsidR="00A86077" w:rsidRPr="00273758" w:rsidRDefault="00A86077" w:rsidP="00A86077">
            <w:pPr>
              <w:spacing w:before="0"/>
              <w:jc w:val="center"/>
              <w:rPr>
                <w:rFonts w:eastAsia="Arial Unicode MS" w:cs="Segoe UI"/>
                <w:sz w:val="16"/>
                <w:szCs w:val="16"/>
              </w:rPr>
            </w:pPr>
            <w:r w:rsidRPr="00273758">
              <w:rPr>
                <w:rFonts w:eastAsia="Calibri" w:cs="Segoe UI"/>
                <w:sz w:val="16"/>
                <w:szCs w:val="16"/>
              </w:rPr>
              <w:t>Poradna pro občanství/Občanská a lidská práva</w:t>
            </w:r>
          </w:p>
        </w:tc>
        <w:tc>
          <w:tcPr>
            <w:tcW w:w="833" w:type="pct"/>
            <w:shd w:val="clear" w:color="auto" w:fill="FFFFFF" w:themeFill="background1"/>
          </w:tcPr>
          <w:p w:rsidR="00A86077" w:rsidRPr="00273758" w:rsidRDefault="00A86077" w:rsidP="00A86077">
            <w:pPr>
              <w:spacing w:before="0"/>
              <w:jc w:val="center"/>
              <w:rPr>
                <w:rFonts w:eastAsia="Calibri" w:cs="Segoe UI"/>
                <w:sz w:val="16"/>
                <w:szCs w:val="16"/>
              </w:rPr>
            </w:pPr>
          </w:p>
        </w:tc>
        <w:tc>
          <w:tcPr>
            <w:tcW w:w="834" w:type="pct"/>
            <w:shd w:val="clear" w:color="auto" w:fill="FFFFFF" w:themeFill="background1"/>
          </w:tcPr>
          <w:p w:rsidR="00A86077" w:rsidRPr="00273758" w:rsidRDefault="00A86077" w:rsidP="00A86077">
            <w:pPr>
              <w:spacing w:before="0"/>
              <w:jc w:val="center"/>
              <w:rPr>
                <w:rFonts w:eastAsia="Calibri" w:cs="Segoe UI"/>
                <w:sz w:val="16"/>
                <w:szCs w:val="16"/>
              </w:rPr>
            </w:pPr>
          </w:p>
        </w:tc>
      </w:tr>
      <w:tr w:rsidR="00A86077" w:rsidRPr="00273758" w:rsidTr="00A86077">
        <w:trPr>
          <w:cantSplit/>
          <w:trHeight w:val="20"/>
          <w:jc w:val="center"/>
        </w:trPr>
        <w:tc>
          <w:tcPr>
            <w:tcW w:w="833" w:type="pct"/>
            <w:shd w:val="clear" w:color="auto" w:fill="FFFFFF" w:themeFill="background1"/>
          </w:tcPr>
          <w:p w:rsidR="00A86077" w:rsidRPr="00273758" w:rsidRDefault="00A86077" w:rsidP="00A86077">
            <w:pPr>
              <w:spacing w:before="0"/>
              <w:jc w:val="center"/>
              <w:rPr>
                <w:rFonts w:eastAsia="Arial Unicode MS" w:cs="Segoe UI"/>
                <w:sz w:val="16"/>
                <w:szCs w:val="16"/>
              </w:rPr>
            </w:pPr>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Mgr. Kristýna Jurášová</w:t>
            </w:r>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Společnost Mana, o. p. s. Olomouc</w:t>
            </w:r>
          </w:p>
        </w:tc>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Calibri" w:cs="Segoe UI"/>
                <w:sz w:val="16"/>
                <w:szCs w:val="16"/>
              </w:rPr>
              <w:t>Naděžda Páleníková, DiS.</w:t>
            </w:r>
          </w:p>
          <w:p w:rsidR="00A86077" w:rsidRPr="00273758" w:rsidRDefault="00A86077" w:rsidP="00A86077">
            <w:pPr>
              <w:spacing w:before="0"/>
              <w:jc w:val="center"/>
              <w:rPr>
                <w:rFonts w:eastAsia="Arial Unicode MS" w:cs="Segoe UI"/>
                <w:sz w:val="16"/>
                <w:szCs w:val="16"/>
              </w:rPr>
            </w:pPr>
            <w:r w:rsidRPr="00273758">
              <w:rPr>
                <w:rFonts w:eastAsia="Calibri" w:cs="Segoe UI"/>
                <w:sz w:val="16"/>
                <w:szCs w:val="16"/>
              </w:rPr>
              <w:t>Charita Konice</w:t>
            </w:r>
          </w:p>
        </w:tc>
        <w:tc>
          <w:tcPr>
            <w:tcW w:w="833" w:type="pct"/>
            <w:shd w:val="clear" w:color="auto" w:fill="FFFFFF" w:themeFill="background1"/>
          </w:tcPr>
          <w:p w:rsidR="00A86077" w:rsidRPr="00273758" w:rsidRDefault="00A86077" w:rsidP="00A86077">
            <w:pPr>
              <w:jc w:val="center"/>
              <w:rPr>
                <w:rFonts w:eastAsia="Calibri" w:cs="Segoe UI"/>
                <w:sz w:val="16"/>
                <w:szCs w:val="16"/>
              </w:rPr>
            </w:pPr>
            <w:r w:rsidRPr="00273758">
              <w:rPr>
                <w:rFonts w:eastAsia="Arial Unicode MS" w:cs="Segoe UI"/>
                <w:sz w:val="16"/>
                <w:szCs w:val="16"/>
              </w:rPr>
              <w:t>Bc. Gabriela Petrželová</w:t>
            </w:r>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Magistrát města Prostějova, Odbor sociálních věcí</w:t>
            </w:r>
          </w:p>
        </w:tc>
        <w:tc>
          <w:tcPr>
            <w:tcW w:w="833" w:type="pct"/>
            <w:shd w:val="clear" w:color="auto" w:fill="FFFFFF" w:themeFill="background1"/>
          </w:tcPr>
          <w:p w:rsidR="00A86077" w:rsidRPr="00273758" w:rsidRDefault="00A86077" w:rsidP="00A86077">
            <w:pPr>
              <w:spacing w:before="0"/>
              <w:jc w:val="center"/>
              <w:rPr>
                <w:rFonts w:eastAsia="Calibri" w:cs="Segoe UI"/>
                <w:sz w:val="16"/>
                <w:szCs w:val="16"/>
              </w:rPr>
            </w:pPr>
          </w:p>
        </w:tc>
        <w:tc>
          <w:tcPr>
            <w:tcW w:w="834" w:type="pct"/>
            <w:shd w:val="clear" w:color="auto" w:fill="FFFFFF" w:themeFill="background1"/>
          </w:tcPr>
          <w:p w:rsidR="00A86077" w:rsidRPr="00273758" w:rsidRDefault="00A86077" w:rsidP="00A86077">
            <w:pPr>
              <w:spacing w:before="0"/>
              <w:jc w:val="center"/>
              <w:rPr>
                <w:rFonts w:eastAsia="Calibri" w:cs="Segoe UI"/>
                <w:sz w:val="16"/>
                <w:szCs w:val="16"/>
              </w:rPr>
            </w:pPr>
          </w:p>
        </w:tc>
      </w:tr>
      <w:tr w:rsidR="00A86077" w:rsidRPr="00273758" w:rsidTr="00A86077">
        <w:trPr>
          <w:cantSplit/>
          <w:trHeight w:val="20"/>
          <w:jc w:val="center"/>
        </w:trPr>
        <w:tc>
          <w:tcPr>
            <w:tcW w:w="833" w:type="pct"/>
            <w:shd w:val="clear" w:color="auto" w:fill="FFFFFF" w:themeFill="background1"/>
          </w:tcPr>
          <w:p w:rsidR="00A86077" w:rsidRPr="00273758" w:rsidRDefault="00A86077" w:rsidP="00A86077">
            <w:pPr>
              <w:spacing w:before="0"/>
              <w:jc w:val="center"/>
              <w:rPr>
                <w:rFonts w:eastAsia="Arial Unicode MS" w:cs="Segoe UI"/>
                <w:sz w:val="16"/>
                <w:szCs w:val="16"/>
              </w:rPr>
            </w:pPr>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 xml:space="preserve">Mgr. Markéta </w:t>
            </w:r>
            <w:proofErr w:type="spellStart"/>
            <w:r w:rsidRPr="00273758">
              <w:rPr>
                <w:rFonts w:eastAsia="Arial Unicode MS" w:cs="Segoe UI"/>
                <w:sz w:val="16"/>
                <w:szCs w:val="16"/>
              </w:rPr>
              <w:t>Jandeková</w:t>
            </w:r>
            <w:proofErr w:type="spellEnd"/>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 xml:space="preserve">Jdeme Autistům </w:t>
            </w:r>
            <w:proofErr w:type="gramStart"/>
            <w:r w:rsidRPr="00273758">
              <w:rPr>
                <w:rFonts w:eastAsia="Arial Unicode MS" w:cs="Segoe UI"/>
                <w:sz w:val="16"/>
                <w:szCs w:val="16"/>
              </w:rPr>
              <w:t>naproti z. s.</w:t>
            </w:r>
            <w:proofErr w:type="gramEnd"/>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 xml:space="preserve">Bc. Jiří </w:t>
            </w:r>
            <w:proofErr w:type="spellStart"/>
            <w:r w:rsidRPr="00273758">
              <w:rPr>
                <w:rFonts w:eastAsia="Arial Unicode MS" w:cs="Segoe UI"/>
                <w:sz w:val="16"/>
                <w:szCs w:val="16"/>
              </w:rPr>
              <w:t>Karger</w:t>
            </w:r>
            <w:proofErr w:type="spellEnd"/>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Charita Zábřeh</w:t>
            </w:r>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Bc. Adéla Konečná</w:t>
            </w:r>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Magistrát města Olomouce, Odbor sociálních věcí</w:t>
            </w:r>
          </w:p>
        </w:tc>
        <w:tc>
          <w:tcPr>
            <w:tcW w:w="833" w:type="pct"/>
            <w:shd w:val="clear" w:color="auto" w:fill="FFFFFF" w:themeFill="background1"/>
          </w:tcPr>
          <w:p w:rsidR="00A86077" w:rsidRPr="00273758" w:rsidRDefault="00A86077" w:rsidP="00A86077">
            <w:pPr>
              <w:spacing w:before="0"/>
              <w:jc w:val="center"/>
              <w:rPr>
                <w:rFonts w:eastAsia="Calibri" w:cs="Segoe UI"/>
                <w:sz w:val="16"/>
                <w:szCs w:val="16"/>
              </w:rPr>
            </w:pPr>
          </w:p>
        </w:tc>
        <w:tc>
          <w:tcPr>
            <w:tcW w:w="834" w:type="pct"/>
            <w:shd w:val="clear" w:color="auto" w:fill="FFFFFF" w:themeFill="background1"/>
          </w:tcPr>
          <w:p w:rsidR="00A86077" w:rsidRPr="00273758" w:rsidRDefault="00A86077" w:rsidP="00A86077">
            <w:pPr>
              <w:spacing w:before="0"/>
              <w:jc w:val="center"/>
              <w:rPr>
                <w:rFonts w:eastAsia="Calibri" w:cs="Segoe UI"/>
                <w:sz w:val="16"/>
                <w:szCs w:val="16"/>
              </w:rPr>
            </w:pPr>
          </w:p>
        </w:tc>
      </w:tr>
      <w:tr w:rsidR="00A86077" w:rsidRPr="00273758" w:rsidTr="00A86077">
        <w:trPr>
          <w:cantSplit/>
          <w:trHeight w:val="20"/>
          <w:jc w:val="center"/>
        </w:trPr>
        <w:tc>
          <w:tcPr>
            <w:tcW w:w="833" w:type="pct"/>
            <w:shd w:val="clear" w:color="auto" w:fill="FFFFFF" w:themeFill="background1"/>
          </w:tcPr>
          <w:p w:rsidR="00A86077" w:rsidRPr="00273758" w:rsidRDefault="00A86077" w:rsidP="00A86077">
            <w:pPr>
              <w:spacing w:before="0"/>
              <w:jc w:val="center"/>
              <w:rPr>
                <w:rFonts w:eastAsia="Arial Unicode MS" w:cs="Segoe UI"/>
                <w:sz w:val="16"/>
                <w:szCs w:val="16"/>
              </w:rPr>
            </w:pPr>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Mgr. Naděžda Škrabalová</w:t>
            </w:r>
          </w:p>
          <w:p w:rsidR="00A86077" w:rsidRPr="00273758" w:rsidRDefault="00A86077" w:rsidP="00A86077">
            <w:pPr>
              <w:spacing w:before="0"/>
              <w:jc w:val="center"/>
              <w:rPr>
                <w:rFonts w:eastAsia="Arial Unicode MS" w:cs="Segoe UI"/>
                <w:sz w:val="16"/>
                <w:szCs w:val="16"/>
              </w:rPr>
            </w:pPr>
            <w:proofErr w:type="gramStart"/>
            <w:r w:rsidRPr="00273758">
              <w:rPr>
                <w:rFonts w:eastAsia="Arial Unicode MS" w:cs="Segoe UI"/>
                <w:sz w:val="16"/>
                <w:szCs w:val="16"/>
              </w:rPr>
              <w:t>Zet-My, z. s.</w:t>
            </w:r>
            <w:proofErr w:type="gramEnd"/>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Bc. Alena Kalinová,</w:t>
            </w:r>
          </w:p>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Městský úřad Jeseník</w:t>
            </w:r>
          </w:p>
          <w:p w:rsidR="00A86077" w:rsidRPr="00273758" w:rsidRDefault="00A86077" w:rsidP="00A86077">
            <w:pPr>
              <w:spacing w:before="0"/>
              <w:jc w:val="center"/>
              <w:rPr>
                <w:rFonts w:eastAsia="Arial Unicode MS" w:cs="Segoe UI"/>
                <w:sz w:val="16"/>
                <w:szCs w:val="16"/>
              </w:rPr>
            </w:pPr>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Bc. Helena Zbořilová</w:t>
            </w:r>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Městský úřad Šternberk</w:t>
            </w:r>
          </w:p>
        </w:tc>
        <w:tc>
          <w:tcPr>
            <w:tcW w:w="833" w:type="pct"/>
            <w:shd w:val="clear" w:color="auto" w:fill="FFFFFF" w:themeFill="background1"/>
          </w:tcPr>
          <w:p w:rsidR="00A86077" w:rsidRPr="00273758" w:rsidRDefault="00A86077" w:rsidP="00A86077">
            <w:pPr>
              <w:spacing w:before="0"/>
              <w:jc w:val="center"/>
              <w:rPr>
                <w:rFonts w:eastAsia="Calibri" w:cs="Segoe UI"/>
                <w:sz w:val="16"/>
                <w:szCs w:val="16"/>
              </w:rPr>
            </w:pPr>
          </w:p>
        </w:tc>
        <w:tc>
          <w:tcPr>
            <w:tcW w:w="834" w:type="pct"/>
            <w:shd w:val="clear" w:color="auto" w:fill="FFFFFF" w:themeFill="background1"/>
          </w:tcPr>
          <w:p w:rsidR="00A86077" w:rsidRPr="00273758" w:rsidRDefault="00A86077" w:rsidP="00A86077">
            <w:pPr>
              <w:spacing w:before="0"/>
              <w:jc w:val="center"/>
              <w:rPr>
                <w:rFonts w:eastAsia="Calibri" w:cs="Segoe UI"/>
                <w:sz w:val="16"/>
                <w:szCs w:val="16"/>
              </w:rPr>
            </w:pPr>
          </w:p>
        </w:tc>
      </w:tr>
      <w:tr w:rsidR="00A86077" w:rsidRPr="00273758" w:rsidTr="00A86077">
        <w:trPr>
          <w:cantSplit/>
          <w:trHeight w:val="20"/>
          <w:jc w:val="center"/>
        </w:trPr>
        <w:tc>
          <w:tcPr>
            <w:tcW w:w="833" w:type="pct"/>
            <w:shd w:val="clear" w:color="auto" w:fill="FFFFFF" w:themeFill="background1"/>
          </w:tcPr>
          <w:p w:rsidR="00A86077" w:rsidRPr="00273758" w:rsidRDefault="00A86077" w:rsidP="00A86077">
            <w:pPr>
              <w:spacing w:before="0"/>
              <w:jc w:val="center"/>
              <w:rPr>
                <w:rFonts w:eastAsia="Arial Unicode MS" w:cs="Segoe UI"/>
                <w:sz w:val="16"/>
                <w:szCs w:val="16"/>
              </w:rPr>
            </w:pPr>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Miroslava Koutská, Dis.</w:t>
            </w:r>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Charita Olomouc</w:t>
            </w:r>
          </w:p>
        </w:tc>
        <w:tc>
          <w:tcPr>
            <w:tcW w:w="833" w:type="pct"/>
            <w:shd w:val="clear" w:color="auto" w:fill="FFFFFF" w:themeFill="background1"/>
          </w:tcPr>
          <w:p w:rsidR="00A86077" w:rsidRPr="00273758" w:rsidRDefault="00A86077" w:rsidP="00A86077">
            <w:pPr>
              <w:jc w:val="center"/>
              <w:rPr>
                <w:rFonts w:eastAsia="Arial Unicode MS" w:cs="Segoe UI"/>
                <w:sz w:val="16"/>
                <w:szCs w:val="16"/>
              </w:rPr>
            </w:pPr>
            <w:r w:rsidRPr="00273758">
              <w:rPr>
                <w:rFonts w:eastAsia="Arial Unicode MS" w:cs="Segoe UI"/>
                <w:sz w:val="16"/>
                <w:szCs w:val="16"/>
              </w:rPr>
              <w:t>Mgr. Roman Darek</w:t>
            </w:r>
          </w:p>
          <w:p w:rsidR="00A86077" w:rsidRPr="00273758" w:rsidRDefault="00A86077" w:rsidP="00A86077">
            <w:pPr>
              <w:spacing w:before="0"/>
              <w:jc w:val="center"/>
              <w:rPr>
                <w:rFonts w:eastAsia="Arial Unicode MS" w:cs="Segoe UI"/>
                <w:sz w:val="16"/>
                <w:szCs w:val="16"/>
              </w:rPr>
            </w:pPr>
            <w:r w:rsidRPr="00273758">
              <w:rPr>
                <w:rFonts w:eastAsia="Arial Unicode MS" w:cs="Segoe UI"/>
                <w:sz w:val="16"/>
                <w:szCs w:val="16"/>
              </w:rPr>
              <w:t>Magistrát města Olomouce, Odbor sociálních věcí</w:t>
            </w:r>
          </w:p>
        </w:tc>
        <w:tc>
          <w:tcPr>
            <w:tcW w:w="833" w:type="pct"/>
            <w:shd w:val="clear" w:color="auto" w:fill="FFFFFF" w:themeFill="background1"/>
          </w:tcPr>
          <w:p w:rsidR="00A86077" w:rsidRPr="00273758" w:rsidRDefault="00A86077" w:rsidP="00A86077">
            <w:pPr>
              <w:spacing w:before="0"/>
              <w:jc w:val="center"/>
              <w:rPr>
                <w:rFonts w:eastAsia="Arial Unicode MS" w:cs="Segoe UI"/>
                <w:sz w:val="16"/>
                <w:szCs w:val="16"/>
              </w:rPr>
            </w:pPr>
          </w:p>
        </w:tc>
        <w:tc>
          <w:tcPr>
            <w:tcW w:w="833" w:type="pct"/>
            <w:shd w:val="clear" w:color="auto" w:fill="FFFFFF" w:themeFill="background1"/>
          </w:tcPr>
          <w:p w:rsidR="00A86077" w:rsidRPr="00273758" w:rsidRDefault="00A86077" w:rsidP="00A86077">
            <w:pPr>
              <w:spacing w:before="0"/>
              <w:jc w:val="center"/>
              <w:rPr>
                <w:rFonts w:eastAsia="Calibri" w:cs="Segoe UI"/>
                <w:sz w:val="16"/>
                <w:szCs w:val="16"/>
              </w:rPr>
            </w:pPr>
          </w:p>
        </w:tc>
        <w:tc>
          <w:tcPr>
            <w:tcW w:w="834" w:type="pct"/>
            <w:shd w:val="clear" w:color="auto" w:fill="FFFFFF" w:themeFill="background1"/>
          </w:tcPr>
          <w:p w:rsidR="00A86077" w:rsidRPr="00273758" w:rsidRDefault="00A86077" w:rsidP="00A86077">
            <w:pPr>
              <w:spacing w:before="0"/>
              <w:jc w:val="center"/>
              <w:rPr>
                <w:rFonts w:eastAsia="Calibri" w:cs="Segoe UI"/>
                <w:sz w:val="16"/>
                <w:szCs w:val="16"/>
              </w:rPr>
            </w:pPr>
          </w:p>
        </w:tc>
      </w:tr>
    </w:tbl>
    <w:p w:rsidR="00A86077" w:rsidRDefault="00A86077">
      <w:pPr>
        <w:spacing w:before="0" w:after="160" w:line="259" w:lineRule="auto"/>
        <w:jc w:val="left"/>
        <w:rPr>
          <w:rFonts w:eastAsia="Arial Unicode MS"/>
          <w:lang w:eastAsia="cs-CZ"/>
        </w:rPr>
      </w:pPr>
      <w:r>
        <w:rPr>
          <w:rFonts w:eastAsia="Arial Unicode MS"/>
          <w:lang w:eastAsia="cs-CZ"/>
        </w:rPr>
        <w:br w:type="page"/>
      </w:r>
    </w:p>
    <w:p w:rsidR="00AF4350" w:rsidRDefault="00AF4350" w:rsidP="00A86077">
      <w:pPr>
        <w:pStyle w:val="Tun"/>
        <w:spacing w:after="240"/>
      </w:pPr>
      <w:r w:rsidRPr="00095D35">
        <w:lastRenderedPageBreak/>
        <w:t>Příloha č. 1 B) Seznam členů RMT</w:t>
      </w:r>
    </w:p>
    <w:tbl>
      <w:tblPr>
        <w:tblStyle w:val="Mkatabulky2"/>
        <w:tblW w:w="5319" w:type="pct"/>
        <w:jc w:val="center"/>
        <w:tblLook w:val="04A0" w:firstRow="1" w:lastRow="0" w:firstColumn="1" w:lastColumn="0" w:noHBand="0" w:noVBand="1"/>
      </w:tblPr>
      <w:tblGrid>
        <w:gridCol w:w="2964"/>
        <w:gridCol w:w="3290"/>
        <w:gridCol w:w="3386"/>
      </w:tblGrid>
      <w:tr w:rsidR="00AF4350" w:rsidRPr="00A86077" w:rsidTr="00A86077">
        <w:trPr>
          <w:cantSplit/>
          <w:trHeight w:val="308"/>
          <w:tblHeader/>
          <w:jc w:val="center"/>
        </w:trPr>
        <w:tc>
          <w:tcPr>
            <w:tcW w:w="1537" w:type="pct"/>
            <w:shd w:val="clear" w:color="auto" w:fill="F2F2F2" w:themeFill="background1" w:themeFillShade="F2"/>
            <w:vAlign w:val="center"/>
          </w:tcPr>
          <w:p w:rsidR="00AF4350" w:rsidRPr="00A86077" w:rsidRDefault="00AF4350" w:rsidP="00A86077">
            <w:pPr>
              <w:spacing w:before="0"/>
              <w:jc w:val="center"/>
              <w:rPr>
                <w:rFonts w:cs="Segoe UI"/>
                <w:b/>
                <w:sz w:val="16"/>
                <w:szCs w:val="16"/>
              </w:rPr>
            </w:pPr>
            <w:r w:rsidRPr="00A86077">
              <w:rPr>
                <w:rFonts w:cs="Segoe UI"/>
                <w:b/>
                <w:sz w:val="16"/>
                <w:szCs w:val="16"/>
              </w:rPr>
              <w:t>Jméno</w:t>
            </w:r>
          </w:p>
        </w:tc>
        <w:tc>
          <w:tcPr>
            <w:tcW w:w="1706" w:type="pct"/>
            <w:shd w:val="clear" w:color="auto" w:fill="F2F2F2" w:themeFill="background1" w:themeFillShade="F2"/>
            <w:vAlign w:val="center"/>
          </w:tcPr>
          <w:p w:rsidR="00AF4350" w:rsidRPr="00A86077" w:rsidRDefault="00AF4350" w:rsidP="00A86077">
            <w:pPr>
              <w:spacing w:before="0"/>
              <w:jc w:val="center"/>
              <w:rPr>
                <w:rFonts w:cs="Segoe UI"/>
                <w:b/>
                <w:sz w:val="16"/>
                <w:szCs w:val="16"/>
              </w:rPr>
            </w:pPr>
            <w:r w:rsidRPr="00A86077">
              <w:rPr>
                <w:rFonts w:cs="Segoe UI"/>
                <w:b/>
                <w:sz w:val="16"/>
                <w:szCs w:val="16"/>
              </w:rPr>
              <w:t>Funkce</w:t>
            </w:r>
          </w:p>
        </w:tc>
        <w:tc>
          <w:tcPr>
            <w:tcW w:w="1756" w:type="pct"/>
            <w:shd w:val="clear" w:color="auto" w:fill="F2F2F2" w:themeFill="background1" w:themeFillShade="F2"/>
            <w:vAlign w:val="center"/>
          </w:tcPr>
          <w:p w:rsidR="00AF4350" w:rsidRPr="00A86077" w:rsidRDefault="00AF4350" w:rsidP="00A86077">
            <w:pPr>
              <w:spacing w:before="0"/>
              <w:jc w:val="center"/>
              <w:rPr>
                <w:rFonts w:cs="Segoe UI"/>
                <w:b/>
                <w:sz w:val="16"/>
                <w:szCs w:val="16"/>
              </w:rPr>
            </w:pPr>
            <w:r w:rsidRPr="00A86077">
              <w:rPr>
                <w:rFonts w:cs="Segoe UI"/>
                <w:b/>
                <w:sz w:val="16"/>
                <w:szCs w:val="16"/>
              </w:rPr>
              <w:t>Kontakt</w:t>
            </w:r>
          </w:p>
        </w:tc>
      </w:tr>
      <w:tr w:rsidR="00AF4350" w:rsidRPr="00A86077" w:rsidTr="00A86077">
        <w:trPr>
          <w:trHeight w:val="20"/>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Mgr. Bc. Zbyněk Vočka</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vedoucí Realizačně manažerského týmu, vedoucí odboru sociálních věcí KÚOK</w:t>
            </w:r>
          </w:p>
        </w:tc>
        <w:tc>
          <w:tcPr>
            <w:tcW w:w="1756" w:type="pct"/>
            <w:vAlign w:val="center"/>
          </w:tcPr>
          <w:p w:rsidR="00AF4350" w:rsidRPr="00A86077" w:rsidRDefault="00412C70" w:rsidP="00A86077">
            <w:pPr>
              <w:spacing w:before="0"/>
              <w:jc w:val="left"/>
              <w:rPr>
                <w:rFonts w:eastAsiaTheme="minorHAnsi" w:cs="Segoe UI"/>
                <w:sz w:val="16"/>
                <w:szCs w:val="16"/>
              </w:rPr>
            </w:pPr>
            <w:hyperlink r:id="rId70" w:history="1">
              <w:r w:rsidR="00AF4350" w:rsidRPr="00A86077">
                <w:rPr>
                  <w:rFonts w:eastAsiaTheme="minorHAnsi" w:cs="Segoe UI"/>
                  <w:sz w:val="16"/>
                  <w:szCs w:val="16"/>
                </w:rPr>
                <w:t>z.vocka@olkraj.cz</w:t>
              </w:r>
            </w:hyperlink>
          </w:p>
        </w:tc>
      </w:tr>
      <w:tr w:rsidR="00AF4350" w:rsidRPr="00A86077" w:rsidTr="00984F77">
        <w:trPr>
          <w:trHeight w:val="429"/>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Mgr. Ivo Slavotínek</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1. náměstek hejtmana OK</w:t>
            </w:r>
          </w:p>
        </w:tc>
        <w:tc>
          <w:tcPr>
            <w:tcW w:w="1756" w:type="pct"/>
            <w:vAlign w:val="center"/>
          </w:tcPr>
          <w:p w:rsidR="00AF4350" w:rsidRPr="00A86077" w:rsidRDefault="00412C70" w:rsidP="00A86077">
            <w:pPr>
              <w:spacing w:before="0"/>
              <w:jc w:val="left"/>
              <w:rPr>
                <w:rFonts w:cs="Segoe UI"/>
                <w:sz w:val="16"/>
                <w:szCs w:val="16"/>
                <w:highlight w:val="yellow"/>
              </w:rPr>
            </w:pPr>
            <w:hyperlink r:id="rId71" w:history="1">
              <w:r w:rsidR="00AF4350" w:rsidRPr="00A86077">
                <w:rPr>
                  <w:rFonts w:eastAsia="Arial Unicode MS" w:cs="Segoe UI"/>
                  <w:sz w:val="16"/>
                  <w:szCs w:val="16"/>
                </w:rPr>
                <w:t>i.slavotinek@olkraj.cz</w:t>
              </w:r>
            </w:hyperlink>
            <w:r w:rsidR="00AF4350" w:rsidRPr="00A86077">
              <w:rPr>
                <w:rFonts w:cs="Segoe UI"/>
                <w:sz w:val="16"/>
                <w:szCs w:val="16"/>
              </w:rPr>
              <w:t xml:space="preserve"> </w:t>
            </w:r>
          </w:p>
        </w:tc>
      </w:tr>
      <w:tr w:rsidR="00AF4350" w:rsidRPr="00A86077" w:rsidTr="00A86077">
        <w:trPr>
          <w:trHeight w:val="20"/>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Mgr. Valerie Navrátilová</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vedoucí oddělení plánování sociálních služeb odboru sociálních věcí KÚOK</w:t>
            </w:r>
          </w:p>
        </w:tc>
        <w:tc>
          <w:tcPr>
            <w:tcW w:w="1756" w:type="pct"/>
            <w:vAlign w:val="center"/>
          </w:tcPr>
          <w:p w:rsidR="00AF4350" w:rsidRPr="00A86077" w:rsidRDefault="00412C70" w:rsidP="00A86077">
            <w:pPr>
              <w:spacing w:before="0"/>
              <w:jc w:val="left"/>
              <w:rPr>
                <w:rFonts w:cs="Segoe UI"/>
                <w:sz w:val="16"/>
                <w:szCs w:val="16"/>
              </w:rPr>
            </w:pPr>
            <w:hyperlink r:id="rId72" w:history="1">
              <w:r w:rsidR="00AF4350" w:rsidRPr="00A86077">
                <w:rPr>
                  <w:rFonts w:eastAsia="Arial Unicode MS" w:cs="Segoe UI"/>
                  <w:sz w:val="16"/>
                  <w:szCs w:val="16"/>
                </w:rPr>
                <w:t>v.navratilova@olkraj.cz</w:t>
              </w:r>
            </w:hyperlink>
            <w:r w:rsidR="00AF4350" w:rsidRPr="00A86077">
              <w:rPr>
                <w:rFonts w:cs="Segoe UI"/>
                <w:sz w:val="16"/>
                <w:szCs w:val="16"/>
              </w:rPr>
              <w:t xml:space="preserve"> </w:t>
            </w:r>
          </w:p>
        </w:tc>
      </w:tr>
      <w:tr w:rsidR="00AF4350" w:rsidRPr="00A86077" w:rsidTr="00A86077">
        <w:trPr>
          <w:trHeight w:val="20"/>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 xml:space="preserve">Mgr. Olga Nepšinská </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vedoucí oddělení sociální pomoci odboru sociálních věcí KÚOK</w:t>
            </w:r>
          </w:p>
        </w:tc>
        <w:tc>
          <w:tcPr>
            <w:tcW w:w="1756" w:type="pct"/>
            <w:vAlign w:val="center"/>
          </w:tcPr>
          <w:p w:rsidR="00AF4350" w:rsidRPr="00A86077" w:rsidRDefault="00412C70" w:rsidP="00A86077">
            <w:pPr>
              <w:spacing w:before="0"/>
              <w:jc w:val="left"/>
              <w:rPr>
                <w:rFonts w:cs="Segoe UI"/>
                <w:sz w:val="16"/>
                <w:szCs w:val="16"/>
              </w:rPr>
            </w:pPr>
            <w:hyperlink r:id="rId73" w:history="1">
              <w:r w:rsidR="00AF4350" w:rsidRPr="00A86077">
                <w:rPr>
                  <w:rFonts w:eastAsia="Arial Unicode MS" w:cs="Segoe UI"/>
                  <w:sz w:val="16"/>
                  <w:szCs w:val="16"/>
                </w:rPr>
                <w:t>o.nepsinska@olkraj.cz</w:t>
              </w:r>
            </w:hyperlink>
            <w:r w:rsidR="00AF4350" w:rsidRPr="00A86077">
              <w:rPr>
                <w:rFonts w:cs="Segoe UI"/>
                <w:sz w:val="16"/>
                <w:szCs w:val="16"/>
              </w:rPr>
              <w:t xml:space="preserve"> </w:t>
            </w:r>
          </w:p>
        </w:tc>
      </w:tr>
      <w:tr w:rsidR="00AF4350" w:rsidRPr="00A86077" w:rsidTr="00A86077">
        <w:trPr>
          <w:trHeight w:val="20"/>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Mgr. Pavel Podivínský</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manažer pracovní skupiny č. 1 Děti, mládež a rodina</w:t>
            </w:r>
          </w:p>
        </w:tc>
        <w:tc>
          <w:tcPr>
            <w:tcW w:w="1756" w:type="pct"/>
            <w:vAlign w:val="center"/>
          </w:tcPr>
          <w:p w:rsidR="00AF4350" w:rsidRPr="00A86077" w:rsidRDefault="00412C70" w:rsidP="00A86077">
            <w:pPr>
              <w:spacing w:before="0"/>
              <w:jc w:val="left"/>
              <w:rPr>
                <w:rFonts w:eastAsiaTheme="minorHAnsi" w:cs="Segoe UI"/>
                <w:sz w:val="16"/>
                <w:szCs w:val="16"/>
              </w:rPr>
            </w:pPr>
            <w:hyperlink r:id="rId74" w:history="1">
              <w:r w:rsidR="00AF4350" w:rsidRPr="00A86077">
                <w:rPr>
                  <w:rFonts w:eastAsiaTheme="minorHAnsi" w:cs="Segoe UI"/>
                  <w:sz w:val="16"/>
                  <w:szCs w:val="16"/>
                </w:rPr>
                <w:t>p.podivinsky@olkraj.cz</w:t>
              </w:r>
            </w:hyperlink>
          </w:p>
        </w:tc>
      </w:tr>
      <w:tr w:rsidR="00AF4350" w:rsidRPr="00A86077" w:rsidTr="00A86077">
        <w:trPr>
          <w:trHeight w:val="20"/>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Mgr. Hana Zatloukalová</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manažer pracovní skupiny č. 2 Osoby se zdravotním postižením</w:t>
            </w:r>
          </w:p>
        </w:tc>
        <w:tc>
          <w:tcPr>
            <w:tcW w:w="1756" w:type="pct"/>
            <w:vAlign w:val="center"/>
          </w:tcPr>
          <w:p w:rsidR="00AF4350" w:rsidRPr="00A86077" w:rsidRDefault="00412C70" w:rsidP="00A86077">
            <w:pPr>
              <w:spacing w:before="0"/>
              <w:jc w:val="left"/>
              <w:rPr>
                <w:rFonts w:eastAsiaTheme="minorHAnsi" w:cs="Segoe UI"/>
                <w:sz w:val="16"/>
                <w:szCs w:val="16"/>
              </w:rPr>
            </w:pPr>
            <w:hyperlink r:id="rId75" w:history="1">
              <w:r w:rsidR="00AF4350" w:rsidRPr="00A86077">
                <w:rPr>
                  <w:rFonts w:eastAsiaTheme="minorHAnsi" w:cs="Segoe UI"/>
                  <w:sz w:val="16"/>
                  <w:szCs w:val="16"/>
                </w:rPr>
                <w:t>h.zatloukalova@olkraj.cz</w:t>
              </w:r>
            </w:hyperlink>
          </w:p>
        </w:tc>
      </w:tr>
      <w:tr w:rsidR="00AF4350" w:rsidRPr="00A86077" w:rsidTr="00984F77">
        <w:trPr>
          <w:trHeight w:val="374"/>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Mgr. Petra Hemžská</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manažer pracovní skupiny č. 3 Senioři</w:t>
            </w:r>
          </w:p>
        </w:tc>
        <w:tc>
          <w:tcPr>
            <w:tcW w:w="1756" w:type="pct"/>
            <w:vAlign w:val="center"/>
          </w:tcPr>
          <w:p w:rsidR="00AF4350" w:rsidRPr="00A86077" w:rsidRDefault="00412C70" w:rsidP="00A86077">
            <w:pPr>
              <w:spacing w:before="0"/>
              <w:jc w:val="left"/>
              <w:rPr>
                <w:rFonts w:eastAsiaTheme="minorHAnsi" w:cs="Segoe UI"/>
                <w:sz w:val="16"/>
                <w:szCs w:val="16"/>
              </w:rPr>
            </w:pPr>
            <w:hyperlink r:id="rId76" w:history="1">
              <w:r w:rsidR="00AF4350" w:rsidRPr="00A86077">
                <w:rPr>
                  <w:rFonts w:eastAsiaTheme="minorHAnsi" w:cs="Segoe UI"/>
                  <w:sz w:val="16"/>
                  <w:szCs w:val="16"/>
                </w:rPr>
                <w:t>p.hemzska@olkraj.cz</w:t>
              </w:r>
            </w:hyperlink>
          </w:p>
        </w:tc>
      </w:tr>
      <w:tr w:rsidR="00AF4350" w:rsidRPr="00A86077" w:rsidTr="00A86077">
        <w:trPr>
          <w:trHeight w:val="20"/>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Mgr. Pavel Drexler</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manažer pracovní skupiny č. 4 Etnické menšiny a cizinci</w:t>
            </w:r>
          </w:p>
        </w:tc>
        <w:tc>
          <w:tcPr>
            <w:tcW w:w="1756" w:type="pct"/>
            <w:vAlign w:val="center"/>
          </w:tcPr>
          <w:p w:rsidR="00AF4350" w:rsidRPr="00A86077" w:rsidRDefault="00412C70" w:rsidP="00A86077">
            <w:pPr>
              <w:spacing w:before="0"/>
              <w:jc w:val="left"/>
              <w:rPr>
                <w:rFonts w:eastAsiaTheme="minorHAnsi" w:cs="Segoe UI"/>
                <w:sz w:val="16"/>
                <w:szCs w:val="16"/>
              </w:rPr>
            </w:pPr>
            <w:hyperlink r:id="rId77" w:history="1">
              <w:r w:rsidR="00AF4350" w:rsidRPr="00A86077">
                <w:rPr>
                  <w:rFonts w:eastAsiaTheme="minorHAnsi" w:cs="Segoe UI"/>
                  <w:sz w:val="16"/>
                  <w:szCs w:val="16"/>
                </w:rPr>
                <w:t>p.drexler@olkraj.cz</w:t>
              </w:r>
            </w:hyperlink>
            <w:r w:rsidR="00AF4350" w:rsidRPr="00A86077">
              <w:rPr>
                <w:rFonts w:eastAsiaTheme="minorHAnsi" w:cs="Segoe UI"/>
                <w:sz w:val="16"/>
                <w:szCs w:val="16"/>
              </w:rPr>
              <w:t xml:space="preserve"> </w:t>
            </w:r>
          </w:p>
        </w:tc>
      </w:tr>
      <w:tr w:rsidR="00AF4350" w:rsidRPr="00A86077" w:rsidTr="00A86077">
        <w:trPr>
          <w:trHeight w:val="20"/>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 xml:space="preserve">Mgr. et Mgr. Jan Zelinka </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manažer pracovní skupiny č. 5 Osoby sociálně vyloučené a osoby v krizi</w:t>
            </w:r>
          </w:p>
        </w:tc>
        <w:tc>
          <w:tcPr>
            <w:tcW w:w="1756" w:type="pct"/>
            <w:vAlign w:val="center"/>
          </w:tcPr>
          <w:p w:rsidR="00AF4350" w:rsidRPr="00A86077" w:rsidRDefault="00AF4350" w:rsidP="00A86077">
            <w:pPr>
              <w:spacing w:before="0"/>
              <w:jc w:val="left"/>
              <w:rPr>
                <w:rFonts w:eastAsiaTheme="minorHAnsi" w:cs="Segoe UI"/>
                <w:sz w:val="16"/>
                <w:szCs w:val="16"/>
              </w:rPr>
            </w:pPr>
            <w:r w:rsidRPr="00A86077">
              <w:rPr>
                <w:rFonts w:eastAsiaTheme="minorHAnsi" w:cs="Segoe UI"/>
                <w:sz w:val="16"/>
                <w:szCs w:val="16"/>
              </w:rPr>
              <w:t>j.zelinka@olkraj.cz</w:t>
            </w:r>
          </w:p>
        </w:tc>
      </w:tr>
      <w:tr w:rsidR="00AF4350" w:rsidRPr="00A86077" w:rsidTr="00A86077">
        <w:trPr>
          <w:trHeight w:val="20"/>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Mgr. Zuzana Starostová</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manažer pracovní skupiny č. 6 Osoby ohrožené návykovým jednáním</w:t>
            </w:r>
          </w:p>
        </w:tc>
        <w:tc>
          <w:tcPr>
            <w:tcW w:w="1756" w:type="pct"/>
            <w:vAlign w:val="center"/>
          </w:tcPr>
          <w:p w:rsidR="00AF4350" w:rsidRPr="00A86077" w:rsidRDefault="00412C70" w:rsidP="00A86077">
            <w:pPr>
              <w:spacing w:before="0"/>
              <w:jc w:val="left"/>
              <w:rPr>
                <w:rFonts w:eastAsiaTheme="minorHAnsi" w:cs="Segoe UI"/>
                <w:sz w:val="16"/>
                <w:szCs w:val="16"/>
              </w:rPr>
            </w:pPr>
            <w:hyperlink r:id="rId78" w:history="1">
              <w:r w:rsidR="00AF4350" w:rsidRPr="00A86077">
                <w:rPr>
                  <w:rFonts w:eastAsiaTheme="minorHAnsi" w:cs="Segoe UI"/>
                  <w:sz w:val="16"/>
                  <w:szCs w:val="16"/>
                </w:rPr>
                <w:t>z.starostova@olkraj.cz</w:t>
              </w:r>
            </w:hyperlink>
            <w:r w:rsidR="00AF4350" w:rsidRPr="00A86077">
              <w:rPr>
                <w:rFonts w:eastAsiaTheme="minorHAnsi" w:cs="Segoe UI"/>
                <w:sz w:val="16"/>
                <w:szCs w:val="16"/>
              </w:rPr>
              <w:t xml:space="preserve"> </w:t>
            </w:r>
          </w:p>
        </w:tc>
      </w:tr>
      <w:tr w:rsidR="00AF4350" w:rsidRPr="00A86077" w:rsidTr="00A86077">
        <w:trPr>
          <w:trHeight w:val="20"/>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Mgr. Hana Bodnarová</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pracovník oddělení plánování sociálních služeb odboru sociálních věcí KÚOK</w:t>
            </w:r>
          </w:p>
        </w:tc>
        <w:tc>
          <w:tcPr>
            <w:tcW w:w="1756" w:type="pct"/>
            <w:vAlign w:val="center"/>
          </w:tcPr>
          <w:p w:rsidR="00AF4350" w:rsidRPr="00A86077" w:rsidRDefault="00412C70" w:rsidP="00A86077">
            <w:pPr>
              <w:spacing w:before="0"/>
              <w:jc w:val="left"/>
              <w:rPr>
                <w:rFonts w:eastAsiaTheme="minorHAnsi" w:cs="Segoe UI"/>
                <w:sz w:val="16"/>
                <w:szCs w:val="16"/>
              </w:rPr>
            </w:pPr>
            <w:hyperlink r:id="rId79" w:history="1">
              <w:r w:rsidR="00AF4350" w:rsidRPr="00A86077">
                <w:rPr>
                  <w:rFonts w:eastAsiaTheme="minorHAnsi" w:cs="Segoe UI"/>
                  <w:sz w:val="16"/>
                  <w:szCs w:val="16"/>
                </w:rPr>
                <w:t>h.bodnarova@olkraj.cz</w:t>
              </w:r>
            </w:hyperlink>
            <w:r w:rsidR="00AF4350" w:rsidRPr="00A86077">
              <w:rPr>
                <w:rFonts w:eastAsiaTheme="minorHAnsi" w:cs="Segoe UI"/>
                <w:sz w:val="16"/>
                <w:szCs w:val="16"/>
              </w:rPr>
              <w:t xml:space="preserve"> </w:t>
            </w:r>
          </w:p>
        </w:tc>
      </w:tr>
      <w:tr w:rsidR="00AF4350" w:rsidRPr="00A86077" w:rsidTr="00A86077">
        <w:trPr>
          <w:trHeight w:val="20"/>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Bc. Ing. Kateřina Spáčilová, MBA</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 xml:space="preserve">pracovník </w:t>
            </w:r>
            <w:r w:rsidRPr="00A86077">
              <w:rPr>
                <w:rFonts w:cs="Segoe UI"/>
                <w:sz w:val="16"/>
                <w:szCs w:val="16"/>
                <w:lang w:val="sv-SE"/>
              </w:rPr>
              <w:t xml:space="preserve">oddělení financování sociálních služeb </w:t>
            </w:r>
            <w:r w:rsidRPr="00A86077">
              <w:rPr>
                <w:rFonts w:cs="Segoe UI"/>
                <w:sz w:val="16"/>
                <w:szCs w:val="16"/>
              </w:rPr>
              <w:t>odboru sociálních věcí KÚOK</w:t>
            </w:r>
          </w:p>
        </w:tc>
        <w:tc>
          <w:tcPr>
            <w:tcW w:w="1756" w:type="pct"/>
            <w:vAlign w:val="center"/>
          </w:tcPr>
          <w:p w:rsidR="00AF4350" w:rsidRPr="00A86077" w:rsidRDefault="00412C70" w:rsidP="00A86077">
            <w:pPr>
              <w:spacing w:before="0"/>
              <w:jc w:val="left"/>
              <w:rPr>
                <w:rFonts w:cs="Segoe UI"/>
                <w:sz w:val="16"/>
                <w:szCs w:val="16"/>
              </w:rPr>
            </w:pPr>
            <w:hyperlink r:id="rId80" w:history="1">
              <w:r w:rsidR="00AF4350" w:rsidRPr="00A86077">
                <w:rPr>
                  <w:rFonts w:eastAsia="Arial Unicode MS" w:cs="Segoe UI"/>
                  <w:sz w:val="16"/>
                  <w:szCs w:val="16"/>
                </w:rPr>
                <w:t>k.spacilova@olkraj.cz</w:t>
              </w:r>
            </w:hyperlink>
            <w:r w:rsidR="00AF4350" w:rsidRPr="00A86077">
              <w:rPr>
                <w:rFonts w:cs="Segoe UI"/>
                <w:sz w:val="16"/>
                <w:szCs w:val="16"/>
              </w:rPr>
              <w:t xml:space="preserve"> </w:t>
            </w:r>
          </w:p>
        </w:tc>
      </w:tr>
      <w:tr w:rsidR="00AF4350" w:rsidRPr="00A86077" w:rsidTr="00A86077">
        <w:trPr>
          <w:trHeight w:val="20"/>
          <w:jc w:val="center"/>
        </w:trPr>
        <w:tc>
          <w:tcPr>
            <w:tcW w:w="1537" w:type="pct"/>
            <w:vAlign w:val="center"/>
          </w:tcPr>
          <w:p w:rsidR="00AF4350" w:rsidRPr="00A86077" w:rsidRDefault="00AF4350" w:rsidP="00A86077">
            <w:pPr>
              <w:spacing w:before="0"/>
              <w:jc w:val="left"/>
              <w:rPr>
                <w:rFonts w:cs="Segoe UI"/>
                <w:sz w:val="16"/>
                <w:szCs w:val="16"/>
              </w:rPr>
            </w:pPr>
            <w:r w:rsidRPr="00A86077">
              <w:rPr>
                <w:rFonts w:cs="Segoe UI"/>
                <w:sz w:val="16"/>
                <w:szCs w:val="16"/>
              </w:rPr>
              <w:t>Bc. Kateřina Gajdošová</w:t>
            </w:r>
          </w:p>
        </w:tc>
        <w:tc>
          <w:tcPr>
            <w:tcW w:w="1706" w:type="pct"/>
            <w:vAlign w:val="center"/>
          </w:tcPr>
          <w:p w:rsidR="00AF4350" w:rsidRPr="00A86077" w:rsidRDefault="00AF4350" w:rsidP="00A86077">
            <w:pPr>
              <w:spacing w:before="0"/>
              <w:jc w:val="left"/>
              <w:rPr>
                <w:rFonts w:cs="Segoe UI"/>
                <w:sz w:val="16"/>
                <w:szCs w:val="16"/>
              </w:rPr>
            </w:pPr>
            <w:r w:rsidRPr="00A86077">
              <w:rPr>
                <w:rFonts w:cs="Segoe UI"/>
                <w:sz w:val="16"/>
                <w:szCs w:val="16"/>
              </w:rPr>
              <w:t>pracovník oddělení plánování sociálních služeb odboru sociálních věcí KÚOK</w:t>
            </w:r>
          </w:p>
        </w:tc>
        <w:tc>
          <w:tcPr>
            <w:tcW w:w="1756" w:type="pct"/>
            <w:vAlign w:val="center"/>
          </w:tcPr>
          <w:p w:rsidR="00AF4350" w:rsidRPr="00A86077" w:rsidRDefault="00412C70" w:rsidP="00A86077">
            <w:pPr>
              <w:spacing w:before="0"/>
              <w:jc w:val="left"/>
              <w:rPr>
                <w:rFonts w:eastAsiaTheme="minorHAnsi" w:cs="Segoe UI"/>
                <w:sz w:val="16"/>
                <w:szCs w:val="16"/>
              </w:rPr>
            </w:pPr>
            <w:hyperlink r:id="rId81" w:history="1">
              <w:r w:rsidR="00AF4350" w:rsidRPr="00A86077">
                <w:rPr>
                  <w:rFonts w:eastAsiaTheme="minorHAnsi" w:cs="Segoe UI"/>
                  <w:sz w:val="16"/>
                  <w:szCs w:val="16"/>
                </w:rPr>
                <w:t>k.gajdosova@olkraj.cz</w:t>
              </w:r>
            </w:hyperlink>
          </w:p>
        </w:tc>
      </w:tr>
    </w:tbl>
    <w:p w:rsidR="00AF4350" w:rsidRPr="007C2EB2" w:rsidRDefault="00AF4350" w:rsidP="00A34764">
      <w:pPr>
        <w:rPr>
          <w:rFonts w:eastAsia="Arial Unicode MS"/>
          <w:lang w:eastAsia="cs-CZ"/>
        </w:rPr>
      </w:pPr>
    </w:p>
    <w:p w:rsidR="00AF4350" w:rsidRPr="00095D35" w:rsidRDefault="00AF4350" w:rsidP="00A86077">
      <w:pPr>
        <w:pStyle w:val="Tun"/>
        <w:spacing w:after="240"/>
      </w:pPr>
      <w:r w:rsidRPr="00095D35">
        <w:t>Příloha č. 1 C) Seznam členů Krajské koordinační skupin</w:t>
      </w:r>
      <w:r w:rsidR="009560B8">
        <w:t>y</w:t>
      </w:r>
      <w:r w:rsidRPr="00095D35">
        <w:t xml:space="preserve"> KRKOS</w:t>
      </w:r>
    </w:p>
    <w:tbl>
      <w:tblPr>
        <w:tblW w:w="531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5"/>
        <w:gridCol w:w="3830"/>
        <w:gridCol w:w="3543"/>
      </w:tblGrid>
      <w:tr w:rsidR="00AF4350" w:rsidRPr="00A86077" w:rsidTr="00A86077">
        <w:trPr>
          <w:cantSplit/>
          <w:trHeight w:val="397"/>
          <w:tblHeader/>
        </w:trPr>
        <w:tc>
          <w:tcPr>
            <w:tcW w:w="1175" w:type="pct"/>
            <w:shd w:val="clear" w:color="auto" w:fill="F2F2F2" w:themeFill="background1" w:themeFillShade="F2"/>
            <w:tcMar>
              <w:top w:w="0" w:type="dxa"/>
              <w:left w:w="108" w:type="dxa"/>
              <w:bottom w:w="0" w:type="dxa"/>
              <w:right w:w="108" w:type="dxa"/>
            </w:tcMar>
            <w:vAlign w:val="center"/>
            <w:hideMark/>
          </w:tcPr>
          <w:p w:rsidR="00AF4350" w:rsidRPr="00A86077" w:rsidRDefault="00AF4350" w:rsidP="00A86077">
            <w:pPr>
              <w:spacing w:before="0"/>
              <w:jc w:val="center"/>
              <w:rPr>
                <w:rFonts w:eastAsia="Arial Unicode MS" w:cs="Segoe UI"/>
                <w:b/>
                <w:sz w:val="16"/>
                <w:szCs w:val="16"/>
                <w:lang w:eastAsia="cs-CZ"/>
              </w:rPr>
            </w:pPr>
            <w:r w:rsidRPr="00A86077">
              <w:rPr>
                <w:rFonts w:eastAsia="Arial Unicode MS" w:cs="Segoe UI"/>
                <w:b/>
                <w:sz w:val="16"/>
                <w:szCs w:val="16"/>
                <w:lang w:eastAsia="cs-CZ"/>
              </w:rPr>
              <w:t>Plánující lokalita</w:t>
            </w:r>
          </w:p>
        </w:tc>
        <w:tc>
          <w:tcPr>
            <w:tcW w:w="1987" w:type="pct"/>
            <w:shd w:val="clear" w:color="auto" w:fill="F2F2F2" w:themeFill="background1" w:themeFillShade="F2"/>
            <w:tcMar>
              <w:top w:w="0" w:type="dxa"/>
              <w:left w:w="108" w:type="dxa"/>
              <w:bottom w:w="0" w:type="dxa"/>
              <w:right w:w="108" w:type="dxa"/>
            </w:tcMar>
            <w:vAlign w:val="center"/>
            <w:hideMark/>
          </w:tcPr>
          <w:p w:rsidR="00AF4350" w:rsidRPr="00A86077" w:rsidRDefault="00AF4350" w:rsidP="00A86077">
            <w:pPr>
              <w:spacing w:before="0"/>
              <w:jc w:val="center"/>
              <w:rPr>
                <w:rFonts w:eastAsia="Arial Unicode MS" w:cs="Segoe UI"/>
                <w:b/>
                <w:sz w:val="16"/>
                <w:szCs w:val="16"/>
                <w:lang w:eastAsia="cs-CZ"/>
              </w:rPr>
            </w:pPr>
            <w:r w:rsidRPr="00A86077">
              <w:rPr>
                <w:rFonts w:eastAsia="Arial Unicode MS" w:cs="Segoe UI"/>
                <w:b/>
                <w:sz w:val="16"/>
                <w:szCs w:val="16"/>
                <w:lang w:eastAsia="cs-CZ"/>
              </w:rPr>
              <w:t>Jméno</w:t>
            </w:r>
          </w:p>
        </w:tc>
        <w:tc>
          <w:tcPr>
            <w:tcW w:w="1838" w:type="pct"/>
            <w:shd w:val="clear" w:color="auto" w:fill="F2F2F2" w:themeFill="background1" w:themeFillShade="F2"/>
            <w:tcMar>
              <w:top w:w="0" w:type="dxa"/>
              <w:left w:w="108" w:type="dxa"/>
              <w:bottom w:w="0" w:type="dxa"/>
              <w:right w:w="108" w:type="dxa"/>
            </w:tcMar>
            <w:vAlign w:val="center"/>
            <w:hideMark/>
          </w:tcPr>
          <w:p w:rsidR="00AF4350" w:rsidRPr="00A86077" w:rsidRDefault="00AF4350" w:rsidP="00A86077">
            <w:pPr>
              <w:spacing w:before="0"/>
              <w:jc w:val="center"/>
              <w:rPr>
                <w:rFonts w:eastAsia="Arial Unicode MS" w:cs="Segoe UI"/>
                <w:b/>
                <w:sz w:val="16"/>
                <w:szCs w:val="16"/>
                <w:lang w:eastAsia="cs-CZ"/>
              </w:rPr>
            </w:pPr>
            <w:r w:rsidRPr="00A86077">
              <w:rPr>
                <w:rFonts w:eastAsia="Arial Unicode MS" w:cs="Segoe UI"/>
                <w:b/>
                <w:sz w:val="16"/>
                <w:szCs w:val="16"/>
                <w:lang w:eastAsia="cs-CZ"/>
              </w:rPr>
              <w:t>Kontakt</w:t>
            </w:r>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ORP Šumperk</w:t>
            </w:r>
          </w:p>
        </w:tc>
        <w:tc>
          <w:tcPr>
            <w:tcW w:w="1987"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 xml:space="preserve">Bc. Slavěna </w:t>
            </w:r>
            <w:proofErr w:type="spellStart"/>
            <w:r w:rsidRPr="00A86077">
              <w:rPr>
                <w:rFonts w:eastAsia="Arial Unicode MS" w:cs="Segoe UI"/>
                <w:sz w:val="16"/>
                <w:szCs w:val="16"/>
                <w:lang w:eastAsia="cs-CZ"/>
              </w:rPr>
              <w:t>Karkošková</w:t>
            </w:r>
            <w:proofErr w:type="spellEnd"/>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koordinátorka plánování soc. služeb</w:t>
            </w:r>
          </w:p>
        </w:tc>
        <w:tc>
          <w:tcPr>
            <w:tcW w:w="1838" w:type="pct"/>
            <w:tcMar>
              <w:top w:w="0" w:type="dxa"/>
              <w:left w:w="108" w:type="dxa"/>
              <w:bottom w:w="0" w:type="dxa"/>
              <w:right w:w="108" w:type="dxa"/>
            </w:tcMar>
            <w:vAlign w:val="center"/>
            <w:hideMark/>
          </w:tcPr>
          <w:p w:rsidR="00AF4350" w:rsidRPr="00A86077" w:rsidRDefault="00412C70" w:rsidP="00A86077">
            <w:pPr>
              <w:spacing w:before="0"/>
              <w:rPr>
                <w:rFonts w:eastAsia="Arial Unicode MS" w:cs="Segoe UI"/>
                <w:sz w:val="16"/>
                <w:szCs w:val="16"/>
                <w:lang w:eastAsia="cs-CZ"/>
              </w:rPr>
            </w:pPr>
            <w:hyperlink r:id="rId82" w:history="1">
              <w:r w:rsidR="00AF4350" w:rsidRPr="00A86077">
                <w:rPr>
                  <w:rFonts w:eastAsia="Arial Unicode MS" w:cs="Segoe UI"/>
                  <w:sz w:val="16"/>
                  <w:szCs w:val="16"/>
                  <w:lang w:eastAsia="cs-CZ"/>
                </w:rPr>
                <w:t>slavena.karkoskova@sumperk.cz</w:t>
              </w:r>
            </w:hyperlink>
            <w:r w:rsidR="00AF4350" w:rsidRPr="00A86077">
              <w:rPr>
                <w:rFonts w:eastAsia="Arial Unicode MS" w:cs="Segoe UI"/>
                <w:sz w:val="16"/>
                <w:szCs w:val="16"/>
                <w:lang w:eastAsia="cs-CZ"/>
              </w:rPr>
              <w:t xml:space="preserve"> </w:t>
            </w:r>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ORP Zábřeh</w:t>
            </w:r>
          </w:p>
        </w:tc>
        <w:tc>
          <w:tcPr>
            <w:tcW w:w="1987"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 xml:space="preserve">Mgr. Jana Kapplová </w:t>
            </w:r>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vedoucí Odboru sociálních věcí</w:t>
            </w:r>
          </w:p>
        </w:tc>
        <w:tc>
          <w:tcPr>
            <w:tcW w:w="1838" w:type="pct"/>
            <w:tcMar>
              <w:top w:w="0" w:type="dxa"/>
              <w:left w:w="108" w:type="dxa"/>
              <w:bottom w:w="0" w:type="dxa"/>
              <w:right w:w="108" w:type="dxa"/>
            </w:tcMar>
            <w:vAlign w:val="center"/>
            <w:hideMark/>
          </w:tcPr>
          <w:p w:rsidR="00AF4350" w:rsidRPr="00A86077" w:rsidRDefault="00412C70" w:rsidP="00A86077">
            <w:pPr>
              <w:spacing w:before="0"/>
              <w:rPr>
                <w:rFonts w:eastAsia="Arial Unicode MS" w:cs="Segoe UI"/>
                <w:sz w:val="16"/>
                <w:szCs w:val="16"/>
                <w:lang w:eastAsia="cs-CZ"/>
              </w:rPr>
            </w:pPr>
            <w:hyperlink r:id="rId83" w:history="1">
              <w:r w:rsidR="00AF4350" w:rsidRPr="00A86077">
                <w:rPr>
                  <w:rFonts w:eastAsia="Arial Unicode MS" w:cs="Segoe UI"/>
                  <w:sz w:val="16"/>
                  <w:szCs w:val="16"/>
                  <w:lang w:eastAsia="cs-CZ"/>
                </w:rPr>
                <w:t>jana.kapplova@muzabreh.cz</w:t>
              </w:r>
            </w:hyperlink>
            <w:r w:rsidR="00AF4350" w:rsidRPr="00A86077">
              <w:rPr>
                <w:rFonts w:eastAsia="Arial Unicode MS" w:cs="Segoe UI"/>
                <w:sz w:val="16"/>
                <w:szCs w:val="16"/>
                <w:lang w:eastAsia="cs-CZ"/>
              </w:rPr>
              <w:t xml:space="preserve"> </w:t>
            </w:r>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 xml:space="preserve">ORP Přerov </w:t>
            </w:r>
          </w:p>
        </w:tc>
        <w:tc>
          <w:tcPr>
            <w:tcW w:w="1987"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 xml:space="preserve">Mgr. Blanka Hrubá </w:t>
            </w:r>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vedoucí oddělení soc. služeb a bydlení</w:t>
            </w:r>
          </w:p>
        </w:tc>
        <w:tc>
          <w:tcPr>
            <w:tcW w:w="1838" w:type="pct"/>
            <w:tcMar>
              <w:top w:w="0" w:type="dxa"/>
              <w:left w:w="108" w:type="dxa"/>
              <w:bottom w:w="0" w:type="dxa"/>
              <w:right w:w="108" w:type="dxa"/>
            </w:tcMar>
            <w:vAlign w:val="center"/>
            <w:hideMark/>
          </w:tcPr>
          <w:p w:rsidR="00AF4350" w:rsidRPr="00A86077" w:rsidRDefault="00412C70" w:rsidP="00A86077">
            <w:pPr>
              <w:spacing w:before="0"/>
              <w:rPr>
                <w:rFonts w:eastAsia="Arial Unicode MS" w:cs="Segoe UI"/>
                <w:sz w:val="16"/>
                <w:szCs w:val="16"/>
                <w:lang w:eastAsia="cs-CZ"/>
              </w:rPr>
            </w:pPr>
            <w:hyperlink r:id="rId84" w:history="1">
              <w:r w:rsidR="00AF4350" w:rsidRPr="00A86077">
                <w:rPr>
                  <w:rFonts w:eastAsia="Arial Unicode MS" w:cs="Segoe UI"/>
                  <w:sz w:val="16"/>
                  <w:szCs w:val="16"/>
                  <w:lang w:eastAsia="cs-CZ"/>
                </w:rPr>
                <w:t>blanka.hruba@prerov.eu</w:t>
              </w:r>
            </w:hyperlink>
            <w:r w:rsidR="00AF4350" w:rsidRPr="00A86077">
              <w:rPr>
                <w:rFonts w:eastAsia="Arial Unicode MS" w:cs="Segoe UI"/>
                <w:sz w:val="16"/>
                <w:szCs w:val="16"/>
                <w:lang w:eastAsia="cs-CZ"/>
              </w:rPr>
              <w:t xml:space="preserve"> </w:t>
            </w:r>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ORP Mohelnice</w:t>
            </w:r>
          </w:p>
        </w:tc>
        <w:tc>
          <w:tcPr>
            <w:tcW w:w="1987"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 xml:space="preserve">Bc. Eva Fričarová </w:t>
            </w:r>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vedoucí Odboru sociálních věcí</w:t>
            </w:r>
          </w:p>
        </w:tc>
        <w:tc>
          <w:tcPr>
            <w:tcW w:w="1838" w:type="pct"/>
            <w:tcMar>
              <w:top w:w="0" w:type="dxa"/>
              <w:left w:w="108" w:type="dxa"/>
              <w:bottom w:w="0" w:type="dxa"/>
              <w:right w:w="108" w:type="dxa"/>
            </w:tcMar>
            <w:vAlign w:val="center"/>
            <w:hideMark/>
          </w:tcPr>
          <w:p w:rsidR="00AF4350" w:rsidRPr="00A86077" w:rsidRDefault="00412C70" w:rsidP="00A86077">
            <w:pPr>
              <w:spacing w:before="0"/>
              <w:rPr>
                <w:rFonts w:eastAsia="Arial Unicode MS" w:cs="Segoe UI"/>
                <w:sz w:val="16"/>
                <w:szCs w:val="16"/>
                <w:lang w:eastAsia="cs-CZ"/>
              </w:rPr>
            </w:pPr>
            <w:hyperlink r:id="rId85" w:history="1">
              <w:r w:rsidR="00AF4350" w:rsidRPr="00A86077">
                <w:rPr>
                  <w:rFonts w:eastAsia="Arial Unicode MS" w:cs="Segoe UI"/>
                  <w:sz w:val="16"/>
                  <w:szCs w:val="16"/>
                  <w:lang w:eastAsia="cs-CZ"/>
                </w:rPr>
                <w:t>fricarovae@mohelnice.cz</w:t>
              </w:r>
            </w:hyperlink>
            <w:r w:rsidR="00AF4350" w:rsidRPr="00A86077">
              <w:rPr>
                <w:rFonts w:eastAsia="Arial Unicode MS" w:cs="Segoe UI"/>
                <w:sz w:val="16"/>
                <w:szCs w:val="16"/>
                <w:lang w:eastAsia="cs-CZ"/>
              </w:rPr>
              <w:t xml:space="preserve"> </w:t>
            </w:r>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ORP Konice</w:t>
            </w:r>
          </w:p>
        </w:tc>
        <w:tc>
          <w:tcPr>
            <w:tcW w:w="1987" w:type="pct"/>
            <w:tcMar>
              <w:top w:w="0" w:type="dxa"/>
              <w:left w:w="108" w:type="dxa"/>
              <w:bottom w:w="0" w:type="dxa"/>
              <w:right w:w="108" w:type="dxa"/>
            </w:tcMar>
            <w:vAlign w:val="center"/>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není určen zástupce</w:t>
            </w:r>
          </w:p>
        </w:tc>
        <w:tc>
          <w:tcPr>
            <w:tcW w:w="1838" w:type="pct"/>
            <w:tcMar>
              <w:top w:w="0" w:type="dxa"/>
              <w:left w:w="108" w:type="dxa"/>
              <w:bottom w:w="0" w:type="dxa"/>
              <w:right w:w="108" w:type="dxa"/>
            </w:tcMar>
            <w:vAlign w:val="center"/>
          </w:tcPr>
          <w:p w:rsidR="00AF4350" w:rsidRPr="00A86077" w:rsidRDefault="00AF4350" w:rsidP="00A86077">
            <w:pPr>
              <w:spacing w:before="0"/>
              <w:rPr>
                <w:rFonts w:eastAsia="Arial Unicode MS" w:cs="Segoe UI"/>
                <w:sz w:val="16"/>
                <w:szCs w:val="16"/>
                <w:lang w:eastAsia="cs-CZ"/>
              </w:rPr>
            </w:pPr>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ORP Jeseník</w:t>
            </w:r>
          </w:p>
        </w:tc>
        <w:tc>
          <w:tcPr>
            <w:tcW w:w="1987" w:type="pct"/>
            <w:tcMar>
              <w:top w:w="0" w:type="dxa"/>
              <w:left w:w="108" w:type="dxa"/>
              <w:bottom w:w="0" w:type="dxa"/>
              <w:right w:w="108" w:type="dxa"/>
            </w:tcMar>
            <w:vAlign w:val="center"/>
            <w:hideMark/>
          </w:tcPr>
          <w:p w:rsidR="00AF4350" w:rsidRPr="00A86077" w:rsidRDefault="00E368D3" w:rsidP="00A86077">
            <w:pPr>
              <w:spacing w:before="0"/>
              <w:rPr>
                <w:rFonts w:eastAsia="Arial Unicode MS" w:cs="Segoe UI"/>
                <w:sz w:val="16"/>
                <w:szCs w:val="16"/>
                <w:lang w:eastAsia="cs-CZ"/>
              </w:rPr>
            </w:pPr>
            <w:r>
              <w:rPr>
                <w:rFonts w:eastAsia="Arial Unicode MS" w:cs="Segoe UI"/>
                <w:sz w:val="16"/>
                <w:szCs w:val="16"/>
                <w:lang w:eastAsia="cs-CZ"/>
              </w:rPr>
              <w:t xml:space="preserve">Bc. </w:t>
            </w:r>
            <w:r w:rsidR="00AF4350" w:rsidRPr="00A86077">
              <w:rPr>
                <w:rFonts w:eastAsia="Arial Unicode MS" w:cs="Segoe UI"/>
                <w:sz w:val="16"/>
                <w:szCs w:val="16"/>
                <w:lang w:eastAsia="cs-CZ"/>
              </w:rPr>
              <w:t xml:space="preserve">Bohumila Ptáčková </w:t>
            </w:r>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sociální pracovnice</w:t>
            </w:r>
          </w:p>
        </w:tc>
        <w:tc>
          <w:tcPr>
            <w:tcW w:w="1838" w:type="pct"/>
            <w:tcMar>
              <w:top w:w="0" w:type="dxa"/>
              <w:left w:w="108" w:type="dxa"/>
              <w:bottom w:w="0" w:type="dxa"/>
              <w:right w:w="108" w:type="dxa"/>
            </w:tcMar>
            <w:vAlign w:val="center"/>
          </w:tcPr>
          <w:p w:rsidR="00AF4350" w:rsidRPr="00A86077" w:rsidRDefault="00412C70" w:rsidP="00A86077">
            <w:pPr>
              <w:spacing w:before="0"/>
              <w:rPr>
                <w:rFonts w:eastAsia="Arial Unicode MS" w:cs="Segoe UI"/>
                <w:sz w:val="16"/>
                <w:szCs w:val="16"/>
                <w:lang w:eastAsia="cs-CZ"/>
              </w:rPr>
            </w:pPr>
            <w:hyperlink r:id="rId86" w:history="1">
              <w:r w:rsidR="00AF4350" w:rsidRPr="00A86077">
                <w:rPr>
                  <w:rFonts w:eastAsia="Arial Unicode MS" w:cs="Segoe UI"/>
                  <w:sz w:val="16"/>
                  <w:szCs w:val="16"/>
                  <w:lang w:eastAsia="cs-CZ"/>
                </w:rPr>
                <w:t>bohumila.ptackova@mujes.cz</w:t>
              </w:r>
            </w:hyperlink>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ORP Olomouc</w:t>
            </w:r>
          </w:p>
        </w:tc>
        <w:tc>
          <w:tcPr>
            <w:tcW w:w="1987"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Ing. Dagmar Prachniarová</w:t>
            </w:r>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manažerka komunitního plánování</w:t>
            </w:r>
          </w:p>
        </w:tc>
        <w:tc>
          <w:tcPr>
            <w:tcW w:w="1838" w:type="pct"/>
            <w:tcMar>
              <w:top w:w="0" w:type="dxa"/>
              <w:left w:w="108" w:type="dxa"/>
              <w:bottom w:w="0" w:type="dxa"/>
              <w:right w:w="108" w:type="dxa"/>
            </w:tcMar>
            <w:vAlign w:val="center"/>
            <w:hideMark/>
          </w:tcPr>
          <w:p w:rsidR="00AF4350" w:rsidRPr="00A86077" w:rsidRDefault="00412C70" w:rsidP="00A86077">
            <w:pPr>
              <w:spacing w:before="0"/>
              <w:rPr>
                <w:rFonts w:eastAsia="Arial Unicode MS" w:cs="Segoe UI"/>
                <w:sz w:val="16"/>
                <w:szCs w:val="16"/>
                <w:lang w:eastAsia="cs-CZ"/>
              </w:rPr>
            </w:pPr>
            <w:hyperlink r:id="rId87" w:history="1">
              <w:r w:rsidR="00AF4350" w:rsidRPr="00A86077">
                <w:rPr>
                  <w:rFonts w:eastAsia="Arial Unicode MS" w:cs="Segoe UI"/>
                  <w:sz w:val="16"/>
                  <w:szCs w:val="16"/>
                  <w:lang w:eastAsia="cs-CZ"/>
                </w:rPr>
                <w:t>dagmar.prachniarova@olomouc.eu</w:t>
              </w:r>
            </w:hyperlink>
            <w:r w:rsidR="00AF4350" w:rsidRPr="00A86077">
              <w:rPr>
                <w:rFonts w:eastAsia="Arial Unicode MS" w:cs="Segoe UI"/>
                <w:sz w:val="16"/>
                <w:szCs w:val="16"/>
                <w:lang w:eastAsia="cs-CZ"/>
              </w:rPr>
              <w:t xml:space="preserve"> </w:t>
            </w:r>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ORP Hranice</w:t>
            </w:r>
          </w:p>
        </w:tc>
        <w:tc>
          <w:tcPr>
            <w:tcW w:w="1987"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Markéta Hlavičková, DiS.</w:t>
            </w:r>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Oddělení sociální práce</w:t>
            </w:r>
          </w:p>
        </w:tc>
        <w:tc>
          <w:tcPr>
            <w:tcW w:w="1838" w:type="pct"/>
            <w:tcMar>
              <w:top w:w="0" w:type="dxa"/>
              <w:left w:w="108" w:type="dxa"/>
              <w:bottom w:w="0" w:type="dxa"/>
              <w:right w:w="108" w:type="dxa"/>
            </w:tcMar>
            <w:vAlign w:val="center"/>
          </w:tcPr>
          <w:p w:rsidR="00AF4350" w:rsidRPr="00A86077" w:rsidRDefault="00412C70" w:rsidP="00A86077">
            <w:pPr>
              <w:spacing w:before="0"/>
              <w:rPr>
                <w:rFonts w:eastAsia="Arial Unicode MS" w:cs="Segoe UI"/>
                <w:sz w:val="16"/>
                <w:szCs w:val="16"/>
                <w:lang w:eastAsia="cs-CZ"/>
              </w:rPr>
            </w:pPr>
            <w:hyperlink r:id="rId88" w:history="1">
              <w:r w:rsidR="00AF4350" w:rsidRPr="00A86077">
                <w:rPr>
                  <w:rFonts w:eastAsia="Arial Unicode MS" w:cs="Segoe UI"/>
                  <w:sz w:val="16"/>
                  <w:szCs w:val="16"/>
                  <w:lang w:eastAsia="cs-CZ"/>
                </w:rPr>
                <w:t>marketa.hlavickova@mesto-hranice.cz</w:t>
              </w:r>
            </w:hyperlink>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ORP Prostějov</w:t>
            </w:r>
          </w:p>
        </w:tc>
        <w:tc>
          <w:tcPr>
            <w:tcW w:w="1987"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Alena Horáková, DiS.,</w:t>
            </w:r>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 xml:space="preserve">koordinátorka plánování </w:t>
            </w:r>
          </w:p>
        </w:tc>
        <w:tc>
          <w:tcPr>
            <w:tcW w:w="1838" w:type="pct"/>
            <w:tcMar>
              <w:top w:w="0" w:type="dxa"/>
              <w:left w:w="108" w:type="dxa"/>
              <w:bottom w:w="0" w:type="dxa"/>
              <w:right w:w="108" w:type="dxa"/>
            </w:tcMar>
            <w:vAlign w:val="center"/>
            <w:hideMark/>
          </w:tcPr>
          <w:p w:rsidR="00AF4350" w:rsidRPr="00A86077" w:rsidRDefault="00412C70" w:rsidP="00A86077">
            <w:pPr>
              <w:spacing w:before="0"/>
              <w:rPr>
                <w:rFonts w:eastAsia="Arial Unicode MS" w:cs="Segoe UI"/>
                <w:sz w:val="16"/>
                <w:szCs w:val="16"/>
                <w:lang w:eastAsia="cs-CZ"/>
              </w:rPr>
            </w:pPr>
            <w:hyperlink r:id="rId89" w:history="1">
              <w:r w:rsidR="00AF4350" w:rsidRPr="00A86077">
                <w:rPr>
                  <w:rFonts w:eastAsia="Arial Unicode MS" w:cs="Segoe UI"/>
                  <w:sz w:val="16"/>
                  <w:szCs w:val="16"/>
                  <w:lang w:eastAsia="cs-CZ"/>
                </w:rPr>
                <w:t>alena.horakova@prostejov.eu</w:t>
              </w:r>
            </w:hyperlink>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ORP Lipník nad Bečvou</w:t>
            </w:r>
          </w:p>
        </w:tc>
        <w:tc>
          <w:tcPr>
            <w:tcW w:w="1987"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Mgr. Ondřej Vlček</w:t>
            </w:r>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místostarosta města</w:t>
            </w:r>
          </w:p>
        </w:tc>
        <w:tc>
          <w:tcPr>
            <w:tcW w:w="1838" w:type="pct"/>
            <w:tcMar>
              <w:top w:w="0" w:type="dxa"/>
              <w:left w:w="108" w:type="dxa"/>
              <w:bottom w:w="0" w:type="dxa"/>
              <w:right w:w="108" w:type="dxa"/>
            </w:tcMar>
            <w:vAlign w:val="center"/>
          </w:tcPr>
          <w:p w:rsidR="00AF4350" w:rsidRPr="00A86077" w:rsidRDefault="00412C70" w:rsidP="00A86077">
            <w:pPr>
              <w:spacing w:before="0"/>
              <w:rPr>
                <w:rFonts w:eastAsia="Arial Unicode MS" w:cs="Segoe UI"/>
                <w:sz w:val="16"/>
                <w:szCs w:val="16"/>
                <w:lang w:eastAsia="cs-CZ"/>
              </w:rPr>
            </w:pPr>
            <w:hyperlink r:id="rId90" w:history="1">
              <w:r w:rsidR="00AF4350" w:rsidRPr="00A86077">
                <w:rPr>
                  <w:rFonts w:eastAsia="Arial Unicode MS" w:cs="Segoe UI"/>
                  <w:sz w:val="16"/>
                  <w:szCs w:val="16"/>
                  <w:lang w:eastAsia="cs-CZ"/>
                </w:rPr>
                <w:t>vlcek@mesto-lipnik.cz</w:t>
              </w:r>
            </w:hyperlink>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ORP Litovel</w:t>
            </w:r>
          </w:p>
        </w:tc>
        <w:tc>
          <w:tcPr>
            <w:tcW w:w="1987"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 xml:space="preserve">Ing. Ludmila Zavadilová </w:t>
            </w:r>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Charita Šternberk</w:t>
            </w:r>
          </w:p>
        </w:tc>
        <w:tc>
          <w:tcPr>
            <w:tcW w:w="1838" w:type="pct"/>
            <w:tcMar>
              <w:top w:w="0" w:type="dxa"/>
              <w:left w:w="108" w:type="dxa"/>
              <w:bottom w:w="0" w:type="dxa"/>
              <w:right w:w="108" w:type="dxa"/>
            </w:tcMar>
            <w:vAlign w:val="center"/>
            <w:hideMark/>
          </w:tcPr>
          <w:p w:rsidR="00AF4350" w:rsidRPr="00A86077" w:rsidRDefault="00412C70" w:rsidP="00A86077">
            <w:pPr>
              <w:spacing w:before="0"/>
              <w:rPr>
                <w:rFonts w:eastAsia="Arial Unicode MS" w:cs="Segoe UI"/>
                <w:sz w:val="16"/>
                <w:szCs w:val="16"/>
                <w:lang w:eastAsia="cs-CZ"/>
              </w:rPr>
            </w:pPr>
            <w:hyperlink r:id="rId91" w:history="1">
              <w:r w:rsidR="00AF4350" w:rsidRPr="00A86077">
                <w:rPr>
                  <w:rFonts w:eastAsia="Arial Unicode MS" w:cs="Segoe UI"/>
                  <w:sz w:val="16"/>
                  <w:szCs w:val="16"/>
                  <w:lang w:eastAsia="cs-CZ"/>
                </w:rPr>
                <w:t>Ludmila.zavadilova@sternberk.charita.cz</w:t>
              </w:r>
            </w:hyperlink>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ORP Uničov</w:t>
            </w:r>
          </w:p>
        </w:tc>
        <w:tc>
          <w:tcPr>
            <w:tcW w:w="1987"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 xml:space="preserve">Bc. Lenka Jořenková </w:t>
            </w:r>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 xml:space="preserve">Centrum sociálních služeb Uničov, </w:t>
            </w:r>
            <w:proofErr w:type="spellStart"/>
            <w:proofErr w:type="gramStart"/>
            <w:r w:rsidRPr="00A86077">
              <w:rPr>
                <w:rFonts w:eastAsia="Arial Unicode MS" w:cs="Segoe UI"/>
                <w:sz w:val="16"/>
                <w:szCs w:val="16"/>
                <w:lang w:eastAsia="cs-CZ"/>
              </w:rPr>
              <w:t>p.o</w:t>
            </w:r>
            <w:proofErr w:type="spellEnd"/>
            <w:r w:rsidRPr="00A86077">
              <w:rPr>
                <w:rFonts w:eastAsia="Arial Unicode MS" w:cs="Segoe UI"/>
                <w:sz w:val="16"/>
                <w:szCs w:val="16"/>
                <w:lang w:eastAsia="cs-CZ"/>
              </w:rPr>
              <w:t>.</w:t>
            </w:r>
            <w:proofErr w:type="gramEnd"/>
          </w:p>
        </w:tc>
        <w:tc>
          <w:tcPr>
            <w:tcW w:w="1838" w:type="pct"/>
            <w:tcMar>
              <w:top w:w="0" w:type="dxa"/>
              <w:left w:w="108" w:type="dxa"/>
              <w:bottom w:w="0" w:type="dxa"/>
              <w:right w:w="108" w:type="dxa"/>
            </w:tcMar>
            <w:vAlign w:val="center"/>
            <w:hideMark/>
          </w:tcPr>
          <w:p w:rsidR="00AF4350" w:rsidRPr="00A86077" w:rsidRDefault="00412C70" w:rsidP="00A86077">
            <w:pPr>
              <w:spacing w:before="0"/>
              <w:rPr>
                <w:rFonts w:eastAsia="Arial Unicode MS" w:cs="Segoe UI"/>
                <w:sz w:val="16"/>
                <w:szCs w:val="16"/>
                <w:lang w:eastAsia="cs-CZ"/>
              </w:rPr>
            </w:pPr>
            <w:hyperlink r:id="rId92" w:history="1">
              <w:r w:rsidR="00AF4350" w:rsidRPr="00A86077">
                <w:rPr>
                  <w:rFonts w:eastAsia="Arial Unicode MS" w:cs="Segoe UI"/>
                  <w:sz w:val="16"/>
                  <w:szCs w:val="16"/>
                  <w:lang w:eastAsia="cs-CZ"/>
                </w:rPr>
                <w:t>kpss.unicov@seznam.cz</w:t>
              </w:r>
            </w:hyperlink>
            <w:r w:rsidR="00AF4350" w:rsidRPr="00A86077">
              <w:rPr>
                <w:rFonts w:eastAsia="Arial Unicode MS" w:cs="Segoe UI"/>
                <w:sz w:val="16"/>
                <w:szCs w:val="16"/>
                <w:lang w:eastAsia="cs-CZ"/>
              </w:rPr>
              <w:t xml:space="preserve"> </w:t>
            </w:r>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ORP Šternberk</w:t>
            </w:r>
          </w:p>
        </w:tc>
        <w:tc>
          <w:tcPr>
            <w:tcW w:w="1987"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 xml:space="preserve">Bc. Helena Funková, DiS. </w:t>
            </w:r>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koordinátorka plánování</w:t>
            </w:r>
          </w:p>
        </w:tc>
        <w:tc>
          <w:tcPr>
            <w:tcW w:w="1838" w:type="pct"/>
            <w:tcMar>
              <w:top w:w="0" w:type="dxa"/>
              <w:left w:w="108" w:type="dxa"/>
              <w:bottom w:w="0" w:type="dxa"/>
              <w:right w:w="108" w:type="dxa"/>
            </w:tcMar>
            <w:vAlign w:val="center"/>
            <w:hideMark/>
          </w:tcPr>
          <w:p w:rsidR="00AF4350" w:rsidRPr="00A86077" w:rsidRDefault="00412C70" w:rsidP="00A86077">
            <w:pPr>
              <w:spacing w:before="0"/>
              <w:rPr>
                <w:rFonts w:eastAsia="Arial Unicode MS" w:cs="Segoe UI"/>
                <w:sz w:val="16"/>
                <w:szCs w:val="16"/>
                <w:lang w:eastAsia="cs-CZ"/>
              </w:rPr>
            </w:pPr>
            <w:hyperlink r:id="rId93" w:history="1">
              <w:r w:rsidR="00AF4350" w:rsidRPr="00A86077">
                <w:rPr>
                  <w:rFonts w:eastAsia="Arial Unicode MS" w:cs="Segoe UI"/>
                  <w:sz w:val="16"/>
                  <w:szCs w:val="16"/>
                  <w:lang w:eastAsia="cs-CZ"/>
                </w:rPr>
                <w:t>funkova@sternberk.cz</w:t>
              </w:r>
            </w:hyperlink>
            <w:r w:rsidR="00AF4350" w:rsidRPr="00A86077">
              <w:rPr>
                <w:rFonts w:eastAsia="Arial Unicode MS" w:cs="Segoe UI"/>
                <w:sz w:val="16"/>
                <w:szCs w:val="16"/>
                <w:lang w:eastAsia="cs-CZ"/>
              </w:rPr>
              <w:t xml:space="preserve"> </w:t>
            </w:r>
          </w:p>
          <w:p w:rsidR="00AF4350" w:rsidRPr="00A86077" w:rsidRDefault="00AF4350" w:rsidP="00A86077">
            <w:pPr>
              <w:spacing w:before="0"/>
              <w:rPr>
                <w:rFonts w:eastAsia="Arial Unicode MS" w:cs="Segoe UI"/>
                <w:sz w:val="16"/>
                <w:szCs w:val="16"/>
                <w:lang w:eastAsia="cs-CZ"/>
              </w:rPr>
            </w:pPr>
          </w:p>
        </w:tc>
      </w:tr>
      <w:tr w:rsidR="00AF4350" w:rsidRPr="00A86077" w:rsidTr="00AF4350">
        <w:trPr>
          <w:trHeight w:val="397"/>
        </w:trPr>
        <w:tc>
          <w:tcPr>
            <w:tcW w:w="1175"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město Kojetín</w:t>
            </w:r>
          </w:p>
        </w:tc>
        <w:tc>
          <w:tcPr>
            <w:tcW w:w="1987" w:type="pct"/>
            <w:tcMar>
              <w:top w:w="0" w:type="dxa"/>
              <w:left w:w="108" w:type="dxa"/>
              <w:bottom w:w="0" w:type="dxa"/>
              <w:right w:w="108" w:type="dxa"/>
            </w:tcMar>
            <w:vAlign w:val="center"/>
            <w:hideMark/>
          </w:tcPr>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 xml:space="preserve">Bc. Alice Stavová </w:t>
            </w:r>
          </w:p>
          <w:p w:rsidR="00AF4350" w:rsidRPr="00A86077" w:rsidRDefault="00AF4350" w:rsidP="00A86077">
            <w:pPr>
              <w:spacing w:before="0"/>
              <w:rPr>
                <w:rFonts w:eastAsia="Arial Unicode MS" w:cs="Segoe UI"/>
                <w:sz w:val="16"/>
                <w:szCs w:val="16"/>
                <w:lang w:eastAsia="cs-CZ"/>
              </w:rPr>
            </w:pPr>
            <w:r w:rsidRPr="00A86077">
              <w:rPr>
                <w:rFonts w:eastAsia="Arial Unicode MS" w:cs="Segoe UI"/>
                <w:sz w:val="16"/>
                <w:szCs w:val="16"/>
                <w:lang w:eastAsia="cs-CZ"/>
              </w:rPr>
              <w:t>koordinátorka plánování soc. služeb</w:t>
            </w:r>
          </w:p>
        </w:tc>
        <w:tc>
          <w:tcPr>
            <w:tcW w:w="1838" w:type="pct"/>
            <w:tcMar>
              <w:top w:w="0" w:type="dxa"/>
              <w:left w:w="108" w:type="dxa"/>
              <w:bottom w:w="0" w:type="dxa"/>
              <w:right w:w="108" w:type="dxa"/>
            </w:tcMar>
            <w:vAlign w:val="center"/>
            <w:hideMark/>
          </w:tcPr>
          <w:p w:rsidR="00AF4350" w:rsidRPr="00A86077" w:rsidRDefault="00412C70" w:rsidP="00A86077">
            <w:pPr>
              <w:spacing w:before="0"/>
              <w:rPr>
                <w:rFonts w:eastAsia="Arial Unicode MS" w:cs="Segoe UI"/>
                <w:sz w:val="16"/>
                <w:szCs w:val="16"/>
                <w:lang w:eastAsia="cs-CZ"/>
              </w:rPr>
            </w:pPr>
            <w:hyperlink r:id="rId94" w:history="1">
              <w:r w:rsidR="00AF4350" w:rsidRPr="00A86077">
                <w:rPr>
                  <w:rFonts w:eastAsia="Arial Unicode MS" w:cs="Segoe UI"/>
                  <w:sz w:val="16"/>
                  <w:szCs w:val="16"/>
                  <w:lang w:eastAsia="cs-CZ"/>
                </w:rPr>
                <w:t>a.stavova@radnice.kojetin.cz</w:t>
              </w:r>
            </w:hyperlink>
            <w:r w:rsidR="00AF4350" w:rsidRPr="00A86077">
              <w:rPr>
                <w:rFonts w:eastAsia="Arial Unicode MS" w:cs="Segoe UI"/>
                <w:sz w:val="16"/>
                <w:szCs w:val="16"/>
                <w:lang w:eastAsia="cs-CZ"/>
              </w:rPr>
              <w:t xml:space="preserve"> </w:t>
            </w:r>
          </w:p>
        </w:tc>
      </w:tr>
    </w:tbl>
    <w:p w:rsidR="00AF4350" w:rsidRPr="007C2EB2" w:rsidRDefault="00AF4350" w:rsidP="00A34764">
      <w:pPr>
        <w:rPr>
          <w:rFonts w:eastAsia="Arial Unicode MS"/>
          <w:lang w:eastAsia="cs-CZ"/>
        </w:rPr>
      </w:pPr>
    </w:p>
    <w:p w:rsidR="00AF4350" w:rsidRPr="00095D35" w:rsidRDefault="00AF4350" w:rsidP="00A86077">
      <w:pPr>
        <w:pStyle w:val="Tun"/>
        <w:spacing w:after="240"/>
      </w:pPr>
      <w:r w:rsidRPr="00095D35">
        <w:t>Příloha č. 1 D) Seznam členů Skupiny ORP</w:t>
      </w:r>
    </w:p>
    <w:tbl>
      <w:tblPr>
        <w:tblW w:w="5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7"/>
        <w:gridCol w:w="3846"/>
        <w:gridCol w:w="3812"/>
      </w:tblGrid>
      <w:tr w:rsidR="00AF4350" w:rsidRPr="00A86077" w:rsidTr="00A86077">
        <w:trPr>
          <w:cantSplit/>
          <w:trHeight w:val="356"/>
          <w:tblHeader/>
          <w:jc w:val="center"/>
        </w:trPr>
        <w:tc>
          <w:tcPr>
            <w:tcW w:w="1026" w:type="pct"/>
            <w:shd w:val="clear" w:color="auto" w:fill="F2F2F2" w:themeFill="background1" w:themeFillShade="F2"/>
            <w:tcMar>
              <w:top w:w="0" w:type="dxa"/>
              <w:left w:w="108" w:type="dxa"/>
              <w:bottom w:w="0" w:type="dxa"/>
              <w:right w:w="108" w:type="dxa"/>
            </w:tcMar>
            <w:vAlign w:val="center"/>
            <w:hideMark/>
          </w:tcPr>
          <w:p w:rsidR="00AF4350" w:rsidRPr="00A86077" w:rsidRDefault="00AF4350" w:rsidP="00A86077">
            <w:pPr>
              <w:spacing w:before="0"/>
              <w:jc w:val="center"/>
              <w:rPr>
                <w:rFonts w:cs="Segoe UI"/>
                <w:b/>
                <w:sz w:val="16"/>
                <w:szCs w:val="16"/>
              </w:rPr>
            </w:pPr>
            <w:r w:rsidRPr="00A86077">
              <w:rPr>
                <w:rFonts w:cs="Segoe UI"/>
                <w:b/>
                <w:sz w:val="16"/>
                <w:szCs w:val="16"/>
              </w:rPr>
              <w:t>ORP</w:t>
            </w:r>
          </w:p>
        </w:tc>
        <w:tc>
          <w:tcPr>
            <w:tcW w:w="1996" w:type="pct"/>
            <w:shd w:val="clear" w:color="auto" w:fill="F2F2F2" w:themeFill="background1" w:themeFillShade="F2"/>
            <w:tcMar>
              <w:top w:w="0" w:type="dxa"/>
              <w:left w:w="108" w:type="dxa"/>
              <w:bottom w:w="0" w:type="dxa"/>
              <w:right w:w="108" w:type="dxa"/>
            </w:tcMar>
            <w:vAlign w:val="center"/>
            <w:hideMark/>
          </w:tcPr>
          <w:p w:rsidR="00AF4350" w:rsidRPr="00A86077" w:rsidRDefault="00AF4350" w:rsidP="00A86077">
            <w:pPr>
              <w:spacing w:before="0"/>
              <w:jc w:val="center"/>
              <w:rPr>
                <w:rFonts w:cs="Segoe UI"/>
                <w:b/>
                <w:sz w:val="16"/>
                <w:szCs w:val="16"/>
              </w:rPr>
            </w:pPr>
            <w:r w:rsidRPr="00A86077">
              <w:rPr>
                <w:rFonts w:cs="Segoe UI"/>
                <w:b/>
                <w:sz w:val="16"/>
                <w:szCs w:val="16"/>
              </w:rPr>
              <w:t>Jméno</w:t>
            </w:r>
          </w:p>
        </w:tc>
        <w:tc>
          <w:tcPr>
            <w:tcW w:w="1978" w:type="pct"/>
            <w:shd w:val="clear" w:color="auto" w:fill="F2F2F2" w:themeFill="background1" w:themeFillShade="F2"/>
            <w:tcMar>
              <w:top w:w="0" w:type="dxa"/>
              <w:left w:w="108" w:type="dxa"/>
              <w:bottom w:w="0" w:type="dxa"/>
              <w:right w:w="108" w:type="dxa"/>
            </w:tcMar>
            <w:vAlign w:val="center"/>
            <w:hideMark/>
          </w:tcPr>
          <w:p w:rsidR="00AF4350" w:rsidRPr="00A86077" w:rsidRDefault="00AF4350" w:rsidP="00A86077">
            <w:pPr>
              <w:spacing w:before="0"/>
              <w:jc w:val="center"/>
              <w:rPr>
                <w:rFonts w:cs="Segoe UI"/>
                <w:b/>
                <w:sz w:val="16"/>
                <w:szCs w:val="16"/>
              </w:rPr>
            </w:pPr>
            <w:r w:rsidRPr="00A86077">
              <w:rPr>
                <w:rFonts w:cs="Segoe UI"/>
                <w:b/>
                <w:sz w:val="16"/>
                <w:szCs w:val="16"/>
              </w:rPr>
              <w:t>Kontakt</w:t>
            </w:r>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ORP Šumperk</w:t>
            </w:r>
          </w:p>
        </w:tc>
        <w:tc>
          <w:tcPr>
            <w:tcW w:w="199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 xml:space="preserve">Ing. Pavla Skálová, </w:t>
            </w:r>
          </w:p>
          <w:p w:rsidR="00AF4350" w:rsidRPr="00A86077" w:rsidRDefault="00AF4350" w:rsidP="00A86077">
            <w:pPr>
              <w:spacing w:before="0"/>
              <w:rPr>
                <w:rFonts w:cs="Segoe UI"/>
                <w:sz w:val="16"/>
                <w:szCs w:val="16"/>
              </w:rPr>
            </w:pPr>
            <w:r w:rsidRPr="00A86077">
              <w:rPr>
                <w:rFonts w:cs="Segoe UI"/>
                <w:sz w:val="16"/>
                <w:szCs w:val="16"/>
              </w:rPr>
              <w:t>vedoucí odboru sociálních věcí</w:t>
            </w:r>
          </w:p>
        </w:tc>
        <w:tc>
          <w:tcPr>
            <w:tcW w:w="1978" w:type="pct"/>
            <w:tcMar>
              <w:top w:w="0" w:type="dxa"/>
              <w:left w:w="108" w:type="dxa"/>
              <w:bottom w:w="0" w:type="dxa"/>
              <w:right w:w="108" w:type="dxa"/>
            </w:tcMar>
            <w:vAlign w:val="center"/>
            <w:hideMark/>
          </w:tcPr>
          <w:p w:rsidR="00AF4350" w:rsidRPr="00A86077" w:rsidRDefault="00412C70" w:rsidP="00A86077">
            <w:pPr>
              <w:spacing w:before="0"/>
              <w:rPr>
                <w:rFonts w:cs="Segoe UI"/>
                <w:sz w:val="16"/>
                <w:szCs w:val="16"/>
              </w:rPr>
            </w:pPr>
            <w:hyperlink r:id="rId95" w:history="1">
              <w:r w:rsidR="00AF4350" w:rsidRPr="00A86077">
                <w:rPr>
                  <w:rFonts w:cs="Segoe UI"/>
                  <w:sz w:val="16"/>
                  <w:szCs w:val="16"/>
                </w:rPr>
                <w:t>pavla.skalova@sumperk.cz</w:t>
              </w:r>
            </w:hyperlink>
            <w:r w:rsidR="00AF4350" w:rsidRPr="00A86077">
              <w:rPr>
                <w:rFonts w:cs="Segoe UI"/>
                <w:sz w:val="16"/>
                <w:szCs w:val="16"/>
              </w:rPr>
              <w:t xml:space="preserve"> </w:t>
            </w:r>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ORP Zábřeh</w:t>
            </w:r>
          </w:p>
        </w:tc>
        <w:tc>
          <w:tcPr>
            <w:tcW w:w="199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 xml:space="preserve">Mgr. Jana Kapplová, </w:t>
            </w:r>
          </w:p>
          <w:p w:rsidR="00AF4350" w:rsidRPr="00A86077" w:rsidRDefault="00AF4350" w:rsidP="00A86077">
            <w:pPr>
              <w:spacing w:before="0"/>
              <w:rPr>
                <w:rFonts w:cs="Segoe UI"/>
                <w:sz w:val="16"/>
                <w:szCs w:val="16"/>
              </w:rPr>
            </w:pPr>
            <w:r w:rsidRPr="00A86077">
              <w:rPr>
                <w:rFonts w:cs="Segoe UI"/>
                <w:sz w:val="16"/>
                <w:szCs w:val="16"/>
              </w:rPr>
              <w:t>vedoucí odboru sociálních věcí</w:t>
            </w:r>
          </w:p>
        </w:tc>
        <w:tc>
          <w:tcPr>
            <w:tcW w:w="1978" w:type="pct"/>
            <w:tcMar>
              <w:top w:w="0" w:type="dxa"/>
              <w:left w:w="108" w:type="dxa"/>
              <w:bottom w:w="0" w:type="dxa"/>
              <w:right w:w="108" w:type="dxa"/>
            </w:tcMar>
            <w:vAlign w:val="center"/>
            <w:hideMark/>
          </w:tcPr>
          <w:p w:rsidR="00AF4350" w:rsidRPr="00A86077" w:rsidRDefault="00412C70" w:rsidP="00A86077">
            <w:pPr>
              <w:spacing w:before="0"/>
              <w:rPr>
                <w:rFonts w:cs="Segoe UI"/>
                <w:sz w:val="16"/>
                <w:szCs w:val="16"/>
              </w:rPr>
            </w:pPr>
            <w:hyperlink r:id="rId96" w:history="1">
              <w:r w:rsidR="00AF4350" w:rsidRPr="00A86077">
                <w:rPr>
                  <w:rFonts w:cs="Segoe UI"/>
                  <w:sz w:val="16"/>
                  <w:szCs w:val="16"/>
                </w:rPr>
                <w:t>jana.kapplova@muzabreh.cz</w:t>
              </w:r>
            </w:hyperlink>
            <w:r w:rsidR="00AF4350" w:rsidRPr="00A86077">
              <w:rPr>
                <w:rFonts w:cs="Segoe UI"/>
                <w:sz w:val="16"/>
                <w:szCs w:val="16"/>
              </w:rPr>
              <w:t xml:space="preserve"> </w:t>
            </w:r>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 xml:space="preserve">ORP Přerov </w:t>
            </w:r>
          </w:p>
        </w:tc>
        <w:tc>
          <w:tcPr>
            <w:tcW w:w="199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 xml:space="preserve">Mgr. Romana Pospíšilová, </w:t>
            </w:r>
          </w:p>
          <w:p w:rsidR="00AF4350" w:rsidRPr="00A86077" w:rsidRDefault="00AF4350" w:rsidP="00A86077">
            <w:pPr>
              <w:spacing w:before="0"/>
              <w:rPr>
                <w:rFonts w:cs="Segoe UI"/>
                <w:sz w:val="16"/>
                <w:szCs w:val="16"/>
              </w:rPr>
            </w:pPr>
            <w:r w:rsidRPr="00A86077">
              <w:rPr>
                <w:rFonts w:cs="Segoe UI"/>
                <w:sz w:val="16"/>
                <w:szCs w:val="16"/>
              </w:rPr>
              <w:t xml:space="preserve">vedoucí odboru sociálních věcí a školství </w:t>
            </w:r>
          </w:p>
        </w:tc>
        <w:tc>
          <w:tcPr>
            <w:tcW w:w="1978" w:type="pct"/>
            <w:tcMar>
              <w:top w:w="0" w:type="dxa"/>
              <w:left w:w="108" w:type="dxa"/>
              <w:bottom w:w="0" w:type="dxa"/>
              <w:right w:w="108" w:type="dxa"/>
            </w:tcMar>
            <w:vAlign w:val="center"/>
            <w:hideMark/>
          </w:tcPr>
          <w:p w:rsidR="00AF4350" w:rsidRPr="00A86077" w:rsidRDefault="00412C70" w:rsidP="00A86077">
            <w:pPr>
              <w:spacing w:before="0"/>
              <w:rPr>
                <w:rFonts w:cs="Segoe UI"/>
                <w:sz w:val="16"/>
                <w:szCs w:val="16"/>
              </w:rPr>
            </w:pPr>
            <w:hyperlink r:id="rId97" w:history="1">
              <w:r w:rsidR="00AF4350" w:rsidRPr="00A86077">
                <w:rPr>
                  <w:rFonts w:cs="Segoe UI"/>
                  <w:sz w:val="16"/>
                  <w:szCs w:val="16"/>
                </w:rPr>
                <w:t>romana.pospisilova@prerov.eu</w:t>
              </w:r>
            </w:hyperlink>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ORP Mohelnice</w:t>
            </w:r>
          </w:p>
        </w:tc>
        <w:tc>
          <w:tcPr>
            <w:tcW w:w="199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 xml:space="preserve">Bc. Eva Fričarová, </w:t>
            </w:r>
          </w:p>
          <w:p w:rsidR="00AF4350" w:rsidRPr="00A86077" w:rsidRDefault="00AF4350" w:rsidP="00A86077">
            <w:pPr>
              <w:spacing w:before="0"/>
              <w:rPr>
                <w:rFonts w:cs="Segoe UI"/>
                <w:sz w:val="16"/>
                <w:szCs w:val="16"/>
              </w:rPr>
            </w:pPr>
            <w:r w:rsidRPr="00A86077">
              <w:rPr>
                <w:rFonts w:cs="Segoe UI"/>
                <w:sz w:val="16"/>
                <w:szCs w:val="16"/>
              </w:rPr>
              <w:t>vedoucí odboru sociálních věcí</w:t>
            </w:r>
          </w:p>
        </w:tc>
        <w:tc>
          <w:tcPr>
            <w:tcW w:w="1978" w:type="pct"/>
            <w:tcMar>
              <w:top w:w="0" w:type="dxa"/>
              <w:left w:w="108" w:type="dxa"/>
              <w:bottom w:w="0" w:type="dxa"/>
              <w:right w:w="108" w:type="dxa"/>
            </w:tcMar>
            <w:vAlign w:val="center"/>
            <w:hideMark/>
          </w:tcPr>
          <w:p w:rsidR="00AF4350" w:rsidRPr="00A86077" w:rsidRDefault="00412C70" w:rsidP="00A86077">
            <w:pPr>
              <w:spacing w:before="0"/>
              <w:rPr>
                <w:rFonts w:cs="Segoe UI"/>
                <w:sz w:val="16"/>
                <w:szCs w:val="16"/>
              </w:rPr>
            </w:pPr>
            <w:hyperlink r:id="rId98" w:history="1">
              <w:r w:rsidR="00AF4350" w:rsidRPr="00A86077">
                <w:rPr>
                  <w:rFonts w:cs="Segoe UI"/>
                  <w:sz w:val="16"/>
                  <w:szCs w:val="16"/>
                </w:rPr>
                <w:t>fricarovae@mohelnice.cz</w:t>
              </w:r>
            </w:hyperlink>
            <w:r w:rsidR="00AF4350" w:rsidRPr="00A86077">
              <w:rPr>
                <w:rFonts w:cs="Segoe UI"/>
                <w:sz w:val="16"/>
                <w:szCs w:val="16"/>
              </w:rPr>
              <w:t xml:space="preserve"> </w:t>
            </w:r>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ORP Konice</w:t>
            </w:r>
          </w:p>
        </w:tc>
        <w:tc>
          <w:tcPr>
            <w:tcW w:w="199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 xml:space="preserve">Mgr. Hana Koudelková, </w:t>
            </w:r>
          </w:p>
          <w:p w:rsidR="00AF4350" w:rsidRPr="00A86077" w:rsidRDefault="00AF4350" w:rsidP="00A86077">
            <w:pPr>
              <w:spacing w:before="0"/>
              <w:rPr>
                <w:rFonts w:cs="Segoe UI"/>
                <w:sz w:val="16"/>
                <w:szCs w:val="16"/>
              </w:rPr>
            </w:pPr>
            <w:r w:rsidRPr="00A86077">
              <w:rPr>
                <w:rFonts w:cs="Segoe UI"/>
                <w:sz w:val="16"/>
                <w:szCs w:val="16"/>
              </w:rPr>
              <w:t>vedoucí odboru sociálních věcí</w:t>
            </w:r>
          </w:p>
        </w:tc>
        <w:tc>
          <w:tcPr>
            <w:tcW w:w="1978" w:type="pct"/>
            <w:tcMar>
              <w:top w:w="0" w:type="dxa"/>
              <w:left w:w="108" w:type="dxa"/>
              <w:bottom w:w="0" w:type="dxa"/>
              <w:right w:w="108" w:type="dxa"/>
            </w:tcMar>
            <w:vAlign w:val="center"/>
            <w:hideMark/>
          </w:tcPr>
          <w:p w:rsidR="00AF4350" w:rsidRPr="00A86077" w:rsidRDefault="00412C70" w:rsidP="00A86077">
            <w:pPr>
              <w:spacing w:before="0"/>
              <w:rPr>
                <w:rFonts w:cs="Segoe UI"/>
                <w:sz w:val="16"/>
                <w:szCs w:val="16"/>
              </w:rPr>
            </w:pPr>
            <w:hyperlink r:id="rId99" w:history="1">
              <w:r w:rsidR="00AF4350" w:rsidRPr="00A86077">
                <w:rPr>
                  <w:rFonts w:cs="Segoe UI"/>
                  <w:sz w:val="16"/>
                  <w:szCs w:val="16"/>
                </w:rPr>
                <w:t>hana.koudelkova@konice.cz</w:t>
              </w:r>
            </w:hyperlink>
            <w:r w:rsidR="00AF4350" w:rsidRPr="00A86077">
              <w:rPr>
                <w:rFonts w:cs="Segoe UI"/>
                <w:sz w:val="16"/>
                <w:szCs w:val="16"/>
              </w:rPr>
              <w:t xml:space="preserve"> </w:t>
            </w:r>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ORP Jeseník</w:t>
            </w:r>
          </w:p>
        </w:tc>
        <w:tc>
          <w:tcPr>
            <w:tcW w:w="199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Mgr. Jiří Kovalčík,</w:t>
            </w:r>
          </w:p>
          <w:p w:rsidR="00AF4350" w:rsidRPr="00A86077" w:rsidRDefault="00AF4350" w:rsidP="00A86077">
            <w:pPr>
              <w:spacing w:before="0"/>
              <w:rPr>
                <w:rFonts w:cs="Segoe UI"/>
                <w:sz w:val="16"/>
                <w:szCs w:val="16"/>
              </w:rPr>
            </w:pPr>
            <w:r w:rsidRPr="00A86077">
              <w:rPr>
                <w:rFonts w:cs="Segoe UI"/>
                <w:sz w:val="16"/>
                <w:szCs w:val="16"/>
              </w:rPr>
              <w:t>vedoucí odboru sociálních věcí a zdravotnictví</w:t>
            </w:r>
          </w:p>
        </w:tc>
        <w:tc>
          <w:tcPr>
            <w:tcW w:w="1978" w:type="pct"/>
            <w:tcMar>
              <w:top w:w="0" w:type="dxa"/>
              <w:left w:w="108" w:type="dxa"/>
              <w:bottom w:w="0" w:type="dxa"/>
              <w:right w:w="108" w:type="dxa"/>
            </w:tcMar>
            <w:vAlign w:val="center"/>
            <w:hideMark/>
          </w:tcPr>
          <w:p w:rsidR="00AF4350" w:rsidRPr="00A86077" w:rsidRDefault="00412C70" w:rsidP="00A86077">
            <w:pPr>
              <w:spacing w:before="0"/>
              <w:rPr>
                <w:rFonts w:cs="Segoe UI"/>
                <w:sz w:val="16"/>
                <w:szCs w:val="16"/>
              </w:rPr>
            </w:pPr>
            <w:hyperlink r:id="rId100" w:history="1">
              <w:r w:rsidR="00AF4350" w:rsidRPr="00A86077">
                <w:rPr>
                  <w:rFonts w:cs="Segoe UI"/>
                  <w:sz w:val="16"/>
                  <w:szCs w:val="16"/>
                </w:rPr>
                <w:t>jiri.kovalcik@mujes.cz</w:t>
              </w:r>
            </w:hyperlink>
            <w:r w:rsidR="00AF4350" w:rsidRPr="00A86077">
              <w:rPr>
                <w:rFonts w:cs="Segoe UI"/>
                <w:sz w:val="16"/>
                <w:szCs w:val="16"/>
              </w:rPr>
              <w:t xml:space="preserve"> </w:t>
            </w:r>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ORP Olomouc</w:t>
            </w:r>
          </w:p>
        </w:tc>
        <w:tc>
          <w:tcPr>
            <w:tcW w:w="1996" w:type="pct"/>
            <w:tcMar>
              <w:top w:w="0" w:type="dxa"/>
              <w:left w:w="108" w:type="dxa"/>
              <w:bottom w:w="0" w:type="dxa"/>
              <w:right w:w="108" w:type="dxa"/>
            </w:tcMar>
            <w:vAlign w:val="center"/>
          </w:tcPr>
          <w:p w:rsidR="00AF4350" w:rsidRPr="00A86077" w:rsidRDefault="00AF4350" w:rsidP="00A86077">
            <w:pPr>
              <w:spacing w:before="0"/>
              <w:rPr>
                <w:rFonts w:cs="Segoe UI"/>
                <w:sz w:val="16"/>
                <w:szCs w:val="16"/>
              </w:rPr>
            </w:pPr>
            <w:r w:rsidRPr="00A86077">
              <w:rPr>
                <w:rFonts w:cs="Segoe UI"/>
                <w:sz w:val="16"/>
                <w:szCs w:val="16"/>
              </w:rPr>
              <w:t>Mgr. Bc. Michal Majer,</w:t>
            </w:r>
          </w:p>
          <w:p w:rsidR="00AF4350" w:rsidRPr="00A86077" w:rsidRDefault="00AF4350" w:rsidP="00A86077">
            <w:pPr>
              <w:spacing w:before="0"/>
              <w:rPr>
                <w:rFonts w:cs="Segoe UI"/>
                <w:sz w:val="16"/>
                <w:szCs w:val="16"/>
              </w:rPr>
            </w:pPr>
            <w:r w:rsidRPr="00A86077">
              <w:rPr>
                <w:rFonts w:cs="Segoe UI"/>
                <w:sz w:val="16"/>
                <w:szCs w:val="16"/>
              </w:rPr>
              <w:t>vedoucí odboru sociálních věcí</w:t>
            </w:r>
            <w:r w:rsidRPr="00A86077">
              <w:rPr>
                <w:rFonts w:cs="Segoe UI"/>
                <w:sz w:val="16"/>
                <w:szCs w:val="16"/>
              </w:rPr>
              <w:tab/>
            </w:r>
          </w:p>
        </w:tc>
        <w:tc>
          <w:tcPr>
            <w:tcW w:w="1978" w:type="pct"/>
            <w:tcMar>
              <w:top w:w="0" w:type="dxa"/>
              <w:left w:w="108" w:type="dxa"/>
              <w:bottom w:w="0" w:type="dxa"/>
              <w:right w:w="108" w:type="dxa"/>
            </w:tcMar>
            <w:vAlign w:val="center"/>
          </w:tcPr>
          <w:p w:rsidR="00AF4350" w:rsidRPr="00A86077" w:rsidRDefault="00412C70" w:rsidP="00A86077">
            <w:pPr>
              <w:spacing w:before="0"/>
              <w:rPr>
                <w:rFonts w:cs="Segoe UI"/>
                <w:sz w:val="16"/>
                <w:szCs w:val="16"/>
              </w:rPr>
            </w:pPr>
            <w:hyperlink r:id="rId101" w:history="1">
              <w:r w:rsidR="00AF4350" w:rsidRPr="00A86077">
                <w:rPr>
                  <w:rFonts w:cs="Segoe UI"/>
                  <w:sz w:val="16"/>
                  <w:szCs w:val="16"/>
                </w:rPr>
                <w:t>michal.majer@olomouc.eu</w:t>
              </w:r>
            </w:hyperlink>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ORP Lipník nad Bečvou</w:t>
            </w:r>
          </w:p>
        </w:tc>
        <w:tc>
          <w:tcPr>
            <w:tcW w:w="199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 xml:space="preserve">Bc. Pavla Jemelková, </w:t>
            </w:r>
          </w:p>
          <w:p w:rsidR="00AF4350" w:rsidRPr="00A86077" w:rsidRDefault="00AF4350" w:rsidP="00A86077">
            <w:pPr>
              <w:spacing w:before="0"/>
              <w:rPr>
                <w:rFonts w:cs="Segoe UI"/>
                <w:sz w:val="16"/>
                <w:szCs w:val="16"/>
              </w:rPr>
            </w:pPr>
            <w:r w:rsidRPr="00A86077">
              <w:rPr>
                <w:rFonts w:cs="Segoe UI"/>
                <w:sz w:val="16"/>
                <w:szCs w:val="16"/>
              </w:rPr>
              <w:t>vedoucí odboru sociálních věcí a zdravotnictví</w:t>
            </w:r>
          </w:p>
        </w:tc>
        <w:tc>
          <w:tcPr>
            <w:tcW w:w="1978" w:type="pct"/>
            <w:tcMar>
              <w:top w:w="0" w:type="dxa"/>
              <w:left w:w="108" w:type="dxa"/>
              <w:bottom w:w="0" w:type="dxa"/>
              <w:right w:w="108" w:type="dxa"/>
            </w:tcMar>
            <w:vAlign w:val="center"/>
            <w:hideMark/>
          </w:tcPr>
          <w:p w:rsidR="00AF4350" w:rsidRPr="00A86077" w:rsidRDefault="00412C70" w:rsidP="00A86077">
            <w:pPr>
              <w:spacing w:before="0"/>
              <w:rPr>
                <w:rFonts w:cs="Segoe UI"/>
                <w:sz w:val="16"/>
                <w:szCs w:val="16"/>
              </w:rPr>
            </w:pPr>
            <w:hyperlink r:id="rId102" w:history="1">
              <w:r w:rsidR="00AF4350" w:rsidRPr="00A86077">
                <w:rPr>
                  <w:rFonts w:cs="Segoe UI"/>
                  <w:sz w:val="16"/>
                  <w:szCs w:val="16"/>
                </w:rPr>
                <w:t>jemelkova@mesto-lipnik.cz</w:t>
              </w:r>
            </w:hyperlink>
            <w:r w:rsidR="00AF4350" w:rsidRPr="00A86077">
              <w:rPr>
                <w:rFonts w:cs="Segoe UI"/>
                <w:sz w:val="16"/>
                <w:szCs w:val="16"/>
              </w:rPr>
              <w:t xml:space="preserve"> </w:t>
            </w:r>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ORP Litovel</w:t>
            </w:r>
          </w:p>
        </w:tc>
        <w:tc>
          <w:tcPr>
            <w:tcW w:w="199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 xml:space="preserve">Mgr. Pavel Procházka, </w:t>
            </w:r>
          </w:p>
          <w:p w:rsidR="00AF4350" w:rsidRPr="00A86077" w:rsidRDefault="00AF4350" w:rsidP="00A86077">
            <w:pPr>
              <w:spacing w:before="0"/>
              <w:rPr>
                <w:rFonts w:cs="Segoe UI"/>
                <w:sz w:val="16"/>
                <w:szCs w:val="16"/>
              </w:rPr>
            </w:pPr>
            <w:r w:rsidRPr="00A86077">
              <w:rPr>
                <w:rFonts w:cs="Segoe UI"/>
                <w:sz w:val="16"/>
                <w:szCs w:val="16"/>
              </w:rPr>
              <w:t>vedoucí sociálního a správního odboru</w:t>
            </w:r>
          </w:p>
        </w:tc>
        <w:tc>
          <w:tcPr>
            <w:tcW w:w="1978" w:type="pct"/>
            <w:tcMar>
              <w:top w:w="0" w:type="dxa"/>
              <w:left w:w="108" w:type="dxa"/>
              <w:bottom w:w="0" w:type="dxa"/>
              <w:right w:w="108" w:type="dxa"/>
            </w:tcMar>
            <w:vAlign w:val="center"/>
            <w:hideMark/>
          </w:tcPr>
          <w:p w:rsidR="00AF4350" w:rsidRPr="00A86077" w:rsidRDefault="00412C70" w:rsidP="00A86077">
            <w:pPr>
              <w:spacing w:before="0"/>
              <w:rPr>
                <w:rFonts w:cs="Segoe UI"/>
                <w:sz w:val="16"/>
                <w:szCs w:val="16"/>
              </w:rPr>
            </w:pPr>
            <w:hyperlink r:id="rId103" w:history="1">
              <w:r w:rsidR="00AF4350" w:rsidRPr="00A86077">
                <w:rPr>
                  <w:rFonts w:cs="Segoe UI"/>
                  <w:sz w:val="16"/>
                  <w:szCs w:val="16"/>
                </w:rPr>
                <w:t>prochazka@mestolitovel.cz</w:t>
              </w:r>
            </w:hyperlink>
            <w:r w:rsidR="00AF4350" w:rsidRPr="00A86077">
              <w:rPr>
                <w:rFonts w:cs="Segoe UI"/>
                <w:sz w:val="16"/>
                <w:szCs w:val="16"/>
              </w:rPr>
              <w:t xml:space="preserve"> </w:t>
            </w:r>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ORP Uničov</w:t>
            </w:r>
          </w:p>
        </w:tc>
        <w:tc>
          <w:tcPr>
            <w:tcW w:w="199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 xml:space="preserve">Mgr. Ivo Olbert, </w:t>
            </w:r>
          </w:p>
          <w:p w:rsidR="00AF4350" w:rsidRPr="00A86077" w:rsidRDefault="00AF4350" w:rsidP="00A86077">
            <w:pPr>
              <w:spacing w:before="0"/>
              <w:rPr>
                <w:rFonts w:cs="Segoe UI"/>
                <w:sz w:val="16"/>
                <w:szCs w:val="16"/>
              </w:rPr>
            </w:pPr>
            <w:r w:rsidRPr="00A86077">
              <w:rPr>
                <w:rFonts w:cs="Segoe UI"/>
                <w:sz w:val="16"/>
                <w:szCs w:val="16"/>
              </w:rPr>
              <w:t>vedoucí odboru sociálních věcí a zdravotnictví</w:t>
            </w:r>
          </w:p>
        </w:tc>
        <w:tc>
          <w:tcPr>
            <w:tcW w:w="1978" w:type="pct"/>
            <w:tcMar>
              <w:top w:w="0" w:type="dxa"/>
              <w:left w:w="108" w:type="dxa"/>
              <w:bottom w:w="0" w:type="dxa"/>
              <w:right w:w="108" w:type="dxa"/>
            </w:tcMar>
            <w:vAlign w:val="center"/>
            <w:hideMark/>
          </w:tcPr>
          <w:p w:rsidR="00AF4350" w:rsidRPr="00A86077" w:rsidRDefault="00412C70" w:rsidP="00A86077">
            <w:pPr>
              <w:spacing w:before="0"/>
              <w:rPr>
                <w:rFonts w:cs="Segoe UI"/>
                <w:sz w:val="16"/>
                <w:szCs w:val="16"/>
              </w:rPr>
            </w:pPr>
            <w:hyperlink r:id="rId104" w:history="1">
              <w:r w:rsidR="00AF4350" w:rsidRPr="00A86077">
                <w:rPr>
                  <w:rFonts w:cs="Segoe UI"/>
                  <w:sz w:val="16"/>
                  <w:szCs w:val="16"/>
                </w:rPr>
                <w:t>iolbert@unicov.cz</w:t>
              </w:r>
            </w:hyperlink>
            <w:r w:rsidR="00AF4350" w:rsidRPr="00A86077">
              <w:rPr>
                <w:rFonts w:cs="Segoe UI"/>
                <w:sz w:val="16"/>
                <w:szCs w:val="16"/>
              </w:rPr>
              <w:t xml:space="preserve"> </w:t>
            </w:r>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ORP Šternberk</w:t>
            </w:r>
          </w:p>
        </w:tc>
        <w:tc>
          <w:tcPr>
            <w:tcW w:w="199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 xml:space="preserve">Ing. Jitka Zajacová, </w:t>
            </w:r>
          </w:p>
          <w:p w:rsidR="00AF4350" w:rsidRPr="00A86077" w:rsidRDefault="00AF4350" w:rsidP="00A86077">
            <w:pPr>
              <w:spacing w:before="0"/>
              <w:rPr>
                <w:rFonts w:cs="Segoe UI"/>
                <w:sz w:val="16"/>
                <w:szCs w:val="16"/>
              </w:rPr>
            </w:pPr>
            <w:r w:rsidRPr="00A86077">
              <w:rPr>
                <w:rFonts w:cs="Segoe UI"/>
                <w:sz w:val="16"/>
                <w:szCs w:val="16"/>
              </w:rPr>
              <w:t>vedoucí odboru sociálních věcí</w:t>
            </w:r>
          </w:p>
        </w:tc>
        <w:tc>
          <w:tcPr>
            <w:tcW w:w="1978" w:type="pct"/>
            <w:tcMar>
              <w:top w:w="0" w:type="dxa"/>
              <w:left w:w="108" w:type="dxa"/>
              <w:bottom w:w="0" w:type="dxa"/>
              <w:right w:w="108" w:type="dxa"/>
            </w:tcMar>
            <w:vAlign w:val="center"/>
            <w:hideMark/>
          </w:tcPr>
          <w:p w:rsidR="00AF4350" w:rsidRPr="00A86077" w:rsidRDefault="00412C70" w:rsidP="00A86077">
            <w:pPr>
              <w:spacing w:before="0"/>
              <w:rPr>
                <w:rFonts w:cs="Segoe UI"/>
                <w:sz w:val="16"/>
                <w:szCs w:val="16"/>
              </w:rPr>
            </w:pPr>
            <w:hyperlink r:id="rId105" w:history="1">
              <w:r w:rsidR="00AF4350" w:rsidRPr="00A86077">
                <w:rPr>
                  <w:rFonts w:cs="Segoe UI"/>
                  <w:sz w:val="16"/>
                  <w:szCs w:val="16"/>
                </w:rPr>
                <w:t>zajacova@sternberk.cz</w:t>
              </w:r>
            </w:hyperlink>
            <w:r w:rsidR="00AF4350" w:rsidRPr="00A86077">
              <w:rPr>
                <w:rFonts w:cs="Segoe UI"/>
                <w:sz w:val="16"/>
                <w:szCs w:val="16"/>
              </w:rPr>
              <w:t xml:space="preserve"> </w:t>
            </w:r>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ORP Hranice</w:t>
            </w:r>
          </w:p>
        </w:tc>
        <w:tc>
          <w:tcPr>
            <w:tcW w:w="199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 xml:space="preserve">Mgr. Michaela Pešanová, </w:t>
            </w:r>
          </w:p>
          <w:p w:rsidR="00AF4350" w:rsidRPr="00A86077" w:rsidRDefault="00AF4350" w:rsidP="00A86077">
            <w:pPr>
              <w:spacing w:before="0"/>
              <w:rPr>
                <w:rFonts w:cs="Segoe UI"/>
                <w:sz w:val="16"/>
                <w:szCs w:val="16"/>
              </w:rPr>
            </w:pPr>
            <w:r w:rsidRPr="00A86077">
              <w:rPr>
                <w:rFonts w:cs="Segoe UI"/>
                <w:sz w:val="16"/>
                <w:szCs w:val="16"/>
              </w:rPr>
              <w:t>vedoucí odboru sociálních věcí</w:t>
            </w:r>
          </w:p>
        </w:tc>
        <w:tc>
          <w:tcPr>
            <w:tcW w:w="1978" w:type="pct"/>
            <w:tcMar>
              <w:top w:w="0" w:type="dxa"/>
              <w:left w:w="108" w:type="dxa"/>
              <w:bottom w:w="0" w:type="dxa"/>
              <w:right w:w="108" w:type="dxa"/>
            </w:tcMar>
            <w:vAlign w:val="center"/>
            <w:hideMark/>
          </w:tcPr>
          <w:p w:rsidR="00AF4350" w:rsidRPr="00A86077" w:rsidRDefault="00412C70" w:rsidP="00A86077">
            <w:pPr>
              <w:spacing w:before="0"/>
              <w:rPr>
                <w:rFonts w:cs="Segoe UI"/>
                <w:sz w:val="16"/>
                <w:szCs w:val="16"/>
              </w:rPr>
            </w:pPr>
            <w:hyperlink r:id="rId106" w:history="1">
              <w:r w:rsidR="00AF4350" w:rsidRPr="00A86077">
                <w:rPr>
                  <w:rFonts w:cs="Segoe UI"/>
                  <w:sz w:val="16"/>
                  <w:szCs w:val="16"/>
                </w:rPr>
                <w:t>michaela.pesanova@mesto-hranice.cz</w:t>
              </w:r>
            </w:hyperlink>
          </w:p>
        </w:tc>
      </w:tr>
      <w:tr w:rsidR="00AF4350" w:rsidRPr="00A86077" w:rsidTr="00A86077">
        <w:trPr>
          <w:trHeight w:val="20"/>
          <w:jc w:val="center"/>
        </w:trPr>
        <w:tc>
          <w:tcPr>
            <w:tcW w:w="102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ORP Prostějov</w:t>
            </w:r>
          </w:p>
        </w:tc>
        <w:tc>
          <w:tcPr>
            <w:tcW w:w="1996" w:type="pct"/>
            <w:tcMar>
              <w:top w:w="0" w:type="dxa"/>
              <w:left w:w="108" w:type="dxa"/>
              <w:bottom w:w="0" w:type="dxa"/>
              <w:right w:w="108" w:type="dxa"/>
            </w:tcMar>
            <w:vAlign w:val="center"/>
            <w:hideMark/>
          </w:tcPr>
          <w:p w:rsidR="00AF4350" w:rsidRPr="00A86077" w:rsidRDefault="00AF4350" w:rsidP="00A86077">
            <w:pPr>
              <w:spacing w:before="0"/>
              <w:rPr>
                <w:rFonts w:cs="Segoe UI"/>
                <w:sz w:val="16"/>
                <w:szCs w:val="16"/>
              </w:rPr>
            </w:pPr>
            <w:r w:rsidRPr="00A86077">
              <w:rPr>
                <w:rFonts w:cs="Segoe UI"/>
                <w:sz w:val="16"/>
                <w:szCs w:val="16"/>
              </w:rPr>
              <w:t xml:space="preserve">Mgr. Bc. Marcela </w:t>
            </w:r>
            <w:proofErr w:type="spellStart"/>
            <w:r w:rsidRPr="00A86077">
              <w:rPr>
                <w:rFonts w:cs="Segoe UI"/>
                <w:sz w:val="16"/>
                <w:szCs w:val="16"/>
              </w:rPr>
              <w:t>Vejmělková</w:t>
            </w:r>
            <w:proofErr w:type="spellEnd"/>
            <w:r w:rsidRPr="00A86077">
              <w:rPr>
                <w:rFonts w:cs="Segoe UI"/>
                <w:sz w:val="16"/>
                <w:szCs w:val="16"/>
              </w:rPr>
              <w:t xml:space="preserve">, </w:t>
            </w:r>
          </w:p>
          <w:p w:rsidR="00AF4350" w:rsidRPr="00A86077" w:rsidRDefault="00AF4350" w:rsidP="00A86077">
            <w:pPr>
              <w:spacing w:before="0"/>
              <w:rPr>
                <w:rFonts w:cs="Segoe UI"/>
                <w:sz w:val="16"/>
                <w:szCs w:val="16"/>
              </w:rPr>
            </w:pPr>
            <w:r w:rsidRPr="00A86077">
              <w:rPr>
                <w:rFonts w:cs="Segoe UI"/>
                <w:sz w:val="16"/>
                <w:szCs w:val="16"/>
              </w:rPr>
              <w:t>vedoucí odboru sociálních věcí</w:t>
            </w:r>
          </w:p>
        </w:tc>
        <w:tc>
          <w:tcPr>
            <w:tcW w:w="1978" w:type="pct"/>
            <w:tcMar>
              <w:top w:w="0" w:type="dxa"/>
              <w:left w:w="108" w:type="dxa"/>
              <w:bottom w:w="0" w:type="dxa"/>
              <w:right w:w="108" w:type="dxa"/>
            </w:tcMar>
            <w:vAlign w:val="center"/>
            <w:hideMark/>
          </w:tcPr>
          <w:p w:rsidR="00AF4350" w:rsidRPr="00A86077" w:rsidRDefault="00412C70" w:rsidP="00A86077">
            <w:pPr>
              <w:spacing w:before="0"/>
              <w:rPr>
                <w:rFonts w:cs="Segoe UI"/>
                <w:sz w:val="16"/>
                <w:szCs w:val="16"/>
              </w:rPr>
            </w:pPr>
            <w:hyperlink r:id="rId107" w:history="1">
              <w:r w:rsidR="00AF4350" w:rsidRPr="00A86077">
                <w:rPr>
                  <w:rFonts w:cs="Segoe UI"/>
                  <w:sz w:val="16"/>
                  <w:szCs w:val="16"/>
                </w:rPr>
                <w:t>marcela.vejmelkova@prostejov.eu</w:t>
              </w:r>
            </w:hyperlink>
          </w:p>
        </w:tc>
      </w:tr>
    </w:tbl>
    <w:p w:rsidR="00FB1999" w:rsidRDefault="00FB1999" w:rsidP="00AF4350">
      <w:pPr>
        <w:pStyle w:val="10"/>
      </w:pPr>
    </w:p>
    <w:sectPr w:rsidR="00FB1999" w:rsidSect="00FA420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C70" w:rsidRDefault="00412C70" w:rsidP="00A34764">
      <w:r>
        <w:separator/>
      </w:r>
    </w:p>
  </w:endnote>
  <w:endnote w:type="continuationSeparator" w:id="0">
    <w:p w:rsidR="00412C70" w:rsidRDefault="00412C70" w:rsidP="00A34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witzerland">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yriad Pro Light">
    <w:altName w:val="Arial"/>
    <w:panose1 w:val="00000000000000000000"/>
    <w:charset w:val="00"/>
    <w:family w:val="swiss"/>
    <w:notTrueType/>
    <w:pitch w:val="variable"/>
    <w:sig w:usb0="20000287" w:usb1="00000001" w:usb2="00000000" w:usb3="00000000" w:csb0="0000019F" w:csb1="00000000"/>
  </w:font>
  <w:font w:name="Arial CE">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venirLTCE-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909683"/>
      <w:docPartObj>
        <w:docPartGallery w:val="Page Numbers (Bottom of Page)"/>
        <w:docPartUnique/>
      </w:docPartObj>
    </w:sdtPr>
    <w:sdtEndPr/>
    <w:sdtContent>
      <w:p w:rsidR="000B266F" w:rsidRDefault="000B266F">
        <w:pPr>
          <w:pStyle w:val="Zpat"/>
        </w:pPr>
        <w:r>
          <w:fldChar w:fldCharType="begin"/>
        </w:r>
        <w:r>
          <w:instrText>PAGE   \* MERGEFORMAT</w:instrText>
        </w:r>
        <w:r>
          <w:fldChar w:fldCharType="separate"/>
        </w:r>
        <w:r w:rsidR="00723976">
          <w:rPr>
            <w:noProof/>
          </w:rPr>
          <w:t>140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272627"/>
      <w:docPartObj>
        <w:docPartGallery w:val="Page Numbers (Bottom of Page)"/>
        <w:docPartUnique/>
      </w:docPartObj>
    </w:sdtPr>
    <w:sdtEndPr/>
    <w:sdtContent>
      <w:p w:rsidR="000B266F" w:rsidRDefault="000B266F">
        <w:pPr>
          <w:pStyle w:val="Zpat"/>
          <w:jc w:val="right"/>
        </w:pPr>
        <w:r>
          <w:fldChar w:fldCharType="begin"/>
        </w:r>
        <w:r>
          <w:instrText>PAGE   \* MERGEFORMAT</w:instrText>
        </w:r>
        <w:r>
          <w:fldChar w:fldCharType="separate"/>
        </w:r>
        <w:r w:rsidR="00723976">
          <w:rPr>
            <w:noProof/>
          </w:rPr>
          <w:t>139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C70" w:rsidRDefault="00412C70" w:rsidP="00A34764">
      <w:r>
        <w:separator/>
      </w:r>
    </w:p>
  </w:footnote>
  <w:footnote w:type="continuationSeparator" w:id="0">
    <w:p w:rsidR="00412C70" w:rsidRDefault="00412C70" w:rsidP="00A34764">
      <w:r>
        <w:continuationSeparator/>
      </w:r>
    </w:p>
  </w:footnote>
  <w:footnote w:id="1">
    <w:p w:rsidR="000B266F" w:rsidRPr="004F2015" w:rsidRDefault="000B266F" w:rsidP="00A34764">
      <w:pPr>
        <w:pStyle w:val="Textpoznpodarou"/>
      </w:pPr>
      <w:r w:rsidRPr="004F2015">
        <w:rPr>
          <w:rStyle w:val="Znakapoznpodarou"/>
        </w:rPr>
        <w:footnoteRef/>
      </w:r>
      <w:r w:rsidRPr="004F2015">
        <w:t xml:space="preserve"> Kritéria zpracovaná MPSV vznikla z důvodu sjednocení pohledu na proces, výstupy a výsledky střednědobého plánování rozvoje sociálních služeb a dále se záměrem blíže osvětlit nebo detailněji rozvést některá ustanovení zákona o sociálních službách týkajících se střednědobého plánování. Kritéria mají sloužit jako vodítko pro kraje při realizaci procesu plánování a při přípravě střednědobých plánů. MPSV (2015) </w:t>
      </w:r>
      <w:hyperlink r:id="rId1" w:history="1">
        <w:r w:rsidRPr="004F2015">
          <w:rPr>
            <w:rStyle w:val="Hypertextovodkaz"/>
          </w:rPr>
          <w:t>https://www.mpsv.cz/files/clanky/23439/kriteria_111115.pdf</w:t>
        </w:r>
      </w:hyperlink>
    </w:p>
  </w:footnote>
  <w:footnote w:id="2">
    <w:p w:rsidR="000B266F" w:rsidRPr="004F2015" w:rsidRDefault="000B266F" w:rsidP="00A34764">
      <w:pPr>
        <w:pStyle w:val="Textpoznpodarou"/>
      </w:pPr>
      <w:r w:rsidRPr="004F2015">
        <w:rPr>
          <w:rStyle w:val="Znakapoznpodarou"/>
        </w:rPr>
        <w:footnoteRef/>
      </w:r>
      <w:r w:rsidRPr="004F2015">
        <w:t xml:space="preserve"> Ekonomicky aktivní obyvatelstvo – osoby patnáctileté a starší, které splňují požadavky na zařazení mezi zaměstnané a nezaměstnané. </w:t>
      </w:r>
    </w:p>
    <w:p w:rsidR="000B266F" w:rsidRPr="004F2015" w:rsidRDefault="000B266F" w:rsidP="00A34764">
      <w:pPr>
        <w:pStyle w:val="Textpoznpodarou"/>
      </w:pPr>
      <w:r w:rsidRPr="004F2015">
        <w:t>Ekonomicky neaktivní obyvatelstvo – starobní a invalidní důchodci, žáci, studenti a učni, osoby na rodičovské dovolené, osoby v domácnosti a dále osoby, jimž v ekonomické aktivitě brání zdravotní nebo jiné důvody, a ti, kteří nejsou schopni nastoupit do zaměstnání do 14 dnů. Zvláštní část této skupiny tvoří děti do 14 let.</w:t>
      </w:r>
    </w:p>
  </w:footnote>
  <w:footnote w:id="3">
    <w:p w:rsidR="000B266F" w:rsidRPr="004F2015" w:rsidRDefault="000B266F" w:rsidP="00A34764">
      <w:pPr>
        <w:pStyle w:val="Textpoznpodarou"/>
      </w:pPr>
      <w:r w:rsidRPr="004F2015">
        <w:rPr>
          <w:rStyle w:val="Znakapoznpodarou"/>
        </w:rPr>
        <w:footnoteRef/>
      </w:r>
      <w:r w:rsidRPr="004F2015">
        <w:t xml:space="preserve"> Tyto údaje nejsou ovlivněny válkou na Ukrajině (vztahují se k počátku roku 2022, kdy konflikt ještě nevypukl). Analýza vývoje počtu osob ohrožených válkou na Ukrajině je uvedena v další části této kapitoly.</w:t>
      </w:r>
    </w:p>
  </w:footnote>
  <w:footnote w:id="4">
    <w:p w:rsidR="000B266F" w:rsidRPr="004F2015" w:rsidRDefault="000B266F" w:rsidP="004F2015">
      <w:pPr>
        <w:pStyle w:val="Textpoznpodarou"/>
      </w:pPr>
      <w:r w:rsidRPr="004F2015">
        <w:rPr>
          <w:rStyle w:val="Znakapoznpodarou"/>
        </w:rPr>
        <w:footnoteRef/>
      </w:r>
      <w:r w:rsidRPr="004F2015">
        <w:t xml:space="preserve"> FEANTSA. ETHOS – Evropská typologie bezdomovství a vyloučení z bydlení v prostředí ČR. Dostupné také z: </w:t>
      </w:r>
      <w:hyperlink r:id="rId2" w:history="1">
        <w:r w:rsidRPr="004F2015">
          <w:rPr>
            <w:rStyle w:val="Hypertextovodkaz"/>
          </w:rPr>
          <w:t>https://www.feantsa.org/download/cz___8621229557703714801.pdf</w:t>
        </w:r>
      </w:hyperlink>
    </w:p>
  </w:footnote>
  <w:footnote w:id="5">
    <w:p w:rsidR="000B266F" w:rsidRPr="004F2015" w:rsidRDefault="000B266F" w:rsidP="004F2015">
      <w:pPr>
        <w:pStyle w:val="Textpoznpodarou"/>
      </w:pPr>
      <w:r w:rsidRPr="004F2015">
        <w:rPr>
          <w:rStyle w:val="Znakapoznpodarou"/>
        </w:rPr>
        <w:footnoteRef/>
      </w:r>
      <w:r w:rsidRPr="004F2015">
        <w:t xml:space="preserve"> Plošně zaměřené kvantitativní výzkumy a jejich výstupy z povahy věci slouží ke srovnání velkých území při dodržení stejných podmínek (např. srovnání v rámci ČR), informace z úrovně jednotlivých municipalit jsou přesnější a reagují na vývoj i v relativně krátkém čase, ale mohou být hůře využitelné např. při mezikrajském srovnání. Informace z krajské úrovně založené na datech o využití sociálních služeb mají popisný charakter bez hlubšího zjištění původu vzniku nepříznivé sociální situace a případové studie či informace ze strany pracovníků sociálních služeb a zejm. samotných uživatelů sociálních služeb pak rozšiřují obecný rámec dat o kvalitativní popis a specifika praxe.</w:t>
      </w:r>
    </w:p>
  </w:footnote>
  <w:footnote w:id="6">
    <w:p w:rsidR="000B266F" w:rsidRPr="004F2015" w:rsidRDefault="000B266F" w:rsidP="00A34764">
      <w:pPr>
        <w:pStyle w:val="Textpoznpodarou"/>
      </w:pPr>
      <w:r w:rsidRPr="004F2015">
        <w:rPr>
          <w:rStyle w:val="Znakapoznpodarou"/>
          <w:lang w:eastAsia="en-US"/>
        </w:rPr>
        <w:footnoteRef/>
      </w:r>
      <w:r w:rsidRPr="004F2015">
        <w:rPr>
          <w:rStyle w:val="Znakapoznpodarou"/>
          <w:lang w:eastAsia="en-US"/>
        </w:rPr>
        <w:t xml:space="preserve"> </w:t>
      </w:r>
      <w:r w:rsidRPr="004F2015">
        <w:t>Nešporová, O., Holpuch, P., Janurová, K., Kuchařová, V. (2019). Sčítání osob bez domova v České republice 2019; VÚPSV, v. v. i.</w:t>
      </w:r>
    </w:p>
  </w:footnote>
  <w:footnote w:id="7">
    <w:p w:rsidR="000B266F" w:rsidRPr="004F2015" w:rsidRDefault="000B266F" w:rsidP="00A34764">
      <w:pPr>
        <w:pStyle w:val="Textpoznpodarou"/>
      </w:pPr>
      <w:r w:rsidRPr="004F2015">
        <w:rPr>
          <w:rStyle w:val="Znakapoznpodarou"/>
          <w:rFonts w:cstheme="minorBidi"/>
          <w:lang w:eastAsia="en-US"/>
        </w:rPr>
        <w:footnoteRef/>
      </w:r>
      <w:r w:rsidRPr="004F2015">
        <w:rPr>
          <w:rStyle w:val="Znakapoznpodarou"/>
          <w:rFonts w:cstheme="minorBidi"/>
          <w:lang w:eastAsia="en-US"/>
        </w:rPr>
        <w:t xml:space="preserve"> </w:t>
      </w:r>
      <w:r w:rsidRPr="004F2015">
        <w:t>Nešporová, O., Holpuch, P., Janurová, K., Kuchařová, V. (srpen 2019). Sčítání osob bez domova v České republice 2019 – Výběr výsledků pro účel tvorby krajského střednědobého plánu; VÚPSV, v. v. i.</w:t>
      </w:r>
    </w:p>
  </w:footnote>
  <w:footnote w:id="8">
    <w:p w:rsidR="000B266F" w:rsidRPr="004F2015" w:rsidRDefault="000B266F" w:rsidP="00A34764">
      <w:pPr>
        <w:pStyle w:val="Textpoznpodarou"/>
      </w:pPr>
      <w:r w:rsidRPr="004F2015">
        <w:rPr>
          <w:rStyle w:val="Znakapoznpodarou"/>
        </w:rPr>
        <w:footnoteRef/>
      </w:r>
      <w:r w:rsidRPr="004F2015">
        <w:t xml:space="preserve"> Nešporová, O., Holpuch, P., Janurová, K., Kuchařová, V. (srpen 2019). Sčítání osob bez domova v České republice 2019 – Výběr výsledků pro účel tvorby krajského střednědobého plánu; VÚPSV, v. v. i.</w:t>
      </w:r>
    </w:p>
  </w:footnote>
  <w:footnote w:id="9">
    <w:p w:rsidR="000B266F" w:rsidRPr="004F2015" w:rsidRDefault="000B266F" w:rsidP="00A34764">
      <w:pPr>
        <w:pStyle w:val="Textpoznpodarou"/>
      </w:pPr>
      <w:r w:rsidRPr="004F2015">
        <w:rPr>
          <w:rStyle w:val="Znakapoznpodarou"/>
        </w:rPr>
        <w:footnoteRef/>
      </w:r>
      <w:r w:rsidRPr="004F2015">
        <w:t xml:space="preserve"> Dokument je dostupný na: </w:t>
      </w:r>
      <w:hyperlink r:id="rId3" w:history="1">
        <w:r w:rsidRPr="004F2015">
          <w:rPr>
            <w:rStyle w:val="Hypertextovodkaz"/>
          </w:rPr>
          <w:t>https://www.ceskatelevize.cz/porady/10861835905-pet-statecnych/</w:t>
        </w:r>
      </w:hyperlink>
    </w:p>
  </w:footnote>
  <w:footnote w:id="10">
    <w:p w:rsidR="000B266F" w:rsidRPr="004F2015" w:rsidRDefault="000B266F" w:rsidP="00A34764">
      <w:pPr>
        <w:rPr>
          <w:sz w:val="16"/>
          <w:szCs w:val="16"/>
        </w:rPr>
      </w:pPr>
      <w:r w:rsidRPr="004F2015">
        <w:rPr>
          <w:rStyle w:val="Znakapoznpodarou"/>
          <w:sz w:val="16"/>
          <w:szCs w:val="16"/>
        </w:rPr>
        <w:footnoteRef/>
      </w:r>
      <w:r w:rsidRPr="004F2015">
        <w:rPr>
          <w:sz w:val="16"/>
          <w:szCs w:val="16"/>
        </w:rPr>
        <w:t xml:space="preserve"> </w:t>
      </w:r>
      <w:r w:rsidRPr="004F2015">
        <w:rPr>
          <w:rStyle w:val="reference-text"/>
          <w:sz w:val="16"/>
          <w:szCs w:val="16"/>
        </w:rPr>
        <w:t xml:space="preserve">SLOWÍK, J. Speciální pedagogika. Vydání 1. Praha: </w:t>
      </w:r>
      <w:proofErr w:type="spellStart"/>
      <w:r w:rsidRPr="004F2015">
        <w:rPr>
          <w:rStyle w:val="reference-text"/>
          <w:sz w:val="16"/>
          <w:szCs w:val="16"/>
        </w:rPr>
        <w:t>Grada</w:t>
      </w:r>
      <w:proofErr w:type="spellEnd"/>
      <w:r w:rsidRPr="004F2015">
        <w:rPr>
          <w:rStyle w:val="reference-text"/>
          <w:sz w:val="16"/>
          <w:szCs w:val="16"/>
        </w:rPr>
        <w:t xml:space="preserve"> </w:t>
      </w:r>
      <w:proofErr w:type="spellStart"/>
      <w:r w:rsidRPr="004F2015">
        <w:rPr>
          <w:rStyle w:val="reference-text"/>
          <w:sz w:val="16"/>
          <w:szCs w:val="16"/>
        </w:rPr>
        <w:t>Publishing</w:t>
      </w:r>
      <w:proofErr w:type="spellEnd"/>
      <w:r w:rsidRPr="004F2015">
        <w:rPr>
          <w:rStyle w:val="reference-text"/>
          <w:sz w:val="16"/>
          <w:szCs w:val="16"/>
        </w:rPr>
        <w:t xml:space="preserve">, a. s., 2007. </w:t>
      </w:r>
      <w:hyperlink r:id="rId4" w:history="1">
        <w:r w:rsidRPr="004F2015">
          <w:rPr>
            <w:rStyle w:val="Hypertextovodkaz"/>
            <w:sz w:val="16"/>
            <w:szCs w:val="16"/>
          </w:rPr>
          <w:t>ISBN 978-80-247-1733-3</w:t>
        </w:r>
      </w:hyperlink>
      <w:r w:rsidRPr="004F2015">
        <w:rPr>
          <w:rStyle w:val="reference-text"/>
          <w:sz w:val="16"/>
          <w:szCs w:val="16"/>
        </w:rPr>
        <w:t xml:space="preserve">., str. 26 - 27; PIPEKOVÁ, J. et al. Kapitoly ze speciální pedagogiky. 3., </w:t>
      </w:r>
      <w:proofErr w:type="spellStart"/>
      <w:r w:rsidRPr="004F2015">
        <w:rPr>
          <w:rStyle w:val="reference-text"/>
          <w:sz w:val="16"/>
          <w:szCs w:val="16"/>
        </w:rPr>
        <w:t>přeprac</w:t>
      </w:r>
      <w:proofErr w:type="spellEnd"/>
      <w:r w:rsidRPr="004F2015">
        <w:rPr>
          <w:rStyle w:val="reference-text"/>
          <w:sz w:val="16"/>
          <w:szCs w:val="16"/>
        </w:rPr>
        <w:t xml:space="preserve">. a rozšířené vydání. </w:t>
      </w:r>
      <w:proofErr w:type="gramStart"/>
      <w:r w:rsidRPr="004F2015">
        <w:rPr>
          <w:rStyle w:val="reference-text"/>
          <w:sz w:val="16"/>
          <w:szCs w:val="16"/>
        </w:rPr>
        <w:t xml:space="preserve">Brno : </w:t>
      </w:r>
      <w:proofErr w:type="spellStart"/>
      <w:r w:rsidRPr="004F2015">
        <w:rPr>
          <w:rStyle w:val="reference-text"/>
          <w:sz w:val="16"/>
          <w:szCs w:val="16"/>
        </w:rPr>
        <w:t>Paido</w:t>
      </w:r>
      <w:proofErr w:type="spellEnd"/>
      <w:proofErr w:type="gramEnd"/>
      <w:r w:rsidRPr="004F2015">
        <w:rPr>
          <w:rStyle w:val="reference-text"/>
          <w:sz w:val="16"/>
          <w:szCs w:val="16"/>
        </w:rPr>
        <w:t xml:space="preserve">, 2010. </w:t>
      </w:r>
      <w:hyperlink r:id="rId5" w:history="1">
        <w:r w:rsidRPr="004F2015">
          <w:rPr>
            <w:rStyle w:val="Hypertextovodkaz"/>
            <w:sz w:val="16"/>
            <w:szCs w:val="16"/>
          </w:rPr>
          <w:t>ISBN 978-80-7315-198-0</w:t>
        </w:r>
      </w:hyperlink>
      <w:r w:rsidRPr="004F2015">
        <w:rPr>
          <w:rStyle w:val="reference-text"/>
          <w:sz w:val="16"/>
          <w:szCs w:val="16"/>
        </w:rPr>
        <w:t>., str. 113 – 114</w:t>
      </w:r>
    </w:p>
  </w:footnote>
  <w:footnote w:id="11">
    <w:p w:rsidR="000B266F" w:rsidRPr="004F2015" w:rsidRDefault="000B266F" w:rsidP="00A34764">
      <w:pPr>
        <w:pStyle w:val="Textpoznpodarou"/>
      </w:pPr>
      <w:r w:rsidRPr="004F2015">
        <w:rPr>
          <w:rStyle w:val="Znakapoznpodarou"/>
        </w:rPr>
        <w:footnoteRef/>
      </w:r>
      <w:r w:rsidRPr="004F2015">
        <w:t xml:space="preserve"> Osoby s </w:t>
      </w:r>
      <w:proofErr w:type="spellStart"/>
      <w:r w:rsidRPr="004F2015">
        <w:t>pervazivními</w:t>
      </w:r>
      <w:proofErr w:type="spellEnd"/>
      <w:r w:rsidRPr="004F2015">
        <w:t xml:space="preserve"> vývojovými poruchami jsou osoby s vývojovými poruchami charakterizované obtížemi úspěšně se adaptovat ve společnosti v důsledku kvalitativních abnormit osobnosti a psychosociální úrovně (abnormity motorické, emocionální, volní, kognitivní, řečové). Typický je omezený‚ stereotypní a opakující se soubor zájmů a činností. </w:t>
      </w:r>
      <w:proofErr w:type="spellStart"/>
      <w:r w:rsidRPr="004F2015">
        <w:t>Pervazivní</w:t>
      </w:r>
      <w:proofErr w:type="spellEnd"/>
      <w:r w:rsidRPr="004F2015">
        <w:t xml:space="preserve"> porucha je porucha zasahující všechny oblasti psychiky či sociální situace a vyjadřuje fakt, že vývoj osoby je narušen v mnoha směrech.</w:t>
      </w:r>
    </w:p>
  </w:footnote>
  <w:footnote w:id="12">
    <w:p w:rsidR="000B266F" w:rsidRPr="004F2015" w:rsidRDefault="000B266F" w:rsidP="00A34764">
      <w:pPr>
        <w:pStyle w:val="Textpoznpodarou"/>
      </w:pPr>
      <w:r w:rsidRPr="004F2015">
        <w:rPr>
          <w:rStyle w:val="Znakapoznpodarou"/>
        </w:rPr>
        <w:footnoteRef/>
      </w:r>
      <w:r w:rsidRPr="004F2015">
        <w:t xml:space="preserve"> Mezi osoby s chronickým duševním onemocněním způsobeným organickými poruchami spadají i osoby ve věku blízkému věku seniorů s různými formami demence - např. i stařeckou (vaskulární) demencí, Alzheimerovou demencí, jejichž potřeby související se zajištěním sociálních služeb jsou řešeny v Pracovní skupině č. 3 Senioři. </w:t>
      </w:r>
    </w:p>
  </w:footnote>
  <w:footnote w:id="13">
    <w:p w:rsidR="000B266F" w:rsidRPr="004F2015" w:rsidRDefault="000B266F" w:rsidP="00A34764">
      <w:pPr>
        <w:pStyle w:val="Textpoznpodarou"/>
      </w:pPr>
      <w:r w:rsidRPr="004F2015">
        <w:rPr>
          <w:rStyle w:val="Znakapoznpodarou"/>
        </w:rPr>
        <w:footnoteRef/>
      </w:r>
      <w:r w:rsidRPr="004F2015">
        <w:t xml:space="preserve"> Metodika pro způsob a proces pověřování, k dispozici na webu Olomouckého kraje www.olkraj.cz/</w:t>
      </w:r>
    </w:p>
  </w:footnote>
  <w:footnote w:id="14">
    <w:p w:rsidR="000B266F" w:rsidRPr="004F2015" w:rsidRDefault="000B266F" w:rsidP="00A34764">
      <w:pPr>
        <w:pStyle w:val="Textpoznpodarou"/>
      </w:pPr>
      <w:r w:rsidRPr="004F2015">
        <w:rPr>
          <w:rStyle w:val="Znakapoznpodarou"/>
        </w:rPr>
        <w:footnoteRef/>
      </w:r>
      <w:r w:rsidRPr="004F2015">
        <w:t xml:space="preserve"> Poskytování těchto dvou druhů sociálních služeb bylo ukončeno v uplynulých letech na žádost poskytovatele.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4F06EDC4"/>
    <w:lvl w:ilvl="0">
      <w:start w:val="1"/>
      <w:numFmt w:val="decimal"/>
      <w:pStyle w:val="slovanseznam3"/>
      <w:lvlText w:val="%1."/>
      <w:lvlJc w:val="left"/>
      <w:pPr>
        <w:tabs>
          <w:tab w:val="num" w:pos="1209"/>
        </w:tabs>
        <w:ind w:left="1209" w:hanging="360"/>
      </w:pPr>
      <w:rPr>
        <w:rFonts w:cs="Times New Roman"/>
      </w:rPr>
    </w:lvl>
  </w:abstractNum>
  <w:abstractNum w:abstractNumId="1" w15:restartNumberingAfterBreak="0">
    <w:nsid w:val="FFFFFF82"/>
    <w:multiLevelType w:val="singleLevel"/>
    <w:tmpl w:val="2E0CF6AA"/>
    <w:lvl w:ilvl="0">
      <w:start w:val="1"/>
      <w:numFmt w:val="bullet"/>
      <w:pStyle w:val="Seznamsodrkami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D5665B5C"/>
    <w:lvl w:ilvl="0">
      <w:start w:val="1"/>
      <w:numFmt w:val="upperLetter"/>
      <w:lvlText w:val="%1)"/>
      <w:lvlJc w:val="left"/>
      <w:rPr>
        <w:rFonts w:hint="default"/>
        <w:b w:val="0"/>
        <w:bCs/>
        <w:i w:val="0"/>
        <w:iCs w:val="0"/>
        <w:smallCaps w:val="0"/>
        <w:strike w:val="0"/>
        <w:color w:val="000000"/>
        <w:spacing w:val="0"/>
        <w:w w:val="100"/>
        <w:position w:val="0"/>
        <w:sz w:val="22"/>
        <w:szCs w:val="22"/>
        <w:u w:val="none"/>
      </w:rPr>
    </w:lvl>
    <w:lvl w:ilvl="1">
      <w:start w:val="1"/>
      <w:numFmt w:val="decimal"/>
      <w:lvlText w:val="(%2)"/>
      <w:lvlJc w:val="left"/>
      <w:rPr>
        <w:rFonts w:ascii="Arial" w:hAnsi="Arial" w:cs="Arial" w:hint="default"/>
        <w:b w:val="0"/>
        <w:bCs w:val="0"/>
        <w:i w:val="0"/>
        <w:iCs w:val="0"/>
        <w:smallCaps w:val="0"/>
        <w:strike w:val="0"/>
        <w:color w:val="000000"/>
        <w:spacing w:val="0"/>
        <w:w w:val="100"/>
        <w:position w:val="0"/>
        <w:sz w:val="24"/>
        <w:szCs w:val="22"/>
        <w:u w:val="none"/>
      </w:rPr>
    </w:lvl>
    <w:lvl w:ilvl="2">
      <w:start w:val="1"/>
      <w:numFmt w:val="lowerLetter"/>
      <w:lvlText w:val="%3)"/>
      <w:lvlJc w:val="left"/>
      <w:rPr>
        <w:rFonts w:ascii="Arial" w:hAnsi="Arial" w:cs="Arial" w:hint="default"/>
        <w:b w:val="0"/>
        <w:bCs w:val="0"/>
        <w:i w:val="0"/>
        <w:iCs w:val="0"/>
        <w:smallCaps w:val="0"/>
        <w:strike w:val="0"/>
        <w:color w:val="000000"/>
        <w:spacing w:val="0"/>
        <w:w w:val="100"/>
        <w:position w:val="0"/>
        <w:sz w:val="24"/>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pStyle w:val="slovn2"/>
      <w:lvlText w:val="%8)"/>
      <w:lvlJc w:val="left"/>
      <w:rPr>
        <w:b w:val="0"/>
        <w:bCs w:val="0"/>
        <w:i w:val="0"/>
        <w:iCs w:val="0"/>
        <w:smallCaps w:val="0"/>
        <w:strike w:val="0"/>
        <w:color w:val="000000"/>
        <w:spacing w:val="0"/>
        <w:w w:val="100"/>
        <w:position w:val="0"/>
        <w:sz w:val="22"/>
        <w:szCs w:val="22"/>
        <w:u w:val="none"/>
      </w:rPr>
    </w:lvl>
    <w:lvl w:ilvl="8">
      <w:start w:val="1"/>
      <w:numFmt w:val="lowerLetter"/>
      <w:lvlText w:val="%9)"/>
      <w:lvlJc w:val="left"/>
      <w:rPr>
        <w:rFonts w:hint="default"/>
        <w:b w:val="0"/>
        <w:bCs w:val="0"/>
        <w:i w:val="0"/>
        <w:iCs w:val="0"/>
        <w:smallCaps w:val="0"/>
        <w:strike w:val="0"/>
        <w:color w:val="000000"/>
        <w:spacing w:val="0"/>
        <w:w w:val="100"/>
        <w:position w:val="0"/>
        <w:sz w:val="24"/>
        <w:szCs w:val="22"/>
        <w:u w:val="none"/>
      </w:rPr>
    </w:lvl>
  </w:abstractNum>
  <w:abstractNum w:abstractNumId="3" w15:restartNumberingAfterBreak="0">
    <w:nsid w:val="004E4E34"/>
    <w:multiLevelType w:val="hybridMultilevel"/>
    <w:tmpl w:val="F09674FC"/>
    <w:lvl w:ilvl="0" w:tplc="782824A6">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 w15:restartNumberingAfterBreak="0">
    <w:nsid w:val="014560D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15:restartNumberingAfterBreak="0">
    <w:nsid w:val="01762A0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24074D6"/>
    <w:multiLevelType w:val="hybridMultilevel"/>
    <w:tmpl w:val="FD3235BA"/>
    <w:lvl w:ilvl="0" w:tplc="69BCCB5E">
      <w:start w:val="17"/>
      <w:numFmt w:val="bullet"/>
      <w:lvlText w:val="-"/>
      <w:lvlJc w:val="left"/>
      <w:pPr>
        <w:ind w:left="508" w:hanging="360"/>
      </w:pPr>
      <w:rPr>
        <w:rFonts w:ascii="Calibri" w:eastAsia="Calibri" w:hAnsi="Calibri" w:cs="Calibri" w:hint="default"/>
        <w:b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2AB7B84"/>
    <w:multiLevelType w:val="hybridMultilevel"/>
    <w:tmpl w:val="E974C28E"/>
    <w:lvl w:ilvl="0" w:tplc="D376E500">
      <w:numFmt w:val="bullet"/>
      <w:lvlText w:val="-"/>
      <w:lvlJc w:val="left"/>
      <w:pPr>
        <w:ind w:left="1776" w:hanging="360"/>
      </w:pPr>
      <w:rPr>
        <w:rFonts w:ascii="Calibri" w:eastAsiaTheme="minorHAnsi" w:hAnsi="Calibri" w:cs="Calibri"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8" w15:restartNumberingAfterBreak="0">
    <w:nsid w:val="02E00279"/>
    <w:multiLevelType w:val="hybridMultilevel"/>
    <w:tmpl w:val="89AE4A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03546A32"/>
    <w:multiLevelType w:val="hybridMultilevel"/>
    <w:tmpl w:val="C0C864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3A1733A"/>
    <w:multiLevelType w:val="hybridMultilevel"/>
    <w:tmpl w:val="911C41C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15:restartNumberingAfterBreak="0">
    <w:nsid w:val="03F278EC"/>
    <w:multiLevelType w:val="hybridMultilevel"/>
    <w:tmpl w:val="43244B7E"/>
    <w:lvl w:ilvl="0" w:tplc="ADA8BA26">
      <w:start w:val="2"/>
      <w:numFmt w:val="bullet"/>
      <w:lvlText w:val="-"/>
      <w:lvlJc w:val="left"/>
      <w:pPr>
        <w:ind w:left="360" w:hanging="360"/>
      </w:pPr>
      <w:rPr>
        <w:rFonts w:ascii="Arial" w:eastAsia="Arial Unicode MS" w:hAnsi="Arial" w:cs="Arial" w:hint="default"/>
      </w:rPr>
    </w:lvl>
    <w:lvl w:ilvl="1" w:tplc="ADA8BA26">
      <w:start w:val="2"/>
      <w:numFmt w:val="bullet"/>
      <w:lvlText w:val="-"/>
      <w:lvlJc w:val="left"/>
      <w:pPr>
        <w:ind w:left="1080" w:hanging="360"/>
      </w:pPr>
      <w:rPr>
        <w:rFonts w:ascii="Arial" w:eastAsia="Arial Unicode MS" w:hAnsi="Arial" w:cs="Aria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047107AD"/>
    <w:multiLevelType w:val="hybridMultilevel"/>
    <w:tmpl w:val="6C94F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5D26DDD"/>
    <w:multiLevelType w:val="hybridMultilevel"/>
    <w:tmpl w:val="E60E3506"/>
    <w:lvl w:ilvl="0" w:tplc="81B80052">
      <w:start w:val="1"/>
      <w:numFmt w:val="decimal"/>
      <w:lvlText w:val="%1."/>
      <w:lvlJc w:val="left"/>
      <w:pPr>
        <w:tabs>
          <w:tab w:val="num" w:pos="360"/>
        </w:tabs>
        <w:ind w:left="360" w:hanging="360"/>
      </w:pPr>
      <w:rPr>
        <w:rFonts w:hint="default"/>
        <w:sz w:val="20"/>
        <w:szCs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5E846A9"/>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 w15:restartNumberingAfterBreak="0">
    <w:nsid w:val="0640641C"/>
    <w:multiLevelType w:val="hybridMultilevel"/>
    <w:tmpl w:val="89AE4A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066B7465"/>
    <w:multiLevelType w:val="hybridMultilevel"/>
    <w:tmpl w:val="EAC421D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07742F18"/>
    <w:multiLevelType w:val="hybridMultilevel"/>
    <w:tmpl w:val="949E07C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07AA2440"/>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082F32A0"/>
    <w:multiLevelType w:val="hybridMultilevel"/>
    <w:tmpl w:val="1DBABFC6"/>
    <w:lvl w:ilvl="0" w:tplc="844482F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08972AE1"/>
    <w:multiLevelType w:val="hybridMultilevel"/>
    <w:tmpl w:val="12BCF562"/>
    <w:lvl w:ilvl="0" w:tplc="37C60E7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15:restartNumberingAfterBreak="0">
    <w:nsid w:val="09036E3A"/>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090A6DEF"/>
    <w:multiLevelType w:val="hybridMultilevel"/>
    <w:tmpl w:val="F986145E"/>
    <w:lvl w:ilvl="0" w:tplc="C4B83CB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3" w15:restartNumberingAfterBreak="0">
    <w:nsid w:val="097E5DD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0ADB21AF"/>
    <w:multiLevelType w:val="hybridMultilevel"/>
    <w:tmpl w:val="12BCF562"/>
    <w:lvl w:ilvl="0" w:tplc="37C60E7A">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 w15:restartNumberingAfterBreak="0">
    <w:nsid w:val="0B172A12"/>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0C507AB2"/>
    <w:multiLevelType w:val="hybridMultilevel"/>
    <w:tmpl w:val="86669BF4"/>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0CCD356B"/>
    <w:multiLevelType w:val="hybridMultilevel"/>
    <w:tmpl w:val="5F22F772"/>
    <w:lvl w:ilvl="0" w:tplc="61EC0EBA">
      <w:numFmt w:val="bullet"/>
      <w:lvlText w:val="-"/>
      <w:lvlJc w:val="left"/>
      <w:pPr>
        <w:ind w:left="644" w:hanging="360"/>
      </w:pPr>
      <w:rPr>
        <w:rFonts w:ascii="Segoe UI" w:eastAsia="Arial Unicode MS" w:hAnsi="Segoe UI" w:cs="Segoe U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8" w15:restartNumberingAfterBreak="0">
    <w:nsid w:val="0CD92587"/>
    <w:multiLevelType w:val="hybridMultilevel"/>
    <w:tmpl w:val="AE1CE90A"/>
    <w:lvl w:ilvl="0" w:tplc="CF36EAA8">
      <w:start w:val="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0CE25A9B"/>
    <w:multiLevelType w:val="hybridMultilevel"/>
    <w:tmpl w:val="6F80247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0D8136F1"/>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0EEC387F"/>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2" w15:restartNumberingAfterBreak="0">
    <w:nsid w:val="0FAD0EC2"/>
    <w:multiLevelType w:val="hybridMultilevel"/>
    <w:tmpl w:val="EAC421D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104007D6"/>
    <w:multiLevelType w:val="hybridMultilevel"/>
    <w:tmpl w:val="8494808A"/>
    <w:lvl w:ilvl="0" w:tplc="69BCCB5E">
      <w:start w:val="17"/>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05A0DA7"/>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1061099D"/>
    <w:multiLevelType w:val="hybridMultilevel"/>
    <w:tmpl w:val="EA1AAF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1040943"/>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15:restartNumberingAfterBreak="0">
    <w:nsid w:val="11214D40"/>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118F575E"/>
    <w:multiLevelType w:val="hybridMultilevel"/>
    <w:tmpl w:val="CEE231F2"/>
    <w:lvl w:ilvl="0" w:tplc="69BCCB5E">
      <w:start w:val="17"/>
      <w:numFmt w:val="bullet"/>
      <w:lvlText w:val="-"/>
      <w:lvlJc w:val="left"/>
      <w:pPr>
        <w:ind w:left="720" w:hanging="360"/>
      </w:pPr>
      <w:rPr>
        <w:rFonts w:ascii="Calibri" w:eastAsia="Calibri" w:hAnsi="Calibri" w:cs="Calibri" w:hint="default"/>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12740E9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13140F46"/>
    <w:multiLevelType w:val="hybridMultilevel"/>
    <w:tmpl w:val="DBE8EA60"/>
    <w:lvl w:ilvl="0" w:tplc="F3800C9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1" w15:restartNumberingAfterBreak="0">
    <w:nsid w:val="1344548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15:restartNumberingAfterBreak="0">
    <w:nsid w:val="13502AA1"/>
    <w:multiLevelType w:val="hybridMultilevel"/>
    <w:tmpl w:val="141826D2"/>
    <w:lvl w:ilvl="0" w:tplc="C032D730">
      <w:start w:val="1"/>
      <w:numFmt w:val="decimal"/>
      <w:pStyle w:val="1"/>
      <w:lvlText w:val="(%1)"/>
      <w:lvlJc w:val="left"/>
      <w:pPr>
        <w:ind w:left="360" w:hanging="360"/>
      </w:pPr>
      <w:rPr>
        <w:rFonts w:hint="default"/>
        <w:b w:val="0"/>
        <w:strike w:val="0"/>
        <w:color w:val="auto"/>
        <w:spacing w:val="0"/>
        <w:kern w:val="22"/>
        <w:position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136241D1"/>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 w15:restartNumberingAfterBreak="0">
    <w:nsid w:val="14287CB7"/>
    <w:multiLevelType w:val="hybridMultilevel"/>
    <w:tmpl w:val="6108D78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5" w15:restartNumberingAfterBreak="0">
    <w:nsid w:val="1467683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154C488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15754B9A"/>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8" w15:restartNumberingAfterBreak="0">
    <w:nsid w:val="15B030A1"/>
    <w:multiLevelType w:val="hybridMultilevel"/>
    <w:tmpl w:val="17A2197E"/>
    <w:styleLink w:val="seznamliteratury2"/>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9" w15:restartNumberingAfterBreak="0">
    <w:nsid w:val="15B45DA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0" w15:restartNumberingAfterBreak="0">
    <w:nsid w:val="15DA7C0F"/>
    <w:multiLevelType w:val="hybridMultilevel"/>
    <w:tmpl w:val="1FE86ED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1" w15:restartNumberingAfterBreak="0">
    <w:nsid w:val="16572D88"/>
    <w:multiLevelType w:val="hybridMultilevel"/>
    <w:tmpl w:val="949E07C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2" w15:restartNumberingAfterBreak="0">
    <w:nsid w:val="1662671F"/>
    <w:multiLevelType w:val="hybridMultilevel"/>
    <w:tmpl w:val="B688F42C"/>
    <w:lvl w:ilvl="0" w:tplc="69BCCB5E">
      <w:start w:val="17"/>
      <w:numFmt w:val="bullet"/>
      <w:lvlText w:val="-"/>
      <w:lvlJc w:val="left"/>
      <w:pPr>
        <w:ind w:left="360" w:hanging="360"/>
      </w:pPr>
      <w:rPr>
        <w:rFonts w:ascii="Calibri" w:eastAsia="Calibr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53" w15:restartNumberingAfterBreak="0">
    <w:nsid w:val="16C377A6"/>
    <w:multiLevelType w:val="hybridMultilevel"/>
    <w:tmpl w:val="C37E4092"/>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15:restartNumberingAfterBreak="0">
    <w:nsid w:val="19F17B57"/>
    <w:multiLevelType w:val="hybridMultilevel"/>
    <w:tmpl w:val="A32C57D0"/>
    <w:lvl w:ilvl="0" w:tplc="749AC7FC">
      <w:start w:val="16"/>
      <w:numFmt w:val="bullet"/>
      <w:lvlText w:val="-"/>
      <w:lvlJc w:val="left"/>
      <w:pPr>
        <w:ind w:left="360" w:hanging="360"/>
      </w:pPr>
      <w:rPr>
        <w:rFonts w:ascii="Arial" w:eastAsia="Arial Unicode MS"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15:restartNumberingAfterBreak="0">
    <w:nsid w:val="1B2B685A"/>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6" w15:restartNumberingAfterBreak="0">
    <w:nsid w:val="1B572107"/>
    <w:multiLevelType w:val="hybridMultilevel"/>
    <w:tmpl w:val="E74E62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1B8A324F"/>
    <w:multiLevelType w:val="hybridMultilevel"/>
    <w:tmpl w:val="A6C2FA4A"/>
    <w:lvl w:ilvl="0" w:tplc="ADA8BA26">
      <w:start w:val="2"/>
      <w:numFmt w:val="bullet"/>
      <w:lvlText w:val="-"/>
      <w:lvlJc w:val="left"/>
      <w:pPr>
        <w:ind w:left="1068" w:hanging="360"/>
      </w:pPr>
      <w:rPr>
        <w:rFonts w:ascii="Arial" w:eastAsia="Arial Unicode MS"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8" w15:restartNumberingAfterBreak="0">
    <w:nsid w:val="1C6C24CB"/>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9" w15:restartNumberingAfterBreak="0">
    <w:nsid w:val="1CE114C9"/>
    <w:multiLevelType w:val="hybridMultilevel"/>
    <w:tmpl w:val="D6E831B4"/>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0" w15:restartNumberingAfterBreak="0">
    <w:nsid w:val="1CE418E0"/>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1" w15:restartNumberingAfterBreak="0">
    <w:nsid w:val="1D3B172A"/>
    <w:multiLevelType w:val="multilevel"/>
    <w:tmpl w:val="5A8298A2"/>
    <w:lvl w:ilvl="0">
      <w:start w:val="1"/>
      <w:numFmt w:val="decimal"/>
      <w:lvlText w:val="%1."/>
      <w:lvlJc w:val="left"/>
      <w:pPr>
        <w:ind w:left="360" w:hanging="360"/>
      </w:pPr>
    </w:lvl>
    <w:lvl w:ilvl="1">
      <w:start w:val="1"/>
      <w:numFmt w:val="decimal"/>
      <w:pStyle w:val="Nadpis2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1ECA718B"/>
    <w:multiLevelType w:val="hybridMultilevel"/>
    <w:tmpl w:val="4510FEF6"/>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3" w15:restartNumberingAfterBreak="0">
    <w:nsid w:val="1ED93213"/>
    <w:multiLevelType w:val="hybridMultilevel"/>
    <w:tmpl w:val="D22EDD7A"/>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4" w15:restartNumberingAfterBreak="0">
    <w:nsid w:val="22154769"/>
    <w:multiLevelType w:val="hybridMultilevel"/>
    <w:tmpl w:val="9E2A386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15:restartNumberingAfterBreak="0">
    <w:nsid w:val="22945075"/>
    <w:multiLevelType w:val="hybridMultilevel"/>
    <w:tmpl w:val="DECCEC1A"/>
    <w:lvl w:ilvl="0" w:tplc="69BCCB5E">
      <w:start w:val="17"/>
      <w:numFmt w:val="bullet"/>
      <w:lvlText w:val="-"/>
      <w:lvlJc w:val="left"/>
      <w:pPr>
        <w:ind w:left="360" w:hanging="360"/>
      </w:pPr>
      <w:rPr>
        <w:rFonts w:ascii="Calibri" w:eastAsia="Calibr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66" w15:restartNumberingAfterBreak="0">
    <w:nsid w:val="229A22B8"/>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7" w15:restartNumberingAfterBreak="0">
    <w:nsid w:val="232579EC"/>
    <w:multiLevelType w:val="hybridMultilevel"/>
    <w:tmpl w:val="39DE7872"/>
    <w:lvl w:ilvl="0" w:tplc="69BCCB5E">
      <w:start w:val="17"/>
      <w:numFmt w:val="bullet"/>
      <w:lvlText w:val="-"/>
      <w:lvlJc w:val="left"/>
      <w:pPr>
        <w:ind w:left="360" w:hanging="360"/>
      </w:pPr>
      <w:rPr>
        <w:rFonts w:ascii="Calibri" w:eastAsia="Calibr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68" w15:restartNumberingAfterBreak="0">
    <w:nsid w:val="24104492"/>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9" w15:restartNumberingAfterBreak="0">
    <w:nsid w:val="24465A40"/>
    <w:multiLevelType w:val="hybridMultilevel"/>
    <w:tmpl w:val="3A66AA6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0" w15:restartNumberingAfterBreak="0">
    <w:nsid w:val="249E0606"/>
    <w:multiLevelType w:val="hybridMultilevel"/>
    <w:tmpl w:val="80BC28CC"/>
    <w:lvl w:ilvl="0" w:tplc="932681C8">
      <w:start w:val="1"/>
      <w:numFmt w:val="bullet"/>
      <w:lvlText w:val=""/>
      <w:lvlJc w:val="left"/>
      <w:pPr>
        <w:ind w:left="720" w:hanging="360"/>
      </w:pPr>
      <w:rPr>
        <w:rFonts w:ascii="Symbol" w:hAnsi="Symbol" w:hint="default"/>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25346E50"/>
    <w:multiLevelType w:val="hybridMultilevel"/>
    <w:tmpl w:val="813C624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2" w15:restartNumberingAfterBreak="0">
    <w:nsid w:val="260C4495"/>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3" w15:restartNumberingAfterBreak="0">
    <w:nsid w:val="268F6B8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4" w15:restartNumberingAfterBreak="0">
    <w:nsid w:val="26DB477B"/>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5" w15:restartNumberingAfterBreak="0">
    <w:nsid w:val="282C6504"/>
    <w:multiLevelType w:val="hybridMultilevel"/>
    <w:tmpl w:val="DBE8EA60"/>
    <w:lvl w:ilvl="0" w:tplc="F3800C9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6" w15:restartNumberingAfterBreak="0">
    <w:nsid w:val="28BB37C8"/>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7" w15:restartNumberingAfterBreak="0">
    <w:nsid w:val="28D41A8A"/>
    <w:multiLevelType w:val="hybridMultilevel"/>
    <w:tmpl w:val="952ACF32"/>
    <w:lvl w:ilvl="0" w:tplc="ADA8BA26">
      <w:start w:val="2"/>
      <w:numFmt w:val="bullet"/>
      <w:lvlText w:val="-"/>
      <w:lvlJc w:val="left"/>
      <w:pPr>
        <w:ind w:left="1068" w:hanging="360"/>
      </w:pPr>
      <w:rPr>
        <w:rFonts w:ascii="Arial" w:eastAsia="Arial Unicode MS"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8" w15:restartNumberingAfterBreak="0">
    <w:nsid w:val="28EC18A8"/>
    <w:multiLevelType w:val="hybridMultilevel"/>
    <w:tmpl w:val="1DBABFC6"/>
    <w:lvl w:ilvl="0" w:tplc="844482F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79" w15:restartNumberingAfterBreak="0">
    <w:nsid w:val="29BB150F"/>
    <w:multiLevelType w:val="hybridMultilevel"/>
    <w:tmpl w:val="09AEA75E"/>
    <w:lvl w:ilvl="0" w:tplc="16F2C05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29E14AD7"/>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1" w15:restartNumberingAfterBreak="0">
    <w:nsid w:val="2ADF5DA9"/>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2" w15:restartNumberingAfterBreak="0">
    <w:nsid w:val="2AF129A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3" w15:restartNumberingAfterBreak="0">
    <w:nsid w:val="2B5E701E"/>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4" w15:restartNumberingAfterBreak="0">
    <w:nsid w:val="2B7861B7"/>
    <w:multiLevelType w:val="hybridMultilevel"/>
    <w:tmpl w:val="DBE8EA60"/>
    <w:lvl w:ilvl="0" w:tplc="F3800C9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5" w15:restartNumberingAfterBreak="0">
    <w:nsid w:val="2B9419DE"/>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6" w15:restartNumberingAfterBreak="0">
    <w:nsid w:val="2BBA42E6"/>
    <w:multiLevelType w:val="hybridMultilevel"/>
    <w:tmpl w:val="5DF4CE10"/>
    <w:lvl w:ilvl="0" w:tplc="12DC0790">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7" w15:restartNumberingAfterBreak="0">
    <w:nsid w:val="2C0913CC"/>
    <w:multiLevelType w:val="hybridMultilevel"/>
    <w:tmpl w:val="6E9850E2"/>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8" w15:restartNumberingAfterBreak="0">
    <w:nsid w:val="2D764B93"/>
    <w:multiLevelType w:val="hybridMultilevel"/>
    <w:tmpl w:val="C4BCF686"/>
    <w:lvl w:ilvl="0" w:tplc="065C4580">
      <w:start w:val="16"/>
      <w:numFmt w:val="bullet"/>
      <w:lvlText w:val="-"/>
      <w:lvlJc w:val="left"/>
      <w:pPr>
        <w:ind w:left="360" w:hanging="360"/>
      </w:pPr>
      <w:rPr>
        <w:rFonts w:ascii="Arial" w:eastAsia="Arial Unicode MS"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9" w15:restartNumberingAfterBreak="0">
    <w:nsid w:val="2DB52A38"/>
    <w:multiLevelType w:val="hybridMultilevel"/>
    <w:tmpl w:val="949E07C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0" w15:restartNumberingAfterBreak="0">
    <w:nsid w:val="2E010B1B"/>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1" w15:restartNumberingAfterBreak="0">
    <w:nsid w:val="2E564922"/>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2" w15:restartNumberingAfterBreak="0">
    <w:nsid w:val="2E593B76"/>
    <w:multiLevelType w:val="hybridMultilevel"/>
    <w:tmpl w:val="A8DA1DCE"/>
    <w:lvl w:ilvl="0" w:tplc="146E2C90">
      <w:start w:val="1"/>
      <w:numFmt w:val="decimal"/>
      <w:pStyle w:val="BAKALKA"/>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3" w15:restartNumberingAfterBreak="0">
    <w:nsid w:val="2F2A1564"/>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4" w15:restartNumberingAfterBreak="0">
    <w:nsid w:val="2FC12987"/>
    <w:multiLevelType w:val="hybridMultilevel"/>
    <w:tmpl w:val="B8C61BDE"/>
    <w:lvl w:ilvl="0" w:tplc="69BCCB5E">
      <w:start w:val="17"/>
      <w:numFmt w:val="bullet"/>
      <w:lvlText w:val="-"/>
      <w:lvlJc w:val="left"/>
      <w:pPr>
        <w:ind w:left="360" w:hanging="360"/>
      </w:pPr>
      <w:rPr>
        <w:rFonts w:ascii="Calibri" w:eastAsia="Calibr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95" w15:restartNumberingAfterBreak="0">
    <w:nsid w:val="2FCA03EF"/>
    <w:multiLevelType w:val="hybridMultilevel"/>
    <w:tmpl w:val="518265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2FF20468"/>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7" w15:restartNumberingAfterBreak="0">
    <w:nsid w:val="300A336F"/>
    <w:multiLevelType w:val="hybridMultilevel"/>
    <w:tmpl w:val="750AA5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303F28D6"/>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9" w15:restartNumberingAfterBreak="0">
    <w:nsid w:val="30462EB1"/>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30531858"/>
    <w:multiLevelType w:val="hybridMultilevel"/>
    <w:tmpl w:val="3E1072A6"/>
    <w:lvl w:ilvl="0" w:tplc="04050001">
      <w:start w:val="1"/>
      <w:numFmt w:val="bullet"/>
      <w:lvlText w:val=""/>
      <w:lvlJc w:val="left"/>
      <w:pPr>
        <w:ind w:left="720" w:hanging="360"/>
      </w:pPr>
      <w:rPr>
        <w:rFonts w:ascii="Symbol" w:hAnsi="Symbol"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30710C5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2" w15:restartNumberingAfterBreak="0">
    <w:nsid w:val="31ED007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3" w15:restartNumberingAfterBreak="0">
    <w:nsid w:val="323441CF"/>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4" w15:restartNumberingAfterBreak="0">
    <w:nsid w:val="32896A7D"/>
    <w:multiLevelType w:val="hybridMultilevel"/>
    <w:tmpl w:val="FCEECA0A"/>
    <w:lvl w:ilvl="0" w:tplc="0405000F">
      <w:start w:val="1"/>
      <w:numFmt w:val="decimal"/>
      <w:lvlText w:val="%1."/>
      <w:lvlJc w:val="left"/>
      <w:pPr>
        <w:ind w:left="2880" w:hanging="360"/>
      </w:p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105" w15:restartNumberingAfterBreak="0">
    <w:nsid w:val="33865B8F"/>
    <w:multiLevelType w:val="hybridMultilevel"/>
    <w:tmpl w:val="D22EDD7A"/>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6" w15:restartNumberingAfterBreak="0">
    <w:nsid w:val="339759F0"/>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7" w15:restartNumberingAfterBreak="0">
    <w:nsid w:val="33F2050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8" w15:restartNumberingAfterBreak="0">
    <w:nsid w:val="345F660B"/>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9" w15:restartNumberingAfterBreak="0">
    <w:nsid w:val="348A4C28"/>
    <w:multiLevelType w:val="hybridMultilevel"/>
    <w:tmpl w:val="1C263604"/>
    <w:styleLink w:val="WW8Num32"/>
    <w:lvl w:ilvl="0" w:tplc="F3081CE6">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0" w15:restartNumberingAfterBreak="0">
    <w:nsid w:val="35152520"/>
    <w:multiLevelType w:val="hybridMultilevel"/>
    <w:tmpl w:val="FA4E218E"/>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1" w15:restartNumberingAfterBreak="0">
    <w:nsid w:val="353A254D"/>
    <w:multiLevelType w:val="hybridMultilevel"/>
    <w:tmpl w:val="822C5F7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35B52F27"/>
    <w:multiLevelType w:val="hybridMultilevel"/>
    <w:tmpl w:val="3D72BE3E"/>
    <w:lvl w:ilvl="0" w:tplc="CF9AF9F6">
      <w:start w:val="1"/>
      <w:numFmt w:val="bullet"/>
      <w:pStyle w:val="Odrky"/>
      <w:lvlText w:val=""/>
      <w:lvlJc w:val="left"/>
      <w:pPr>
        <w:ind w:left="360" w:hanging="360"/>
      </w:pPr>
      <w:rPr>
        <w:rFonts w:ascii="Symbol" w:hAnsi="Symbol"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3" w15:restartNumberingAfterBreak="0">
    <w:nsid w:val="36E94FC1"/>
    <w:multiLevelType w:val="hybridMultilevel"/>
    <w:tmpl w:val="949E07C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4" w15:restartNumberingAfterBreak="0">
    <w:nsid w:val="36FB0317"/>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5" w15:restartNumberingAfterBreak="0">
    <w:nsid w:val="37B67BA1"/>
    <w:multiLevelType w:val="multilevel"/>
    <w:tmpl w:val="821CE2BA"/>
    <w:lvl w:ilvl="0">
      <w:start w:val="1"/>
      <w:numFmt w:val="upperLetter"/>
      <w:lvlText w:val="ČÁST %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76" w:hanging="576"/>
      </w:pPr>
      <w:rPr>
        <w:rFonts w:ascii="Segoe UI" w:hAnsi="Segoe UI" w:cs="Segoe UI" w:hint="default"/>
        <w:sz w:val="28"/>
        <w:szCs w:val="28"/>
      </w:rPr>
    </w:lvl>
    <w:lvl w:ilvl="2">
      <w:start w:val="1"/>
      <w:numFmt w:val="decimal"/>
      <w:lvlText w:val="%2.%3"/>
      <w:lvlJc w:val="left"/>
      <w:pPr>
        <w:ind w:left="100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isLgl/>
      <w:lvlText w:val="%2.%3.%4"/>
      <w:lvlJc w:val="left"/>
      <w:pPr>
        <w:ind w:left="1134" w:hanging="113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3"/>
      <w:isLgl/>
      <w:lvlText w:val="%5%2.%4.%3"/>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6" w15:restartNumberingAfterBreak="0">
    <w:nsid w:val="38CE6B7B"/>
    <w:multiLevelType w:val="hybridMultilevel"/>
    <w:tmpl w:val="D3F29078"/>
    <w:lvl w:ilvl="0" w:tplc="69BCCB5E">
      <w:start w:val="17"/>
      <w:numFmt w:val="bullet"/>
      <w:lvlText w:val="-"/>
      <w:lvlJc w:val="left"/>
      <w:pPr>
        <w:ind w:left="508" w:hanging="360"/>
      </w:pPr>
      <w:rPr>
        <w:rFonts w:ascii="Calibri" w:eastAsia="Calibri" w:hAnsi="Calibri" w:cs="Calibri" w:hint="default"/>
        <w:sz w:val="22"/>
        <w:szCs w:val="22"/>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117" w15:restartNumberingAfterBreak="0">
    <w:nsid w:val="3A882B3D"/>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8" w15:restartNumberingAfterBreak="0">
    <w:nsid w:val="3BC7149D"/>
    <w:multiLevelType w:val="hybridMultilevel"/>
    <w:tmpl w:val="22FA460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9" w15:restartNumberingAfterBreak="0">
    <w:nsid w:val="3C6D72BC"/>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0" w15:restartNumberingAfterBreak="0">
    <w:nsid w:val="3CD14E71"/>
    <w:multiLevelType w:val="hybridMultilevel"/>
    <w:tmpl w:val="B9A68B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1" w15:restartNumberingAfterBreak="0">
    <w:nsid w:val="3D0D678F"/>
    <w:multiLevelType w:val="hybridMultilevel"/>
    <w:tmpl w:val="9530B8CE"/>
    <w:lvl w:ilvl="0" w:tplc="3FD68234">
      <w:numFmt w:val="bullet"/>
      <w:lvlText w:val="-"/>
      <w:lvlJc w:val="left"/>
      <w:pPr>
        <w:ind w:left="360" w:hanging="360"/>
      </w:pPr>
      <w:rPr>
        <w:rFonts w:ascii="Arial" w:eastAsia="Arial Unicode MS"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2" w15:restartNumberingAfterBreak="0">
    <w:nsid w:val="3D2D253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3" w15:restartNumberingAfterBreak="0">
    <w:nsid w:val="3E050FA2"/>
    <w:multiLevelType w:val="hybridMultilevel"/>
    <w:tmpl w:val="553C34AE"/>
    <w:lvl w:ilvl="0" w:tplc="69BCCB5E">
      <w:start w:val="17"/>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3E545C0B"/>
    <w:multiLevelType w:val="multilevel"/>
    <w:tmpl w:val="B7B2DD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3ED24C38"/>
    <w:multiLevelType w:val="hybridMultilevel"/>
    <w:tmpl w:val="8F52CB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3F642D22"/>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7" w15:restartNumberingAfterBreak="0">
    <w:nsid w:val="3F9B6A5F"/>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8" w15:restartNumberingAfterBreak="0">
    <w:nsid w:val="404E3836"/>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9" w15:restartNumberingAfterBreak="0">
    <w:nsid w:val="41726B4F"/>
    <w:multiLevelType w:val="hybridMultilevel"/>
    <w:tmpl w:val="E112168C"/>
    <w:lvl w:ilvl="0" w:tplc="69BCCB5E">
      <w:start w:val="17"/>
      <w:numFmt w:val="bullet"/>
      <w:lvlText w:val="-"/>
      <w:lvlJc w:val="left"/>
      <w:pPr>
        <w:ind w:left="508" w:hanging="360"/>
      </w:pPr>
      <w:rPr>
        <w:rFonts w:ascii="Calibri" w:eastAsia="Calibri" w:hAnsi="Calibri" w:cs="Calibri" w:hint="default"/>
        <w:sz w:val="22"/>
        <w:szCs w:val="22"/>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130" w15:restartNumberingAfterBreak="0">
    <w:nsid w:val="423C3F98"/>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1" w15:restartNumberingAfterBreak="0">
    <w:nsid w:val="42FF6554"/>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2" w15:restartNumberingAfterBreak="0">
    <w:nsid w:val="43683005"/>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3" w15:restartNumberingAfterBreak="0">
    <w:nsid w:val="43C176B8"/>
    <w:multiLevelType w:val="hybridMultilevel"/>
    <w:tmpl w:val="1DBABFC6"/>
    <w:lvl w:ilvl="0" w:tplc="844482F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4" w15:restartNumberingAfterBreak="0">
    <w:nsid w:val="43DE5EB7"/>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5" w15:restartNumberingAfterBreak="0">
    <w:nsid w:val="43DF73FC"/>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6" w15:restartNumberingAfterBreak="0">
    <w:nsid w:val="44292886"/>
    <w:multiLevelType w:val="hybridMultilevel"/>
    <w:tmpl w:val="949E07C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7" w15:restartNumberingAfterBreak="0">
    <w:nsid w:val="44E55798"/>
    <w:multiLevelType w:val="multilevel"/>
    <w:tmpl w:val="2C949522"/>
    <w:styleLink w:val="seznamliteratury"/>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8" w15:restartNumberingAfterBreak="0">
    <w:nsid w:val="458D68F7"/>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9" w15:restartNumberingAfterBreak="0">
    <w:nsid w:val="45BB51E8"/>
    <w:multiLevelType w:val="hybridMultilevel"/>
    <w:tmpl w:val="78D02BFE"/>
    <w:lvl w:ilvl="0" w:tplc="3148ED5A">
      <w:start w:val="1"/>
      <w:numFmt w:val="decimal"/>
      <w:lvlText w:val="%1."/>
      <w:lvlJc w:val="left"/>
      <w:pPr>
        <w:ind w:left="720" w:hanging="360"/>
      </w:pPr>
      <w:rPr>
        <w:rFonts w:ascii="Segoe UI" w:eastAsia="Arial Unicode MS" w:hAnsi="Segoe UI" w:cs="Segoe U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45D13892"/>
    <w:multiLevelType w:val="hybridMultilevel"/>
    <w:tmpl w:val="89AE4A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1" w15:restartNumberingAfterBreak="0">
    <w:nsid w:val="461E42C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2" w15:restartNumberingAfterBreak="0">
    <w:nsid w:val="464B5F74"/>
    <w:multiLevelType w:val="hybridMultilevel"/>
    <w:tmpl w:val="58A087BC"/>
    <w:lvl w:ilvl="0" w:tplc="04050001">
      <w:start w:val="1"/>
      <w:numFmt w:val="bullet"/>
      <w:lvlText w:val=""/>
      <w:lvlJc w:val="left"/>
      <w:pPr>
        <w:ind w:left="508" w:hanging="360"/>
      </w:pPr>
      <w:rPr>
        <w:rFonts w:ascii="Symbol" w:hAnsi="Symbol" w:hint="default"/>
        <w:sz w:val="22"/>
        <w:szCs w:val="22"/>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143" w15:restartNumberingAfterBreak="0">
    <w:nsid w:val="480411C4"/>
    <w:multiLevelType w:val="hybridMultilevel"/>
    <w:tmpl w:val="DBE8EA60"/>
    <w:lvl w:ilvl="0" w:tplc="F3800C9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4" w15:restartNumberingAfterBreak="0">
    <w:nsid w:val="4A282303"/>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5" w15:restartNumberingAfterBreak="0">
    <w:nsid w:val="4A3F16E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6" w15:restartNumberingAfterBreak="0">
    <w:nsid w:val="4AB301FA"/>
    <w:multiLevelType w:val="hybridMultilevel"/>
    <w:tmpl w:val="E8D845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15:restartNumberingAfterBreak="0">
    <w:nsid w:val="4AB42293"/>
    <w:multiLevelType w:val="hybridMultilevel"/>
    <w:tmpl w:val="9E2A386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8" w15:restartNumberingAfterBreak="0">
    <w:nsid w:val="4B374CE9"/>
    <w:multiLevelType w:val="hybridMultilevel"/>
    <w:tmpl w:val="949E07C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9" w15:restartNumberingAfterBreak="0">
    <w:nsid w:val="4B58460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0" w15:restartNumberingAfterBreak="0">
    <w:nsid w:val="4B955B9A"/>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1" w15:restartNumberingAfterBreak="0">
    <w:nsid w:val="4CDC4B4F"/>
    <w:multiLevelType w:val="hybridMultilevel"/>
    <w:tmpl w:val="D22EDD7A"/>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2" w15:restartNumberingAfterBreak="0">
    <w:nsid w:val="4E666CE3"/>
    <w:multiLevelType w:val="hybridMultilevel"/>
    <w:tmpl w:val="9C8AD8EA"/>
    <w:lvl w:ilvl="0" w:tplc="1BBAFE04">
      <w:start w:val="2021"/>
      <w:numFmt w:val="bullet"/>
      <w:lvlText w:val="-"/>
      <w:lvlJc w:val="left"/>
      <w:pPr>
        <w:ind w:left="360" w:hanging="360"/>
      </w:pPr>
      <w:rPr>
        <w:rFonts w:ascii="Arial" w:eastAsia="Arial Unicode MS"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3" w15:restartNumberingAfterBreak="0">
    <w:nsid w:val="4E9B523A"/>
    <w:multiLevelType w:val="hybridMultilevel"/>
    <w:tmpl w:val="AAECD04A"/>
    <w:lvl w:ilvl="0" w:tplc="A8DC897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4FA5225F"/>
    <w:multiLevelType w:val="hybridMultilevel"/>
    <w:tmpl w:val="9E2A386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4FF2402D"/>
    <w:multiLevelType w:val="multilevel"/>
    <w:tmpl w:val="A476ECE0"/>
    <w:lvl w:ilvl="0">
      <w:start w:val="1"/>
      <w:numFmt w:val="decimal"/>
      <w:pStyle w:val="Nadpis1"/>
      <w:lvlText w:val="%1"/>
      <w:lvlJc w:val="left"/>
      <w:pPr>
        <w:ind w:left="858"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6" w15:restartNumberingAfterBreak="0">
    <w:nsid w:val="5001071F"/>
    <w:multiLevelType w:val="hybridMultilevel"/>
    <w:tmpl w:val="BF58121C"/>
    <w:lvl w:ilvl="0" w:tplc="129C3B38">
      <w:numFmt w:val="bullet"/>
      <w:lvlText w:val="-"/>
      <w:lvlJc w:val="left"/>
      <w:pPr>
        <w:ind w:left="1004" w:hanging="360"/>
      </w:pPr>
      <w:rPr>
        <w:rFonts w:ascii="Arial" w:eastAsia="Arial Unicode MS" w:hAnsi="Arial" w:cs="Aria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7" w15:restartNumberingAfterBreak="0">
    <w:nsid w:val="50201367"/>
    <w:multiLevelType w:val="hybridMultilevel"/>
    <w:tmpl w:val="3912D3C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58" w15:restartNumberingAfterBreak="0">
    <w:nsid w:val="515B6342"/>
    <w:multiLevelType w:val="hybridMultilevel"/>
    <w:tmpl w:val="6E9850E2"/>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9" w15:restartNumberingAfterBreak="0">
    <w:nsid w:val="517236D6"/>
    <w:multiLevelType w:val="hybridMultilevel"/>
    <w:tmpl w:val="949E07C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0" w15:restartNumberingAfterBreak="0">
    <w:nsid w:val="520A1E84"/>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1" w15:restartNumberingAfterBreak="0">
    <w:nsid w:val="523F727A"/>
    <w:multiLevelType w:val="hybridMultilevel"/>
    <w:tmpl w:val="195C5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15:restartNumberingAfterBreak="0">
    <w:nsid w:val="52D326F5"/>
    <w:multiLevelType w:val="hybridMultilevel"/>
    <w:tmpl w:val="72E8B58C"/>
    <w:lvl w:ilvl="0" w:tplc="69BCCB5E">
      <w:start w:val="17"/>
      <w:numFmt w:val="bullet"/>
      <w:lvlText w:val="-"/>
      <w:lvlJc w:val="left"/>
      <w:pPr>
        <w:ind w:left="508" w:hanging="360"/>
      </w:pPr>
      <w:rPr>
        <w:rFonts w:ascii="Calibri" w:eastAsia="Calibri" w:hAnsi="Calibri" w:cs="Calibri" w:hint="default"/>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163" w15:restartNumberingAfterBreak="0">
    <w:nsid w:val="52EC72E6"/>
    <w:multiLevelType w:val="hybridMultilevel"/>
    <w:tmpl w:val="949E07C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4" w15:restartNumberingAfterBreak="0">
    <w:nsid w:val="52ED1948"/>
    <w:multiLevelType w:val="hybridMultilevel"/>
    <w:tmpl w:val="67BAA6DA"/>
    <w:lvl w:ilvl="0" w:tplc="129C3B38">
      <w:numFmt w:val="bullet"/>
      <w:lvlText w:val="-"/>
      <w:lvlJc w:val="left"/>
      <w:pPr>
        <w:ind w:left="360" w:hanging="360"/>
      </w:pPr>
      <w:rPr>
        <w:rFonts w:ascii="Arial" w:eastAsia="Arial Unicode MS"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5" w15:restartNumberingAfterBreak="0">
    <w:nsid w:val="53714EAA"/>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6" w15:restartNumberingAfterBreak="0">
    <w:nsid w:val="54800656"/>
    <w:multiLevelType w:val="hybridMultilevel"/>
    <w:tmpl w:val="A2CE5A48"/>
    <w:lvl w:ilvl="0" w:tplc="16F2C052">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7" w15:restartNumberingAfterBreak="0">
    <w:nsid w:val="549B0E47"/>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8" w15:restartNumberingAfterBreak="0">
    <w:nsid w:val="54E06595"/>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9" w15:restartNumberingAfterBreak="0">
    <w:nsid w:val="55BE1D35"/>
    <w:multiLevelType w:val="hybridMultilevel"/>
    <w:tmpl w:val="89AE4A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0" w15:restartNumberingAfterBreak="0">
    <w:nsid w:val="55DE5F75"/>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1" w15:restartNumberingAfterBreak="0">
    <w:nsid w:val="56900D95"/>
    <w:multiLevelType w:val="hybridMultilevel"/>
    <w:tmpl w:val="949E07C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2" w15:restartNumberingAfterBreak="0">
    <w:nsid w:val="571174D9"/>
    <w:multiLevelType w:val="hybridMultilevel"/>
    <w:tmpl w:val="1DBABFC6"/>
    <w:lvl w:ilvl="0" w:tplc="844482F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3" w15:restartNumberingAfterBreak="0">
    <w:nsid w:val="57C974CC"/>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4" w15:restartNumberingAfterBreak="0">
    <w:nsid w:val="591D7570"/>
    <w:multiLevelType w:val="hybridMultilevel"/>
    <w:tmpl w:val="6C64D61C"/>
    <w:lvl w:ilvl="0" w:tplc="7DBAABAC">
      <w:start w:val="1"/>
      <w:numFmt w:val="upperLetter"/>
      <w:pStyle w:val="slovn"/>
      <w:lvlText w:val="%1)"/>
      <w:lvlJc w:val="left"/>
      <w:pPr>
        <w:ind w:left="720" w:hanging="360"/>
      </w:pPr>
      <w:rPr>
        <w:rFonts w:hint="default"/>
        <w:b w:val="0"/>
        <w:i/>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5" w15:restartNumberingAfterBreak="0">
    <w:nsid w:val="598F062D"/>
    <w:multiLevelType w:val="hybridMultilevel"/>
    <w:tmpl w:val="E13EC662"/>
    <w:lvl w:ilvl="0" w:tplc="5B706502">
      <w:start w:val="1"/>
      <w:numFmt w:val="bullet"/>
      <w:pStyle w:val="odrkaSWOT"/>
      <w:lvlText w:val=""/>
      <w:lvlJc w:val="left"/>
      <w:pPr>
        <w:ind w:left="360" w:hanging="360"/>
      </w:pPr>
      <w:rPr>
        <w:rFonts w:ascii="Symbol" w:hAnsi="Symbol" w:hint="default"/>
        <w:color w:val="auto"/>
      </w:rPr>
    </w:lvl>
    <w:lvl w:ilvl="1" w:tplc="04050003">
      <w:start w:val="1"/>
      <w:numFmt w:val="bullet"/>
      <w:lvlText w:val="o"/>
      <w:lvlJc w:val="left"/>
      <w:pPr>
        <w:ind w:left="643"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6" w15:restartNumberingAfterBreak="0">
    <w:nsid w:val="59CA75F8"/>
    <w:multiLevelType w:val="hybridMultilevel"/>
    <w:tmpl w:val="B9A68B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7" w15:restartNumberingAfterBreak="0">
    <w:nsid w:val="5A220D8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8" w15:restartNumberingAfterBreak="0">
    <w:nsid w:val="5A3614A6"/>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9" w15:restartNumberingAfterBreak="0">
    <w:nsid w:val="5A814374"/>
    <w:multiLevelType w:val="hybridMultilevel"/>
    <w:tmpl w:val="89AE4A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0" w15:restartNumberingAfterBreak="0">
    <w:nsid w:val="5AAB297B"/>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1" w15:restartNumberingAfterBreak="0">
    <w:nsid w:val="5AB346A6"/>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2" w15:restartNumberingAfterBreak="0">
    <w:nsid w:val="5B4B1C16"/>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3" w15:restartNumberingAfterBreak="0">
    <w:nsid w:val="5BE11DBF"/>
    <w:multiLevelType w:val="hybridMultilevel"/>
    <w:tmpl w:val="F986145E"/>
    <w:lvl w:ilvl="0" w:tplc="C4B83CBC">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4" w15:restartNumberingAfterBreak="0">
    <w:nsid w:val="5C5A42A9"/>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5" w15:restartNumberingAfterBreak="0">
    <w:nsid w:val="5C8D6785"/>
    <w:multiLevelType w:val="hybridMultilevel"/>
    <w:tmpl w:val="1DBABFC6"/>
    <w:lvl w:ilvl="0" w:tplc="844482F0">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6" w15:restartNumberingAfterBreak="0">
    <w:nsid w:val="5D0C5D7D"/>
    <w:multiLevelType w:val="hybridMultilevel"/>
    <w:tmpl w:val="8A24E8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5D17763B"/>
    <w:multiLevelType w:val="hybridMultilevel"/>
    <w:tmpl w:val="9E2A386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8" w15:restartNumberingAfterBreak="0">
    <w:nsid w:val="5D8B5698"/>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9" w15:restartNumberingAfterBreak="0">
    <w:nsid w:val="5DD45085"/>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0" w15:restartNumberingAfterBreak="0">
    <w:nsid w:val="5E1928C6"/>
    <w:multiLevelType w:val="hybridMultilevel"/>
    <w:tmpl w:val="C99A9BD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1" w15:restartNumberingAfterBreak="0">
    <w:nsid w:val="5E3F5C4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2" w15:restartNumberingAfterBreak="0">
    <w:nsid w:val="5EFA78E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3" w15:restartNumberingAfterBreak="0">
    <w:nsid w:val="5F1B5FF2"/>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4" w15:restartNumberingAfterBreak="0">
    <w:nsid w:val="5F842184"/>
    <w:multiLevelType w:val="hybridMultilevel"/>
    <w:tmpl w:val="3D30EE66"/>
    <w:lvl w:ilvl="0" w:tplc="3AEE3360">
      <w:start w:val="9"/>
      <w:numFmt w:val="bullet"/>
      <w:lvlText w:val="-"/>
      <w:lvlJc w:val="left"/>
      <w:pPr>
        <w:ind w:left="720" w:hanging="360"/>
      </w:pPr>
      <w:rPr>
        <w:rFonts w:ascii="Segoe UI" w:eastAsia="Arial Unicode MS" w:hAnsi="Segoe UI"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5" w15:restartNumberingAfterBreak="0">
    <w:nsid w:val="606D7AE5"/>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6" w15:restartNumberingAfterBreak="0">
    <w:nsid w:val="60B664D5"/>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7" w15:restartNumberingAfterBreak="0">
    <w:nsid w:val="60BA0B8F"/>
    <w:multiLevelType w:val="hybridMultilevel"/>
    <w:tmpl w:val="6108D78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8" w15:restartNumberingAfterBreak="0">
    <w:nsid w:val="613F7DF6"/>
    <w:multiLevelType w:val="hybridMultilevel"/>
    <w:tmpl w:val="331AFCD4"/>
    <w:lvl w:ilvl="0" w:tplc="ADA8BA26">
      <w:start w:val="2"/>
      <w:numFmt w:val="bullet"/>
      <w:lvlText w:val="-"/>
      <w:lvlJc w:val="left"/>
      <w:pPr>
        <w:ind w:left="1068" w:hanging="360"/>
      </w:pPr>
      <w:rPr>
        <w:rFonts w:ascii="Arial" w:eastAsia="Arial Unicode MS"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9" w15:restartNumberingAfterBreak="0">
    <w:nsid w:val="62180E7E"/>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0" w15:restartNumberingAfterBreak="0">
    <w:nsid w:val="6230158D"/>
    <w:multiLevelType w:val="hybridMultilevel"/>
    <w:tmpl w:val="F3D03B0A"/>
    <w:lvl w:ilvl="0" w:tplc="6E96F03E">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01" w15:restartNumberingAfterBreak="0">
    <w:nsid w:val="62BB58FB"/>
    <w:multiLevelType w:val="hybridMultilevel"/>
    <w:tmpl w:val="3912D3C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02" w15:restartNumberingAfterBreak="0">
    <w:nsid w:val="62E95781"/>
    <w:multiLevelType w:val="hybridMultilevel"/>
    <w:tmpl w:val="DBE8EA60"/>
    <w:lvl w:ilvl="0" w:tplc="F3800C9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3" w15:restartNumberingAfterBreak="0">
    <w:nsid w:val="64345A8F"/>
    <w:multiLevelType w:val="multilevel"/>
    <w:tmpl w:val="B33A3EB0"/>
    <w:styleLink w:val="WW8Num3"/>
    <w:lvl w:ilvl="0">
      <w:numFmt w:val="bullet"/>
      <w:lvlText w:val=""/>
      <w:lvlJc w:val="left"/>
      <w:pPr>
        <w:ind w:left="720" w:hanging="360"/>
      </w:pPr>
      <w:rPr>
        <w:rFonts w:ascii="Symbol" w:hAnsi="Symbol" w:cs="Arial"/>
      </w:rPr>
    </w:lvl>
    <w:lvl w:ilvl="1">
      <w:numFmt w:val="bullet"/>
      <w:lvlText w:val=""/>
      <w:lvlJc w:val="left"/>
      <w:pPr>
        <w:ind w:left="1080" w:hanging="360"/>
      </w:pPr>
      <w:rPr>
        <w:rFonts w:ascii="Symbol" w:hAnsi="Symbol" w:cs="Arial"/>
      </w:rPr>
    </w:lvl>
    <w:lvl w:ilvl="2">
      <w:numFmt w:val="bullet"/>
      <w:lvlText w:val=""/>
      <w:lvlJc w:val="left"/>
      <w:pPr>
        <w:ind w:left="1440" w:hanging="360"/>
      </w:pPr>
      <w:rPr>
        <w:rFonts w:ascii="Symbol" w:hAnsi="Symbol" w:cs="Arial"/>
      </w:rPr>
    </w:lvl>
    <w:lvl w:ilvl="3">
      <w:numFmt w:val="bullet"/>
      <w:lvlText w:val=""/>
      <w:lvlJc w:val="left"/>
      <w:pPr>
        <w:ind w:left="1800" w:hanging="360"/>
      </w:pPr>
      <w:rPr>
        <w:rFonts w:ascii="Symbol" w:hAnsi="Symbol" w:cs="Arial"/>
      </w:rPr>
    </w:lvl>
    <w:lvl w:ilvl="4">
      <w:numFmt w:val="bullet"/>
      <w:lvlText w:val=""/>
      <w:lvlJc w:val="left"/>
      <w:pPr>
        <w:ind w:left="2160" w:hanging="360"/>
      </w:pPr>
      <w:rPr>
        <w:rFonts w:ascii="Symbol" w:hAnsi="Symbol" w:cs="Arial"/>
      </w:rPr>
    </w:lvl>
    <w:lvl w:ilvl="5">
      <w:numFmt w:val="bullet"/>
      <w:lvlText w:val=""/>
      <w:lvlJc w:val="left"/>
      <w:pPr>
        <w:ind w:left="2520" w:hanging="360"/>
      </w:pPr>
      <w:rPr>
        <w:rFonts w:ascii="Symbol" w:hAnsi="Symbol" w:cs="Arial"/>
      </w:rPr>
    </w:lvl>
    <w:lvl w:ilvl="6">
      <w:numFmt w:val="bullet"/>
      <w:lvlText w:val=""/>
      <w:lvlJc w:val="left"/>
      <w:pPr>
        <w:ind w:left="2880" w:hanging="360"/>
      </w:pPr>
      <w:rPr>
        <w:rFonts w:ascii="Symbol" w:hAnsi="Symbol" w:cs="Arial"/>
      </w:rPr>
    </w:lvl>
    <w:lvl w:ilvl="7">
      <w:numFmt w:val="bullet"/>
      <w:lvlText w:val=""/>
      <w:lvlJc w:val="left"/>
      <w:pPr>
        <w:ind w:left="3240" w:hanging="360"/>
      </w:pPr>
      <w:rPr>
        <w:rFonts w:ascii="Symbol" w:hAnsi="Symbol" w:cs="Arial"/>
      </w:rPr>
    </w:lvl>
    <w:lvl w:ilvl="8">
      <w:numFmt w:val="bullet"/>
      <w:lvlText w:val=""/>
      <w:lvlJc w:val="left"/>
      <w:pPr>
        <w:ind w:left="3600" w:hanging="360"/>
      </w:pPr>
      <w:rPr>
        <w:rFonts w:ascii="Symbol" w:hAnsi="Symbol" w:cs="Arial"/>
      </w:rPr>
    </w:lvl>
  </w:abstractNum>
  <w:abstractNum w:abstractNumId="204" w15:restartNumberingAfterBreak="0">
    <w:nsid w:val="643E5B60"/>
    <w:multiLevelType w:val="hybridMultilevel"/>
    <w:tmpl w:val="C660DC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5" w15:restartNumberingAfterBreak="0">
    <w:nsid w:val="66272BD6"/>
    <w:multiLevelType w:val="hybridMultilevel"/>
    <w:tmpl w:val="BFB4FA2A"/>
    <w:lvl w:ilvl="0" w:tplc="04050001">
      <w:start w:val="1"/>
      <w:numFmt w:val="bullet"/>
      <w:lvlText w:val=""/>
      <w:lvlJc w:val="left"/>
      <w:pPr>
        <w:ind w:left="656" w:hanging="360"/>
      </w:pPr>
      <w:rPr>
        <w:rFonts w:ascii="Symbol" w:hAnsi="Symbol" w:hint="default"/>
        <w:sz w:val="22"/>
        <w:szCs w:val="22"/>
      </w:rPr>
    </w:lvl>
    <w:lvl w:ilvl="1" w:tplc="04050003" w:tentative="1">
      <w:start w:val="1"/>
      <w:numFmt w:val="bullet"/>
      <w:lvlText w:val="o"/>
      <w:lvlJc w:val="left"/>
      <w:pPr>
        <w:ind w:left="1588" w:hanging="360"/>
      </w:pPr>
      <w:rPr>
        <w:rFonts w:ascii="Courier New" w:hAnsi="Courier New" w:cs="Courier New" w:hint="default"/>
      </w:rPr>
    </w:lvl>
    <w:lvl w:ilvl="2" w:tplc="04050005" w:tentative="1">
      <w:start w:val="1"/>
      <w:numFmt w:val="bullet"/>
      <w:lvlText w:val=""/>
      <w:lvlJc w:val="left"/>
      <w:pPr>
        <w:ind w:left="2308" w:hanging="360"/>
      </w:pPr>
      <w:rPr>
        <w:rFonts w:ascii="Wingdings" w:hAnsi="Wingdings" w:hint="default"/>
      </w:rPr>
    </w:lvl>
    <w:lvl w:ilvl="3" w:tplc="04050001" w:tentative="1">
      <w:start w:val="1"/>
      <w:numFmt w:val="bullet"/>
      <w:lvlText w:val=""/>
      <w:lvlJc w:val="left"/>
      <w:pPr>
        <w:ind w:left="3028" w:hanging="360"/>
      </w:pPr>
      <w:rPr>
        <w:rFonts w:ascii="Symbol" w:hAnsi="Symbol" w:hint="default"/>
      </w:rPr>
    </w:lvl>
    <w:lvl w:ilvl="4" w:tplc="04050003" w:tentative="1">
      <w:start w:val="1"/>
      <w:numFmt w:val="bullet"/>
      <w:lvlText w:val="o"/>
      <w:lvlJc w:val="left"/>
      <w:pPr>
        <w:ind w:left="3748" w:hanging="360"/>
      </w:pPr>
      <w:rPr>
        <w:rFonts w:ascii="Courier New" w:hAnsi="Courier New" w:cs="Courier New" w:hint="default"/>
      </w:rPr>
    </w:lvl>
    <w:lvl w:ilvl="5" w:tplc="04050005" w:tentative="1">
      <w:start w:val="1"/>
      <w:numFmt w:val="bullet"/>
      <w:lvlText w:val=""/>
      <w:lvlJc w:val="left"/>
      <w:pPr>
        <w:ind w:left="4468" w:hanging="360"/>
      </w:pPr>
      <w:rPr>
        <w:rFonts w:ascii="Wingdings" w:hAnsi="Wingdings" w:hint="default"/>
      </w:rPr>
    </w:lvl>
    <w:lvl w:ilvl="6" w:tplc="04050001" w:tentative="1">
      <w:start w:val="1"/>
      <w:numFmt w:val="bullet"/>
      <w:lvlText w:val=""/>
      <w:lvlJc w:val="left"/>
      <w:pPr>
        <w:ind w:left="5188" w:hanging="360"/>
      </w:pPr>
      <w:rPr>
        <w:rFonts w:ascii="Symbol" w:hAnsi="Symbol" w:hint="default"/>
      </w:rPr>
    </w:lvl>
    <w:lvl w:ilvl="7" w:tplc="04050003" w:tentative="1">
      <w:start w:val="1"/>
      <w:numFmt w:val="bullet"/>
      <w:lvlText w:val="o"/>
      <w:lvlJc w:val="left"/>
      <w:pPr>
        <w:ind w:left="5908" w:hanging="360"/>
      </w:pPr>
      <w:rPr>
        <w:rFonts w:ascii="Courier New" w:hAnsi="Courier New" w:cs="Courier New" w:hint="default"/>
      </w:rPr>
    </w:lvl>
    <w:lvl w:ilvl="8" w:tplc="04050005" w:tentative="1">
      <w:start w:val="1"/>
      <w:numFmt w:val="bullet"/>
      <w:lvlText w:val=""/>
      <w:lvlJc w:val="left"/>
      <w:pPr>
        <w:ind w:left="6628" w:hanging="360"/>
      </w:pPr>
      <w:rPr>
        <w:rFonts w:ascii="Wingdings" w:hAnsi="Wingdings" w:hint="default"/>
      </w:rPr>
    </w:lvl>
  </w:abstractNum>
  <w:abstractNum w:abstractNumId="206" w15:restartNumberingAfterBreak="0">
    <w:nsid w:val="66ED6D61"/>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7" w15:restartNumberingAfterBreak="0">
    <w:nsid w:val="67613204"/>
    <w:multiLevelType w:val="hybridMultilevel"/>
    <w:tmpl w:val="E60C16C4"/>
    <w:lvl w:ilvl="0" w:tplc="ADA8BA26">
      <w:start w:val="2"/>
      <w:numFmt w:val="bullet"/>
      <w:lvlText w:val="-"/>
      <w:lvlJc w:val="left"/>
      <w:pPr>
        <w:ind w:left="720" w:hanging="360"/>
      </w:pPr>
      <w:rPr>
        <w:rFonts w:ascii="Arial" w:eastAsia="Arial Unicode MS"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8" w15:restartNumberingAfterBreak="0">
    <w:nsid w:val="6764244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9" w15:restartNumberingAfterBreak="0">
    <w:nsid w:val="682C2234"/>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0" w15:restartNumberingAfterBreak="0">
    <w:nsid w:val="6AAF1A1F"/>
    <w:multiLevelType w:val="multilevel"/>
    <w:tmpl w:val="0042572E"/>
    <w:lvl w:ilvl="0">
      <w:start w:val="1"/>
      <w:numFmt w:val="decimal"/>
      <w:pStyle w:val="Textodstavce"/>
      <w:isLgl/>
      <w:lvlText w:val="(%1)"/>
      <w:lvlJc w:val="left"/>
      <w:pPr>
        <w:tabs>
          <w:tab w:val="num" w:pos="1077"/>
        </w:tabs>
        <w:ind w:left="295" w:firstLine="425"/>
      </w:pPr>
      <w:rPr>
        <w:rFonts w:cs="Times New Roman"/>
        <w:color w:val="auto"/>
        <w:sz w:val="24"/>
        <w:szCs w:val="24"/>
        <w:vertAlign w:val="baseline"/>
      </w:rPr>
    </w:lvl>
    <w:lvl w:ilvl="1">
      <w:start w:val="1"/>
      <w:numFmt w:val="lowerLetter"/>
      <w:pStyle w:val="Textpsmene"/>
      <w:lvlText w:val="%2)"/>
      <w:lvlJc w:val="left"/>
      <w:pPr>
        <w:tabs>
          <w:tab w:val="num" w:pos="425"/>
        </w:tabs>
        <w:ind w:left="425" w:hanging="425"/>
      </w:pPr>
      <w:rPr>
        <w:rFonts w:ascii="Times New Roman" w:eastAsia="Times New Roman" w:hAnsi="Times New Roman" w:cs="Times New Roman"/>
      </w:rPr>
    </w:lvl>
    <w:lvl w:ilvl="2">
      <w:start w:val="1"/>
      <w:numFmt w:val="decimal"/>
      <w:pStyle w:val="Textbodu"/>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ascii="Times New Roman" w:eastAsia="Times New Roman" w:hAnsi="Times New Roman"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11" w15:restartNumberingAfterBreak="0">
    <w:nsid w:val="6B5152D7"/>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2" w15:restartNumberingAfterBreak="0">
    <w:nsid w:val="6BA43EC8"/>
    <w:multiLevelType w:val="hybridMultilevel"/>
    <w:tmpl w:val="79D8C938"/>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3" w15:restartNumberingAfterBreak="0">
    <w:nsid w:val="6BB26B8A"/>
    <w:multiLevelType w:val="hybridMultilevel"/>
    <w:tmpl w:val="813C624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4" w15:restartNumberingAfterBreak="0">
    <w:nsid w:val="6C3029A1"/>
    <w:multiLevelType w:val="hybridMultilevel"/>
    <w:tmpl w:val="CD4219AE"/>
    <w:lvl w:ilvl="0" w:tplc="0B0C138A">
      <w:start w:val="1"/>
      <w:numFmt w:val="bullet"/>
      <w:pStyle w:val="Styl1"/>
      <w:lvlText w:val=""/>
      <w:lvlJc w:val="left"/>
      <w:pPr>
        <w:tabs>
          <w:tab w:val="num" w:pos="482"/>
        </w:tabs>
        <w:ind w:left="482" w:hanging="340"/>
      </w:pPr>
      <w:rPr>
        <w:rFonts w:ascii="Wingdings" w:hAnsi="Wingdings" w:hint="default"/>
      </w:rPr>
    </w:lvl>
    <w:lvl w:ilvl="1" w:tplc="FEE8C750">
      <w:start w:val="1"/>
      <w:numFmt w:val="bullet"/>
      <w:lvlText w:val=""/>
      <w:lvlJc w:val="left"/>
      <w:pPr>
        <w:tabs>
          <w:tab w:val="num" w:pos="1500"/>
        </w:tabs>
        <w:ind w:left="1500" w:hanging="420"/>
      </w:pPr>
      <w:rPr>
        <w:rFonts w:ascii="Wingdings" w:hAnsi="Wingdings" w:hint="default"/>
        <w:sz w:val="22"/>
        <w:szCs w:val="22"/>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6C6F26C5"/>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6" w15:restartNumberingAfterBreak="0">
    <w:nsid w:val="6C900E36"/>
    <w:multiLevelType w:val="hybridMultilevel"/>
    <w:tmpl w:val="B02AA9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7" w15:restartNumberingAfterBreak="0">
    <w:nsid w:val="6D773EC9"/>
    <w:multiLevelType w:val="hybridMultilevel"/>
    <w:tmpl w:val="9CEEF5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8" w15:restartNumberingAfterBreak="0">
    <w:nsid w:val="6D9D78A5"/>
    <w:multiLevelType w:val="hybridMultilevel"/>
    <w:tmpl w:val="2B8E41E4"/>
    <w:lvl w:ilvl="0" w:tplc="69BCCB5E">
      <w:start w:val="17"/>
      <w:numFmt w:val="bullet"/>
      <w:lvlText w:val="-"/>
      <w:lvlJc w:val="left"/>
      <w:pPr>
        <w:ind w:left="508" w:hanging="360"/>
      </w:pPr>
      <w:rPr>
        <w:rFonts w:ascii="Calibri" w:eastAsia="Calibri" w:hAnsi="Calibri" w:cs="Calibri" w:hint="default"/>
        <w:b w:val="0"/>
        <w:color w:val="auto"/>
        <w:sz w:val="22"/>
        <w:szCs w:val="22"/>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219" w15:restartNumberingAfterBreak="0">
    <w:nsid w:val="6DA94DC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0" w15:restartNumberingAfterBreak="0">
    <w:nsid w:val="6F0444C6"/>
    <w:multiLevelType w:val="hybridMultilevel"/>
    <w:tmpl w:val="949E07C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1" w15:restartNumberingAfterBreak="0">
    <w:nsid w:val="6F19583B"/>
    <w:multiLevelType w:val="singleLevel"/>
    <w:tmpl w:val="FC060CD6"/>
    <w:lvl w:ilvl="0">
      <w:start w:val="1"/>
      <w:numFmt w:val="bullet"/>
      <w:pStyle w:val="odrky0"/>
      <w:lvlText w:val=""/>
      <w:lvlJc w:val="left"/>
      <w:pPr>
        <w:tabs>
          <w:tab w:val="num" w:pos="644"/>
        </w:tabs>
        <w:ind w:left="624" w:hanging="340"/>
      </w:pPr>
      <w:rPr>
        <w:rFonts w:ascii="Symbol" w:hAnsi="Symbol" w:hint="default"/>
      </w:rPr>
    </w:lvl>
  </w:abstractNum>
  <w:abstractNum w:abstractNumId="222" w15:restartNumberingAfterBreak="0">
    <w:nsid w:val="6FC9350A"/>
    <w:multiLevelType w:val="hybridMultilevel"/>
    <w:tmpl w:val="9C308DBE"/>
    <w:lvl w:ilvl="0" w:tplc="77F44D2A">
      <w:numFmt w:val="bullet"/>
      <w:lvlText w:val="-"/>
      <w:lvlJc w:val="left"/>
      <w:pPr>
        <w:ind w:left="1776" w:hanging="360"/>
      </w:pPr>
      <w:rPr>
        <w:rFonts w:ascii="Calibri" w:eastAsiaTheme="minorHAnsi" w:hAnsi="Calibri" w:cs="Calibri"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23" w15:restartNumberingAfterBreak="0">
    <w:nsid w:val="6FD7620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24" w15:restartNumberingAfterBreak="0">
    <w:nsid w:val="6FF83E92"/>
    <w:multiLevelType w:val="hybridMultilevel"/>
    <w:tmpl w:val="DBE8EA60"/>
    <w:lvl w:ilvl="0" w:tplc="F3800C9E">
      <w:start w:val="1"/>
      <w:numFmt w:val="decimal"/>
      <w:lvlText w:val="%1."/>
      <w:lvlJc w:val="left"/>
      <w:pPr>
        <w:tabs>
          <w:tab w:val="num" w:pos="360"/>
        </w:tabs>
        <w:ind w:left="360" w:hanging="360"/>
      </w:pPr>
      <w:rPr>
        <w:rFonts w:ascii="Segoe UI" w:hAnsi="Segoe UI" w:cs="Segoe UI"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25" w15:restartNumberingAfterBreak="0">
    <w:nsid w:val="70A77EC7"/>
    <w:multiLevelType w:val="hybridMultilevel"/>
    <w:tmpl w:val="3A66AA6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6" w15:restartNumberingAfterBreak="0">
    <w:nsid w:val="71336EFF"/>
    <w:multiLevelType w:val="hybridMultilevel"/>
    <w:tmpl w:val="DFAC5AAC"/>
    <w:lvl w:ilvl="0" w:tplc="16F2C052">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7" w15:restartNumberingAfterBreak="0">
    <w:nsid w:val="721F54DE"/>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8" w15:restartNumberingAfterBreak="0">
    <w:nsid w:val="725577F9"/>
    <w:multiLevelType w:val="hybridMultilevel"/>
    <w:tmpl w:val="CEBCAF4A"/>
    <w:lvl w:ilvl="0" w:tplc="A8DC8970">
      <w:start w:val="1"/>
      <w:numFmt w:val="bullet"/>
      <w:lvlText w:val=""/>
      <w:lvlJc w:val="left"/>
      <w:pPr>
        <w:ind w:left="862" w:hanging="360"/>
      </w:pPr>
      <w:rPr>
        <w:rFonts w:ascii="Symbol" w:hAnsi="Symbol" w:hint="default"/>
      </w:rPr>
    </w:lvl>
    <w:lvl w:ilvl="1" w:tplc="04050003">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229" w15:restartNumberingAfterBreak="0">
    <w:nsid w:val="72A159A2"/>
    <w:multiLevelType w:val="hybridMultilevel"/>
    <w:tmpl w:val="C9984B2C"/>
    <w:lvl w:ilvl="0" w:tplc="6E96F03E">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0" w15:restartNumberingAfterBreak="0">
    <w:nsid w:val="72A87664"/>
    <w:multiLevelType w:val="hybridMultilevel"/>
    <w:tmpl w:val="47F017D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1" w15:restartNumberingAfterBreak="0">
    <w:nsid w:val="73FD0336"/>
    <w:multiLevelType w:val="hybridMultilevel"/>
    <w:tmpl w:val="B08EA58A"/>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2" w15:restartNumberingAfterBreak="0">
    <w:nsid w:val="74955015"/>
    <w:multiLevelType w:val="hybridMultilevel"/>
    <w:tmpl w:val="E816269E"/>
    <w:lvl w:ilvl="0" w:tplc="69BCCB5E">
      <w:start w:val="17"/>
      <w:numFmt w:val="bullet"/>
      <w:lvlText w:val="-"/>
      <w:lvlJc w:val="left"/>
      <w:pPr>
        <w:ind w:left="1210" w:hanging="360"/>
      </w:pPr>
      <w:rPr>
        <w:rFonts w:ascii="Calibri" w:eastAsia="Calibri" w:hAnsi="Calibri" w:cs="Calibri" w:hint="default"/>
        <w:sz w:val="22"/>
        <w:szCs w:val="22"/>
      </w:rPr>
    </w:lvl>
    <w:lvl w:ilvl="1" w:tplc="04050019" w:tentative="1">
      <w:start w:val="1"/>
      <w:numFmt w:val="lowerLetter"/>
      <w:lvlText w:val="%2."/>
      <w:lvlJc w:val="left"/>
      <w:pPr>
        <w:ind w:left="1228" w:hanging="360"/>
      </w:pPr>
    </w:lvl>
    <w:lvl w:ilvl="2" w:tplc="0405001B" w:tentative="1">
      <w:start w:val="1"/>
      <w:numFmt w:val="lowerRoman"/>
      <w:lvlText w:val="%3."/>
      <w:lvlJc w:val="right"/>
      <w:pPr>
        <w:ind w:left="1948" w:hanging="180"/>
      </w:pPr>
    </w:lvl>
    <w:lvl w:ilvl="3" w:tplc="0405000F" w:tentative="1">
      <w:start w:val="1"/>
      <w:numFmt w:val="decimal"/>
      <w:lvlText w:val="%4."/>
      <w:lvlJc w:val="left"/>
      <w:pPr>
        <w:ind w:left="2668" w:hanging="360"/>
      </w:pPr>
    </w:lvl>
    <w:lvl w:ilvl="4" w:tplc="04050019" w:tentative="1">
      <w:start w:val="1"/>
      <w:numFmt w:val="lowerLetter"/>
      <w:lvlText w:val="%5."/>
      <w:lvlJc w:val="left"/>
      <w:pPr>
        <w:ind w:left="3388" w:hanging="360"/>
      </w:pPr>
    </w:lvl>
    <w:lvl w:ilvl="5" w:tplc="0405001B" w:tentative="1">
      <w:start w:val="1"/>
      <w:numFmt w:val="lowerRoman"/>
      <w:lvlText w:val="%6."/>
      <w:lvlJc w:val="right"/>
      <w:pPr>
        <w:ind w:left="4108" w:hanging="180"/>
      </w:pPr>
    </w:lvl>
    <w:lvl w:ilvl="6" w:tplc="0405000F" w:tentative="1">
      <w:start w:val="1"/>
      <w:numFmt w:val="decimal"/>
      <w:lvlText w:val="%7."/>
      <w:lvlJc w:val="left"/>
      <w:pPr>
        <w:ind w:left="4828" w:hanging="360"/>
      </w:pPr>
    </w:lvl>
    <w:lvl w:ilvl="7" w:tplc="04050019" w:tentative="1">
      <w:start w:val="1"/>
      <w:numFmt w:val="lowerLetter"/>
      <w:lvlText w:val="%8."/>
      <w:lvlJc w:val="left"/>
      <w:pPr>
        <w:ind w:left="5548" w:hanging="360"/>
      </w:pPr>
    </w:lvl>
    <w:lvl w:ilvl="8" w:tplc="0405001B" w:tentative="1">
      <w:start w:val="1"/>
      <w:numFmt w:val="lowerRoman"/>
      <w:lvlText w:val="%9."/>
      <w:lvlJc w:val="right"/>
      <w:pPr>
        <w:ind w:left="6268" w:hanging="180"/>
      </w:pPr>
    </w:lvl>
  </w:abstractNum>
  <w:abstractNum w:abstractNumId="233" w15:restartNumberingAfterBreak="0">
    <w:nsid w:val="750A4019"/>
    <w:multiLevelType w:val="hybridMultilevel"/>
    <w:tmpl w:val="FAA0603C"/>
    <w:lvl w:ilvl="0" w:tplc="566C008C">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4" w15:restartNumberingAfterBreak="0">
    <w:nsid w:val="75644582"/>
    <w:multiLevelType w:val="hybridMultilevel"/>
    <w:tmpl w:val="8FA0647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5" w15:restartNumberingAfterBreak="0">
    <w:nsid w:val="75CE2C9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6" w15:restartNumberingAfterBreak="0">
    <w:nsid w:val="75FD3852"/>
    <w:multiLevelType w:val="hybridMultilevel"/>
    <w:tmpl w:val="89AE4A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7" w15:restartNumberingAfterBreak="0">
    <w:nsid w:val="76236048"/>
    <w:multiLevelType w:val="hybridMultilevel"/>
    <w:tmpl w:val="D774FE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15:restartNumberingAfterBreak="0">
    <w:nsid w:val="76557AC3"/>
    <w:multiLevelType w:val="hybridMultilevel"/>
    <w:tmpl w:val="CC58C7F0"/>
    <w:lvl w:ilvl="0" w:tplc="E93C254E">
      <w:start w:val="1"/>
      <w:numFmt w:val="bullet"/>
      <w:pStyle w:val="SPRSodrky"/>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9" w15:restartNumberingAfterBreak="0">
    <w:nsid w:val="772E0045"/>
    <w:multiLevelType w:val="hybridMultilevel"/>
    <w:tmpl w:val="5F12C058"/>
    <w:lvl w:ilvl="0" w:tplc="04050019">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0" w15:restartNumberingAfterBreak="0">
    <w:nsid w:val="77B52631"/>
    <w:multiLevelType w:val="hybridMultilevel"/>
    <w:tmpl w:val="9E2A386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1" w15:restartNumberingAfterBreak="0">
    <w:nsid w:val="77C35619"/>
    <w:multiLevelType w:val="hybridMultilevel"/>
    <w:tmpl w:val="77A0B536"/>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42" w15:restartNumberingAfterBreak="0">
    <w:nsid w:val="78534F93"/>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3" w15:restartNumberingAfterBreak="0">
    <w:nsid w:val="789653C3"/>
    <w:multiLevelType w:val="hybridMultilevel"/>
    <w:tmpl w:val="7046ADE6"/>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44" w15:restartNumberingAfterBreak="0">
    <w:nsid w:val="78EB29F7"/>
    <w:multiLevelType w:val="hybridMultilevel"/>
    <w:tmpl w:val="3A66AA6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5" w15:restartNumberingAfterBreak="0">
    <w:nsid w:val="792E1AD6"/>
    <w:multiLevelType w:val="hybridMultilevel"/>
    <w:tmpl w:val="89AE4A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6" w15:restartNumberingAfterBreak="0">
    <w:nsid w:val="794223DC"/>
    <w:multiLevelType w:val="hybridMultilevel"/>
    <w:tmpl w:val="BF942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15:restartNumberingAfterBreak="0">
    <w:nsid w:val="799E0541"/>
    <w:multiLevelType w:val="hybridMultilevel"/>
    <w:tmpl w:val="EE62ED8E"/>
    <w:lvl w:ilvl="0" w:tplc="A8DC897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15:restartNumberingAfterBreak="0">
    <w:nsid w:val="79EA5375"/>
    <w:multiLevelType w:val="hybridMultilevel"/>
    <w:tmpl w:val="D22EDD7A"/>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49" w15:restartNumberingAfterBreak="0">
    <w:nsid w:val="7A5C6EB7"/>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0" w15:restartNumberingAfterBreak="0">
    <w:nsid w:val="7A5C794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1" w15:restartNumberingAfterBreak="0">
    <w:nsid w:val="7ADA4A7D"/>
    <w:multiLevelType w:val="hybridMultilevel"/>
    <w:tmpl w:val="D22EDD7A"/>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2" w15:restartNumberingAfterBreak="0">
    <w:nsid w:val="7B0B1FA0"/>
    <w:multiLevelType w:val="hybridMultilevel"/>
    <w:tmpl w:val="1EACFF7A"/>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53" w15:restartNumberingAfterBreak="0">
    <w:nsid w:val="7BDA3227"/>
    <w:multiLevelType w:val="hybridMultilevel"/>
    <w:tmpl w:val="60E6E632"/>
    <w:lvl w:ilvl="0" w:tplc="69BCCB5E">
      <w:start w:val="17"/>
      <w:numFmt w:val="bullet"/>
      <w:lvlText w:val="-"/>
      <w:lvlJc w:val="left"/>
      <w:pPr>
        <w:ind w:left="360" w:hanging="360"/>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4" w15:restartNumberingAfterBreak="0">
    <w:nsid w:val="7C9F21EB"/>
    <w:multiLevelType w:val="hybridMultilevel"/>
    <w:tmpl w:val="813C624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5" w15:restartNumberingAfterBreak="0">
    <w:nsid w:val="7E2E0002"/>
    <w:multiLevelType w:val="hybridMultilevel"/>
    <w:tmpl w:val="D192850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6" w15:restartNumberingAfterBreak="0">
    <w:nsid w:val="7E44413C"/>
    <w:multiLevelType w:val="hybridMultilevel"/>
    <w:tmpl w:val="8F18F4CC"/>
    <w:lvl w:ilvl="0" w:tplc="C832ACC0">
      <w:start w:val="1"/>
      <w:numFmt w:val="decimal"/>
      <w:lvlText w:val="%1."/>
      <w:lvlJc w:val="left"/>
      <w:pPr>
        <w:ind w:left="360" w:hanging="360"/>
      </w:pPr>
      <w:rPr>
        <w:rFonts w:ascii="Segoe UI" w:hAnsi="Segoe UI" w:cs="Segoe UI" w:hint="default"/>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7" w15:restartNumberingAfterBreak="0">
    <w:nsid w:val="7F5D74E3"/>
    <w:multiLevelType w:val="hybridMultilevel"/>
    <w:tmpl w:val="5394CAA6"/>
    <w:lvl w:ilvl="0" w:tplc="ECAADCC2">
      <w:start w:val="1"/>
      <w:numFmt w:val="bullet"/>
      <w:pStyle w:val="odst"/>
      <w:lvlText w:val=""/>
      <w:lvlJc w:val="left"/>
      <w:pPr>
        <w:ind w:left="720" w:hanging="360"/>
      </w:pPr>
      <w:rPr>
        <w:rFonts w:ascii="Symbol" w:hAnsi="Symbol" w:hint="default"/>
      </w:rPr>
    </w:lvl>
    <w:lvl w:ilvl="1" w:tplc="9336E28C">
      <w:numFmt w:val="bullet"/>
      <w:pStyle w:val="-odst"/>
      <w:lvlText w:val="-"/>
      <w:lvlJc w:val="left"/>
      <w:pPr>
        <w:ind w:left="1440" w:hanging="360"/>
      </w:pPr>
      <w:rPr>
        <w:rFonts w:asciiTheme="minorHAnsi" w:eastAsia="Times New Roman" w:hAnsiTheme="minorHAnsi" w:cs="Times New Roman" w:hint="default"/>
        <w:b/>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1"/>
  </w:num>
  <w:num w:numId="2">
    <w:abstractNumId w:val="115"/>
  </w:num>
  <w:num w:numId="3">
    <w:abstractNumId w:val="207"/>
  </w:num>
  <w:num w:numId="4">
    <w:abstractNumId w:val="238"/>
  </w:num>
  <w:num w:numId="5">
    <w:abstractNumId w:val="155"/>
  </w:num>
  <w:num w:numId="6">
    <w:abstractNumId w:val="112"/>
  </w:num>
  <w:num w:numId="7">
    <w:abstractNumId w:val="174"/>
  </w:num>
  <w:num w:numId="8">
    <w:abstractNumId w:val="214"/>
  </w:num>
  <w:num w:numId="9">
    <w:abstractNumId w:val="257"/>
  </w:num>
  <w:num w:numId="10">
    <w:abstractNumId w:val="2"/>
  </w:num>
  <w:num w:numId="11">
    <w:abstractNumId w:val="92"/>
  </w:num>
  <w:num w:numId="12">
    <w:abstractNumId w:val="60"/>
  </w:num>
  <w:num w:numId="13">
    <w:abstractNumId w:val="48"/>
  </w:num>
  <w:num w:numId="1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9"/>
  </w:num>
  <w:num w:numId="16">
    <w:abstractNumId w:val="45"/>
  </w:num>
  <w:num w:numId="17">
    <w:abstractNumId w:val="164"/>
  </w:num>
  <w:num w:numId="18">
    <w:abstractNumId w:val="152"/>
  </w:num>
  <w:num w:numId="19">
    <w:abstractNumId w:val="4"/>
  </w:num>
  <w:num w:numId="20">
    <w:abstractNumId w:val="209"/>
  </w:num>
  <w:num w:numId="21">
    <w:abstractNumId w:val="178"/>
  </w:num>
  <w:num w:numId="22">
    <w:abstractNumId w:val="54"/>
  </w:num>
  <w:num w:numId="23">
    <w:abstractNumId w:val="13"/>
  </w:num>
  <w:num w:numId="24">
    <w:abstractNumId w:val="200"/>
  </w:num>
  <w:num w:numId="25">
    <w:abstractNumId w:val="121"/>
  </w:num>
  <w:num w:numId="26">
    <w:abstractNumId w:val="122"/>
  </w:num>
  <w:num w:numId="27">
    <w:abstractNumId w:val="25"/>
  </w:num>
  <w:num w:numId="28">
    <w:abstractNumId w:val="82"/>
  </w:num>
  <w:num w:numId="29">
    <w:abstractNumId w:val="88"/>
  </w:num>
  <w:num w:numId="30">
    <w:abstractNumId w:val="144"/>
  </w:num>
  <w:num w:numId="31">
    <w:abstractNumId w:val="173"/>
  </w:num>
  <w:num w:numId="32">
    <w:abstractNumId w:val="253"/>
  </w:num>
  <w:num w:numId="33">
    <w:abstractNumId w:val="212"/>
  </w:num>
  <w:num w:numId="34">
    <w:abstractNumId w:val="53"/>
  </w:num>
  <w:num w:numId="35">
    <w:abstractNumId w:val="83"/>
  </w:num>
  <w:num w:numId="36">
    <w:abstractNumId w:val="66"/>
  </w:num>
  <w:num w:numId="37">
    <w:abstractNumId w:val="153"/>
  </w:num>
  <w:num w:numId="38">
    <w:abstractNumId w:val="0"/>
  </w:num>
  <w:num w:numId="39">
    <w:abstractNumId w:val="221"/>
  </w:num>
  <w:num w:numId="40">
    <w:abstractNumId w:val="1"/>
  </w:num>
  <w:num w:numId="41">
    <w:abstractNumId w:val="137"/>
  </w:num>
  <w:num w:numId="42">
    <w:abstractNumId w:val="210"/>
  </w:num>
  <w:num w:numId="43">
    <w:abstractNumId w:val="203"/>
  </w:num>
  <w:num w:numId="44">
    <w:abstractNumId w:val="124"/>
  </w:num>
  <w:num w:numId="45">
    <w:abstractNumId w:val="28"/>
  </w:num>
  <w:num w:numId="46">
    <w:abstractNumId w:val="123"/>
  </w:num>
  <w:num w:numId="47">
    <w:abstractNumId w:val="33"/>
  </w:num>
  <w:num w:numId="4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6"/>
  </w:num>
  <w:num w:numId="50">
    <w:abstractNumId w:val="161"/>
  </w:num>
  <w:num w:numId="51">
    <w:abstractNumId w:val="186"/>
  </w:num>
  <w:num w:numId="52">
    <w:abstractNumId w:val="35"/>
  </w:num>
  <w:num w:numId="53">
    <w:abstractNumId w:val="104"/>
  </w:num>
  <w:num w:numId="54">
    <w:abstractNumId w:val="247"/>
  </w:num>
  <w:num w:numId="55">
    <w:abstractNumId w:val="176"/>
  </w:num>
  <w:num w:numId="56">
    <w:abstractNumId w:val="120"/>
  </w:num>
  <w:num w:numId="57">
    <w:abstractNumId w:val="177"/>
  </w:num>
  <w:num w:numId="58">
    <w:abstractNumId w:val="249"/>
  </w:num>
  <w:num w:numId="59">
    <w:abstractNumId w:val="134"/>
  </w:num>
  <w:num w:numId="60">
    <w:abstractNumId w:val="73"/>
  </w:num>
  <w:num w:numId="61">
    <w:abstractNumId w:val="250"/>
  </w:num>
  <w:num w:numId="62">
    <w:abstractNumId w:val="139"/>
  </w:num>
  <w:num w:numId="63">
    <w:abstractNumId w:val="57"/>
  </w:num>
  <w:num w:numId="64">
    <w:abstractNumId w:val="194"/>
  </w:num>
  <w:num w:numId="65">
    <w:abstractNumId w:val="109"/>
  </w:num>
  <w:num w:numId="66">
    <w:abstractNumId w:val="38"/>
  </w:num>
  <w:num w:numId="6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2"/>
  </w:num>
  <w:num w:numId="69">
    <w:abstractNumId w:val="232"/>
  </w:num>
  <w:num w:numId="70">
    <w:abstractNumId w:val="129"/>
  </w:num>
  <w:num w:numId="71">
    <w:abstractNumId w:val="90"/>
  </w:num>
  <w:num w:numId="72">
    <w:abstractNumId w:val="126"/>
  </w:num>
  <w:num w:numId="73">
    <w:abstractNumId w:val="100"/>
  </w:num>
  <w:num w:numId="74">
    <w:abstractNumId w:val="27"/>
  </w:num>
  <w:num w:numId="75">
    <w:abstractNumId w:val="239"/>
  </w:num>
  <w:num w:numId="76">
    <w:abstractNumId w:val="116"/>
  </w:num>
  <w:num w:numId="77">
    <w:abstractNumId w:val="218"/>
  </w:num>
  <w:num w:numId="78">
    <w:abstractNumId w:val="6"/>
  </w:num>
  <w:num w:numId="79">
    <w:abstractNumId w:val="246"/>
  </w:num>
  <w:num w:numId="80">
    <w:abstractNumId w:val="142"/>
  </w:num>
  <w:num w:numId="81">
    <w:abstractNumId w:val="205"/>
  </w:num>
  <w:num w:numId="82">
    <w:abstractNumId w:val="95"/>
  </w:num>
  <w:num w:numId="83">
    <w:abstractNumId w:val="111"/>
  </w:num>
  <w:num w:numId="84">
    <w:abstractNumId w:val="175"/>
  </w:num>
  <w:num w:numId="85">
    <w:abstractNumId w:val="70"/>
  </w:num>
  <w:num w:numId="86">
    <w:abstractNumId w:val="56"/>
  </w:num>
  <w:num w:numId="87">
    <w:abstractNumId w:val="97"/>
  </w:num>
  <w:num w:numId="88">
    <w:abstractNumId w:val="125"/>
  </w:num>
  <w:num w:numId="89">
    <w:abstractNumId w:val="237"/>
  </w:num>
  <w:num w:numId="90">
    <w:abstractNumId w:val="11"/>
  </w:num>
  <w:num w:numId="91">
    <w:abstractNumId w:val="231"/>
  </w:num>
  <w:num w:numId="92">
    <w:abstractNumId w:val="26"/>
  </w:num>
  <w:num w:numId="93">
    <w:abstractNumId w:val="110"/>
  </w:num>
  <w:num w:numId="94">
    <w:abstractNumId w:val="62"/>
  </w:num>
  <w:num w:numId="95">
    <w:abstractNumId w:val="156"/>
  </w:num>
  <w:num w:numId="96">
    <w:abstractNumId w:val="67"/>
  </w:num>
  <w:num w:numId="97">
    <w:abstractNumId w:val="52"/>
  </w:num>
  <w:num w:numId="98">
    <w:abstractNumId w:val="65"/>
  </w:num>
  <w:num w:numId="99">
    <w:abstractNumId w:val="94"/>
  </w:num>
  <w:num w:numId="100">
    <w:abstractNumId w:val="192"/>
  </w:num>
  <w:num w:numId="101">
    <w:abstractNumId w:val="101"/>
  </w:num>
  <w:num w:numId="102">
    <w:abstractNumId w:val="93"/>
  </w:num>
  <w:num w:numId="103">
    <w:abstractNumId w:val="49"/>
  </w:num>
  <w:num w:numId="104">
    <w:abstractNumId w:val="81"/>
  </w:num>
  <w:num w:numId="105">
    <w:abstractNumId w:val="132"/>
  </w:num>
  <w:num w:numId="106">
    <w:abstractNumId w:val="39"/>
  </w:num>
  <w:num w:numId="107">
    <w:abstractNumId w:val="37"/>
  </w:num>
  <w:num w:numId="108">
    <w:abstractNumId w:val="182"/>
  </w:num>
  <w:num w:numId="109">
    <w:abstractNumId w:val="74"/>
  </w:num>
  <w:num w:numId="110">
    <w:abstractNumId w:val="43"/>
  </w:num>
  <w:num w:numId="111">
    <w:abstractNumId w:val="114"/>
  </w:num>
  <w:num w:numId="112">
    <w:abstractNumId w:val="130"/>
  </w:num>
  <w:num w:numId="113">
    <w:abstractNumId w:val="216"/>
  </w:num>
  <w:num w:numId="114">
    <w:abstractNumId w:val="96"/>
  </w:num>
  <w:num w:numId="115">
    <w:abstractNumId w:val="208"/>
  </w:num>
  <w:num w:numId="116">
    <w:abstractNumId w:val="223"/>
  </w:num>
  <w:num w:numId="117">
    <w:abstractNumId w:val="254"/>
  </w:num>
  <w:num w:numId="118">
    <w:abstractNumId w:val="158"/>
  </w:num>
  <w:num w:numId="119">
    <w:abstractNumId w:val="15"/>
  </w:num>
  <w:num w:numId="120">
    <w:abstractNumId w:val="187"/>
  </w:num>
  <w:num w:numId="121">
    <w:abstractNumId w:val="245"/>
  </w:num>
  <w:num w:numId="122">
    <w:abstractNumId w:val="154"/>
  </w:num>
  <w:num w:numId="123">
    <w:abstractNumId w:val="179"/>
  </w:num>
  <w:num w:numId="124">
    <w:abstractNumId w:val="64"/>
  </w:num>
  <w:num w:numId="125">
    <w:abstractNumId w:val="169"/>
  </w:num>
  <w:num w:numId="126">
    <w:abstractNumId w:val="40"/>
  </w:num>
  <w:num w:numId="127">
    <w:abstractNumId w:val="46"/>
  </w:num>
  <w:num w:numId="128">
    <w:abstractNumId w:val="202"/>
  </w:num>
  <w:num w:numId="129">
    <w:abstractNumId w:val="103"/>
  </w:num>
  <w:num w:numId="130">
    <w:abstractNumId w:val="224"/>
  </w:num>
  <w:num w:numId="131">
    <w:abstractNumId w:val="98"/>
  </w:num>
  <w:num w:numId="132">
    <w:abstractNumId w:val="75"/>
  </w:num>
  <w:num w:numId="133">
    <w:abstractNumId w:val="47"/>
  </w:num>
  <w:num w:numId="134">
    <w:abstractNumId w:val="143"/>
  </w:num>
  <w:num w:numId="135">
    <w:abstractNumId w:val="131"/>
  </w:num>
  <w:num w:numId="136">
    <w:abstractNumId w:val="128"/>
  </w:num>
  <w:num w:numId="137">
    <w:abstractNumId w:val="106"/>
  </w:num>
  <w:num w:numId="138">
    <w:abstractNumId w:val="248"/>
  </w:num>
  <w:num w:numId="139">
    <w:abstractNumId w:val="72"/>
  </w:num>
  <w:num w:numId="140">
    <w:abstractNumId w:val="63"/>
  </w:num>
  <w:num w:numId="141">
    <w:abstractNumId w:val="102"/>
  </w:num>
  <w:num w:numId="142">
    <w:abstractNumId w:val="22"/>
  </w:num>
  <w:num w:numId="143">
    <w:abstractNumId w:val="135"/>
  </w:num>
  <w:num w:numId="144">
    <w:abstractNumId w:val="226"/>
  </w:num>
  <w:num w:numId="145">
    <w:abstractNumId w:val="166"/>
  </w:num>
  <w:num w:numId="146">
    <w:abstractNumId w:val="183"/>
  </w:num>
  <w:num w:numId="147">
    <w:abstractNumId w:val="191"/>
  </w:num>
  <w:num w:numId="148">
    <w:abstractNumId w:val="213"/>
  </w:num>
  <w:num w:numId="149">
    <w:abstractNumId w:val="71"/>
  </w:num>
  <w:num w:numId="150">
    <w:abstractNumId w:val="84"/>
  </w:num>
  <w:num w:numId="151">
    <w:abstractNumId w:val="219"/>
  </w:num>
  <w:num w:numId="152">
    <w:abstractNumId w:val="3"/>
  </w:num>
  <w:num w:numId="153">
    <w:abstractNumId w:val="188"/>
  </w:num>
  <w:num w:numId="154">
    <w:abstractNumId w:val="5"/>
  </w:num>
  <w:num w:numId="155">
    <w:abstractNumId w:val="19"/>
  </w:num>
  <w:num w:numId="156">
    <w:abstractNumId w:val="105"/>
  </w:num>
  <w:num w:numId="157">
    <w:abstractNumId w:val="117"/>
  </w:num>
  <w:num w:numId="158">
    <w:abstractNumId w:val="31"/>
  </w:num>
  <w:num w:numId="159">
    <w:abstractNumId w:val="76"/>
  </w:num>
  <w:num w:numId="160">
    <w:abstractNumId w:val="251"/>
  </w:num>
  <w:num w:numId="161">
    <w:abstractNumId w:val="180"/>
  </w:num>
  <w:num w:numId="162">
    <w:abstractNumId w:val="149"/>
  </w:num>
  <w:num w:numId="163">
    <w:abstractNumId w:val="138"/>
  </w:num>
  <w:num w:numId="164">
    <w:abstractNumId w:val="233"/>
  </w:num>
  <w:num w:numId="165">
    <w:abstractNumId w:val="184"/>
  </w:num>
  <w:num w:numId="166">
    <w:abstractNumId w:val="91"/>
  </w:num>
  <w:num w:numId="167">
    <w:abstractNumId w:val="145"/>
  </w:num>
  <w:num w:numId="168">
    <w:abstractNumId w:val="160"/>
  </w:num>
  <w:num w:numId="169">
    <w:abstractNumId w:val="193"/>
  </w:num>
  <w:num w:numId="170">
    <w:abstractNumId w:val="119"/>
  </w:num>
  <w:num w:numId="171">
    <w:abstractNumId w:val="99"/>
  </w:num>
  <w:num w:numId="172">
    <w:abstractNumId w:val="215"/>
  </w:num>
  <w:num w:numId="173">
    <w:abstractNumId w:val="80"/>
  </w:num>
  <w:num w:numId="174">
    <w:abstractNumId w:val="85"/>
  </w:num>
  <w:num w:numId="175">
    <w:abstractNumId w:val="256"/>
  </w:num>
  <w:num w:numId="176">
    <w:abstractNumId w:val="211"/>
  </w:num>
  <w:num w:numId="177">
    <w:abstractNumId w:val="227"/>
  </w:num>
  <w:num w:numId="178">
    <w:abstractNumId w:val="18"/>
  </w:num>
  <w:num w:numId="179">
    <w:abstractNumId w:val="108"/>
  </w:num>
  <w:num w:numId="180">
    <w:abstractNumId w:val="36"/>
  </w:num>
  <w:num w:numId="181">
    <w:abstractNumId w:val="21"/>
  </w:num>
  <w:num w:numId="182">
    <w:abstractNumId w:val="127"/>
  </w:num>
  <w:num w:numId="183">
    <w:abstractNumId w:val="235"/>
  </w:num>
  <w:num w:numId="184">
    <w:abstractNumId w:val="30"/>
  </w:num>
  <w:num w:numId="185">
    <w:abstractNumId w:val="206"/>
  </w:num>
  <w:num w:numId="186">
    <w:abstractNumId w:val="181"/>
  </w:num>
  <w:num w:numId="187">
    <w:abstractNumId w:val="68"/>
  </w:num>
  <w:num w:numId="188">
    <w:abstractNumId w:val="168"/>
  </w:num>
  <w:num w:numId="189">
    <w:abstractNumId w:val="58"/>
  </w:num>
  <w:num w:numId="190">
    <w:abstractNumId w:val="172"/>
  </w:num>
  <w:num w:numId="191">
    <w:abstractNumId w:val="133"/>
  </w:num>
  <w:num w:numId="192">
    <w:abstractNumId w:val="150"/>
  </w:num>
  <w:num w:numId="193">
    <w:abstractNumId w:val="185"/>
  </w:num>
  <w:num w:numId="194">
    <w:abstractNumId w:val="78"/>
  </w:num>
  <w:num w:numId="195">
    <w:abstractNumId w:val="50"/>
  </w:num>
  <w:num w:numId="196">
    <w:abstractNumId w:val="136"/>
  </w:num>
  <w:num w:numId="197">
    <w:abstractNumId w:val="230"/>
  </w:num>
  <w:num w:numId="19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70"/>
  </w:num>
  <w:num w:numId="201">
    <w:abstractNumId w:val="17"/>
  </w:num>
  <w:num w:numId="202">
    <w:abstractNumId w:val="171"/>
  </w:num>
  <w:num w:numId="203">
    <w:abstractNumId w:val="41"/>
  </w:num>
  <w:num w:numId="204">
    <w:abstractNumId w:val="148"/>
  </w:num>
  <w:num w:numId="205">
    <w:abstractNumId w:val="159"/>
  </w:num>
  <w:num w:numId="206">
    <w:abstractNumId w:val="165"/>
  </w:num>
  <w:num w:numId="207">
    <w:abstractNumId w:val="23"/>
  </w:num>
  <w:num w:numId="208">
    <w:abstractNumId w:val="89"/>
  </w:num>
  <w:num w:numId="209">
    <w:abstractNumId w:val="163"/>
  </w:num>
  <w:num w:numId="210">
    <w:abstractNumId w:val="196"/>
  </w:num>
  <w:num w:numId="211">
    <w:abstractNumId w:val="195"/>
  </w:num>
  <w:num w:numId="212">
    <w:abstractNumId w:val="113"/>
  </w:num>
  <w:num w:numId="213">
    <w:abstractNumId w:val="51"/>
  </w:num>
  <w:num w:numId="214">
    <w:abstractNumId w:val="242"/>
  </w:num>
  <w:num w:numId="215">
    <w:abstractNumId w:val="220"/>
  </w:num>
  <w:num w:numId="216">
    <w:abstractNumId w:val="32"/>
  </w:num>
  <w:num w:numId="217">
    <w:abstractNumId w:val="16"/>
  </w:num>
  <w:num w:numId="218">
    <w:abstractNumId w:val="228"/>
  </w:num>
  <w:num w:numId="219">
    <w:abstractNumId w:val="42"/>
  </w:num>
  <w:num w:numId="220">
    <w:abstractNumId w:val="217"/>
  </w:num>
  <w:num w:numId="221">
    <w:abstractNumId w:val="204"/>
  </w:num>
  <w:num w:numId="222">
    <w:abstractNumId w:val="252"/>
  </w:num>
  <w:num w:numId="223">
    <w:abstractNumId w:val="190"/>
  </w:num>
  <w:num w:numId="224">
    <w:abstractNumId w:val="197"/>
  </w:num>
  <w:num w:numId="225">
    <w:abstractNumId w:val="244"/>
  </w:num>
  <w:num w:numId="226">
    <w:abstractNumId w:val="243"/>
  </w:num>
  <w:num w:numId="227">
    <w:abstractNumId w:val="234"/>
  </w:num>
  <w:num w:numId="228">
    <w:abstractNumId w:val="14"/>
  </w:num>
  <w:num w:numId="229">
    <w:abstractNumId w:val="34"/>
  </w:num>
  <w:num w:numId="230">
    <w:abstractNumId w:val="29"/>
  </w:num>
  <w:num w:numId="231">
    <w:abstractNumId w:val="69"/>
  </w:num>
  <w:num w:numId="232">
    <w:abstractNumId w:val="241"/>
  </w:num>
  <w:num w:numId="233">
    <w:abstractNumId w:val="255"/>
  </w:num>
  <w:num w:numId="234">
    <w:abstractNumId w:val="141"/>
  </w:num>
  <w:num w:numId="235">
    <w:abstractNumId w:val="199"/>
  </w:num>
  <w:num w:numId="236">
    <w:abstractNumId w:val="59"/>
  </w:num>
  <w:num w:numId="237">
    <w:abstractNumId w:val="55"/>
  </w:num>
  <w:num w:numId="238">
    <w:abstractNumId w:val="44"/>
  </w:num>
  <w:num w:numId="239">
    <w:abstractNumId w:val="225"/>
  </w:num>
  <w:num w:numId="240">
    <w:abstractNumId w:val="87"/>
  </w:num>
  <w:num w:numId="241">
    <w:abstractNumId w:val="8"/>
  </w:num>
  <w:num w:numId="242">
    <w:abstractNumId w:val="147"/>
  </w:num>
  <w:num w:numId="243">
    <w:abstractNumId w:val="140"/>
  </w:num>
  <w:num w:numId="244">
    <w:abstractNumId w:val="24"/>
  </w:num>
  <w:num w:numId="245">
    <w:abstractNumId w:val="189"/>
  </w:num>
  <w:num w:numId="246">
    <w:abstractNumId w:val="20"/>
  </w:num>
  <w:num w:numId="247">
    <w:abstractNumId w:val="107"/>
  </w:num>
  <w:num w:numId="248">
    <w:abstractNumId w:val="151"/>
  </w:num>
  <w:num w:numId="249">
    <w:abstractNumId w:val="167"/>
  </w:num>
  <w:num w:numId="250">
    <w:abstractNumId w:val="7"/>
  </w:num>
  <w:num w:numId="251">
    <w:abstractNumId w:val="222"/>
  </w:num>
  <w:num w:numId="252">
    <w:abstractNumId w:val="79"/>
  </w:num>
  <w:num w:numId="253">
    <w:abstractNumId w:val="246"/>
  </w:num>
  <w:num w:numId="254">
    <w:abstractNumId w:val="118"/>
  </w:num>
  <w:num w:numId="255">
    <w:abstractNumId w:val="198"/>
  </w:num>
  <w:num w:numId="256">
    <w:abstractNumId w:val="77"/>
  </w:num>
  <w:num w:numId="257">
    <w:abstractNumId w:val="240"/>
  </w:num>
  <w:num w:numId="258">
    <w:abstractNumId w:val="236"/>
  </w:num>
  <w:num w:numId="259">
    <w:abstractNumId w:val="12"/>
  </w:num>
  <w:num w:numId="260">
    <w:abstractNumId w:val="10"/>
  </w:num>
  <w:num w:numId="261">
    <w:abstractNumId w:val="238"/>
  </w:num>
  <w:num w:numId="262">
    <w:abstractNumId w:val="9"/>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634"/>
    <w:rsid w:val="00003EA1"/>
    <w:rsid w:val="00004615"/>
    <w:rsid w:val="0000468F"/>
    <w:rsid w:val="00004E10"/>
    <w:rsid w:val="00005E5B"/>
    <w:rsid w:val="0000639F"/>
    <w:rsid w:val="00006B57"/>
    <w:rsid w:val="00011443"/>
    <w:rsid w:val="00021F44"/>
    <w:rsid w:val="00027B11"/>
    <w:rsid w:val="00030005"/>
    <w:rsid w:val="00035AF2"/>
    <w:rsid w:val="00040B13"/>
    <w:rsid w:val="00043C96"/>
    <w:rsid w:val="00045E65"/>
    <w:rsid w:val="00050FF2"/>
    <w:rsid w:val="00052EDC"/>
    <w:rsid w:val="00054B4F"/>
    <w:rsid w:val="00056590"/>
    <w:rsid w:val="000620DB"/>
    <w:rsid w:val="00062115"/>
    <w:rsid w:val="000647BA"/>
    <w:rsid w:val="00065DE1"/>
    <w:rsid w:val="00066A51"/>
    <w:rsid w:val="00066C8A"/>
    <w:rsid w:val="00067B0A"/>
    <w:rsid w:val="0007061A"/>
    <w:rsid w:val="00070896"/>
    <w:rsid w:val="000714F8"/>
    <w:rsid w:val="00071706"/>
    <w:rsid w:val="00084B07"/>
    <w:rsid w:val="00085E60"/>
    <w:rsid w:val="00093F4D"/>
    <w:rsid w:val="000941EF"/>
    <w:rsid w:val="00094905"/>
    <w:rsid w:val="000A27A2"/>
    <w:rsid w:val="000B051B"/>
    <w:rsid w:val="000B1FB7"/>
    <w:rsid w:val="000B20F9"/>
    <w:rsid w:val="000B266F"/>
    <w:rsid w:val="000B6D37"/>
    <w:rsid w:val="000B71D1"/>
    <w:rsid w:val="000C1309"/>
    <w:rsid w:val="000C5A9C"/>
    <w:rsid w:val="000D02AD"/>
    <w:rsid w:val="000D38BC"/>
    <w:rsid w:val="000D4F38"/>
    <w:rsid w:val="000D549A"/>
    <w:rsid w:val="000D59AC"/>
    <w:rsid w:val="000D5FCE"/>
    <w:rsid w:val="000E3D98"/>
    <w:rsid w:val="000F0EA4"/>
    <w:rsid w:val="000F1193"/>
    <w:rsid w:val="000F775F"/>
    <w:rsid w:val="000F7D45"/>
    <w:rsid w:val="00102199"/>
    <w:rsid w:val="00102318"/>
    <w:rsid w:val="00102E8A"/>
    <w:rsid w:val="00103E16"/>
    <w:rsid w:val="00106364"/>
    <w:rsid w:val="0011307F"/>
    <w:rsid w:val="00116B9E"/>
    <w:rsid w:val="00126B9B"/>
    <w:rsid w:val="00130ADF"/>
    <w:rsid w:val="0013505D"/>
    <w:rsid w:val="00140773"/>
    <w:rsid w:val="00145BDE"/>
    <w:rsid w:val="00145D08"/>
    <w:rsid w:val="00147AB1"/>
    <w:rsid w:val="00151403"/>
    <w:rsid w:val="00165C1F"/>
    <w:rsid w:val="00166EA7"/>
    <w:rsid w:val="0017413E"/>
    <w:rsid w:val="001741DA"/>
    <w:rsid w:val="00174C6D"/>
    <w:rsid w:val="0018173A"/>
    <w:rsid w:val="001825AA"/>
    <w:rsid w:val="001827F9"/>
    <w:rsid w:val="00186257"/>
    <w:rsid w:val="00190D76"/>
    <w:rsid w:val="00191D51"/>
    <w:rsid w:val="00195DE7"/>
    <w:rsid w:val="001A0E30"/>
    <w:rsid w:val="001A264F"/>
    <w:rsid w:val="001A73FD"/>
    <w:rsid w:val="001A76A9"/>
    <w:rsid w:val="001A7D69"/>
    <w:rsid w:val="001B09F6"/>
    <w:rsid w:val="001B0C01"/>
    <w:rsid w:val="001B3808"/>
    <w:rsid w:val="001B3F8E"/>
    <w:rsid w:val="001B5C9B"/>
    <w:rsid w:val="001B7A0C"/>
    <w:rsid w:val="001D2979"/>
    <w:rsid w:val="001D772B"/>
    <w:rsid w:val="001E12CF"/>
    <w:rsid w:val="001E14E8"/>
    <w:rsid w:val="001E7D00"/>
    <w:rsid w:val="001F0E19"/>
    <w:rsid w:val="001F7671"/>
    <w:rsid w:val="00202A01"/>
    <w:rsid w:val="00204284"/>
    <w:rsid w:val="002050FD"/>
    <w:rsid w:val="0020646C"/>
    <w:rsid w:val="0020736E"/>
    <w:rsid w:val="00212B7C"/>
    <w:rsid w:val="00224F94"/>
    <w:rsid w:val="002335F8"/>
    <w:rsid w:val="00233CBE"/>
    <w:rsid w:val="0023404F"/>
    <w:rsid w:val="002358A4"/>
    <w:rsid w:val="00237FFD"/>
    <w:rsid w:val="002455A5"/>
    <w:rsid w:val="00245B90"/>
    <w:rsid w:val="00245E91"/>
    <w:rsid w:val="002515D0"/>
    <w:rsid w:val="002643C1"/>
    <w:rsid w:val="00264BA4"/>
    <w:rsid w:val="00267CCC"/>
    <w:rsid w:val="002705FF"/>
    <w:rsid w:val="00270CA9"/>
    <w:rsid w:val="002716B9"/>
    <w:rsid w:val="00273758"/>
    <w:rsid w:val="002745D3"/>
    <w:rsid w:val="00282ED3"/>
    <w:rsid w:val="00284FE4"/>
    <w:rsid w:val="00287A54"/>
    <w:rsid w:val="00292B77"/>
    <w:rsid w:val="002A0276"/>
    <w:rsid w:val="002A02B6"/>
    <w:rsid w:val="002A0BB2"/>
    <w:rsid w:val="002A4557"/>
    <w:rsid w:val="002A46ED"/>
    <w:rsid w:val="002A5EC7"/>
    <w:rsid w:val="002A6CAF"/>
    <w:rsid w:val="002B1464"/>
    <w:rsid w:val="002B232C"/>
    <w:rsid w:val="002B6BE7"/>
    <w:rsid w:val="002C0298"/>
    <w:rsid w:val="002C3B05"/>
    <w:rsid w:val="002C44D7"/>
    <w:rsid w:val="002C594C"/>
    <w:rsid w:val="002C738F"/>
    <w:rsid w:val="002C7B4B"/>
    <w:rsid w:val="002D18F3"/>
    <w:rsid w:val="002D1983"/>
    <w:rsid w:val="002D2146"/>
    <w:rsid w:val="002D2BA2"/>
    <w:rsid w:val="002D514E"/>
    <w:rsid w:val="002D52D7"/>
    <w:rsid w:val="002D6E34"/>
    <w:rsid w:val="002D7A9F"/>
    <w:rsid w:val="002E3552"/>
    <w:rsid w:val="002E5A10"/>
    <w:rsid w:val="002E64D7"/>
    <w:rsid w:val="00300B1B"/>
    <w:rsid w:val="0030219A"/>
    <w:rsid w:val="0030419F"/>
    <w:rsid w:val="00304487"/>
    <w:rsid w:val="00312E69"/>
    <w:rsid w:val="00315810"/>
    <w:rsid w:val="00317DF8"/>
    <w:rsid w:val="003209A5"/>
    <w:rsid w:val="0032155D"/>
    <w:rsid w:val="00326174"/>
    <w:rsid w:val="00330140"/>
    <w:rsid w:val="00330D44"/>
    <w:rsid w:val="00341612"/>
    <w:rsid w:val="0035636B"/>
    <w:rsid w:val="0036325F"/>
    <w:rsid w:val="00371857"/>
    <w:rsid w:val="003725A7"/>
    <w:rsid w:val="00372B70"/>
    <w:rsid w:val="00374C48"/>
    <w:rsid w:val="00376DC5"/>
    <w:rsid w:val="003803A7"/>
    <w:rsid w:val="00380786"/>
    <w:rsid w:val="003839A7"/>
    <w:rsid w:val="00383E9A"/>
    <w:rsid w:val="00384247"/>
    <w:rsid w:val="003843A7"/>
    <w:rsid w:val="003879C6"/>
    <w:rsid w:val="0039748C"/>
    <w:rsid w:val="003A12AF"/>
    <w:rsid w:val="003A390B"/>
    <w:rsid w:val="003B00B1"/>
    <w:rsid w:val="003B2BB9"/>
    <w:rsid w:val="003B362B"/>
    <w:rsid w:val="003B5771"/>
    <w:rsid w:val="003B65A7"/>
    <w:rsid w:val="003C0BDE"/>
    <w:rsid w:val="003C7C26"/>
    <w:rsid w:val="003D16B1"/>
    <w:rsid w:val="003D2B64"/>
    <w:rsid w:val="003D68EC"/>
    <w:rsid w:val="003D7455"/>
    <w:rsid w:val="003E016F"/>
    <w:rsid w:val="003E09D6"/>
    <w:rsid w:val="003E0ABA"/>
    <w:rsid w:val="003E2078"/>
    <w:rsid w:val="003F10B6"/>
    <w:rsid w:val="003F17FB"/>
    <w:rsid w:val="003F2AA0"/>
    <w:rsid w:val="003F6B66"/>
    <w:rsid w:val="003F7163"/>
    <w:rsid w:val="00401552"/>
    <w:rsid w:val="00402380"/>
    <w:rsid w:val="0040650A"/>
    <w:rsid w:val="00411531"/>
    <w:rsid w:val="00412C70"/>
    <w:rsid w:val="00413C62"/>
    <w:rsid w:val="00416AEC"/>
    <w:rsid w:val="00417B1D"/>
    <w:rsid w:val="004203F8"/>
    <w:rsid w:val="00420935"/>
    <w:rsid w:val="00431616"/>
    <w:rsid w:val="00431F96"/>
    <w:rsid w:val="004348BF"/>
    <w:rsid w:val="00451C40"/>
    <w:rsid w:val="004605A7"/>
    <w:rsid w:val="00461922"/>
    <w:rsid w:val="00463B19"/>
    <w:rsid w:val="0046470F"/>
    <w:rsid w:val="00467DDB"/>
    <w:rsid w:val="00474013"/>
    <w:rsid w:val="0048221B"/>
    <w:rsid w:val="004854CB"/>
    <w:rsid w:val="00487142"/>
    <w:rsid w:val="00490681"/>
    <w:rsid w:val="00491D57"/>
    <w:rsid w:val="0049465F"/>
    <w:rsid w:val="00496D8B"/>
    <w:rsid w:val="004971B9"/>
    <w:rsid w:val="004A1417"/>
    <w:rsid w:val="004A7196"/>
    <w:rsid w:val="004B1CE8"/>
    <w:rsid w:val="004B7948"/>
    <w:rsid w:val="004C4154"/>
    <w:rsid w:val="004C75A6"/>
    <w:rsid w:val="004D1360"/>
    <w:rsid w:val="004D65E9"/>
    <w:rsid w:val="004D69B3"/>
    <w:rsid w:val="004D69F8"/>
    <w:rsid w:val="004D7D98"/>
    <w:rsid w:val="004D7EB4"/>
    <w:rsid w:val="004E239A"/>
    <w:rsid w:val="004E26D2"/>
    <w:rsid w:val="004E2D08"/>
    <w:rsid w:val="004E7626"/>
    <w:rsid w:val="004E7E3A"/>
    <w:rsid w:val="004F083C"/>
    <w:rsid w:val="004F18DB"/>
    <w:rsid w:val="004F2015"/>
    <w:rsid w:val="004F385E"/>
    <w:rsid w:val="004F50AE"/>
    <w:rsid w:val="004F77A5"/>
    <w:rsid w:val="004F7C1F"/>
    <w:rsid w:val="0050203A"/>
    <w:rsid w:val="00503727"/>
    <w:rsid w:val="005039D2"/>
    <w:rsid w:val="00503CCE"/>
    <w:rsid w:val="00504446"/>
    <w:rsid w:val="005061EB"/>
    <w:rsid w:val="00506AF9"/>
    <w:rsid w:val="00511184"/>
    <w:rsid w:val="005132C7"/>
    <w:rsid w:val="00513E75"/>
    <w:rsid w:val="00515CA5"/>
    <w:rsid w:val="00516D64"/>
    <w:rsid w:val="0052003B"/>
    <w:rsid w:val="005227FD"/>
    <w:rsid w:val="00522B53"/>
    <w:rsid w:val="0053420E"/>
    <w:rsid w:val="00534E56"/>
    <w:rsid w:val="00536360"/>
    <w:rsid w:val="00537220"/>
    <w:rsid w:val="00540957"/>
    <w:rsid w:val="00540DA7"/>
    <w:rsid w:val="00540F36"/>
    <w:rsid w:val="0054163A"/>
    <w:rsid w:val="00547BEF"/>
    <w:rsid w:val="005500C4"/>
    <w:rsid w:val="005520C5"/>
    <w:rsid w:val="0055293D"/>
    <w:rsid w:val="0055798D"/>
    <w:rsid w:val="00563EF7"/>
    <w:rsid w:val="00565E7F"/>
    <w:rsid w:val="0057298F"/>
    <w:rsid w:val="005736B2"/>
    <w:rsid w:val="00576150"/>
    <w:rsid w:val="00586244"/>
    <w:rsid w:val="00587061"/>
    <w:rsid w:val="00590A39"/>
    <w:rsid w:val="00590C70"/>
    <w:rsid w:val="005949E3"/>
    <w:rsid w:val="00594EDE"/>
    <w:rsid w:val="00597013"/>
    <w:rsid w:val="005A25A2"/>
    <w:rsid w:val="005A64EB"/>
    <w:rsid w:val="005B740E"/>
    <w:rsid w:val="005C5F5F"/>
    <w:rsid w:val="005C7E85"/>
    <w:rsid w:val="005D0F70"/>
    <w:rsid w:val="005D291E"/>
    <w:rsid w:val="005E00CC"/>
    <w:rsid w:val="005E25F8"/>
    <w:rsid w:val="005E2607"/>
    <w:rsid w:val="005E3A38"/>
    <w:rsid w:val="005E5406"/>
    <w:rsid w:val="005E7E58"/>
    <w:rsid w:val="005F5026"/>
    <w:rsid w:val="005F6AA9"/>
    <w:rsid w:val="00600CFF"/>
    <w:rsid w:val="0060150B"/>
    <w:rsid w:val="00610724"/>
    <w:rsid w:val="006153FB"/>
    <w:rsid w:val="0062065D"/>
    <w:rsid w:val="006243AA"/>
    <w:rsid w:val="00624B9A"/>
    <w:rsid w:val="00626958"/>
    <w:rsid w:val="00630122"/>
    <w:rsid w:val="00630361"/>
    <w:rsid w:val="006304F0"/>
    <w:rsid w:val="00631605"/>
    <w:rsid w:val="0064323D"/>
    <w:rsid w:val="00643C9A"/>
    <w:rsid w:val="00644B60"/>
    <w:rsid w:val="00652D23"/>
    <w:rsid w:val="00657148"/>
    <w:rsid w:val="00660662"/>
    <w:rsid w:val="00661298"/>
    <w:rsid w:val="0066316A"/>
    <w:rsid w:val="006653E1"/>
    <w:rsid w:val="006655F9"/>
    <w:rsid w:val="00665C2F"/>
    <w:rsid w:val="00677788"/>
    <w:rsid w:val="00692634"/>
    <w:rsid w:val="00694447"/>
    <w:rsid w:val="00694609"/>
    <w:rsid w:val="0069787C"/>
    <w:rsid w:val="006A1F59"/>
    <w:rsid w:val="006A4B0D"/>
    <w:rsid w:val="006A4D3C"/>
    <w:rsid w:val="006B4C17"/>
    <w:rsid w:val="006B72C5"/>
    <w:rsid w:val="006C1AA6"/>
    <w:rsid w:val="006D6C98"/>
    <w:rsid w:val="006D7FEC"/>
    <w:rsid w:val="006E027B"/>
    <w:rsid w:val="006E254C"/>
    <w:rsid w:val="006E74A8"/>
    <w:rsid w:val="006F0BCD"/>
    <w:rsid w:val="006F1612"/>
    <w:rsid w:val="006F2B38"/>
    <w:rsid w:val="006F5296"/>
    <w:rsid w:val="00702CF1"/>
    <w:rsid w:val="007051F9"/>
    <w:rsid w:val="0070528A"/>
    <w:rsid w:val="00707C4B"/>
    <w:rsid w:val="007107EB"/>
    <w:rsid w:val="0072099E"/>
    <w:rsid w:val="00721CDA"/>
    <w:rsid w:val="007236CA"/>
    <w:rsid w:val="00723976"/>
    <w:rsid w:val="00724674"/>
    <w:rsid w:val="00727888"/>
    <w:rsid w:val="00731863"/>
    <w:rsid w:val="0073353C"/>
    <w:rsid w:val="007360C5"/>
    <w:rsid w:val="00736D64"/>
    <w:rsid w:val="00737EE8"/>
    <w:rsid w:val="00742406"/>
    <w:rsid w:val="00742AAA"/>
    <w:rsid w:val="007439CC"/>
    <w:rsid w:val="00745D54"/>
    <w:rsid w:val="00747471"/>
    <w:rsid w:val="0074762D"/>
    <w:rsid w:val="0075108A"/>
    <w:rsid w:val="00754D26"/>
    <w:rsid w:val="00761A9B"/>
    <w:rsid w:val="00761B9C"/>
    <w:rsid w:val="00761F28"/>
    <w:rsid w:val="00763740"/>
    <w:rsid w:val="00765852"/>
    <w:rsid w:val="00765E51"/>
    <w:rsid w:val="007670E6"/>
    <w:rsid w:val="00777EB7"/>
    <w:rsid w:val="007813A6"/>
    <w:rsid w:val="007819AE"/>
    <w:rsid w:val="0078320E"/>
    <w:rsid w:val="00784491"/>
    <w:rsid w:val="00795561"/>
    <w:rsid w:val="007A1AB1"/>
    <w:rsid w:val="007A4C90"/>
    <w:rsid w:val="007A5B33"/>
    <w:rsid w:val="007A767F"/>
    <w:rsid w:val="007B3682"/>
    <w:rsid w:val="007B7A87"/>
    <w:rsid w:val="007C3B17"/>
    <w:rsid w:val="007D0062"/>
    <w:rsid w:val="007D2907"/>
    <w:rsid w:val="007D3C23"/>
    <w:rsid w:val="007D6983"/>
    <w:rsid w:val="007D7446"/>
    <w:rsid w:val="007E3448"/>
    <w:rsid w:val="007E478A"/>
    <w:rsid w:val="007E7DAE"/>
    <w:rsid w:val="007F4BEA"/>
    <w:rsid w:val="007F70C9"/>
    <w:rsid w:val="00800A6A"/>
    <w:rsid w:val="00803945"/>
    <w:rsid w:val="008048CB"/>
    <w:rsid w:val="00806448"/>
    <w:rsid w:val="0081589F"/>
    <w:rsid w:val="008160ED"/>
    <w:rsid w:val="008166FC"/>
    <w:rsid w:val="008166FE"/>
    <w:rsid w:val="008278FD"/>
    <w:rsid w:val="00830C94"/>
    <w:rsid w:val="0083347E"/>
    <w:rsid w:val="008334C3"/>
    <w:rsid w:val="00834351"/>
    <w:rsid w:val="0083493B"/>
    <w:rsid w:val="0083552A"/>
    <w:rsid w:val="00840D95"/>
    <w:rsid w:val="00842C81"/>
    <w:rsid w:val="00845838"/>
    <w:rsid w:val="008462E5"/>
    <w:rsid w:val="00847704"/>
    <w:rsid w:val="00847F00"/>
    <w:rsid w:val="0085021D"/>
    <w:rsid w:val="0085360A"/>
    <w:rsid w:val="00855CAE"/>
    <w:rsid w:val="00857E6F"/>
    <w:rsid w:val="008610B7"/>
    <w:rsid w:val="0086185E"/>
    <w:rsid w:val="0086794C"/>
    <w:rsid w:val="00867C8A"/>
    <w:rsid w:val="00870A3B"/>
    <w:rsid w:val="008737E2"/>
    <w:rsid w:val="00874900"/>
    <w:rsid w:val="00874BB0"/>
    <w:rsid w:val="00881E2C"/>
    <w:rsid w:val="008836D5"/>
    <w:rsid w:val="0089264D"/>
    <w:rsid w:val="00893298"/>
    <w:rsid w:val="00893473"/>
    <w:rsid w:val="00896B45"/>
    <w:rsid w:val="008A7D76"/>
    <w:rsid w:val="008B01B5"/>
    <w:rsid w:val="008B448C"/>
    <w:rsid w:val="008B7AED"/>
    <w:rsid w:val="008C0F9C"/>
    <w:rsid w:val="008C17C3"/>
    <w:rsid w:val="008C1EAF"/>
    <w:rsid w:val="008D04BC"/>
    <w:rsid w:val="008D41D6"/>
    <w:rsid w:val="008E1483"/>
    <w:rsid w:val="008E227F"/>
    <w:rsid w:val="008E35A4"/>
    <w:rsid w:val="008E71AE"/>
    <w:rsid w:val="008E762B"/>
    <w:rsid w:val="008F023D"/>
    <w:rsid w:val="008F5721"/>
    <w:rsid w:val="008F5B72"/>
    <w:rsid w:val="008F73C3"/>
    <w:rsid w:val="00902A13"/>
    <w:rsid w:val="00905B10"/>
    <w:rsid w:val="00907C36"/>
    <w:rsid w:val="00910531"/>
    <w:rsid w:val="009218C0"/>
    <w:rsid w:val="00922AEB"/>
    <w:rsid w:val="00922BC8"/>
    <w:rsid w:val="00923233"/>
    <w:rsid w:val="009240D1"/>
    <w:rsid w:val="00926E70"/>
    <w:rsid w:val="009361C2"/>
    <w:rsid w:val="00940183"/>
    <w:rsid w:val="00946E1A"/>
    <w:rsid w:val="00947F24"/>
    <w:rsid w:val="009505E2"/>
    <w:rsid w:val="009532D6"/>
    <w:rsid w:val="009560B8"/>
    <w:rsid w:val="009562F0"/>
    <w:rsid w:val="009616E3"/>
    <w:rsid w:val="00961BCC"/>
    <w:rsid w:val="00961E91"/>
    <w:rsid w:val="009621BD"/>
    <w:rsid w:val="009639DF"/>
    <w:rsid w:val="00967F19"/>
    <w:rsid w:val="00971964"/>
    <w:rsid w:val="0097530D"/>
    <w:rsid w:val="00975E2D"/>
    <w:rsid w:val="009801D6"/>
    <w:rsid w:val="00982264"/>
    <w:rsid w:val="00984F77"/>
    <w:rsid w:val="00990785"/>
    <w:rsid w:val="0099437D"/>
    <w:rsid w:val="00996B78"/>
    <w:rsid w:val="009A2FDC"/>
    <w:rsid w:val="009A6D06"/>
    <w:rsid w:val="009B25DD"/>
    <w:rsid w:val="009C0110"/>
    <w:rsid w:val="009C08C8"/>
    <w:rsid w:val="009D4D98"/>
    <w:rsid w:val="009E16BA"/>
    <w:rsid w:val="009E4F4A"/>
    <w:rsid w:val="009F3841"/>
    <w:rsid w:val="00A00651"/>
    <w:rsid w:val="00A03038"/>
    <w:rsid w:val="00A151DE"/>
    <w:rsid w:val="00A16A42"/>
    <w:rsid w:val="00A17EA5"/>
    <w:rsid w:val="00A23046"/>
    <w:rsid w:val="00A24A78"/>
    <w:rsid w:val="00A256B8"/>
    <w:rsid w:val="00A26E7F"/>
    <w:rsid w:val="00A279BA"/>
    <w:rsid w:val="00A30C93"/>
    <w:rsid w:val="00A32B3E"/>
    <w:rsid w:val="00A33BC5"/>
    <w:rsid w:val="00A3441B"/>
    <w:rsid w:val="00A34764"/>
    <w:rsid w:val="00A3491F"/>
    <w:rsid w:val="00A368C1"/>
    <w:rsid w:val="00A368C6"/>
    <w:rsid w:val="00A3733B"/>
    <w:rsid w:val="00A3796D"/>
    <w:rsid w:val="00A41138"/>
    <w:rsid w:val="00A41369"/>
    <w:rsid w:val="00A42801"/>
    <w:rsid w:val="00A456E8"/>
    <w:rsid w:val="00A53A34"/>
    <w:rsid w:val="00A55466"/>
    <w:rsid w:val="00A70AA3"/>
    <w:rsid w:val="00A71873"/>
    <w:rsid w:val="00A75FEE"/>
    <w:rsid w:val="00A8144F"/>
    <w:rsid w:val="00A81BB5"/>
    <w:rsid w:val="00A83359"/>
    <w:rsid w:val="00A84F3A"/>
    <w:rsid w:val="00A85337"/>
    <w:rsid w:val="00A86077"/>
    <w:rsid w:val="00AA1981"/>
    <w:rsid w:val="00AA578E"/>
    <w:rsid w:val="00AA6AA4"/>
    <w:rsid w:val="00AA75BD"/>
    <w:rsid w:val="00AB4C30"/>
    <w:rsid w:val="00AC3104"/>
    <w:rsid w:val="00AC36A4"/>
    <w:rsid w:val="00AC3BC7"/>
    <w:rsid w:val="00AC3E90"/>
    <w:rsid w:val="00AC64E4"/>
    <w:rsid w:val="00AC6ED2"/>
    <w:rsid w:val="00AD0ED3"/>
    <w:rsid w:val="00AD22F7"/>
    <w:rsid w:val="00AD2C3D"/>
    <w:rsid w:val="00AD4B67"/>
    <w:rsid w:val="00AD50BD"/>
    <w:rsid w:val="00AD5B22"/>
    <w:rsid w:val="00AD68A1"/>
    <w:rsid w:val="00AE2497"/>
    <w:rsid w:val="00AE540F"/>
    <w:rsid w:val="00AF0CBE"/>
    <w:rsid w:val="00AF4350"/>
    <w:rsid w:val="00AF4963"/>
    <w:rsid w:val="00B00BE7"/>
    <w:rsid w:val="00B100FF"/>
    <w:rsid w:val="00B1026E"/>
    <w:rsid w:val="00B105A6"/>
    <w:rsid w:val="00B11FBA"/>
    <w:rsid w:val="00B1325F"/>
    <w:rsid w:val="00B1490C"/>
    <w:rsid w:val="00B15541"/>
    <w:rsid w:val="00B16C36"/>
    <w:rsid w:val="00B25B74"/>
    <w:rsid w:val="00B30496"/>
    <w:rsid w:val="00B316A5"/>
    <w:rsid w:val="00B43AC4"/>
    <w:rsid w:val="00B4742D"/>
    <w:rsid w:val="00B47789"/>
    <w:rsid w:val="00B53E33"/>
    <w:rsid w:val="00B549A4"/>
    <w:rsid w:val="00B5760E"/>
    <w:rsid w:val="00B63C2C"/>
    <w:rsid w:val="00B63C6F"/>
    <w:rsid w:val="00B63D88"/>
    <w:rsid w:val="00B63F6E"/>
    <w:rsid w:val="00B64597"/>
    <w:rsid w:val="00B65FC4"/>
    <w:rsid w:val="00B66E64"/>
    <w:rsid w:val="00B70014"/>
    <w:rsid w:val="00B70BAF"/>
    <w:rsid w:val="00B7360C"/>
    <w:rsid w:val="00B747A9"/>
    <w:rsid w:val="00B74B68"/>
    <w:rsid w:val="00B753F0"/>
    <w:rsid w:val="00B75A0A"/>
    <w:rsid w:val="00B7741C"/>
    <w:rsid w:val="00B802E0"/>
    <w:rsid w:val="00B8062A"/>
    <w:rsid w:val="00B80F3D"/>
    <w:rsid w:val="00B82A89"/>
    <w:rsid w:val="00B831D6"/>
    <w:rsid w:val="00B90CFE"/>
    <w:rsid w:val="00B90E48"/>
    <w:rsid w:val="00B92773"/>
    <w:rsid w:val="00B92B71"/>
    <w:rsid w:val="00B9370D"/>
    <w:rsid w:val="00B96230"/>
    <w:rsid w:val="00BA3253"/>
    <w:rsid w:val="00BA5AA1"/>
    <w:rsid w:val="00BB08FD"/>
    <w:rsid w:val="00BB5943"/>
    <w:rsid w:val="00BC260B"/>
    <w:rsid w:val="00BC3BC4"/>
    <w:rsid w:val="00BC6813"/>
    <w:rsid w:val="00BC6EE5"/>
    <w:rsid w:val="00BC6F1A"/>
    <w:rsid w:val="00BC7287"/>
    <w:rsid w:val="00BD7C74"/>
    <w:rsid w:val="00BE3436"/>
    <w:rsid w:val="00BE461C"/>
    <w:rsid w:val="00BE7673"/>
    <w:rsid w:val="00BF286B"/>
    <w:rsid w:val="00BF3401"/>
    <w:rsid w:val="00C075CE"/>
    <w:rsid w:val="00C10DB7"/>
    <w:rsid w:val="00C12A35"/>
    <w:rsid w:val="00C140D0"/>
    <w:rsid w:val="00C149F1"/>
    <w:rsid w:val="00C22B05"/>
    <w:rsid w:val="00C22BE3"/>
    <w:rsid w:val="00C2313A"/>
    <w:rsid w:val="00C23EB4"/>
    <w:rsid w:val="00C24DBB"/>
    <w:rsid w:val="00C25648"/>
    <w:rsid w:val="00C27004"/>
    <w:rsid w:val="00C40C69"/>
    <w:rsid w:val="00C45CC1"/>
    <w:rsid w:val="00C47FCF"/>
    <w:rsid w:val="00C50C93"/>
    <w:rsid w:val="00C513CF"/>
    <w:rsid w:val="00C55E3D"/>
    <w:rsid w:val="00C55F83"/>
    <w:rsid w:val="00C5783C"/>
    <w:rsid w:val="00C6013A"/>
    <w:rsid w:val="00C606B1"/>
    <w:rsid w:val="00C63357"/>
    <w:rsid w:val="00C64B77"/>
    <w:rsid w:val="00C64C1F"/>
    <w:rsid w:val="00C66D2E"/>
    <w:rsid w:val="00C7024D"/>
    <w:rsid w:val="00C72C00"/>
    <w:rsid w:val="00C747F3"/>
    <w:rsid w:val="00C75B79"/>
    <w:rsid w:val="00C817FC"/>
    <w:rsid w:val="00C82EFF"/>
    <w:rsid w:val="00C844A0"/>
    <w:rsid w:val="00C84E79"/>
    <w:rsid w:val="00C861AA"/>
    <w:rsid w:val="00C8731F"/>
    <w:rsid w:val="00C923A5"/>
    <w:rsid w:val="00C928A5"/>
    <w:rsid w:val="00C96764"/>
    <w:rsid w:val="00C97EC9"/>
    <w:rsid w:val="00CA52EE"/>
    <w:rsid w:val="00CB444D"/>
    <w:rsid w:val="00CB6415"/>
    <w:rsid w:val="00CC20D0"/>
    <w:rsid w:val="00CC2C0F"/>
    <w:rsid w:val="00CC3998"/>
    <w:rsid w:val="00CC3BA7"/>
    <w:rsid w:val="00CC569A"/>
    <w:rsid w:val="00CC569B"/>
    <w:rsid w:val="00CC5D38"/>
    <w:rsid w:val="00CC6516"/>
    <w:rsid w:val="00CC6696"/>
    <w:rsid w:val="00CC7B35"/>
    <w:rsid w:val="00CC7E11"/>
    <w:rsid w:val="00CD5DC9"/>
    <w:rsid w:val="00CE0415"/>
    <w:rsid w:val="00CE4477"/>
    <w:rsid w:val="00CE523A"/>
    <w:rsid w:val="00CE654F"/>
    <w:rsid w:val="00CE6C74"/>
    <w:rsid w:val="00CF24C8"/>
    <w:rsid w:val="00CF7CC6"/>
    <w:rsid w:val="00D01683"/>
    <w:rsid w:val="00D05232"/>
    <w:rsid w:val="00D0553A"/>
    <w:rsid w:val="00D10A30"/>
    <w:rsid w:val="00D13731"/>
    <w:rsid w:val="00D17013"/>
    <w:rsid w:val="00D21EF1"/>
    <w:rsid w:val="00D26AF3"/>
    <w:rsid w:val="00D26DC7"/>
    <w:rsid w:val="00D274DB"/>
    <w:rsid w:val="00D27B7C"/>
    <w:rsid w:val="00D27CCC"/>
    <w:rsid w:val="00D30336"/>
    <w:rsid w:val="00D3354B"/>
    <w:rsid w:val="00D3636A"/>
    <w:rsid w:val="00D36665"/>
    <w:rsid w:val="00D37807"/>
    <w:rsid w:val="00D41DBC"/>
    <w:rsid w:val="00D45FD4"/>
    <w:rsid w:val="00D46CB0"/>
    <w:rsid w:val="00D46F1F"/>
    <w:rsid w:val="00D51B63"/>
    <w:rsid w:val="00D544CE"/>
    <w:rsid w:val="00D54B26"/>
    <w:rsid w:val="00D55950"/>
    <w:rsid w:val="00D55AF5"/>
    <w:rsid w:val="00D647A8"/>
    <w:rsid w:val="00D65C87"/>
    <w:rsid w:val="00D67142"/>
    <w:rsid w:val="00D72192"/>
    <w:rsid w:val="00D72D4D"/>
    <w:rsid w:val="00D77BA4"/>
    <w:rsid w:val="00D82DC3"/>
    <w:rsid w:val="00D854B9"/>
    <w:rsid w:val="00D87CB3"/>
    <w:rsid w:val="00D95662"/>
    <w:rsid w:val="00DA3716"/>
    <w:rsid w:val="00DA563B"/>
    <w:rsid w:val="00DA73BA"/>
    <w:rsid w:val="00DB07C0"/>
    <w:rsid w:val="00DB2755"/>
    <w:rsid w:val="00DB5470"/>
    <w:rsid w:val="00DC12FF"/>
    <w:rsid w:val="00DC2F6C"/>
    <w:rsid w:val="00DC36DA"/>
    <w:rsid w:val="00DC5D1D"/>
    <w:rsid w:val="00DC614E"/>
    <w:rsid w:val="00DD1A23"/>
    <w:rsid w:val="00DD1B74"/>
    <w:rsid w:val="00DD2CFB"/>
    <w:rsid w:val="00DD3DD1"/>
    <w:rsid w:val="00DD475C"/>
    <w:rsid w:val="00DE1A96"/>
    <w:rsid w:val="00DE47A8"/>
    <w:rsid w:val="00DE75F8"/>
    <w:rsid w:val="00DE77A5"/>
    <w:rsid w:val="00DF04D0"/>
    <w:rsid w:val="00DF1D94"/>
    <w:rsid w:val="00DF28FC"/>
    <w:rsid w:val="00DF2C96"/>
    <w:rsid w:val="00DF3678"/>
    <w:rsid w:val="00DF44B9"/>
    <w:rsid w:val="00DF5D3E"/>
    <w:rsid w:val="00E00EA8"/>
    <w:rsid w:val="00E01043"/>
    <w:rsid w:val="00E045BA"/>
    <w:rsid w:val="00E07383"/>
    <w:rsid w:val="00E07890"/>
    <w:rsid w:val="00E13470"/>
    <w:rsid w:val="00E136EF"/>
    <w:rsid w:val="00E1548E"/>
    <w:rsid w:val="00E212EC"/>
    <w:rsid w:val="00E213F4"/>
    <w:rsid w:val="00E2320B"/>
    <w:rsid w:val="00E26E48"/>
    <w:rsid w:val="00E26F12"/>
    <w:rsid w:val="00E276ED"/>
    <w:rsid w:val="00E368D3"/>
    <w:rsid w:val="00E43093"/>
    <w:rsid w:val="00E451B8"/>
    <w:rsid w:val="00E53BC6"/>
    <w:rsid w:val="00E5445D"/>
    <w:rsid w:val="00E5556D"/>
    <w:rsid w:val="00E57564"/>
    <w:rsid w:val="00E61E5A"/>
    <w:rsid w:val="00E648CC"/>
    <w:rsid w:val="00E66E5B"/>
    <w:rsid w:val="00E67D52"/>
    <w:rsid w:val="00E70057"/>
    <w:rsid w:val="00E71621"/>
    <w:rsid w:val="00E734F9"/>
    <w:rsid w:val="00E74ED9"/>
    <w:rsid w:val="00E775D3"/>
    <w:rsid w:val="00E839A1"/>
    <w:rsid w:val="00E874E6"/>
    <w:rsid w:val="00E87A26"/>
    <w:rsid w:val="00E90A59"/>
    <w:rsid w:val="00E93D88"/>
    <w:rsid w:val="00E950C1"/>
    <w:rsid w:val="00E960C1"/>
    <w:rsid w:val="00EA2FA8"/>
    <w:rsid w:val="00EA648D"/>
    <w:rsid w:val="00EB0FB4"/>
    <w:rsid w:val="00EB1AC2"/>
    <w:rsid w:val="00EB21A5"/>
    <w:rsid w:val="00EB3AF0"/>
    <w:rsid w:val="00EB3C3D"/>
    <w:rsid w:val="00EB799B"/>
    <w:rsid w:val="00EC276E"/>
    <w:rsid w:val="00EC68F7"/>
    <w:rsid w:val="00ED0E6E"/>
    <w:rsid w:val="00ED2516"/>
    <w:rsid w:val="00ED3F75"/>
    <w:rsid w:val="00ED4883"/>
    <w:rsid w:val="00ED5BB5"/>
    <w:rsid w:val="00ED6031"/>
    <w:rsid w:val="00ED60E9"/>
    <w:rsid w:val="00ED681D"/>
    <w:rsid w:val="00ED6821"/>
    <w:rsid w:val="00EE035E"/>
    <w:rsid w:val="00EE07C0"/>
    <w:rsid w:val="00EE6235"/>
    <w:rsid w:val="00EE7DF9"/>
    <w:rsid w:val="00EF224E"/>
    <w:rsid w:val="00EF6B83"/>
    <w:rsid w:val="00EF6BBC"/>
    <w:rsid w:val="00EF7BE6"/>
    <w:rsid w:val="00F03B0A"/>
    <w:rsid w:val="00F047F6"/>
    <w:rsid w:val="00F057E4"/>
    <w:rsid w:val="00F05A71"/>
    <w:rsid w:val="00F0643F"/>
    <w:rsid w:val="00F074D4"/>
    <w:rsid w:val="00F07635"/>
    <w:rsid w:val="00F12A7A"/>
    <w:rsid w:val="00F12B4A"/>
    <w:rsid w:val="00F17D7F"/>
    <w:rsid w:val="00F2408C"/>
    <w:rsid w:val="00F240FF"/>
    <w:rsid w:val="00F25241"/>
    <w:rsid w:val="00F275A0"/>
    <w:rsid w:val="00F276BC"/>
    <w:rsid w:val="00F31A18"/>
    <w:rsid w:val="00F3350B"/>
    <w:rsid w:val="00F37592"/>
    <w:rsid w:val="00F428EE"/>
    <w:rsid w:val="00F57342"/>
    <w:rsid w:val="00F653D2"/>
    <w:rsid w:val="00F810B0"/>
    <w:rsid w:val="00F814AC"/>
    <w:rsid w:val="00F81F05"/>
    <w:rsid w:val="00F83D5F"/>
    <w:rsid w:val="00F84F2D"/>
    <w:rsid w:val="00F87AF5"/>
    <w:rsid w:val="00F91443"/>
    <w:rsid w:val="00F925FF"/>
    <w:rsid w:val="00F95646"/>
    <w:rsid w:val="00F95BF2"/>
    <w:rsid w:val="00F96CEE"/>
    <w:rsid w:val="00F97A3B"/>
    <w:rsid w:val="00FA4206"/>
    <w:rsid w:val="00FA7C23"/>
    <w:rsid w:val="00FB0664"/>
    <w:rsid w:val="00FB0D65"/>
    <w:rsid w:val="00FB1999"/>
    <w:rsid w:val="00FB4EEA"/>
    <w:rsid w:val="00FB6E71"/>
    <w:rsid w:val="00FC03CE"/>
    <w:rsid w:val="00FC16FA"/>
    <w:rsid w:val="00FC5325"/>
    <w:rsid w:val="00FC585D"/>
    <w:rsid w:val="00FC6DE6"/>
    <w:rsid w:val="00FD044F"/>
    <w:rsid w:val="00FD0E52"/>
    <w:rsid w:val="00FD3097"/>
    <w:rsid w:val="00FD3F80"/>
    <w:rsid w:val="00FE0262"/>
    <w:rsid w:val="00FE0622"/>
    <w:rsid w:val="00FE11FA"/>
    <w:rsid w:val="00FE1C26"/>
    <w:rsid w:val="00FE1DC4"/>
    <w:rsid w:val="00FE3A30"/>
    <w:rsid w:val="00FE57F2"/>
    <w:rsid w:val="00FE6F92"/>
    <w:rsid w:val="00FF153C"/>
    <w:rsid w:val="00FF4F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44EEB5-DB5A-4765-B583-85A58E8E4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34764"/>
    <w:pPr>
      <w:spacing w:before="120" w:after="0" w:line="240" w:lineRule="auto"/>
      <w:jc w:val="both"/>
    </w:pPr>
    <w:rPr>
      <w:rFonts w:ascii="Segoe UI" w:eastAsia="Times New Roman" w:hAnsi="Segoe UI" w:cs="Times New Roman"/>
      <w:sz w:val="20"/>
    </w:rPr>
  </w:style>
  <w:style w:type="paragraph" w:styleId="Nadpis1">
    <w:name w:val="heading 1"/>
    <w:aliases w:val="N 1,Dipl 1,_Nadpis 1"/>
    <w:basedOn w:val="Nadpis21"/>
    <w:next w:val="Normln"/>
    <w:link w:val="Nadpis1Char"/>
    <w:uiPriority w:val="9"/>
    <w:qFormat/>
    <w:rsid w:val="00FA4206"/>
    <w:pPr>
      <w:numPr>
        <w:ilvl w:val="0"/>
        <w:numId w:val="5"/>
      </w:numPr>
      <w:spacing w:before="360"/>
      <w:ind w:left="431" w:hanging="431"/>
      <w:outlineLvl w:val="0"/>
    </w:pPr>
    <w:rPr>
      <w:sz w:val="32"/>
    </w:rPr>
  </w:style>
  <w:style w:type="paragraph" w:styleId="Nadpis2">
    <w:name w:val="heading 2"/>
    <w:aliases w:val="N 2,Nadpis 2 Z,Dipl2"/>
    <w:basedOn w:val="Nadpis21"/>
    <w:next w:val="Normln"/>
    <w:link w:val="Nadpis2Char"/>
    <w:uiPriority w:val="9"/>
    <w:unhideWhenUsed/>
    <w:qFormat/>
    <w:rsid w:val="00FA4206"/>
    <w:pPr>
      <w:numPr>
        <w:numId w:val="5"/>
      </w:numPr>
      <w:spacing w:before="360"/>
      <w:ind w:left="578" w:hanging="578"/>
    </w:pPr>
    <w:rPr>
      <w:szCs w:val="28"/>
    </w:rPr>
  </w:style>
  <w:style w:type="paragraph" w:styleId="Nadpis3">
    <w:name w:val="heading 3"/>
    <w:aliases w:val="Nadpis 3 Z,Dipl3"/>
    <w:basedOn w:val="Normln"/>
    <w:next w:val="Normln"/>
    <w:link w:val="Nadpis3Char"/>
    <w:uiPriority w:val="9"/>
    <w:unhideWhenUsed/>
    <w:qFormat/>
    <w:rsid w:val="00CF24C8"/>
    <w:pPr>
      <w:keepNext/>
      <w:keepLines/>
      <w:numPr>
        <w:ilvl w:val="2"/>
        <w:numId w:val="5"/>
      </w:numPr>
      <w:spacing w:before="360" w:after="120"/>
      <w:outlineLvl w:val="2"/>
    </w:pPr>
    <w:rPr>
      <w:rFonts w:eastAsiaTheme="majorEastAsia" w:cs="Segoe UI"/>
      <w:color w:val="1F3864" w:themeColor="accent5" w:themeShade="80"/>
      <w:sz w:val="24"/>
      <w:szCs w:val="24"/>
    </w:rPr>
  </w:style>
  <w:style w:type="paragraph" w:styleId="Nadpis4">
    <w:name w:val="heading 4"/>
    <w:aliases w:val="Nadpis 4 Z"/>
    <w:basedOn w:val="Normln"/>
    <w:next w:val="Normln"/>
    <w:link w:val="Nadpis4Char"/>
    <w:uiPriority w:val="9"/>
    <w:unhideWhenUsed/>
    <w:qFormat/>
    <w:rsid w:val="00692634"/>
    <w:pPr>
      <w:keepNext/>
      <w:keepLines/>
      <w:numPr>
        <w:ilvl w:val="3"/>
        <w:numId w:val="5"/>
      </w:numPr>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nhideWhenUsed/>
    <w:rsid w:val="001B3808"/>
    <w:pPr>
      <w:keepNext/>
      <w:keepLines/>
      <w:numPr>
        <w:ilvl w:val="4"/>
        <w:numId w:val="5"/>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rsid w:val="00692634"/>
    <w:pPr>
      <w:numPr>
        <w:ilvl w:val="5"/>
        <w:numId w:val="5"/>
      </w:numPr>
      <w:spacing w:before="240" w:after="60" w:line="252" w:lineRule="auto"/>
      <w:outlineLvl w:val="5"/>
    </w:pPr>
    <w:rPr>
      <w:rFonts w:ascii="Arial" w:eastAsia="Arial Unicode MS" w:hAnsi="Arial" w:cs="Arial"/>
      <w:b/>
      <w:bCs/>
      <w:lang w:eastAsia="cs-CZ"/>
    </w:rPr>
  </w:style>
  <w:style w:type="paragraph" w:styleId="Nadpis7">
    <w:name w:val="heading 7"/>
    <w:basedOn w:val="Normln"/>
    <w:next w:val="Normln"/>
    <w:link w:val="Nadpis7Char"/>
    <w:rsid w:val="00692634"/>
    <w:pPr>
      <w:numPr>
        <w:ilvl w:val="6"/>
        <w:numId w:val="5"/>
      </w:numPr>
      <w:spacing w:before="240" w:after="60" w:line="252" w:lineRule="auto"/>
      <w:outlineLvl w:val="6"/>
    </w:pPr>
    <w:rPr>
      <w:rFonts w:ascii="Arial" w:eastAsia="Arial Unicode MS" w:hAnsi="Arial" w:cs="Arial"/>
      <w:sz w:val="24"/>
      <w:szCs w:val="24"/>
      <w:lang w:eastAsia="cs-CZ"/>
    </w:rPr>
  </w:style>
  <w:style w:type="paragraph" w:styleId="Nadpis8">
    <w:name w:val="heading 8"/>
    <w:basedOn w:val="Normln"/>
    <w:next w:val="Normln"/>
    <w:link w:val="Nadpis8Char"/>
    <w:rsid w:val="00692634"/>
    <w:pPr>
      <w:numPr>
        <w:ilvl w:val="7"/>
        <w:numId w:val="5"/>
      </w:numPr>
      <w:spacing w:before="240" w:after="60" w:line="252" w:lineRule="auto"/>
      <w:outlineLvl w:val="7"/>
    </w:pPr>
    <w:rPr>
      <w:rFonts w:ascii="Arial" w:eastAsia="Arial Unicode MS" w:hAnsi="Arial" w:cs="Arial"/>
      <w:i/>
      <w:iCs/>
      <w:sz w:val="24"/>
      <w:szCs w:val="24"/>
      <w:lang w:eastAsia="cs-CZ"/>
    </w:rPr>
  </w:style>
  <w:style w:type="paragraph" w:styleId="Nadpis9">
    <w:name w:val="heading 9"/>
    <w:basedOn w:val="Normln"/>
    <w:next w:val="Normln"/>
    <w:link w:val="Nadpis9Char"/>
    <w:uiPriority w:val="9"/>
    <w:unhideWhenUsed/>
    <w:qFormat/>
    <w:rsid w:val="001B3808"/>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 1 Char,Dipl 1 Char,_Nadpis 1 Char"/>
    <w:basedOn w:val="Standardnpsmoodstavce"/>
    <w:link w:val="Nadpis1"/>
    <w:uiPriority w:val="9"/>
    <w:rsid w:val="00FA4206"/>
    <w:rPr>
      <w:rFonts w:ascii="Segoe UI" w:eastAsia="Arial Unicode MS" w:hAnsi="Segoe UI" w:cs="Segoe UI"/>
      <w:color w:val="548DD4"/>
      <w:sz w:val="32"/>
      <w:szCs w:val="30"/>
      <w:lang w:eastAsia="cs-CZ"/>
      <w14:textFill>
        <w14:solidFill>
          <w14:srgbClr w14:val="548DD4">
            <w14:shade w14:val="30000"/>
            <w14:satMod w14:val="115000"/>
          </w14:srgbClr>
        </w14:solidFill>
      </w14:textFill>
    </w:rPr>
  </w:style>
  <w:style w:type="paragraph" w:customStyle="1" w:styleId="aaa">
    <w:name w:val="aaa"/>
    <w:basedOn w:val="Normln"/>
    <w:link w:val="aaaChar"/>
    <w:rsid w:val="00626958"/>
    <w:pPr>
      <w:keepNext/>
      <w:keepLines/>
      <w:pageBreakBefore/>
      <w:pBdr>
        <w:bottom w:val="single" w:sz="12" w:space="1" w:color="2F5496" w:themeColor="accent5" w:themeShade="BF"/>
      </w:pBdr>
      <w:spacing w:after="360"/>
      <w:jc w:val="center"/>
      <w:outlineLvl w:val="0"/>
    </w:pPr>
    <w:rPr>
      <w:rFonts w:eastAsia="Arial Unicode MS" w:cs="Segoe UI"/>
      <w:bCs/>
      <w:color w:val="2F5496" w:themeColor="accent5" w:themeShade="BF"/>
      <w:sz w:val="36"/>
      <w:szCs w:val="32"/>
    </w:rPr>
  </w:style>
  <w:style w:type="character" w:customStyle="1" w:styleId="aaaChar">
    <w:name w:val="aaa Char"/>
    <w:basedOn w:val="Standardnpsmoodstavce"/>
    <w:link w:val="aaa"/>
    <w:rsid w:val="00626958"/>
    <w:rPr>
      <w:rFonts w:ascii="Segoe UI" w:eastAsia="Arial Unicode MS" w:hAnsi="Segoe UI" w:cs="Segoe UI"/>
      <w:bCs/>
      <w:color w:val="2F5496" w:themeColor="accent5" w:themeShade="BF"/>
      <w:sz w:val="36"/>
      <w:szCs w:val="32"/>
    </w:rPr>
  </w:style>
  <w:style w:type="paragraph" w:customStyle="1" w:styleId="Nadpis21">
    <w:name w:val="Nadpis 21"/>
    <w:basedOn w:val="Normln"/>
    <w:next w:val="Normln"/>
    <w:link w:val="Nadpis21Char"/>
    <w:uiPriority w:val="9"/>
    <w:unhideWhenUsed/>
    <w:rsid w:val="00692634"/>
    <w:pPr>
      <w:keepNext/>
      <w:keepLines/>
      <w:numPr>
        <w:ilvl w:val="1"/>
        <w:numId w:val="1"/>
      </w:numPr>
      <w:pBdr>
        <w:bottom w:val="single" w:sz="4" w:space="1" w:color="2F5496" w:themeColor="accent5" w:themeShade="BF"/>
      </w:pBdr>
      <w:spacing w:before="720" w:after="240"/>
      <w:ind w:left="567" w:hanging="567"/>
      <w:outlineLvl w:val="1"/>
    </w:pPr>
    <w:rPr>
      <w:rFonts w:eastAsia="Arial Unicode MS" w:cs="Segoe UI"/>
      <w:color w:val="548DD4"/>
      <w:sz w:val="28"/>
      <w:szCs w:val="30"/>
      <w:lang w:eastAsia="cs-CZ"/>
      <w14:textFill>
        <w14:solidFill>
          <w14:srgbClr w14:val="548DD4">
            <w14:shade w14:val="30000"/>
            <w14:satMod w14:val="115000"/>
          </w14:srgbClr>
        </w14:solidFill>
      </w14:textFill>
    </w:rPr>
  </w:style>
  <w:style w:type="character" w:customStyle="1" w:styleId="Nadpis21Char">
    <w:name w:val="Nadpis 21 Char"/>
    <w:basedOn w:val="Standardnpsmoodstavce"/>
    <w:link w:val="Nadpis21"/>
    <w:uiPriority w:val="9"/>
    <w:rsid w:val="00692634"/>
    <w:rPr>
      <w:rFonts w:ascii="Segoe UI" w:eastAsia="Arial Unicode MS" w:hAnsi="Segoe UI" w:cs="Segoe UI"/>
      <w:color w:val="548DD4"/>
      <w:sz w:val="28"/>
      <w:szCs w:val="30"/>
      <w:lang w:eastAsia="cs-CZ"/>
      <w14:textFill>
        <w14:solidFill>
          <w14:srgbClr w14:val="548DD4">
            <w14:shade w14:val="30000"/>
            <w14:satMod w14:val="115000"/>
          </w14:srgbClr>
        </w14:solidFill>
      </w14:textFill>
    </w:rPr>
  </w:style>
  <w:style w:type="character" w:customStyle="1" w:styleId="Nadpis2Char">
    <w:name w:val="Nadpis 2 Char"/>
    <w:aliases w:val="N 2 Char,Nadpis 2 Z Char,Dipl2 Char"/>
    <w:basedOn w:val="Standardnpsmoodstavce"/>
    <w:link w:val="Nadpis2"/>
    <w:uiPriority w:val="9"/>
    <w:rsid w:val="00FA4206"/>
    <w:rPr>
      <w:rFonts w:ascii="Segoe UI" w:eastAsia="Arial Unicode MS" w:hAnsi="Segoe UI" w:cs="Segoe UI"/>
      <w:color w:val="548DD4"/>
      <w:sz w:val="28"/>
      <w:szCs w:val="28"/>
      <w:lang w:eastAsia="cs-CZ"/>
      <w14:textFill>
        <w14:solidFill>
          <w14:srgbClr w14:val="548DD4">
            <w14:shade w14:val="30000"/>
            <w14:satMod w14:val="115000"/>
          </w14:srgbClr>
        </w14:solidFill>
      </w14:textFill>
    </w:rPr>
  </w:style>
  <w:style w:type="character" w:customStyle="1" w:styleId="Nadpis3Char">
    <w:name w:val="Nadpis 3 Char"/>
    <w:aliases w:val="Nadpis 3 Z Char,Dipl3 Char"/>
    <w:basedOn w:val="Standardnpsmoodstavce"/>
    <w:link w:val="Nadpis3"/>
    <w:uiPriority w:val="9"/>
    <w:rsid w:val="00CF24C8"/>
    <w:rPr>
      <w:rFonts w:ascii="Segoe UI" w:eastAsiaTheme="majorEastAsia" w:hAnsi="Segoe UI" w:cs="Segoe UI"/>
      <w:color w:val="1F3864" w:themeColor="accent5" w:themeShade="80"/>
      <w:sz w:val="24"/>
      <w:szCs w:val="24"/>
    </w:rPr>
  </w:style>
  <w:style w:type="character" w:customStyle="1" w:styleId="Nadpis4Char">
    <w:name w:val="Nadpis 4 Char"/>
    <w:aliases w:val="Nadpis 4 Z Char"/>
    <w:basedOn w:val="Standardnpsmoodstavce"/>
    <w:link w:val="Nadpis4"/>
    <w:uiPriority w:val="9"/>
    <w:rsid w:val="00692634"/>
    <w:rPr>
      <w:rFonts w:asciiTheme="majorHAnsi" w:eastAsiaTheme="majorEastAsia" w:hAnsiTheme="majorHAnsi" w:cstheme="majorBidi"/>
      <w:i/>
      <w:iCs/>
      <w:color w:val="2E74B5" w:themeColor="accent1" w:themeShade="BF"/>
    </w:rPr>
  </w:style>
  <w:style w:type="character" w:customStyle="1" w:styleId="Nadpis6Char">
    <w:name w:val="Nadpis 6 Char"/>
    <w:basedOn w:val="Standardnpsmoodstavce"/>
    <w:link w:val="Nadpis6"/>
    <w:rsid w:val="00692634"/>
    <w:rPr>
      <w:rFonts w:ascii="Arial" w:eastAsia="Arial Unicode MS" w:hAnsi="Arial" w:cs="Arial"/>
      <w:b/>
      <w:bCs/>
      <w:lang w:eastAsia="cs-CZ"/>
    </w:rPr>
  </w:style>
  <w:style w:type="character" w:customStyle="1" w:styleId="Nadpis7Char">
    <w:name w:val="Nadpis 7 Char"/>
    <w:basedOn w:val="Standardnpsmoodstavce"/>
    <w:link w:val="Nadpis7"/>
    <w:rsid w:val="00692634"/>
    <w:rPr>
      <w:rFonts w:ascii="Arial" w:eastAsia="Arial Unicode MS" w:hAnsi="Arial" w:cs="Arial"/>
      <w:sz w:val="24"/>
      <w:szCs w:val="24"/>
      <w:lang w:eastAsia="cs-CZ"/>
    </w:rPr>
  </w:style>
  <w:style w:type="character" w:customStyle="1" w:styleId="Nadpis8Char">
    <w:name w:val="Nadpis 8 Char"/>
    <w:basedOn w:val="Standardnpsmoodstavce"/>
    <w:link w:val="Nadpis8"/>
    <w:rsid w:val="00692634"/>
    <w:rPr>
      <w:rFonts w:ascii="Arial" w:eastAsia="Arial Unicode MS" w:hAnsi="Arial" w:cs="Arial"/>
      <w:i/>
      <w:iCs/>
      <w:sz w:val="24"/>
      <w:szCs w:val="24"/>
      <w:lang w:eastAsia="cs-CZ"/>
    </w:rPr>
  </w:style>
  <w:style w:type="paragraph" w:styleId="Textpoznpodarou">
    <w:name w:val="footnote text"/>
    <w:aliases w:val="poznámka,Text poznámky pod čiarou 007,_Poznámka pod čiarou,Poznámka,pozn. pod čarou,Fußnotentextf,Char1,Schriftart: 9 pt,Schriftart: 10 pt,Schriftart: 8 pt,Geneva 9,Font: Geneva 9,Boston 10,f,Text pozn. pod čarou1,Footnote text"/>
    <w:basedOn w:val="Normln"/>
    <w:link w:val="TextpoznpodarouChar"/>
    <w:uiPriority w:val="99"/>
    <w:qFormat/>
    <w:rsid w:val="00084B07"/>
    <w:rPr>
      <w:rFonts w:eastAsia="Arial Unicode MS" w:cs="Segoe UI"/>
      <w:sz w:val="16"/>
      <w:szCs w:val="16"/>
      <w:lang w:eastAsia="cs-CZ"/>
    </w:rPr>
  </w:style>
  <w:style w:type="character" w:customStyle="1" w:styleId="TextpoznpodarouChar">
    <w:name w:val="Text pozn. pod čarou Char"/>
    <w:aliases w:val="poznámka Char,Text poznámky pod čiarou 007 Char,_Poznámka pod čiarou Char,Poznámka Char,pozn. pod čarou Char,Fußnotentextf Char,Char1 Char,Schriftart: 9 pt Char,Schriftart: 10 pt Char,Schriftart: 8 pt Char,Geneva 9 Char,f Char1"/>
    <w:basedOn w:val="Standardnpsmoodstavce"/>
    <w:link w:val="Textpoznpodarou"/>
    <w:uiPriority w:val="99"/>
    <w:qFormat/>
    <w:rsid w:val="00084B07"/>
    <w:rPr>
      <w:rFonts w:ascii="Segoe UI" w:eastAsia="Arial Unicode MS" w:hAnsi="Segoe UI" w:cs="Segoe UI"/>
      <w:sz w:val="16"/>
      <w:szCs w:val="16"/>
      <w:lang w:eastAsia="cs-CZ"/>
    </w:rPr>
  </w:style>
  <w:style w:type="character" w:styleId="Znakapoznpodarou">
    <w:name w:val="footnote reference"/>
    <w:aliases w:val="PGI Fußnote Ziffer,Footnote symbol,Footnote,BVI fnr,Footnote Reference Superscript,Appel note de bas de p,Appel note de bas de page,Légende,Char Car Car Car Car,Voetnootverwijzing,Légende;Char Car Car Car Car"/>
    <w:basedOn w:val="Standardnpsmoodstavce"/>
    <w:uiPriority w:val="99"/>
    <w:rsid w:val="00692634"/>
    <w:rPr>
      <w:vertAlign w:val="superscript"/>
    </w:rPr>
  </w:style>
  <w:style w:type="character" w:styleId="Hypertextovodkaz">
    <w:name w:val="Hyperlink"/>
    <w:basedOn w:val="Standardnpsmoodstavce"/>
    <w:uiPriority w:val="99"/>
    <w:rsid w:val="00692634"/>
    <w:rPr>
      <w:color w:val="0000FF"/>
      <w:u w:val="single"/>
    </w:rPr>
  </w:style>
  <w:style w:type="paragraph" w:customStyle="1" w:styleId="Poznmkapodarou">
    <w:name w:val="Poznámka pod čarou"/>
    <w:basedOn w:val="Textpoznpodarou"/>
    <w:link w:val="PoznmkapodarouChar"/>
    <w:rsid w:val="00A34764"/>
    <w:pPr>
      <w:spacing w:before="60"/>
      <w:ind w:left="210" w:hanging="210"/>
      <w:jc w:val="left"/>
    </w:pPr>
  </w:style>
  <w:style w:type="character" w:customStyle="1" w:styleId="PoznmkapodarouChar">
    <w:name w:val="Poznámka pod čarou Char"/>
    <w:basedOn w:val="TextpoznpodarouChar"/>
    <w:link w:val="Poznmkapodarou"/>
    <w:rsid w:val="00A34764"/>
    <w:rPr>
      <w:rFonts w:ascii="Segoe UI" w:eastAsia="Arial Unicode MS" w:hAnsi="Segoe UI" w:cs="Segoe UI"/>
      <w:sz w:val="16"/>
      <w:szCs w:val="16"/>
      <w:lang w:eastAsia="cs-CZ"/>
    </w:rPr>
  </w:style>
  <w:style w:type="table" w:styleId="Mkatabulky">
    <w:name w:val="Table Grid"/>
    <w:basedOn w:val="Normlntabulka"/>
    <w:uiPriority w:val="39"/>
    <w:rsid w:val="0069263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aliases w:val="Title for table,picture,graph,formula,Zdroj_moje,titulek tabulka,Tabulka,Titulek tabulky,Tabulka_nadpis,Tabulka-PK"/>
    <w:basedOn w:val="Normln"/>
    <w:next w:val="Normln"/>
    <w:link w:val="TitulekChar"/>
    <w:uiPriority w:val="35"/>
    <w:qFormat/>
    <w:rsid w:val="00692634"/>
    <w:pPr>
      <w:keepNext/>
      <w:spacing w:after="60"/>
    </w:pPr>
    <w:rPr>
      <w:rFonts w:eastAsia="Arial Unicode MS" w:cs="Segoe UI"/>
      <w:b/>
      <w:bCs/>
      <w:szCs w:val="20"/>
      <w:lang w:eastAsia="cs-CZ"/>
    </w:rPr>
  </w:style>
  <w:style w:type="paragraph" w:customStyle="1" w:styleId="Podtreno">
    <w:name w:val="Podtrženo"/>
    <w:basedOn w:val="Normln"/>
    <w:link w:val="PodtrenoChar"/>
    <w:qFormat/>
    <w:rsid w:val="00FF4F44"/>
    <w:rPr>
      <w:rFonts w:eastAsia="Arial Unicode MS" w:cs="Segoe UI"/>
      <w:color w:val="000000"/>
      <w:szCs w:val="20"/>
      <w:u w:val="single"/>
      <w:lang w:eastAsia="cs-CZ"/>
    </w:rPr>
  </w:style>
  <w:style w:type="character" w:customStyle="1" w:styleId="PodtrenoChar">
    <w:name w:val="Podtrženo Char"/>
    <w:basedOn w:val="Standardnpsmoodstavce"/>
    <w:link w:val="Podtreno"/>
    <w:rsid w:val="00FF4F44"/>
    <w:rPr>
      <w:rFonts w:ascii="Segoe UI" w:eastAsia="Arial Unicode MS" w:hAnsi="Segoe UI" w:cs="Segoe UI"/>
      <w:color w:val="000000"/>
      <w:sz w:val="20"/>
      <w:szCs w:val="20"/>
      <w:u w:val="single"/>
      <w:lang w:eastAsia="cs-CZ"/>
    </w:rPr>
  </w:style>
  <w:style w:type="character" w:customStyle="1" w:styleId="TitulekChar">
    <w:name w:val="Titulek Char"/>
    <w:aliases w:val="Title for table Char,picture Char,graph Char,formula Char,Zdroj_moje Char,titulek tabulka Char,Tabulka Char,Titulek tabulky Char,Tabulka_nadpis Char,Tabulka-PK Char"/>
    <w:link w:val="Titulek"/>
    <w:uiPriority w:val="35"/>
    <w:qFormat/>
    <w:rsid w:val="00692634"/>
    <w:rPr>
      <w:rFonts w:ascii="Segoe UI" w:eastAsia="Arial Unicode MS" w:hAnsi="Segoe UI" w:cs="Segoe UI"/>
      <w:b/>
      <w:bCs/>
      <w:sz w:val="20"/>
      <w:szCs w:val="20"/>
      <w:lang w:eastAsia="cs-CZ"/>
    </w:rPr>
  </w:style>
  <w:style w:type="paragraph" w:customStyle="1" w:styleId="SPRSSTitulek">
    <w:name w:val="SPRSS Titulek"/>
    <w:basedOn w:val="Titulek"/>
    <w:link w:val="SPRSSTitulekChar"/>
    <w:rsid w:val="004F77A5"/>
    <w:pPr>
      <w:spacing w:before="240"/>
    </w:pPr>
    <w:rPr>
      <w:bCs w:val="0"/>
      <w:sz w:val="18"/>
      <w:szCs w:val="18"/>
    </w:rPr>
  </w:style>
  <w:style w:type="paragraph" w:customStyle="1" w:styleId="Zdrojobjektu">
    <w:name w:val="Zdroj objektu"/>
    <w:basedOn w:val="Normln"/>
    <w:link w:val="ZdrojobjektuChar"/>
    <w:qFormat/>
    <w:rsid w:val="00694609"/>
    <w:pPr>
      <w:spacing w:before="0"/>
    </w:pPr>
    <w:rPr>
      <w:rFonts w:eastAsia="Arial Unicode MS" w:cs="Arial"/>
      <w:i/>
      <w:sz w:val="18"/>
      <w:szCs w:val="24"/>
      <w:lang w:eastAsia="cs-CZ"/>
    </w:rPr>
  </w:style>
  <w:style w:type="character" w:customStyle="1" w:styleId="SPRSSTitulekChar">
    <w:name w:val="SPRSS Titulek Char"/>
    <w:basedOn w:val="TitulekChar"/>
    <w:link w:val="SPRSSTitulek"/>
    <w:rsid w:val="004F77A5"/>
    <w:rPr>
      <w:rFonts w:ascii="Segoe UI" w:eastAsia="Arial Unicode MS" w:hAnsi="Segoe UI" w:cs="Segoe UI"/>
      <w:b/>
      <w:bCs w:val="0"/>
      <w:sz w:val="18"/>
      <w:szCs w:val="18"/>
      <w:lang w:eastAsia="cs-CZ"/>
    </w:rPr>
  </w:style>
  <w:style w:type="character" w:customStyle="1" w:styleId="ZdrojobjektuChar">
    <w:name w:val="Zdroj objektu Char"/>
    <w:basedOn w:val="Standardnpsmoodstavce"/>
    <w:link w:val="Zdrojobjektu"/>
    <w:rsid w:val="00694609"/>
    <w:rPr>
      <w:rFonts w:ascii="Segoe UI" w:eastAsia="Arial Unicode MS" w:hAnsi="Segoe UI" w:cs="Arial"/>
      <w:i/>
      <w:sz w:val="18"/>
      <w:szCs w:val="24"/>
      <w:lang w:eastAsia="cs-CZ"/>
    </w:rPr>
  </w:style>
  <w:style w:type="paragraph" w:customStyle="1" w:styleId="SPRSodrky">
    <w:name w:val="SPRS odrážky"/>
    <w:basedOn w:val="Normln"/>
    <w:link w:val="SPRSodrkyChar"/>
    <w:qFormat/>
    <w:rsid w:val="00874900"/>
    <w:pPr>
      <w:numPr>
        <w:numId w:val="4"/>
      </w:numPr>
      <w:spacing w:before="60"/>
    </w:pPr>
    <w:rPr>
      <w:rFonts w:eastAsia="Arial Unicode MS" w:cs="Segoe UI"/>
      <w:szCs w:val="20"/>
      <w:lang w:eastAsia="cs-CZ"/>
    </w:rPr>
  </w:style>
  <w:style w:type="character" w:customStyle="1" w:styleId="SPRSodrkyChar">
    <w:name w:val="SPRS odrážky Char"/>
    <w:basedOn w:val="Standardnpsmoodstavce"/>
    <w:link w:val="SPRSodrky"/>
    <w:rsid w:val="00874900"/>
    <w:rPr>
      <w:rFonts w:ascii="Segoe UI" w:eastAsia="Arial Unicode MS" w:hAnsi="Segoe UI" w:cs="Segoe UI"/>
      <w:sz w:val="20"/>
      <w:szCs w:val="20"/>
      <w:lang w:eastAsia="cs-CZ"/>
    </w:rPr>
  </w:style>
  <w:style w:type="paragraph" w:customStyle="1" w:styleId="1text">
    <w:name w:val="1 text"/>
    <w:rsid w:val="00692634"/>
    <w:pPr>
      <w:spacing w:before="120" w:after="0" w:line="240" w:lineRule="auto"/>
      <w:jc w:val="both"/>
    </w:pPr>
    <w:rPr>
      <w:rFonts w:ascii="Segoe UI" w:eastAsia="Times New Roman" w:hAnsi="Segoe UI" w:cs="Times New Roman"/>
      <w:sz w:val="20"/>
    </w:rPr>
  </w:style>
  <w:style w:type="character" w:customStyle="1" w:styleId="Nadpis5Char">
    <w:name w:val="Nadpis 5 Char"/>
    <w:basedOn w:val="Standardnpsmoodstavce"/>
    <w:link w:val="Nadpis5"/>
    <w:rsid w:val="001B3808"/>
    <w:rPr>
      <w:rFonts w:asciiTheme="majorHAnsi" w:eastAsiaTheme="majorEastAsia" w:hAnsiTheme="majorHAnsi" w:cstheme="majorBidi"/>
      <w:color w:val="2E74B5" w:themeColor="accent1" w:themeShade="BF"/>
    </w:rPr>
  </w:style>
  <w:style w:type="character" w:customStyle="1" w:styleId="Nadpis9Char">
    <w:name w:val="Nadpis 9 Char"/>
    <w:basedOn w:val="Standardnpsmoodstavce"/>
    <w:link w:val="Nadpis9"/>
    <w:uiPriority w:val="9"/>
    <w:rsid w:val="001B3808"/>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626958"/>
    <w:pPr>
      <w:numPr>
        <w:numId w:val="0"/>
      </w:numPr>
      <w:pBdr>
        <w:bottom w:val="none" w:sz="0" w:space="0" w:color="auto"/>
      </w:pBdr>
      <w:spacing w:before="240" w:after="0" w:line="259" w:lineRule="auto"/>
      <w:outlineLvl w:val="9"/>
    </w:pPr>
    <w:rPr>
      <w:rFonts w:asciiTheme="majorHAnsi" w:eastAsiaTheme="majorEastAsia" w:hAnsiTheme="majorHAnsi" w:cstheme="majorBidi"/>
      <w:color w:val="5B9BD5" w:themeColor="accent1"/>
      <w:szCs w:val="32"/>
      <w14:textFill>
        <w14:solidFill>
          <w14:schemeClr w14:val="accent1">
            <w14:lumMod w14:val="75000"/>
            <w14:shade w14:val="30000"/>
            <w14:satMod w14:val="115000"/>
          </w14:schemeClr>
        </w14:solidFill>
      </w14:textFill>
    </w:rPr>
  </w:style>
  <w:style w:type="paragraph" w:styleId="Obsah1">
    <w:name w:val="toc 1"/>
    <w:basedOn w:val="Normln"/>
    <w:next w:val="Normln"/>
    <w:autoRedefine/>
    <w:uiPriority w:val="39"/>
    <w:unhideWhenUsed/>
    <w:qFormat/>
    <w:rsid w:val="00D0553A"/>
    <w:pPr>
      <w:tabs>
        <w:tab w:val="right" w:leader="hyphen" w:pos="9072"/>
      </w:tabs>
      <w:spacing w:before="240" w:after="120"/>
    </w:pPr>
    <w:rPr>
      <w:rFonts w:cstheme="minorHAnsi"/>
      <w:b/>
      <w:bCs/>
      <w:szCs w:val="20"/>
    </w:rPr>
  </w:style>
  <w:style w:type="paragraph" w:styleId="Obsah2">
    <w:name w:val="toc 2"/>
    <w:basedOn w:val="Normln"/>
    <w:next w:val="Normln"/>
    <w:autoRedefine/>
    <w:uiPriority w:val="39"/>
    <w:unhideWhenUsed/>
    <w:qFormat/>
    <w:rsid w:val="00626958"/>
    <w:pPr>
      <w:ind w:left="220"/>
    </w:pPr>
    <w:rPr>
      <w:rFonts w:cstheme="minorHAnsi"/>
      <w:i/>
      <w:iCs/>
      <w:szCs w:val="20"/>
    </w:rPr>
  </w:style>
  <w:style w:type="paragraph" w:styleId="Obsah3">
    <w:name w:val="toc 3"/>
    <w:basedOn w:val="Normln"/>
    <w:next w:val="Normln"/>
    <w:autoRedefine/>
    <w:uiPriority w:val="39"/>
    <w:unhideWhenUsed/>
    <w:qFormat/>
    <w:rsid w:val="00626958"/>
    <w:pPr>
      <w:ind w:left="440"/>
    </w:pPr>
    <w:rPr>
      <w:rFonts w:cstheme="minorHAnsi"/>
      <w:szCs w:val="20"/>
    </w:rPr>
  </w:style>
  <w:style w:type="paragraph" w:styleId="Zhlav">
    <w:name w:val="header"/>
    <w:aliases w:val="Záhlaví a zápatí"/>
    <w:basedOn w:val="Normln"/>
    <w:link w:val="ZhlavChar"/>
    <w:uiPriority w:val="99"/>
    <w:unhideWhenUsed/>
    <w:rsid w:val="00626958"/>
    <w:pPr>
      <w:tabs>
        <w:tab w:val="center" w:pos="4536"/>
        <w:tab w:val="right" w:pos="9072"/>
      </w:tabs>
    </w:pPr>
  </w:style>
  <w:style w:type="character" w:customStyle="1" w:styleId="ZhlavChar">
    <w:name w:val="Záhlaví Char"/>
    <w:aliases w:val="Záhlaví a zápatí Char"/>
    <w:basedOn w:val="Standardnpsmoodstavce"/>
    <w:link w:val="Zhlav"/>
    <w:uiPriority w:val="99"/>
    <w:rsid w:val="00626958"/>
  </w:style>
  <w:style w:type="paragraph" w:styleId="Zpat">
    <w:name w:val="footer"/>
    <w:aliases w:val="Char10"/>
    <w:basedOn w:val="Normln"/>
    <w:link w:val="ZpatChar"/>
    <w:uiPriority w:val="99"/>
    <w:unhideWhenUsed/>
    <w:rsid w:val="00626958"/>
    <w:pPr>
      <w:tabs>
        <w:tab w:val="center" w:pos="4536"/>
        <w:tab w:val="right" w:pos="9072"/>
      </w:tabs>
    </w:pPr>
  </w:style>
  <w:style w:type="character" w:customStyle="1" w:styleId="ZpatChar">
    <w:name w:val="Zápatí Char"/>
    <w:aliases w:val="Char10 Char"/>
    <w:basedOn w:val="Standardnpsmoodstavce"/>
    <w:link w:val="Zpat"/>
    <w:uiPriority w:val="99"/>
    <w:rsid w:val="00626958"/>
  </w:style>
  <w:style w:type="numbering" w:customStyle="1" w:styleId="Bezseznamu1">
    <w:name w:val="Bez seznamu1"/>
    <w:next w:val="Bezseznamu"/>
    <w:uiPriority w:val="99"/>
    <w:semiHidden/>
    <w:unhideWhenUsed/>
    <w:rsid w:val="00626958"/>
  </w:style>
  <w:style w:type="character" w:styleId="Odkaznakoment">
    <w:name w:val="annotation reference"/>
    <w:basedOn w:val="Standardnpsmoodstavce"/>
    <w:uiPriority w:val="99"/>
    <w:rsid w:val="00626958"/>
    <w:rPr>
      <w:sz w:val="16"/>
      <w:szCs w:val="16"/>
    </w:rPr>
  </w:style>
  <w:style w:type="paragraph" w:styleId="Textkomente">
    <w:name w:val="annotation text"/>
    <w:basedOn w:val="Normln"/>
    <w:link w:val="TextkomenteChar"/>
    <w:uiPriority w:val="99"/>
    <w:rsid w:val="00626958"/>
    <w:pPr>
      <w:spacing w:line="252" w:lineRule="auto"/>
    </w:pPr>
    <w:rPr>
      <w:rFonts w:ascii="Arial" w:eastAsia="Arial Unicode MS" w:hAnsi="Arial" w:cs="Arial"/>
      <w:szCs w:val="20"/>
      <w:lang w:eastAsia="cs-CZ"/>
    </w:rPr>
  </w:style>
  <w:style w:type="character" w:customStyle="1" w:styleId="TextkomenteChar">
    <w:name w:val="Text komentáře Char"/>
    <w:basedOn w:val="Standardnpsmoodstavce"/>
    <w:link w:val="Textkomente"/>
    <w:uiPriority w:val="99"/>
    <w:rsid w:val="00626958"/>
    <w:rPr>
      <w:rFonts w:ascii="Arial" w:eastAsia="Arial Unicode MS" w:hAnsi="Arial" w:cs="Arial"/>
      <w:sz w:val="20"/>
      <w:szCs w:val="20"/>
      <w:lang w:eastAsia="cs-CZ"/>
    </w:rPr>
  </w:style>
  <w:style w:type="character" w:styleId="Siln">
    <w:name w:val="Strong"/>
    <w:uiPriority w:val="22"/>
    <w:qFormat/>
    <w:rsid w:val="00626958"/>
    <w:rPr>
      <w:b/>
      <w:u w:val="single"/>
    </w:rPr>
  </w:style>
  <w:style w:type="paragraph" w:customStyle="1" w:styleId="slovn">
    <w:name w:val="číslování"/>
    <w:basedOn w:val="Odstavecseseznamem"/>
    <w:link w:val="slovnChar"/>
    <w:rsid w:val="00626958"/>
    <w:pPr>
      <w:numPr>
        <w:numId w:val="7"/>
      </w:numPr>
      <w:ind w:left="432" w:hanging="432"/>
    </w:pPr>
    <w:rPr>
      <w:b/>
      <w:i/>
    </w:rPr>
  </w:style>
  <w:style w:type="character" w:customStyle="1" w:styleId="slovnChar">
    <w:name w:val="číslování Char"/>
    <w:basedOn w:val="Standardnpsmoodstavce"/>
    <w:link w:val="slovn"/>
    <w:rsid w:val="00626958"/>
    <w:rPr>
      <w:rFonts w:ascii="Arial" w:eastAsia="Arial Unicode MS" w:hAnsi="Arial" w:cs="Arial"/>
      <w:b/>
      <w:i/>
      <w:sz w:val="24"/>
      <w:szCs w:val="24"/>
      <w:lang w:eastAsia="cs-CZ"/>
    </w:rPr>
  </w:style>
  <w:style w:type="paragraph" w:customStyle="1" w:styleId="Odrky">
    <w:name w:val="Odrážky"/>
    <w:basedOn w:val="Odstavecseseznamem"/>
    <w:link w:val="OdrkyChar"/>
    <w:rsid w:val="00626958"/>
    <w:pPr>
      <w:numPr>
        <w:numId w:val="6"/>
      </w:numPr>
      <w:contextualSpacing w:val="0"/>
    </w:pPr>
  </w:style>
  <w:style w:type="character" w:customStyle="1" w:styleId="OdrkyChar">
    <w:name w:val="Odrážky Char"/>
    <w:basedOn w:val="Standardnpsmoodstavce"/>
    <w:link w:val="Odrky"/>
    <w:rsid w:val="00626958"/>
    <w:rPr>
      <w:rFonts w:ascii="Arial" w:eastAsia="Arial Unicode MS" w:hAnsi="Arial" w:cs="Arial"/>
      <w:sz w:val="24"/>
      <w:szCs w:val="24"/>
      <w:lang w:eastAsia="cs-CZ"/>
    </w:rPr>
  </w:style>
  <w:style w:type="character" w:customStyle="1" w:styleId="Zdraznnintenzivn1">
    <w:name w:val="Zdůraznění – intenzivní1"/>
    <w:basedOn w:val="Standardnpsmoodstavce"/>
    <w:uiPriority w:val="21"/>
    <w:qFormat/>
    <w:rsid w:val="00626958"/>
    <w:rPr>
      <w:b/>
      <w:bCs/>
      <w:i/>
      <w:iCs/>
      <w:color w:val="4F81BD"/>
      <w:sz w:val="40"/>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2643C1"/>
    <w:pPr>
      <w:spacing w:line="252" w:lineRule="auto"/>
      <w:ind w:left="720"/>
      <w:contextualSpacing/>
    </w:pPr>
    <w:rPr>
      <w:rFonts w:eastAsia="Arial Unicode MS" w:cs="Arial"/>
      <w:szCs w:val="24"/>
      <w:lang w:eastAsia="cs-CZ"/>
    </w:rPr>
  </w:style>
  <w:style w:type="paragraph" w:styleId="Textbubliny">
    <w:name w:val="Balloon Text"/>
    <w:basedOn w:val="Normln"/>
    <w:link w:val="TextbublinyChar"/>
    <w:uiPriority w:val="99"/>
    <w:unhideWhenUsed/>
    <w:rsid w:val="00626958"/>
    <w:rPr>
      <w:rFonts w:ascii="Tahoma" w:eastAsia="Arial Unicode MS" w:hAnsi="Tahoma" w:cs="Tahoma"/>
      <w:sz w:val="16"/>
      <w:szCs w:val="16"/>
      <w:lang w:eastAsia="cs-CZ"/>
    </w:rPr>
  </w:style>
  <w:style w:type="character" w:customStyle="1" w:styleId="TextbublinyChar">
    <w:name w:val="Text bubliny Char"/>
    <w:basedOn w:val="Standardnpsmoodstavce"/>
    <w:link w:val="Textbubliny"/>
    <w:uiPriority w:val="99"/>
    <w:rsid w:val="00626958"/>
    <w:rPr>
      <w:rFonts w:ascii="Tahoma" w:eastAsia="Arial Unicode MS" w:hAnsi="Tahoma" w:cs="Tahoma"/>
      <w:sz w:val="16"/>
      <w:szCs w:val="16"/>
      <w:lang w:eastAsia="cs-CZ"/>
    </w:rPr>
  </w:style>
  <w:style w:type="paragraph" w:styleId="Pedmtkomente">
    <w:name w:val="annotation subject"/>
    <w:basedOn w:val="Textkomente"/>
    <w:next w:val="Textkomente"/>
    <w:link w:val="PedmtkomenteChar"/>
    <w:uiPriority w:val="99"/>
    <w:unhideWhenUsed/>
    <w:rsid w:val="00626958"/>
    <w:pPr>
      <w:spacing w:line="240" w:lineRule="auto"/>
    </w:pPr>
    <w:rPr>
      <w:b/>
      <w:bCs/>
    </w:rPr>
  </w:style>
  <w:style w:type="character" w:customStyle="1" w:styleId="PedmtkomenteChar">
    <w:name w:val="Předmět komentáře Char"/>
    <w:basedOn w:val="TextkomenteChar"/>
    <w:link w:val="Pedmtkomente"/>
    <w:uiPriority w:val="99"/>
    <w:rsid w:val="00626958"/>
    <w:rPr>
      <w:rFonts w:ascii="Arial" w:eastAsia="Arial Unicode MS" w:hAnsi="Arial" w:cs="Arial"/>
      <w:b/>
      <w:bCs/>
      <w:sz w:val="20"/>
      <w:szCs w:val="20"/>
      <w:lang w:eastAsia="cs-CZ"/>
    </w:rPr>
  </w:style>
  <w:style w:type="paragraph" w:styleId="Normlnweb">
    <w:name w:val="Normal (Web)"/>
    <w:basedOn w:val="Normln"/>
    <w:link w:val="NormlnwebChar"/>
    <w:uiPriority w:val="99"/>
    <w:rsid w:val="00626958"/>
    <w:pPr>
      <w:spacing w:before="100" w:beforeAutospacing="1" w:after="100" w:afterAutospacing="1" w:line="252" w:lineRule="auto"/>
    </w:pPr>
    <w:rPr>
      <w:rFonts w:ascii="Arial" w:eastAsia="Arial Unicode MS" w:hAnsi="Arial" w:cs="Arial"/>
      <w:sz w:val="24"/>
      <w:szCs w:val="24"/>
      <w:lang w:eastAsia="cs-CZ"/>
    </w:rPr>
  </w:style>
  <w:style w:type="paragraph" w:styleId="Revize">
    <w:name w:val="Revision"/>
    <w:hidden/>
    <w:uiPriority w:val="99"/>
    <w:semiHidden/>
    <w:rsid w:val="00626958"/>
    <w:pPr>
      <w:spacing w:after="0" w:line="240" w:lineRule="auto"/>
    </w:pPr>
    <w:rPr>
      <w:rFonts w:ascii="Times New Roman" w:eastAsia="Times New Roman" w:hAnsi="Times New Roman" w:cs="Times New Roman"/>
      <w:sz w:val="24"/>
      <w:szCs w:val="24"/>
      <w:lang w:eastAsia="cs-CZ"/>
    </w:rPr>
  </w:style>
  <w:style w:type="character" w:customStyle="1" w:styleId="NormlnwebChar">
    <w:name w:val="Normální (web) Char"/>
    <w:basedOn w:val="Standardnpsmoodstavce"/>
    <w:link w:val="Normlnweb"/>
    <w:uiPriority w:val="99"/>
    <w:rsid w:val="00626958"/>
    <w:rPr>
      <w:rFonts w:ascii="Arial" w:eastAsia="Arial Unicode MS" w:hAnsi="Arial" w:cs="Arial"/>
      <w:sz w:val="24"/>
      <w:szCs w:val="24"/>
      <w:lang w:eastAsia="cs-CZ"/>
    </w:rPr>
  </w:style>
  <w:style w:type="paragraph" w:styleId="Zkladntext">
    <w:name w:val="Body Text"/>
    <w:basedOn w:val="Normln"/>
    <w:link w:val="ZkladntextChar"/>
    <w:rsid w:val="00626958"/>
    <w:pPr>
      <w:spacing w:line="252" w:lineRule="auto"/>
    </w:pPr>
    <w:rPr>
      <w:rFonts w:ascii="Arial" w:eastAsia="Arial Unicode MS" w:hAnsi="Arial" w:cs="Arial"/>
      <w:sz w:val="24"/>
      <w:szCs w:val="24"/>
      <w:lang w:eastAsia="cs-CZ"/>
    </w:rPr>
  </w:style>
  <w:style w:type="character" w:customStyle="1" w:styleId="ZkladntextChar">
    <w:name w:val="Základní text Char"/>
    <w:basedOn w:val="Standardnpsmoodstavce"/>
    <w:link w:val="Zkladntext"/>
    <w:rsid w:val="00626958"/>
    <w:rPr>
      <w:rFonts w:ascii="Arial" w:eastAsia="Arial Unicode MS" w:hAnsi="Arial" w:cs="Arial"/>
      <w:sz w:val="24"/>
      <w:szCs w:val="24"/>
      <w:lang w:eastAsia="cs-CZ"/>
    </w:rPr>
  </w:style>
  <w:style w:type="paragraph" w:styleId="Zkladntext2">
    <w:name w:val="Body Text 2"/>
    <w:basedOn w:val="Normln"/>
    <w:link w:val="Zkladntext2Char"/>
    <w:uiPriority w:val="99"/>
    <w:rsid w:val="00626958"/>
    <w:pPr>
      <w:spacing w:line="252" w:lineRule="auto"/>
    </w:pPr>
    <w:rPr>
      <w:rFonts w:ascii="Arial" w:eastAsia="Arial Unicode MS" w:hAnsi="Arial" w:cs="Arial"/>
      <w:b/>
      <w:bCs/>
      <w:sz w:val="24"/>
      <w:szCs w:val="24"/>
      <w:lang w:eastAsia="cs-CZ"/>
    </w:rPr>
  </w:style>
  <w:style w:type="character" w:customStyle="1" w:styleId="Zkladntext2Char">
    <w:name w:val="Základní text 2 Char"/>
    <w:basedOn w:val="Standardnpsmoodstavce"/>
    <w:link w:val="Zkladntext2"/>
    <w:uiPriority w:val="99"/>
    <w:rsid w:val="00626958"/>
    <w:rPr>
      <w:rFonts w:ascii="Arial" w:eastAsia="Arial Unicode MS" w:hAnsi="Arial" w:cs="Arial"/>
      <w:b/>
      <w:bCs/>
      <w:sz w:val="24"/>
      <w:szCs w:val="24"/>
      <w:lang w:eastAsia="cs-CZ"/>
    </w:rPr>
  </w:style>
  <w:style w:type="paragraph" w:styleId="Zkladntext3">
    <w:name w:val="Body Text 3"/>
    <w:basedOn w:val="Normln"/>
    <w:link w:val="Zkladntext3Char"/>
    <w:uiPriority w:val="99"/>
    <w:rsid w:val="00626958"/>
    <w:pPr>
      <w:spacing w:line="252" w:lineRule="auto"/>
    </w:pPr>
    <w:rPr>
      <w:rFonts w:ascii="Arial" w:eastAsia="Arial Unicode MS" w:hAnsi="Arial" w:cs="Arial"/>
      <w:b/>
      <w:bCs/>
      <w:sz w:val="24"/>
      <w:szCs w:val="24"/>
      <w:lang w:eastAsia="cs-CZ"/>
    </w:rPr>
  </w:style>
  <w:style w:type="character" w:customStyle="1" w:styleId="Zkladntext3Char">
    <w:name w:val="Základní text 3 Char"/>
    <w:basedOn w:val="Standardnpsmoodstavce"/>
    <w:link w:val="Zkladntext3"/>
    <w:uiPriority w:val="99"/>
    <w:rsid w:val="00626958"/>
    <w:rPr>
      <w:rFonts w:ascii="Arial" w:eastAsia="Arial Unicode MS" w:hAnsi="Arial" w:cs="Arial"/>
      <w:b/>
      <w:bCs/>
      <w:sz w:val="24"/>
      <w:szCs w:val="24"/>
      <w:lang w:eastAsia="cs-CZ"/>
    </w:rPr>
  </w:style>
  <w:style w:type="paragraph" w:customStyle="1" w:styleId="BAKALKA">
    <w:name w:val="BAKALÁŘKA"/>
    <w:basedOn w:val="Normln"/>
    <w:link w:val="BAKALKAChar"/>
    <w:autoRedefine/>
    <w:rsid w:val="00626958"/>
    <w:pPr>
      <w:numPr>
        <w:numId w:val="11"/>
      </w:numPr>
      <w:spacing w:before="60" w:line="252" w:lineRule="auto"/>
    </w:pPr>
    <w:rPr>
      <w:rFonts w:ascii="Arial" w:eastAsia="Arial Unicode MS" w:hAnsi="Arial" w:cs="Arial"/>
      <w:b/>
      <w:i/>
      <w:sz w:val="24"/>
      <w:szCs w:val="24"/>
      <w:lang w:eastAsia="cs-CZ"/>
    </w:rPr>
  </w:style>
  <w:style w:type="character" w:customStyle="1" w:styleId="BAKALKAChar">
    <w:name w:val="BAKALÁŘKA Char"/>
    <w:basedOn w:val="Standardnpsmoodstavce"/>
    <w:link w:val="BAKALKA"/>
    <w:rsid w:val="00626958"/>
    <w:rPr>
      <w:rFonts w:ascii="Arial" w:eastAsia="Arial Unicode MS" w:hAnsi="Arial" w:cs="Arial"/>
      <w:b/>
      <w:i/>
      <w:sz w:val="24"/>
      <w:szCs w:val="24"/>
      <w:lang w:eastAsia="cs-CZ"/>
    </w:rPr>
  </w:style>
  <w:style w:type="paragraph" w:customStyle="1" w:styleId="Styl1">
    <w:name w:val="Styl1"/>
    <w:basedOn w:val="BAKALKA"/>
    <w:rsid w:val="00626958"/>
    <w:pPr>
      <w:numPr>
        <w:numId w:val="8"/>
      </w:numPr>
      <w:tabs>
        <w:tab w:val="clear" w:pos="482"/>
        <w:tab w:val="num" w:pos="360"/>
        <w:tab w:val="num" w:pos="720"/>
      </w:tabs>
      <w:ind w:left="0" w:firstLine="680"/>
    </w:pPr>
    <w:rPr>
      <w:b w:val="0"/>
      <w:bCs/>
    </w:rPr>
  </w:style>
  <w:style w:type="paragraph" w:customStyle="1" w:styleId="Odstavecseseznamem1">
    <w:name w:val="Odstavec se seznamem1"/>
    <w:basedOn w:val="Normln"/>
    <w:uiPriority w:val="34"/>
    <w:qFormat/>
    <w:rsid w:val="00626958"/>
    <w:pPr>
      <w:spacing w:line="252" w:lineRule="auto"/>
      <w:ind w:left="720"/>
      <w:contextualSpacing/>
    </w:pPr>
    <w:rPr>
      <w:rFonts w:ascii="Arial" w:eastAsia="Calibri" w:hAnsi="Arial" w:cs="Arial"/>
      <w:lang w:eastAsia="cs-CZ"/>
    </w:rPr>
  </w:style>
  <w:style w:type="character" w:styleId="slostrnky">
    <w:name w:val="page number"/>
    <w:basedOn w:val="Standardnpsmoodstavce"/>
    <w:uiPriority w:val="99"/>
    <w:rsid w:val="00626958"/>
  </w:style>
  <w:style w:type="paragraph" w:customStyle="1" w:styleId="Default">
    <w:name w:val="Default"/>
    <w:rsid w:val="00626958"/>
    <w:pPr>
      <w:autoSpaceDE w:val="0"/>
      <w:autoSpaceDN w:val="0"/>
      <w:adjustRightInd w:val="0"/>
      <w:spacing w:after="0" w:line="240" w:lineRule="auto"/>
    </w:pPr>
    <w:rPr>
      <w:rFonts w:ascii="Arial" w:eastAsia="Times New Roman" w:hAnsi="Arial" w:cs="Arial"/>
      <w:color w:val="000000"/>
      <w:sz w:val="24"/>
      <w:szCs w:val="24"/>
      <w:lang w:eastAsia="cs-CZ"/>
    </w:rPr>
  </w:style>
  <w:style w:type="character" w:customStyle="1" w:styleId="CommentTextChar">
    <w:name w:val="Comment Text Char"/>
    <w:basedOn w:val="Standardnpsmoodstavce"/>
    <w:semiHidden/>
    <w:locked/>
    <w:rsid w:val="00626958"/>
    <w:rPr>
      <w:rFonts w:cs="Times New Roman"/>
      <w:sz w:val="20"/>
      <w:szCs w:val="20"/>
    </w:rPr>
  </w:style>
  <w:style w:type="paragraph" w:styleId="Rejstk1">
    <w:name w:val="index 1"/>
    <w:basedOn w:val="Normln"/>
    <w:next w:val="Normln"/>
    <w:autoRedefine/>
    <w:uiPriority w:val="99"/>
    <w:rsid w:val="00626958"/>
    <w:pPr>
      <w:spacing w:line="252" w:lineRule="auto"/>
      <w:ind w:left="240" w:hanging="240"/>
    </w:pPr>
    <w:rPr>
      <w:rFonts w:ascii="Calibri" w:eastAsia="Arial Unicode MS" w:hAnsi="Calibri" w:cs="Calibri"/>
      <w:sz w:val="18"/>
      <w:szCs w:val="18"/>
      <w:lang w:eastAsia="cs-CZ"/>
    </w:rPr>
  </w:style>
  <w:style w:type="paragraph" w:styleId="Rejstk2">
    <w:name w:val="index 2"/>
    <w:basedOn w:val="Normln"/>
    <w:next w:val="Normln"/>
    <w:autoRedefine/>
    <w:rsid w:val="00626958"/>
    <w:pPr>
      <w:spacing w:line="252" w:lineRule="auto"/>
      <w:ind w:left="480" w:hanging="240"/>
    </w:pPr>
    <w:rPr>
      <w:rFonts w:ascii="Calibri" w:eastAsia="Arial Unicode MS" w:hAnsi="Calibri" w:cs="Calibri"/>
      <w:sz w:val="18"/>
      <w:szCs w:val="18"/>
      <w:lang w:eastAsia="cs-CZ"/>
    </w:rPr>
  </w:style>
  <w:style w:type="paragraph" w:styleId="Rejstk3">
    <w:name w:val="index 3"/>
    <w:basedOn w:val="Normln"/>
    <w:next w:val="Normln"/>
    <w:autoRedefine/>
    <w:rsid w:val="00626958"/>
    <w:pPr>
      <w:spacing w:line="252" w:lineRule="auto"/>
      <w:ind w:left="720" w:hanging="240"/>
    </w:pPr>
    <w:rPr>
      <w:rFonts w:ascii="Calibri" w:eastAsia="Arial Unicode MS" w:hAnsi="Calibri" w:cs="Calibri"/>
      <w:sz w:val="18"/>
      <w:szCs w:val="18"/>
      <w:lang w:eastAsia="cs-CZ"/>
    </w:rPr>
  </w:style>
  <w:style w:type="paragraph" w:styleId="Rejstk4">
    <w:name w:val="index 4"/>
    <w:basedOn w:val="Normln"/>
    <w:next w:val="Normln"/>
    <w:autoRedefine/>
    <w:rsid w:val="00626958"/>
    <w:pPr>
      <w:spacing w:line="252" w:lineRule="auto"/>
      <w:ind w:left="960" w:hanging="240"/>
    </w:pPr>
    <w:rPr>
      <w:rFonts w:ascii="Calibri" w:eastAsia="Arial Unicode MS" w:hAnsi="Calibri" w:cs="Calibri"/>
      <w:sz w:val="18"/>
      <w:szCs w:val="18"/>
      <w:lang w:eastAsia="cs-CZ"/>
    </w:rPr>
  </w:style>
  <w:style w:type="paragraph" w:styleId="Rejstk5">
    <w:name w:val="index 5"/>
    <w:basedOn w:val="Normln"/>
    <w:next w:val="Normln"/>
    <w:autoRedefine/>
    <w:rsid w:val="00626958"/>
    <w:pPr>
      <w:spacing w:line="252" w:lineRule="auto"/>
      <w:ind w:left="1200" w:hanging="240"/>
    </w:pPr>
    <w:rPr>
      <w:rFonts w:ascii="Calibri" w:eastAsia="Arial Unicode MS" w:hAnsi="Calibri" w:cs="Calibri"/>
      <w:sz w:val="18"/>
      <w:szCs w:val="18"/>
      <w:lang w:eastAsia="cs-CZ"/>
    </w:rPr>
  </w:style>
  <w:style w:type="paragraph" w:styleId="Rejstk6">
    <w:name w:val="index 6"/>
    <w:basedOn w:val="Normln"/>
    <w:next w:val="Normln"/>
    <w:autoRedefine/>
    <w:rsid w:val="00626958"/>
    <w:pPr>
      <w:spacing w:line="252" w:lineRule="auto"/>
      <w:ind w:left="1440" w:hanging="240"/>
    </w:pPr>
    <w:rPr>
      <w:rFonts w:ascii="Calibri" w:eastAsia="Arial Unicode MS" w:hAnsi="Calibri" w:cs="Calibri"/>
      <w:sz w:val="18"/>
      <w:szCs w:val="18"/>
      <w:lang w:eastAsia="cs-CZ"/>
    </w:rPr>
  </w:style>
  <w:style w:type="paragraph" w:styleId="Rejstk7">
    <w:name w:val="index 7"/>
    <w:basedOn w:val="Normln"/>
    <w:next w:val="Normln"/>
    <w:autoRedefine/>
    <w:rsid w:val="00626958"/>
    <w:pPr>
      <w:spacing w:line="252" w:lineRule="auto"/>
      <w:ind w:left="1680" w:hanging="240"/>
    </w:pPr>
    <w:rPr>
      <w:rFonts w:ascii="Calibri" w:eastAsia="Arial Unicode MS" w:hAnsi="Calibri" w:cs="Calibri"/>
      <w:sz w:val="18"/>
      <w:szCs w:val="18"/>
      <w:lang w:eastAsia="cs-CZ"/>
    </w:rPr>
  </w:style>
  <w:style w:type="paragraph" w:styleId="Rejstk8">
    <w:name w:val="index 8"/>
    <w:basedOn w:val="Normln"/>
    <w:next w:val="Normln"/>
    <w:autoRedefine/>
    <w:rsid w:val="00626958"/>
    <w:pPr>
      <w:spacing w:line="252" w:lineRule="auto"/>
      <w:ind w:left="1920" w:hanging="240"/>
    </w:pPr>
    <w:rPr>
      <w:rFonts w:ascii="Calibri" w:eastAsia="Arial Unicode MS" w:hAnsi="Calibri" w:cs="Calibri"/>
      <w:sz w:val="18"/>
      <w:szCs w:val="18"/>
      <w:lang w:eastAsia="cs-CZ"/>
    </w:rPr>
  </w:style>
  <w:style w:type="paragraph" w:styleId="Rejstk9">
    <w:name w:val="index 9"/>
    <w:basedOn w:val="Normln"/>
    <w:next w:val="Normln"/>
    <w:autoRedefine/>
    <w:rsid w:val="00626958"/>
    <w:pPr>
      <w:spacing w:line="252" w:lineRule="auto"/>
      <w:ind w:left="2160" w:hanging="240"/>
    </w:pPr>
    <w:rPr>
      <w:rFonts w:ascii="Calibri" w:eastAsia="Arial Unicode MS" w:hAnsi="Calibri" w:cs="Calibri"/>
      <w:sz w:val="18"/>
      <w:szCs w:val="18"/>
      <w:lang w:eastAsia="cs-CZ"/>
    </w:rPr>
  </w:style>
  <w:style w:type="paragraph" w:styleId="Hlavikarejstku">
    <w:name w:val="index heading"/>
    <w:basedOn w:val="Normln"/>
    <w:next w:val="Rejstk1"/>
    <w:rsid w:val="00626958"/>
    <w:pPr>
      <w:pBdr>
        <w:top w:val="double" w:sz="6" w:space="0" w:color="auto" w:shadow="1"/>
        <w:left w:val="double" w:sz="6" w:space="0" w:color="auto" w:shadow="1"/>
        <w:bottom w:val="double" w:sz="6" w:space="0" w:color="auto" w:shadow="1"/>
        <w:right w:val="double" w:sz="6" w:space="0" w:color="auto" w:shadow="1"/>
      </w:pBdr>
      <w:spacing w:before="240" w:after="120" w:line="252" w:lineRule="auto"/>
      <w:jc w:val="center"/>
    </w:pPr>
    <w:rPr>
      <w:rFonts w:ascii="Cambria" w:eastAsia="Arial Unicode MS" w:hAnsi="Cambria" w:cs="Arial"/>
      <w:b/>
      <w:bCs/>
      <w:lang w:eastAsia="cs-CZ"/>
    </w:rPr>
  </w:style>
  <w:style w:type="paragraph" w:styleId="Obsah4">
    <w:name w:val="toc 4"/>
    <w:basedOn w:val="Normln"/>
    <w:next w:val="Normln"/>
    <w:autoRedefine/>
    <w:uiPriority w:val="39"/>
    <w:rsid w:val="00626958"/>
    <w:pPr>
      <w:ind w:left="660"/>
    </w:pPr>
    <w:rPr>
      <w:rFonts w:cstheme="minorHAnsi"/>
      <w:szCs w:val="20"/>
    </w:rPr>
  </w:style>
  <w:style w:type="paragraph" w:styleId="Obsah5">
    <w:name w:val="toc 5"/>
    <w:basedOn w:val="Normln"/>
    <w:next w:val="Normln"/>
    <w:autoRedefine/>
    <w:uiPriority w:val="39"/>
    <w:rsid w:val="00626958"/>
    <w:pPr>
      <w:ind w:left="880"/>
    </w:pPr>
    <w:rPr>
      <w:rFonts w:cstheme="minorHAnsi"/>
      <w:szCs w:val="20"/>
    </w:rPr>
  </w:style>
  <w:style w:type="paragraph" w:styleId="Obsah6">
    <w:name w:val="toc 6"/>
    <w:basedOn w:val="Normln"/>
    <w:next w:val="Normln"/>
    <w:autoRedefine/>
    <w:uiPriority w:val="39"/>
    <w:rsid w:val="00626958"/>
    <w:pPr>
      <w:ind w:left="1100"/>
    </w:pPr>
    <w:rPr>
      <w:rFonts w:cstheme="minorHAnsi"/>
      <w:szCs w:val="20"/>
    </w:rPr>
  </w:style>
  <w:style w:type="paragraph" w:styleId="Obsah7">
    <w:name w:val="toc 7"/>
    <w:basedOn w:val="Normln"/>
    <w:next w:val="Normln"/>
    <w:autoRedefine/>
    <w:uiPriority w:val="39"/>
    <w:rsid w:val="00626958"/>
    <w:pPr>
      <w:ind w:left="1320"/>
    </w:pPr>
    <w:rPr>
      <w:rFonts w:cstheme="minorHAnsi"/>
      <w:szCs w:val="20"/>
    </w:rPr>
  </w:style>
  <w:style w:type="paragraph" w:styleId="Obsah8">
    <w:name w:val="toc 8"/>
    <w:basedOn w:val="Normln"/>
    <w:next w:val="Normln"/>
    <w:autoRedefine/>
    <w:uiPriority w:val="39"/>
    <w:rsid w:val="00626958"/>
    <w:pPr>
      <w:ind w:left="1540"/>
    </w:pPr>
    <w:rPr>
      <w:rFonts w:cstheme="minorHAnsi"/>
      <w:szCs w:val="20"/>
    </w:rPr>
  </w:style>
  <w:style w:type="paragraph" w:styleId="Obsah9">
    <w:name w:val="toc 9"/>
    <w:basedOn w:val="Normln"/>
    <w:next w:val="Normln"/>
    <w:autoRedefine/>
    <w:uiPriority w:val="39"/>
    <w:rsid w:val="00626958"/>
    <w:pPr>
      <w:ind w:left="1760"/>
    </w:pPr>
    <w:rPr>
      <w:rFonts w:cstheme="minorHAnsi"/>
      <w:szCs w:val="20"/>
    </w:rPr>
  </w:style>
  <w:style w:type="paragraph" w:customStyle="1" w:styleId="slo1text">
    <w:name w:val="Číslo1 text"/>
    <w:basedOn w:val="Normln"/>
    <w:rsid w:val="00626958"/>
    <w:pPr>
      <w:widowControl w:val="0"/>
      <w:spacing w:after="120" w:line="252" w:lineRule="auto"/>
      <w:outlineLvl w:val="0"/>
    </w:pPr>
    <w:rPr>
      <w:rFonts w:ascii="Arial" w:eastAsia="Arial Unicode MS" w:hAnsi="Arial" w:cs="Arial"/>
      <w:noProof/>
      <w:sz w:val="24"/>
      <w:szCs w:val="20"/>
      <w:lang w:eastAsia="cs-CZ"/>
    </w:rPr>
  </w:style>
  <w:style w:type="table" w:styleId="Elegantntabulka">
    <w:name w:val="Table Elegant"/>
    <w:basedOn w:val="Norml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lo1text0">
    <w:name w:val="slo1text"/>
    <w:basedOn w:val="Normln"/>
    <w:rsid w:val="00626958"/>
    <w:pPr>
      <w:spacing w:after="120" w:line="252" w:lineRule="auto"/>
    </w:pPr>
    <w:rPr>
      <w:rFonts w:ascii="Arial" w:eastAsia="Arial Unicode MS" w:hAnsi="Arial" w:cs="Arial"/>
      <w:sz w:val="24"/>
      <w:szCs w:val="24"/>
      <w:lang w:eastAsia="cs-CZ"/>
    </w:rPr>
  </w:style>
  <w:style w:type="paragraph" w:customStyle="1" w:styleId="Radadvodovzprva">
    <w:name w:val="Rada důvodová zpráva"/>
    <w:basedOn w:val="Normln"/>
    <w:rsid w:val="00626958"/>
    <w:pPr>
      <w:widowControl w:val="0"/>
      <w:spacing w:after="480" w:line="252" w:lineRule="auto"/>
    </w:pPr>
    <w:rPr>
      <w:rFonts w:ascii="Arial" w:eastAsia="Calibri" w:hAnsi="Arial" w:cs="Arial"/>
      <w:b/>
      <w:noProof/>
      <w:sz w:val="24"/>
      <w:szCs w:val="20"/>
      <w:lang w:eastAsia="cs-CZ"/>
    </w:rPr>
  </w:style>
  <w:style w:type="paragraph" w:styleId="Textvysvtlivek">
    <w:name w:val="endnote text"/>
    <w:basedOn w:val="Normln"/>
    <w:link w:val="TextvysvtlivekChar"/>
    <w:uiPriority w:val="99"/>
    <w:semiHidden/>
    <w:rsid w:val="00626958"/>
    <w:pPr>
      <w:spacing w:line="252" w:lineRule="auto"/>
    </w:pPr>
    <w:rPr>
      <w:rFonts w:ascii="Arial" w:eastAsia="Arial Unicode MS" w:hAnsi="Arial" w:cs="Arial"/>
      <w:szCs w:val="20"/>
      <w:lang w:eastAsia="cs-CZ"/>
    </w:rPr>
  </w:style>
  <w:style w:type="character" w:customStyle="1" w:styleId="TextvysvtlivekChar">
    <w:name w:val="Text vysvětlivek Char"/>
    <w:basedOn w:val="Standardnpsmoodstavce"/>
    <w:link w:val="Textvysvtlivek"/>
    <w:uiPriority w:val="99"/>
    <w:semiHidden/>
    <w:rsid w:val="00626958"/>
    <w:rPr>
      <w:rFonts w:ascii="Arial" w:eastAsia="Arial Unicode MS" w:hAnsi="Arial" w:cs="Arial"/>
      <w:sz w:val="20"/>
      <w:szCs w:val="20"/>
      <w:lang w:eastAsia="cs-CZ"/>
    </w:rPr>
  </w:style>
  <w:style w:type="character" w:styleId="Odkaznavysvtlivky">
    <w:name w:val="endnote reference"/>
    <w:basedOn w:val="Standardnpsmoodstavce"/>
    <w:uiPriority w:val="99"/>
    <w:semiHidden/>
    <w:rsid w:val="00626958"/>
    <w:rPr>
      <w:vertAlign w:val="superscript"/>
    </w:r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qFormat/>
    <w:rsid w:val="002643C1"/>
    <w:rPr>
      <w:rFonts w:ascii="Segoe UI" w:eastAsia="Arial Unicode MS" w:hAnsi="Segoe UI" w:cs="Arial"/>
      <w:sz w:val="20"/>
      <w:szCs w:val="24"/>
      <w:lang w:eastAsia="cs-CZ"/>
    </w:rPr>
  </w:style>
  <w:style w:type="paragraph" w:customStyle="1" w:styleId="-odst">
    <w:name w:val="- odst"/>
    <w:basedOn w:val="Odstavecseseznamem"/>
    <w:rsid w:val="00626958"/>
    <w:pPr>
      <w:numPr>
        <w:ilvl w:val="1"/>
        <w:numId w:val="9"/>
      </w:numPr>
      <w:spacing w:after="80"/>
    </w:pPr>
    <w:rPr>
      <w:rFonts w:ascii="Calibri" w:eastAsia="Times New Roman" w:hAnsi="Calibri" w:cs="Times New Roman"/>
      <w:b/>
      <w:color w:val="595959"/>
      <w:lang w:eastAsia="en-US"/>
    </w:rPr>
  </w:style>
  <w:style w:type="paragraph" w:customStyle="1" w:styleId="odst">
    <w:name w:val=". odst"/>
    <w:basedOn w:val="Odstavecseseznamem"/>
    <w:rsid w:val="00626958"/>
    <w:pPr>
      <w:numPr>
        <w:numId w:val="9"/>
      </w:numPr>
      <w:shd w:val="clear" w:color="auto" w:fill="F2F2F2"/>
      <w:spacing w:after="80"/>
    </w:pPr>
    <w:rPr>
      <w:rFonts w:ascii="Calibri" w:eastAsia="Times New Roman" w:hAnsi="Calibri" w:cs="Times New Roman"/>
      <w:b/>
      <w:lang w:eastAsia="en-US"/>
    </w:rPr>
  </w:style>
  <w:style w:type="table" w:customStyle="1" w:styleId="Mkatabulky1">
    <w:name w:val="Mřížka tabulky1"/>
    <w:basedOn w:val="Normlntabulka"/>
    <w:next w:val="Mkatabulky"/>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626958"/>
    <w:pPr>
      <w:spacing w:line="252" w:lineRule="auto"/>
    </w:pPr>
    <w:rPr>
      <w:rFonts w:ascii="Arial" w:eastAsia="Arial Unicode MS" w:hAnsi="Arial" w:cs="Arial"/>
      <w:sz w:val="24"/>
      <w:szCs w:val="24"/>
      <w:lang w:eastAsia="cs-CZ"/>
    </w:rPr>
  </w:style>
  <w:style w:type="numbering" w:customStyle="1" w:styleId="Bezseznamu11">
    <w:name w:val="Bez seznamu11"/>
    <w:next w:val="Bezseznamu"/>
    <w:uiPriority w:val="99"/>
    <w:semiHidden/>
    <w:unhideWhenUsed/>
    <w:rsid w:val="00626958"/>
  </w:style>
  <w:style w:type="table" w:customStyle="1" w:styleId="Mkatabulky2">
    <w:name w:val="Mřížka tabulky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mezer1">
    <w:name w:val="Bez mezer1"/>
    <w:next w:val="Bezmezer"/>
    <w:uiPriority w:val="1"/>
    <w:rsid w:val="00626958"/>
    <w:pPr>
      <w:spacing w:after="0" w:line="240" w:lineRule="auto"/>
    </w:pPr>
  </w:style>
  <w:style w:type="paragraph" w:customStyle="1" w:styleId="slovn2">
    <w:name w:val="číslování 2"/>
    <w:basedOn w:val="Zkladntext"/>
    <w:link w:val="slovn2Char"/>
    <w:rsid w:val="00626958"/>
    <w:pPr>
      <w:numPr>
        <w:ilvl w:val="7"/>
        <w:numId w:val="10"/>
      </w:numPr>
      <w:tabs>
        <w:tab w:val="num" w:pos="360"/>
      </w:tabs>
      <w:spacing w:line="276" w:lineRule="auto"/>
      <w:ind w:left="993" w:hanging="426"/>
    </w:pPr>
  </w:style>
  <w:style w:type="paragraph" w:customStyle="1" w:styleId="Podtren">
    <w:name w:val="Podtržené"/>
    <w:basedOn w:val="Normln"/>
    <w:link w:val="PodtrenChar"/>
    <w:rsid w:val="00626958"/>
    <w:pPr>
      <w:spacing w:line="252" w:lineRule="auto"/>
    </w:pPr>
    <w:rPr>
      <w:rFonts w:ascii="Arial" w:eastAsia="Arial Unicode MS" w:hAnsi="Arial" w:cs="Arial"/>
      <w:sz w:val="24"/>
      <w:szCs w:val="24"/>
      <w:u w:val="single"/>
      <w:lang w:eastAsia="cs-CZ"/>
    </w:rPr>
  </w:style>
  <w:style w:type="table" w:customStyle="1" w:styleId="Svtlseznamzvraznn11">
    <w:name w:val="Světlý seznam – zvýraznění 11"/>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dtrenChar">
    <w:name w:val="Podtržené Char"/>
    <w:basedOn w:val="Standardnpsmoodstavce"/>
    <w:link w:val="Podtren"/>
    <w:rsid w:val="00626958"/>
    <w:rPr>
      <w:rFonts w:ascii="Arial" w:eastAsia="Arial Unicode MS" w:hAnsi="Arial" w:cs="Arial"/>
      <w:sz w:val="24"/>
      <w:szCs w:val="24"/>
      <w:u w:val="single"/>
      <w:lang w:eastAsia="cs-CZ"/>
    </w:rPr>
  </w:style>
  <w:style w:type="paragraph" w:customStyle="1" w:styleId="slovnkurzva">
    <w:name w:val="Číslování kurzíva"/>
    <w:basedOn w:val="BAKALKA"/>
    <w:link w:val="slovnkurzvaChar"/>
    <w:rsid w:val="00626958"/>
  </w:style>
  <w:style w:type="character" w:customStyle="1" w:styleId="slovnkurzvaChar">
    <w:name w:val="Číslování kurzíva Char"/>
    <w:basedOn w:val="BAKALKAChar"/>
    <w:link w:val="slovnkurzva"/>
    <w:rsid w:val="00626958"/>
    <w:rPr>
      <w:rFonts w:ascii="Arial" w:eastAsia="Arial Unicode MS" w:hAnsi="Arial" w:cs="Arial"/>
      <w:b/>
      <w:i/>
      <w:sz w:val="24"/>
      <w:szCs w:val="24"/>
      <w:lang w:eastAsia="cs-CZ"/>
    </w:rPr>
  </w:style>
  <w:style w:type="numbering" w:customStyle="1" w:styleId="Bezseznamu2">
    <w:name w:val="Bez seznamu2"/>
    <w:next w:val="Bezseznamu"/>
    <w:uiPriority w:val="99"/>
    <w:semiHidden/>
    <w:unhideWhenUsed/>
    <w:rsid w:val="00626958"/>
  </w:style>
  <w:style w:type="table" w:customStyle="1" w:styleId="Mkatabulky3">
    <w:name w:val="Mřížka tabulky3"/>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
    <w:name w:val="Elegantní tabulka1"/>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
    <w:name w:val="Mřížka tabulky11"/>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
    <w:name w:val="Bez seznamu111"/>
    <w:next w:val="Bezseznamu"/>
    <w:uiPriority w:val="99"/>
    <w:semiHidden/>
    <w:unhideWhenUsed/>
    <w:rsid w:val="00626958"/>
  </w:style>
  <w:style w:type="table" w:customStyle="1" w:styleId="Mkatabulky21">
    <w:name w:val="Mřížka tabulky2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
    <w:name w:val="Bez seznamu3"/>
    <w:next w:val="Bezseznamu"/>
    <w:uiPriority w:val="99"/>
    <w:semiHidden/>
    <w:unhideWhenUsed/>
    <w:rsid w:val="00626958"/>
  </w:style>
  <w:style w:type="table" w:customStyle="1" w:styleId="Mkatabulky4">
    <w:name w:val="Mřížka tabulky4"/>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
    <w:name w:val="Elegantní tabulka2"/>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
    <w:name w:val="Mřížka tabulky12"/>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
    <w:name w:val="Bez seznamu12"/>
    <w:next w:val="Bezseznamu"/>
    <w:uiPriority w:val="99"/>
    <w:semiHidden/>
    <w:unhideWhenUsed/>
    <w:rsid w:val="00626958"/>
  </w:style>
  <w:style w:type="table" w:customStyle="1" w:styleId="Mkatabulky22">
    <w:name w:val="Mřížka tabulky2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
    <w:name w:val="Světlý seznam – zvýraznění 12"/>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221">
    <w:name w:val="Mřížka tabulky22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
    <w:name w:val="Mřížka tabulky22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tren0">
    <w:name w:val="Podtržení"/>
    <w:basedOn w:val="Normln"/>
    <w:link w:val="PodtrenChar0"/>
    <w:rsid w:val="00626958"/>
    <w:pPr>
      <w:spacing w:line="252" w:lineRule="auto"/>
    </w:pPr>
    <w:rPr>
      <w:rFonts w:ascii="Arial" w:eastAsia="Arial Unicode MS" w:hAnsi="Arial" w:cs="Arial"/>
      <w:b/>
      <w:sz w:val="24"/>
      <w:szCs w:val="24"/>
      <w:u w:val="single"/>
      <w:lang w:eastAsia="cs-CZ"/>
    </w:rPr>
  </w:style>
  <w:style w:type="character" w:customStyle="1" w:styleId="PodtrenChar0">
    <w:name w:val="Podtržení Char"/>
    <w:basedOn w:val="Standardnpsmoodstavce"/>
    <w:link w:val="Podtren0"/>
    <w:rsid w:val="00626958"/>
    <w:rPr>
      <w:rFonts w:ascii="Arial" w:eastAsia="Arial Unicode MS" w:hAnsi="Arial" w:cs="Arial"/>
      <w:b/>
      <w:sz w:val="24"/>
      <w:szCs w:val="24"/>
      <w:u w:val="single"/>
      <w:lang w:eastAsia="cs-CZ"/>
    </w:rPr>
  </w:style>
  <w:style w:type="table" w:customStyle="1" w:styleId="Mkatabulky211">
    <w:name w:val="Mřížka tabulky2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626958"/>
  </w:style>
  <w:style w:type="numbering" w:customStyle="1" w:styleId="Bezseznamu1111">
    <w:name w:val="Bez seznamu1111"/>
    <w:next w:val="Bezseznamu"/>
    <w:uiPriority w:val="99"/>
    <w:semiHidden/>
    <w:unhideWhenUsed/>
    <w:rsid w:val="00626958"/>
  </w:style>
  <w:style w:type="numbering" w:customStyle="1" w:styleId="Bezseznamu4">
    <w:name w:val="Bez seznamu4"/>
    <w:next w:val="Bezseznamu"/>
    <w:uiPriority w:val="99"/>
    <w:semiHidden/>
    <w:unhideWhenUsed/>
    <w:rsid w:val="00626958"/>
  </w:style>
  <w:style w:type="numbering" w:customStyle="1" w:styleId="Bezseznamu5">
    <w:name w:val="Bez seznamu5"/>
    <w:next w:val="Bezseznamu"/>
    <w:uiPriority w:val="99"/>
    <w:semiHidden/>
    <w:unhideWhenUsed/>
    <w:rsid w:val="00626958"/>
  </w:style>
  <w:style w:type="numbering" w:customStyle="1" w:styleId="Bezseznamu13">
    <w:name w:val="Bez seznamu13"/>
    <w:next w:val="Bezseznamu"/>
    <w:uiPriority w:val="99"/>
    <w:semiHidden/>
    <w:unhideWhenUsed/>
    <w:rsid w:val="00626958"/>
  </w:style>
  <w:style w:type="table" w:customStyle="1" w:styleId="Mkatabulky5">
    <w:name w:val="Mřížka tabulky5"/>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3">
    <w:name w:val="Elegantní tabulka3"/>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3">
    <w:name w:val="Mřížka tabulky13"/>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
    <w:name w:val="Bez seznamu112"/>
    <w:next w:val="Bezseznamu"/>
    <w:uiPriority w:val="99"/>
    <w:semiHidden/>
    <w:unhideWhenUsed/>
    <w:rsid w:val="00626958"/>
  </w:style>
  <w:style w:type="table" w:customStyle="1" w:styleId="Mkatabulky23">
    <w:name w:val="Mřížka tabulky23"/>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3">
    <w:name w:val="Světlý seznam – zvýraznění 13"/>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21">
    <w:name w:val="Bez seznamu21"/>
    <w:next w:val="Bezseznamu"/>
    <w:uiPriority w:val="99"/>
    <w:semiHidden/>
    <w:unhideWhenUsed/>
    <w:rsid w:val="00626958"/>
  </w:style>
  <w:style w:type="table" w:customStyle="1" w:styleId="Mkatabulky31">
    <w:name w:val="Mřížka tabulky3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1">
    <w:name w:val="Elegantní tabulka11"/>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1">
    <w:name w:val="Mřížka tabulky111"/>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
    <w:name w:val="Bez seznamu11111"/>
    <w:next w:val="Bezseznamu"/>
    <w:uiPriority w:val="99"/>
    <w:semiHidden/>
    <w:unhideWhenUsed/>
    <w:rsid w:val="00626958"/>
  </w:style>
  <w:style w:type="table" w:customStyle="1" w:styleId="Mkatabulky212">
    <w:name w:val="Mřížka tabulky21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1">
    <w:name w:val="Světlý seznam – zvýraznění 111"/>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31">
    <w:name w:val="Bez seznamu31"/>
    <w:next w:val="Bezseznamu"/>
    <w:uiPriority w:val="99"/>
    <w:semiHidden/>
    <w:unhideWhenUsed/>
    <w:rsid w:val="00626958"/>
  </w:style>
  <w:style w:type="table" w:customStyle="1" w:styleId="Mkatabulky41">
    <w:name w:val="Mřížka tabulky4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1">
    <w:name w:val="Elegantní tabulka21"/>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1">
    <w:name w:val="Mřížka tabulky121"/>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
    <w:name w:val="Bez seznamu121"/>
    <w:next w:val="Bezseznamu"/>
    <w:uiPriority w:val="99"/>
    <w:semiHidden/>
    <w:unhideWhenUsed/>
    <w:rsid w:val="00626958"/>
  </w:style>
  <w:style w:type="table" w:customStyle="1" w:styleId="Mkatabulky223">
    <w:name w:val="Mřížka tabulky223"/>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1">
    <w:name w:val="Světlý seznam – zvýraznění 121"/>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2211">
    <w:name w:val="Mřížka tabulky22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1">
    <w:name w:val="Mřížka tabulky222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1">
    <w:name w:val="Mřížka tabulky21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1">
    <w:name w:val="Bez seznamu111111"/>
    <w:next w:val="Bezseznamu"/>
    <w:uiPriority w:val="99"/>
    <w:semiHidden/>
    <w:unhideWhenUsed/>
    <w:rsid w:val="00626958"/>
  </w:style>
  <w:style w:type="numbering" w:customStyle="1" w:styleId="Bezseznamu41">
    <w:name w:val="Bez seznamu41"/>
    <w:next w:val="Bezseznamu"/>
    <w:uiPriority w:val="99"/>
    <w:semiHidden/>
    <w:unhideWhenUsed/>
    <w:rsid w:val="00626958"/>
  </w:style>
  <w:style w:type="paragraph" w:customStyle="1" w:styleId="textDZ">
    <w:name w:val="text DZ"/>
    <w:basedOn w:val="Normln"/>
    <w:link w:val="textDZChar"/>
    <w:rsid w:val="00626958"/>
    <w:pPr>
      <w:autoSpaceDE w:val="0"/>
      <w:autoSpaceDN w:val="0"/>
      <w:spacing w:line="264" w:lineRule="auto"/>
    </w:pPr>
    <w:rPr>
      <w:rFonts w:ascii="Arial" w:eastAsia="Calibri" w:hAnsi="Arial" w:cs="Arial"/>
      <w:bCs/>
      <w:sz w:val="24"/>
      <w:szCs w:val="24"/>
      <w:lang w:eastAsia="cs-CZ"/>
    </w:rPr>
  </w:style>
  <w:style w:type="character" w:customStyle="1" w:styleId="textDZChar">
    <w:name w:val="text DZ Char"/>
    <w:basedOn w:val="Standardnpsmoodstavce"/>
    <w:link w:val="textDZ"/>
    <w:rsid w:val="00626958"/>
    <w:rPr>
      <w:rFonts w:ascii="Arial" w:eastAsia="Calibri" w:hAnsi="Arial" w:cs="Arial"/>
      <w:bCs/>
      <w:sz w:val="24"/>
      <w:szCs w:val="24"/>
      <w:lang w:eastAsia="cs-CZ"/>
    </w:rPr>
  </w:style>
  <w:style w:type="character" w:customStyle="1" w:styleId="st">
    <w:name w:val="st"/>
    <w:basedOn w:val="Standardnpsmoodstavce"/>
    <w:rsid w:val="00626958"/>
  </w:style>
  <w:style w:type="character" w:customStyle="1" w:styleId="h1a">
    <w:name w:val="h1a"/>
    <w:basedOn w:val="Standardnpsmoodstavce"/>
    <w:rsid w:val="00626958"/>
  </w:style>
  <w:style w:type="character" w:styleId="Zdraznn">
    <w:name w:val="Emphasis"/>
    <w:basedOn w:val="Standardnpsmoodstavce"/>
    <w:uiPriority w:val="20"/>
    <w:qFormat/>
    <w:rsid w:val="00626958"/>
    <w:rPr>
      <w:i/>
      <w:iCs/>
    </w:rPr>
  </w:style>
  <w:style w:type="character" w:customStyle="1" w:styleId="Sledovanodkaz1">
    <w:name w:val="Sledovaný odkaz1"/>
    <w:basedOn w:val="Standardnpsmoodstavce"/>
    <w:uiPriority w:val="99"/>
    <w:semiHidden/>
    <w:unhideWhenUsed/>
    <w:rsid w:val="00626958"/>
    <w:rPr>
      <w:color w:val="800080"/>
      <w:u w:val="single"/>
    </w:rPr>
  </w:style>
  <w:style w:type="character" w:customStyle="1" w:styleId="Nadpis2Char1">
    <w:name w:val="Nadpis 2 Char1"/>
    <w:basedOn w:val="Standardnpsmoodstavce"/>
    <w:uiPriority w:val="9"/>
    <w:semiHidden/>
    <w:rsid w:val="00626958"/>
    <w:rPr>
      <w:rFonts w:asciiTheme="majorHAnsi" w:eastAsiaTheme="majorEastAsia" w:hAnsiTheme="majorHAnsi" w:cstheme="majorBidi"/>
      <w:color w:val="2E74B5" w:themeColor="accent1" w:themeShade="BF"/>
      <w:sz w:val="26"/>
      <w:szCs w:val="26"/>
    </w:rPr>
  </w:style>
  <w:style w:type="character" w:styleId="Zdraznnintenzivn">
    <w:name w:val="Intense Emphasis"/>
    <w:basedOn w:val="Standardnpsmoodstavce"/>
    <w:uiPriority w:val="21"/>
    <w:qFormat/>
    <w:rsid w:val="00626958"/>
    <w:rPr>
      <w:i/>
      <w:iCs/>
      <w:color w:val="5B9BD5" w:themeColor="accent1"/>
    </w:rPr>
  </w:style>
  <w:style w:type="paragraph" w:styleId="Bezmezer">
    <w:name w:val="No Spacing"/>
    <w:aliases w:val="Normální E,No Spacing"/>
    <w:link w:val="BezmezerChar"/>
    <w:uiPriority w:val="1"/>
    <w:rsid w:val="00626958"/>
    <w:pPr>
      <w:spacing w:after="0" w:line="240" w:lineRule="auto"/>
    </w:pPr>
  </w:style>
  <w:style w:type="table" w:styleId="Svtlseznamzvraznn1">
    <w:name w:val="Light List Accent 1"/>
    <w:basedOn w:val="Normlntabulka"/>
    <w:uiPriority w:val="61"/>
    <w:semiHidden/>
    <w:unhideWhenUsed/>
    <w:rsid w:val="0062695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ledovanodkaz">
    <w:name w:val="FollowedHyperlink"/>
    <w:basedOn w:val="Standardnpsmoodstavce"/>
    <w:uiPriority w:val="99"/>
    <w:unhideWhenUsed/>
    <w:rsid w:val="00626958"/>
    <w:rPr>
      <w:color w:val="954F72" w:themeColor="followedHyperlink"/>
      <w:u w:val="single"/>
    </w:rPr>
  </w:style>
  <w:style w:type="numbering" w:customStyle="1" w:styleId="Bezseznamu6">
    <w:name w:val="Bez seznamu6"/>
    <w:next w:val="Bezseznamu"/>
    <w:uiPriority w:val="99"/>
    <w:semiHidden/>
    <w:unhideWhenUsed/>
    <w:rsid w:val="00626958"/>
  </w:style>
  <w:style w:type="table" w:customStyle="1" w:styleId="Mkatabulky6">
    <w:name w:val="Mřížka tabulky6"/>
    <w:basedOn w:val="Normlntabulka"/>
    <w:next w:val="Mkatabulky"/>
    <w:uiPriority w:val="39"/>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4">
    <w:name w:val="Elegantní tabulka4"/>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4">
    <w:name w:val="Mřížka tabulky14"/>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4">
    <w:name w:val="Bez seznamu14"/>
    <w:next w:val="Bezseznamu"/>
    <w:uiPriority w:val="99"/>
    <w:semiHidden/>
    <w:unhideWhenUsed/>
    <w:rsid w:val="00626958"/>
  </w:style>
  <w:style w:type="table" w:customStyle="1" w:styleId="Mkatabulky24">
    <w:name w:val="Mřížka tabulky24"/>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4">
    <w:name w:val="Světlý seznam – zvýraznění 14"/>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22">
    <w:name w:val="Bez seznamu22"/>
    <w:next w:val="Bezseznamu"/>
    <w:uiPriority w:val="99"/>
    <w:semiHidden/>
    <w:unhideWhenUsed/>
    <w:rsid w:val="00626958"/>
  </w:style>
  <w:style w:type="table" w:customStyle="1" w:styleId="Mkatabulky32">
    <w:name w:val="Mřížka tabulky3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2">
    <w:name w:val="Elegantní tabulka12"/>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2">
    <w:name w:val="Mřížka tabulky112"/>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3">
    <w:name w:val="Bez seznamu113"/>
    <w:next w:val="Bezseznamu"/>
    <w:uiPriority w:val="99"/>
    <w:semiHidden/>
    <w:unhideWhenUsed/>
    <w:rsid w:val="00626958"/>
  </w:style>
  <w:style w:type="table" w:customStyle="1" w:styleId="Mkatabulky213">
    <w:name w:val="Mřížka tabulky213"/>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2">
    <w:name w:val="Světlý seznam – zvýraznění 112"/>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32">
    <w:name w:val="Bez seznamu32"/>
    <w:next w:val="Bezseznamu"/>
    <w:uiPriority w:val="99"/>
    <w:semiHidden/>
    <w:unhideWhenUsed/>
    <w:rsid w:val="00626958"/>
  </w:style>
  <w:style w:type="table" w:customStyle="1" w:styleId="Mkatabulky42">
    <w:name w:val="Mřížka tabulky4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2">
    <w:name w:val="Elegantní tabulka22"/>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2">
    <w:name w:val="Mřížka tabulky122"/>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2">
    <w:name w:val="Bez seznamu122"/>
    <w:next w:val="Bezseznamu"/>
    <w:uiPriority w:val="99"/>
    <w:semiHidden/>
    <w:unhideWhenUsed/>
    <w:rsid w:val="00626958"/>
  </w:style>
  <w:style w:type="table" w:customStyle="1" w:styleId="Mkatabulky224">
    <w:name w:val="Mřížka tabulky224"/>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2">
    <w:name w:val="Světlý seznam – zvýraznění 122"/>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2212">
    <w:name w:val="Mřížka tabulky221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2">
    <w:name w:val="Mřížka tabulky222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2">
    <w:name w:val="Mřížka tabulky2112"/>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2">
    <w:name w:val="Bez seznamu1112"/>
    <w:next w:val="Bezseznamu"/>
    <w:uiPriority w:val="99"/>
    <w:semiHidden/>
    <w:unhideWhenUsed/>
    <w:rsid w:val="00626958"/>
  </w:style>
  <w:style w:type="numbering" w:customStyle="1" w:styleId="Bezseznamu42">
    <w:name w:val="Bez seznamu42"/>
    <w:next w:val="Bezseznamu"/>
    <w:uiPriority w:val="99"/>
    <w:semiHidden/>
    <w:unhideWhenUsed/>
    <w:rsid w:val="00626958"/>
  </w:style>
  <w:style w:type="numbering" w:customStyle="1" w:styleId="Bezseznamu51">
    <w:name w:val="Bez seznamu51"/>
    <w:next w:val="Bezseznamu"/>
    <w:uiPriority w:val="99"/>
    <w:semiHidden/>
    <w:unhideWhenUsed/>
    <w:rsid w:val="00626958"/>
  </w:style>
  <w:style w:type="numbering" w:customStyle="1" w:styleId="Bezseznamu131">
    <w:name w:val="Bez seznamu131"/>
    <w:next w:val="Bezseznamu"/>
    <w:uiPriority w:val="99"/>
    <w:semiHidden/>
    <w:unhideWhenUsed/>
    <w:rsid w:val="00626958"/>
  </w:style>
  <w:style w:type="table" w:customStyle="1" w:styleId="Mkatabulky51">
    <w:name w:val="Mřížka tabulky5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31">
    <w:name w:val="Elegantní tabulka31"/>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31">
    <w:name w:val="Mřížka tabulky131"/>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1">
    <w:name w:val="Bez seznamu1121"/>
    <w:next w:val="Bezseznamu"/>
    <w:uiPriority w:val="99"/>
    <w:semiHidden/>
    <w:unhideWhenUsed/>
    <w:rsid w:val="00626958"/>
  </w:style>
  <w:style w:type="table" w:customStyle="1" w:styleId="Mkatabulky231">
    <w:name w:val="Mřížka tabulky23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31">
    <w:name w:val="Světlý seznam – zvýraznění 131"/>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211">
    <w:name w:val="Bez seznamu211"/>
    <w:next w:val="Bezseznamu"/>
    <w:uiPriority w:val="99"/>
    <w:semiHidden/>
    <w:unhideWhenUsed/>
    <w:rsid w:val="00626958"/>
  </w:style>
  <w:style w:type="table" w:customStyle="1" w:styleId="Mkatabulky311">
    <w:name w:val="Mřížka tabulky3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11">
    <w:name w:val="Elegantní tabulka111"/>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11">
    <w:name w:val="Mřížka tabulky1111"/>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2">
    <w:name w:val="Bez seznamu11112"/>
    <w:next w:val="Bezseznamu"/>
    <w:uiPriority w:val="99"/>
    <w:semiHidden/>
    <w:unhideWhenUsed/>
    <w:rsid w:val="00626958"/>
  </w:style>
  <w:style w:type="table" w:customStyle="1" w:styleId="Mkatabulky2121">
    <w:name w:val="Mřížka tabulky212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11">
    <w:name w:val="Světlý seznam – zvýraznění 1111"/>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311">
    <w:name w:val="Bez seznamu311"/>
    <w:next w:val="Bezseznamu"/>
    <w:uiPriority w:val="99"/>
    <w:semiHidden/>
    <w:unhideWhenUsed/>
    <w:rsid w:val="00626958"/>
  </w:style>
  <w:style w:type="table" w:customStyle="1" w:styleId="Mkatabulky411">
    <w:name w:val="Mřížka tabulky4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11">
    <w:name w:val="Elegantní tabulka211"/>
    <w:basedOn w:val="Normlntabulka"/>
    <w:next w:val="Elegantntabulka"/>
    <w:rsid w:val="00626958"/>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11">
    <w:name w:val="Mřížka tabulky1211"/>
    <w:basedOn w:val="Normlntabulka"/>
    <w:next w:val="Mkatabulky"/>
    <w:uiPriority w:val="5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1">
    <w:name w:val="Bez seznamu1211"/>
    <w:next w:val="Bezseznamu"/>
    <w:uiPriority w:val="99"/>
    <w:semiHidden/>
    <w:unhideWhenUsed/>
    <w:rsid w:val="00626958"/>
  </w:style>
  <w:style w:type="table" w:customStyle="1" w:styleId="Mkatabulky2231">
    <w:name w:val="Mřížka tabulky223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11">
    <w:name w:val="Světlý seznam – zvýraznění 1211"/>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22111">
    <w:name w:val="Mřížka tabulky221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11">
    <w:name w:val="Mřížka tabulky222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11">
    <w:name w:val="Mřížka tabulky21111"/>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2">
    <w:name w:val="Bez seznamu111112"/>
    <w:next w:val="Bezseznamu"/>
    <w:uiPriority w:val="99"/>
    <w:semiHidden/>
    <w:unhideWhenUsed/>
    <w:rsid w:val="00626958"/>
  </w:style>
  <w:style w:type="numbering" w:customStyle="1" w:styleId="Bezseznamu411">
    <w:name w:val="Bez seznamu411"/>
    <w:next w:val="Bezseznamu"/>
    <w:uiPriority w:val="99"/>
    <w:semiHidden/>
    <w:unhideWhenUsed/>
    <w:rsid w:val="00626958"/>
  </w:style>
  <w:style w:type="table" w:customStyle="1" w:styleId="Mkatabulky61">
    <w:name w:val="Mřížka tabulky61"/>
    <w:basedOn w:val="Normlntabulka"/>
    <w:next w:val="Mkatabulky"/>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3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Standardnpsmoodstavce"/>
    <w:rsid w:val="00626958"/>
  </w:style>
  <w:style w:type="table" w:customStyle="1" w:styleId="Mkatabulky8">
    <w:name w:val="Mřížka tabulky8"/>
    <w:basedOn w:val="Normlntabulka"/>
    <w:next w:val="Mkatabulky"/>
    <w:uiPriority w:val="39"/>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3">
    <w:name w:val="Světlý seznam – zvýraznění 113"/>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tlseznamzvraznn114">
    <w:name w:val="Světlý seznam – zvýraznění 114"/>
    <w:basedOn w:val="Normlntabulka"/>
    <w:next w:val="Svtlseznamzvraznn1"/>
    <w:uiPriority w:val="61"/>
    <w:rsid w:val="0062695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62">
    <w:name w:val="Mřížka tabulky62"/>
    <w:basedOn w:val="Normlntabulka"/>
    <w:next w:val="Mkatabulky"/>
    <w:rsid w:val="0062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7">
    <w:name w:val="Bez seznamu7"/>
    <w:next w:val="Bezseznamu"/>
    <w:uiPriority w:val="99"/>
    <w:semiHidden/>
    <w:unhideWhenUsed/>
    <w:rsid w:val="00626958"/>
  </w:style>
  <w:style w:type="character" w:customStyle="1" w:styleId="TextpoznpodarouChar1">
    <w:name w:val="Text pozn. pod čarou Char1"/>
    <w:aliases w:val="Text poznámky pod čiarou 007 Char1,_Poznámka pod čiarou Char1,Poznámka Char1,pozn. pod čarou Char1,Fußnotentextf Char1,Char1 Char1,Schriftart: 9 pt Char1,Schriftart: 10 pt Char1,Schriftart: 8 pt Char1,Geneva 9 Char1,f Char"/>
    <w:basedOn w:val="Standardnpsmoodstavce"/>
    <w:uiPriority w:val="99"/>
    <w:semiHidden/>
    <w:locked/>
    <w:rsid w:val="00626958"/>
    <w:rPr>
      <w:rFonts w:ascii="Segoe UI" w:hAnsi="Segoe UI" w:cs="Times New Roman"/>
      <w:sz w:val="20"/>
      <w:szCs w:val="20"/>
    </w:rPr>
  </w:style>
  <w:style w:type="character" w:customStyle="1" w:styleId="TextpoznpodarouChar11">
    <w:name w:val="Text pozn. pod čarou Char11"/>
    <w:aliases w:val="Text poznámky pod čiarou 007 Char11,_Poznámka pod čiarou Char11,Poznámka Char11,pozn. pod čarou Char11,Footnote text Char1,Fußnotentextf Char11,Char1 Char11,Schriftart: 9 pt Char11,Schriftart: 10 pt Char11"/>
    <w:basedOn w:val="Standardnpsmoodstavce"/>
    <w:uiPriority w:val="99"/>
    <w:semiHidden/>
    <w:locked/>
    <w:rsid w:val="00626958"/>
    <w:rPr>
      <w:rFonts w:ascii="Segoe UI" w:eastAsia="Times New Roman" w:hAnsi="Segoe UI" w:cs="Times New Roman"/>
      <w:sz w:val="20"/>
      <w:szCs w:val="20"/>
    </w:rPr>
  </w:style>
  <w:style w:type="table" w:customStyle="1" w:styleId="Mkatabulky9">
    <w:name w:val="Mřížka tabulky9"/>
    <w:basedOn w:val="Normlntabulka"/>
    <w:next w:val="Mkatabulky"/>
    <w:locked/>
    <w:rsid w:val="00626958"/>
    <w:pPr>
      <w:spacing w:after="0" w:line="240" w:lineRule="auto"/>
    </w:pPr>
    <w:rPr>
      <w:rFonts w:ascii="Calibri" w:eastAsia="Times New Roman"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21">
    <w:name w:val="Světlý seznam – zvýraznění 21"/>
    <w:basedOn w:val="Normlntabulka"/>
    <w:next w:val="Svtlseznamzvraznn2"/>
    <w:uiPriority w:val="61"/>
    <w:locked/>
    <w:rsid w:val="00626958"/>
    <w:pPr>
      <w:spacing w:after="0" w:line="240" w:lineRule="auto"/>
    </w:pPr>
    <w:rPr>
      <w:rFonts w:ascii="Calibri" w:eastAsia="Times New Roman" w:hAnsi="Calibri" w:cs="Times New Roman"/>
      <w:sz w:val="20"/>
      <w:szCs w:val="20"/>
      <w:lang w:eastAsia="cs-C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norm">
    <w:name w:val="norm"/>
    <w:basedOn w:val="Normln"/>
    <w:locked/>
    <w:rsid w:val="00626958"/>
    <w:pPr>
      <w:spacing w:before="240" w:after="240" w:line="276" w:lineRule="auto"/>
    </w:pPr>
    <w:rPr>
      <w:rFonts w:ascii="Times New Roman" w:eastAsia="MS Mincho" w:hAnsi="Times New Roman"/>
      <w:sz w:val="24"/>
      <w:szCs w:val="24"/>
      <w:lang w:eastAsia="ja-JP"/>
    </w:rPr>
  </w:style>
  <w:style w:type="character" w:customStyle="1" w:styleId="N6normlnChar">
    <w:name w:val="N6_normální Char"/>
    <w:link w:val="N6normln"/>
    <w:locked/>
    <w:rsid w:val="00626958"/>
    <w:rPr>
      <w:rFonts w:ascii="Times New Roman" w:eastAsia="Times New Roman" w:hAnsi="Times New Roman"/>
      <w:sz w:val="24"/>
    </w:rPr>
  </w:style>
  <w:style w:type="paragraph" w:customStyle="1" w:styleId="N6normln">
    <w:name w:val="N6_normální"/>
    <w:basedOn w:val="Normln"/>
    <w:link w:val="N6normlnChar"/>
    <w:locked/>
    <w:rsid w:val="00626958"/>
    <w:pPr>
      <w:ind w:firstLine="709"/>
    </w:pPr>
    <w:rPr>
      <w:rFonts w:ascii="Times New Roman" w:hAnsi="Times New Roman"/>
      <w:sz w:val="24"/>
    </w:rPr>
  </w:style>
  <w:style w:type="character" w:styleId="Zdraznnjemn">
    <w:name w:val="Subtle Emphasis"/>
    <w:basedOn w:val="Standardnpsmoodstavce"/>
    <w:uiPriority w:val="19"/>
    <w:qFormat/>
    <w:rsid w:val="00626958"/>
    <w:rPr>
      <w:rFonts w:ascii="Segoe UI" w:hAnsi="Segoe UI" w:cs="Times New Roman"/>
      <w:b/>
      <w:iCs/>
      <w:color w:val="auto"/>
      <w:sz w:val="20"/>
    </w:rPr>
  </w:style>
  <w:style w:type="paragraph" w:customStyle="1" w:styleId="Podstyl1">
    <w:name w:val="Podstyl1"/>
    <w:basedOn w:val="Normln"/>
    <w:next w:val="Normln"/>
    <w:uiPriority w:val="99"/>
    <w:qFormat/>
    <w:locked/>
    <w:rsid w:val="00626958"/>
    <w:pPr>
      <w:numPr>
        <w:ilvl w:val="1"/>
      </w:numPr>
      <w:shd w:val="clear" w:color="auto" w:fill="C00000"/>
    </w:pPr>
    <w:rPr>
      <w:b/>
      <w:color w:val="FFFFFF"/>
      <w:spacing w:val="15"/>
    </w:rPr>
  </w:style>
  <w:style w:type="character" w:customStyle="1" w:styleId="PodnadpisChar">
    <w:name w:val="Podnadpis Char"/>
    <w:aliases w:val="Podstyl Char"/>
    <w:basedOn w:val="Standardnpsmoodstavce"/>
    <w:link w:val="Podnadpis"/>
    <w:uiPriority w:val="99"/>
    <w:locked/>
    <w:rsid w:val="00626958"/>
    <w:rPr>
      <w:rFonts w:ascii="Segoe UI" w:eastAsia="Times New Roman" w:hAnsi="Segoe UI" w:cs="Times New Roman"/>
      <w:b/>
      <w:color w:val="FFFFFF"/>
      <w:spacing w:val="15"/>
      <w:sz w:val="20"/>
    </w:rPr>
  </w:style>
  <w:style w:type="paragraph" w:customStyle="1" w:styleId="Tab">
    <w:name w:val="Tab"/>
    <w:basedOn w:val="Normln"/>
    <w:link w:val="TabChar"/>
    <w:locked/>
    <w:rsid w:val="00626958"/>
    <w:pPr>
      <w:jc w:val="center"/>
    </w:pPr>
    <w:rPr>
      <w:color w:val="000000"/>
      <w:sz w:val="18"/>
      <w:lang w:eastAsia="cs-CZ"/>
    </w:rPr>
  </w:style>
  <w:style w:type="character" w:customStyle="1" w:styleId="TabChar">
    <w:name w:val="Tab Char"/>
    <w:basedOn w:val="Standardnpsmoodstavce"/>
    <w:link w:val="Tab"/>
    <w:locked/>
    <w:rsid w:val="00626958"/>
    <w:rPr>
      <w:rFonts w:ascii="Segoe UI" w:eastAsia="Times New Roman" w:hAnsi="Segoe UI" w:cs="Times New Roman"/>
      <w:color w:val="000000"/>
      <w:sz w:val="18"/>
      <w:lang w:eastAsia="cs-CZ"/>
    </w:rPr>
  </w:style>
  <w:style w:type="paragraph" w:customStyle="1" w:styleId="podnadpis2">
    <w:name w:val="podnadpis2"/>
    <w:basedOn w:val="N6normln"/>
    <w:link w:val="podnadpis2Char"/>
    <w:locked/>
    <w:rsid w:val="00626958"/>
    <w:pPr>
      <w:keepNext/>
      <w:ind w:firstLine="0"/>
    </w:pPr>
    <w:rPr>
      <w:rFonts w:ascii="Segoe UI" w:hAnsi="Segoe UI" w:cs="Segoe UI"/>
      <w:b/>
      <w:sz w:val="20"/>
      <w:szCs w:val="24"/>
    </w:rPr>
  </w:style>
  <w:style w:type="character" w:customStyle="1" w:styleId="podnadpis2Char">
    <w:name w:val="podnadpis2 Char"/>
    <w:basedOn w:val="N6normlnChar"/>
    <w:link w:val="podnadpis2"/>
    <w:locked/>
    <w:rsid w:val="00626958"/>
    <w:rPr>
      <w:rFonts w:ascii="Segoe UI" w:eastAsia="Times New Roman" w:hAnsi="Segoe UI" w:cs="Segoe UI"/>
      <w:b/>
      <w:sz w:val="20"/>
      <w:szCs w:val="24"/>
    </w:rPr>
  </w:style>
  <w:style w:type="character" w:customStyle="1" w:styleId="mw-headline">
    <w:name w:val="mw-headline"/>
    <w:basedOn w:val="Standardnpsmoodstavce"/>
    <w:locked/>
    <w:rsid w:val="00626958"/>
    <w:rPr>
      <w:rFonts w:cs="Times New Roman"/>
    </w:rPr>
  </w:style>
  <w:style w:type="paragraph" w:customStyle="1" w:styleId="GACRtext">
    <w:name w:val="GACR_text"/>
    <w:basedOn w:val="Normln"/>
    <w:link w:val="GACRtextChar"/>
    <w:locked/>
    <w:rsid w:val="00626958"/>
    <w:pPr>
      <w:ind w:firstLine="709"/>
    </w:pPr>
    <w:rPr>
      <w:rFonts w:ascii="Cambria" w:hAnsi="Cambria"/>
      <w:szCs w:val="24"/>
      <w:lang w:eastAsia="cs-CZ"/>
    </w:rPr>
  </w:style>
  <w:style w:type="character" w:customStyle="1" w:styleId="GACRtextChar">
    <w:name w:val="GACR_text Char"/>
    <w:basedOn w:val="Standardnpsmoodstavce"/>
    <w:link w:val="GACRtext"/>
    <w:locked/>
    <w:rsid w:val="00626958"/>
    <w:rPr>
      <w:rFonts w:ascii="Cambria" w:eastAsia="Times New Roman" w:hAnsi="Cambria" w:cs="Times New Roman"/>
      <w:szCs w:val="24"/>
      <w:lang w:eastAsia="cs-CZ"/>
    </w:rPr>
  </w:style>
  <w:style w:type="paragraph" w:customStyle="1" w:styleId="Zdroj">
    <w:name w:val="Zdroj"/>
    <w:basedOn w:val="Normln"/>
    <w:link w:val="ZdrojChar"/>
    <w:locked/>
    <w:rsid w:val="00626958"/>
    <w:pPr>
      <w:spacing w:after="120"/>
    </w:pPr>
    <w:rPr>
      <w:rFonts w:ascii="Cambria" w:hAnsi="Cambria"/>
      <w:bCs/>
      <w:i/>
      <w:iCs/>
      <w:sz w:val="18"/>
      <w:szCs w:val="24"/>
      <w:lang w:eastAsia="cs-CZ"/>
    </w:rPr>
  </w:style>
  <w:style w:type="character" w:customStyle="1" w:styleId="ZdrojChar">
    <w:name w:val="Zdroj Char"/>
    <w:basedOn w:val="Standardnpsmoodstavce"/>
    <w:link w:val="Zdroj"/>
    <w:locked/>
    <w:rsid w:val="00626958"/>
    <w:rPr>
      <w:rFonts w:ascii="Cambria" w:eastAsia="Times New Roman" w:hAnsi="Cambria" w:cs="Times New Roman"/>
      <w:bCs/>
      <w:i/>
      <w:iCs/>
      <w:sz w:val="18"/>
      <w:szCs w:val="24"/>
      <w:lang w:eastAsia="cs-CZ"/>
    </w:rPr>
  </w:style>
  <w:style w:type="paragraph" w:customStyle="1" w:styleId="gacrobr">
    <w:name w:val="gacr_obr"/>
    <w:basedOn w:val="Normln"/>
    <w:locked/>
    <w:rsid w:val="00626958"/>
    <w:pPr>
      <w:keepNext/>
      <w:spacing w:after="120" w:line="360" w:lineRule="auto"/>
      <w:jc w:val="center"/>
    </w:pPr>
    <w:rPr>
      <w:rFonts w:ascii="Times New Roman" w:hAnsi="Times New Roman"/>
      <w:sz w:val="24"/>
      <w:szCs w:val="24"/>
      <w:lang w:eastAsia="cs-CZ"/>
    </w:rPr>
  </w:style>
  <w:style w:type="paragraph" w:customStyle="1" w:styleId="Popisky">
    <w:name w:val="Popisky"/>
    <w:basedOn w:val="Titulek"/>
    <w:link w:val="PopiskyChar"/>
    <w:locked/>
    <w:rsid w:val="00626958"/>
    <w:pPr>
      <w:jc w:val="left"/>
    </w:pPr>
    <w:rPr>
      <w:rFonts w:eastAsia="Times New Roman"/>
      <w:sz w:val="18"/>
      <w:szCs w:val="18"/>
      <w:lang w:eastAsia="en-US"/>
    </w:rPr>
  </w:style>
  <w:style w:type="character" w:customStyle="1" w:styleId="PopiskyChar">
    <w:name w:val="Popisky Char"/>
    <w:basedOn w:val="Standardnpsmoodstavce"/>
    <w:link w:val="Popisky"/>
    <w:locked/>
    <w:rsid w:val="00626958"/>
    <w:rPr>
      <w:rFonts w:ascii="Segoe UI" w:eastAsia="Times New Roman" w:hAnsi="Segoe UI" w:cs="Segoe UI"/>
      <w:b/>
      <w:bCs/>
      <w:sz w:val="18"/>
      <w:szCs w:val="18"/>
    </w:rPr>
  </w:style>
  <w:style w:type="character" w:styleId="Zstupntext">
    <w:name w:val="Placeholder Text"/>
    <w:basedOn w:val="Standardnpsmoodstavce"/>
    <w:uiPriority w:val="99"/>
    <w:semiHidden/>
    <w:rsid w:val="00626958"/>
    <w:rPr>
      <w:rFonts w:cs="Times New Roman"/>
      <w:color w:val="808080"/>
    </w:rPr>
  </w:style>
  <w:style w:type="table" w:customStyle="1" w:styleId="Svtlstnovnzvraznn21">
    <w:name w:val="Světlé stínování – zvýraznění 21"/>
    <w:basedOn w:val="Normlntabulka"/>
    <w:next w:val="Svtlstnovnzvraznn2"/>
    <w:uiPriority w:val="60"/>
    <w:locked/>
    <w:rsid w:val="00626958"/>
    <w:pPr>
      <w:spacing w:after="0" w:line="240" w:lineRule="auto"/>
    </w:pPr>
    <w:rPr>
      <w:rFonts w:ascii="Calibri" w:eastAsia="Times New Roman" w:hAnsi="Calibri" w:cs="Times New Roman"/>
      <w:color w:val="943634"/>
      <w:sz w:val="20"/>
      <w:szCs w:val="20"/>
      <w:lang w:eastAsia="cs-CZ"/>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Popisek">
    <w:name w:val="Popisek"/>
    <w:basedOn w:val="Normln"/>
    <w:link w:val="PopisekChar"/>
    <w:locked/>
    <w:rsid w:val="00626958"/>
    <w:rPr>
      <w:i/>
      <w:color w:val="1F497D"/>
      <w:sz w:val="18"/>
    </w:rPr>
  </w:style>
  <w:style w:type="character" w:customStyle="1" w:styleId="PopisekChar">
    <w:name w:val="Popisek Char"/>
    <w:basedOn w:val="Standardnpsmoodstavce"/>
    <w:link w:val="Popisek"/>
    <w:locked/>
    <w:rsid w:val="00626958"/>
    <w:rPr>
      <w:rFonts w:eastAsia="Times New Roman" w:cs="Times New Roman"/>
      <w:i/>
      <w:color w:val="1F497D"/>
      <w:sz w:val="18"/>
    </w:rPr>
  </w:style>
  <w:style w:type="paragraph" w:customStyle="1" w:styleId="podnapis1">
    <w:name w:val="podnapis1"/>
    <w:basedOn w:val="podnadpis2"/>
    <w:locked/>
    <w:rsid w:val="00626958"/>
    <w:rPr>
      <w:color w:val="C00000"/>
      <w:lang w:eastAsia="cs-CZ"/>
    </w:rPr>
  </w:style>
  <w:style w:type="paragraph" w:customStyle="1" w:styleId="podnadpis0">
    <w:name w:val="podnadpis"/>
    <w:basedOn w:val="N6normln"/>
    <w:link w:val="podnadpisChar0"/>
    <w:locked/>
    <w:rsid w:val="00626958"/>
    <w:pPr>
      <w:keepNext/>
      <w:ind w:firstLine="0"/>
    </w:pPr>
    <w:rPr>
      <w:rFonts w:ascii="Segoe UI" w:hAnsi="Segoe UI" w:cs="Segoe UI"/>
      <w:b/>
      <w:szCs w:val="24"/>
    </w:rPr>
  </w:style>
  <w:style w:type="character" w:customStyle="1" w:styleId="podnadpisChar0">
    <w:name w:val="podnadpis Char"/>
    <w:basedOn w:val="N6normlnChar"/>
    <w:link w:val="podnadpis0"/>
    <w:locked/>
    <w:rsid w:val="00626958"/>
    <w:rPr>
      <w:rFonts w:ascii="Segoe UI" w:eastAsia="Times New Roman" w:hAnsi="Segoe UI" w:cs="Segoe UI"/>
      <w:b/>
      <w:sz w:val="24"/>
      <w:szCs w:val="24"/>
    </w:rPr>
  </w:style>
  <w:style w:type="paragraph" w:customStyle="1" w:styleId="xl112">
    <w:name w:val="xl112"/>
    <w:basedOn w:val="Normln"/>
    <w:locked/>
    <w:rsid w:val="0062695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18"/>
      <w:szCs w:val="18"/>
      <w:lang w:eastAsia="cs-CZ"/>
    </w:rPr>
  </w:style>
  <w:style w:type="paragraph" w:customStyle="1" w:styleId="xl113">
    <w:name w:val="xl113"/>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lang w:eastAsia="cs-CZ"/>
    </w:rPr>
  </w:style>
  <w:style w:type="paragraph" w:customStyle="1" w:styleId="xl114">
    <w:name w:val="xl114"/>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0"/>
      <w:lang w:eastAsia="cs-CZ"/>
    </w:rPr>
  </w:style>
  <w:style w:type="table" w:customStyle="1" w:styleId="Tabulkasmkou2zvraznn51">
    <w:name w:val="Tabulka s mřížkou 2 – zvýraznění 51"/>
    <w:basedOn w:val="Normlntabulka"/>
    <w:uiPriority w:val="47"/>
    <w:locked/>
    <w:rsid w:val="00626958"/>
    <w:pPr>
      <w:spacing w:after="0" w:line="240" w:lineRule="auto"/>
    </w:pPr>
    <w:rPr>
      <w:rFonts w:ascii="Calibri" w:eastAsia="Times New Roman" w:hAnsi="Calibri" w:cs="Times New Roman"/>
      <w:sz w:val="20"/>
      <w:szCs w:val="20"/>
      <w:lang w:eastAsia="cs-CZ"/>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rFonts w:cs="Times New Roman"/>
        <w:b/>
        <w:bCs/>
      </w:rPr>
      <w:tblPr/>
      <w:tcPr>
        <w:tcBorders>
          <w:top w:val="nil"/>
          <w:bottom w:val="single" w:sz="12" w:space="0" w:color="92CDDC"/>
          <w:insideH w:val="nil"/>
          <w:insideV w:val="nil"/>
        </w:tcBorders>
        <w:shd w:val="clear" w:color="auto" w:fill="FFFFFF"/>
      </w:tcPr>
    </w:tblStylePr>
    <w:tblStylePr w:type="lastRow">
      <w:rPr>
        <w:rFonts w:cs="Times New Roman"/>
        <w:b/>
        <w:bCs/>
      </w:rPr>
      <w:tblPr/>
      <w:tcPr>
        <w:tcBorders>
          <w:top w:val="double" w:sz="2" w:space="0" w:color="92CDDC"/>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paragraph" w:customStyle="1" w:styleId="Odstavec">
    <w:name w:val="Odstavec"/>
    <w:basedOn w:val="Normln"/>
    <w:link w:val="OdstavecChar"/>
    <w:locked/>
    <w:rsid w:val="00626958"/>
    <w:pPr>
      <w:spacing w:after="120" w:line="312" w:lineRule="auto"/>
      <w:ind w:firstLine="397"/>
    </w:pPr>
    <w:rPr>
      <w:rFonts w:ascii="Times New Roman" w:hAnsi="Times New Roman"/>
      <w:szCs w:val="20"/>
      <w:lang w:eastAsia="cs-CZ"/>
    </w:rPr>
  </w:style>
  <w:style w:type="character" w:customStyle="1" w:styleId="OdstavecChar">
    <w:name w:val="Odstavec Char"/>
    <w:link w:val="Odstavec"/>
    <w:locked/>
    <w:rsid w:val="00626958"/>
    <w:rPr>
      <w:rFonts w:ascii="Times New Roman" w:eastAsia="Times New Roman" w:hAnsi="Times New Roman" w:cs="Times New Roman"/>
      <w:sz w:val="20"/>
      <w:szCs w:val="20"/>
      <w:lang w:eastAsia="cs-CZ"/>
    </w:rPr>
  </w:style>
  <w:style w:type="character" w:customStyle="1" w:styleId="ZdrojeChar">
    <w:name w:val="Zdroje Char"/>
    <w:basedOn w:val="Standardnpsmoodstavce"/>
    <w:link w:val="Zdroje"/>
    <w:locked/>
    <w:rsid w:val="00626958"/>
    <w:rPr>
      <w:rFonts w:ascii="Cambria" w:hAnsi="Cambria" w:cs="Times New Roman"/>
      <w:bCs/>
      <w:i/>
      <w:iCs/>
      <w:sz w:val="18"/>
      <w:szCs w:val="24"/>
    </w:rPr>
  </w:style>
  <w:style w:type="paragraph" w:customStyle="1" w:styleId="Zdroje">
    <w:name w:val="Zdroje"/>
    <w:basedOn w:val="Normln"/>
    <w:link w:val="ZdrojeChar"/>
    <w:locked/>
    <w:rsid w:val="00626958"/>
    <w:pPr>
      <w:spacing w:after="120"/>
    </w:pPr>
    <w:rPr>
      <w:rFonts w:ascii="Cambria" w:hAnsi="Cambria"/>
      <w:bCs/>
      <w:i/>
      <w:iCs/>
      <w:sz w:val="18"/>
      <w:szCs w:val="24"/>
    </w:rPr>
  </w:style>
  <w:style w:type="character" w:customStyle="1" w:styleId="ico-article-date">
    <w:name w:val="ico-article-date"/>
    <w:basedOn w:val="Standardnpsmoodstavce"/>
    <w:locked/>
    <w:rsid w:val="00626958"/>
    <w:rPr>
      <w:rFonts w:cs="Times New Roman"/>
    </w:rPr>
  </w:style>
  <w:style w:type="paragraph" w:customStyle="1" w:styleId="xl67">
    <w:name w:val="xl67"/>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cs-CZ"/>
    </w:rPr>
  </w:style>
  <w:style w:type="paragraph" w:customStyle="1" w:styleId="xl68">
    <w:name w:val="xl68"/>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cs-CZ"/>
    </w:rPr>
  </w:style>
  <w:style w:type="paragraph" w:customStyle="1" w:styleId="xl69">
    <w:name w:val="xl69"/>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cs-CZ"/>
    </w:rPr>
  </w:style>
  <w:style w:type="paragraph" w:styleId="slovanseznam3">
    <w:name w:val="List Number 3"/>
    <w:basedOn w:val="Normln"/>
    <w:uiPriority w:val="99"/>
    <w:rsid w:val="00626958"/>
    <w:pPr>
      <w:numPr>
        <w:numId w:val="38"/>
      </w:numPr>
      <w:autoSpaceDE w:val="0"/>
      <w:autoSpaceDN w:val="0"/>
      <w:spacing w:after="120"/>
    </w:pPr>
    <w:rPr>
      <w:rFonts w:ascii="Times New Roman" w:hAnsi="Times New Roman"/>
      <w:sz w:val="24"/>
      <w:szCs w:val="24"/>
      <w:lang w:eastAsia="cs-CZ"/>
    </w:rPr>
  </w:style>
  <w:style w:type="paragraph" w:customStyle="1" w:styleId="Zhlav-akce">
    <w:name w:val="Záhlaví-akce"/>
    <w:basedOn w:val="Normln"/>
    <w:locked/>
    <w:rsid w:val="00626958"/>
    <w:pPr>
      <w:widowControl w:val="0"/>
    </w:pPr>
    <w:rPr>
      <w:rFonts w:ascii="Times New Roman" w:hAnsi="Times New Roman"/>
      <w:i/>
      <w:szCs w:val="20"/>
      <w:lang w:eastAsia="cs-CZ"/>
    </w:rPr>
  </w:style>
  <w:style w:type="character" w:customStyle="1" w:styleId="zklstylpsma">
    <w:name w:val="zákl. styl písma"/>
    <w:locked/>
    <w:rsid w:val="00626958"/>
    <w:rPr>
      <w:rFonts w:ascii="Switzerland" w:hAnsi="Switzerland"/>
      <w:kern w:val="16"/>
      <w:sz w:val="20"/>
    </w:rPr>
  </w:style>
  <w:style w:type="paragraph" w:styleId="slovanseznam">
    <w:name w:val="List Number"/>
    <w:basedOn w:val="Normln"/>
    <w:uiPriority w:val="99"/>
    <w:rsid w:val="00626958"/>
    <w:pPr>
      <w:widowControl w:val="0"/>
      <w:ind w:left="283" w:hanging="283"/>
    </w:pPr>
    <w:rPr>
      <w:rFonts w:ascii="Times New Roman" w:hAnsi="Times New Roman"/>
      <w:szCs w:val="20"/>
      <w:lang w:eastAsia="cs-CZ"/>
    </w:rPr>
  </w:style>
  <w:style w:type="paragraph" w:customStyle="1" w:styleId="Zhlav-kap">
    <w:name w:val="Záhlaví - kap."/>
    <w:basedOn w:val="Normln"/>
    <w:locked/>
    <w:rsid w:val="00626958"/>
    <w:pPr>
      <w:widowControl w:val="0"/>
      <w:jc w:val="right"/>
    </w:pPr>
    <w:rPr>
      <w:rFonts w:ascii="Times New Roman" w:hAnsi="Times New Roman"/>
      <w:i/>
      <w:szCs w:val="20"/>
      <w:lang w:eastAsia="cs-CZ"/>
    </w:rPr>
  </w:style>
  <w:style w:type="paragraph" w:styleId="slovanseznam2">
    <w:name w:val="List Number 2"/>
    <w:basedOn w:val="Normln"/>
    <w:uiPriority w:val="99"/>
    <w:rsid w:val="00626958"/>
    <w:pPr>
      <w:widowControl w:val="0"/>
      <w:ind w:left="566" w:hanging="283"/>
    </w:pPr>
    <w:rPr>
      <w:rFonts w:ascii="Times New Roman" w:hAnsi="Times New Roman"/>
      <w:szCs w:val="20"/>
      <w:lang w:eastAsia="cs-CZ"/>
    </w:rPr>
  </w:style>
  <w:style w:type="paragraph" w:styleId="slovanseznam4">
    <w:name w:val="List Number 4"/>
    <w:basedOn w:val="Normln"/>
    <w:uiPriority w:val="99"/>
    <w:rsid w:val="00626958"/>
    <w:pPr>
      <w:widowControl w:val="0"/>
      <w:ind w:left="1132" w:hanging="283"/>
    </w:pPr>
    <w:rPr>
      <w:rFonts w:ascii="Times New Roman" w:hAnsi="Times New Roman"/>
      <w:szCs w:val="20"/>
      <w:lang w:eastAsia="cs-CZ"/>
    </w:rPr>
  </w:style>
  <w:style w:type="paragraph" w:styleId="slovanseznam5">
    <w:name w:val="List Number 5"/>
    <w:basedOn w:val="Normln"/>
    <w:uiPriority w:val="99"/>
    <w:rsid w:val="00626958"/>
    <w:pPr>
      <w:widowControl w:val="0"/>
      <w:ind w:left="1415" w:hanging="283"/>
    </w:pPr>
    <w:rPr>
      <w:rFonts w:ascii="Times New Roman" w:hAnsi="Times New Roman"/>
      <w:szCs w:val="20"/>
      <w:lang w:eastAsia="cs-CZ"/>
    </w:rPr>
  </w:style>
  <w:style w:type="paragraph" w:styleId="Normlnodsazen">
    <w:name w:val="Normal Indent"/>
    <w:aliases w:val="záhlaví"/>
    <w:basedOn w:val="Normln"/>
    <w:next w:val="Normln"/>
    <w:uiPriority w:val="99"/>
    <w:rsid w:val="00626958"/>
    <w:pPr>
      <w:widowControl w:val="0"/>
      <w:ind w:left="709"/>
    </w:pPr>
    <w:rPr>
      <w:rFonts w:ascii="Times New Roman" w:hAnsi="Times New Roman"/>
      <w:szCs w:val="20"/>
      <w:lang w:eastAsia="cs-CZ"/>
    </w:rPr>
  </w:style>
  <w:style w:type="paragraph" w:customStyle="1" w:styleId="Bntext">
    <w:name w:val="Běžný text"/>
    <w:basedOn w:val="Normln"/>
    <w:locked/>
    <w:rsid w:val="00626958"/>
    <w:pPr>
      <w:widowControl w:val="0"/>
      <w:ind w:firstLine="567"/>
    </w:pPr>
    <w:rPr>
      <w:rFonts w:ascii="Tahoma" w:hAnsi="Tahoma"/>
      <w:szCs w:val="20"/>
      <w:lang w:eastAsia="cs-CZ"/>
    </w:rPr>
  </w:style>
  <w:style w:type="paragraph" w:customStyle="1" w:styleId="Bntextodsazen">
    <w:name w:val="Běžný text odsazený"/>
    <w:basedOn w:val="Normln"/>
    <w:locked/>
    <w:rsid w:val="00626958"/>
    <w:pPr>
      <w:widowControl w:val="0"/>
      <w:spacing w:before="60" w:after="60"/>
      <w:ind w:left="567"/>
    </w:pPr>
    <w:rPr>
      <w:rFonts w:ascii="Times New Roman" w:hAnsi="Times New Roman"/>
      <w:szCs w:val="20"/>
      <w:lang w:eastAsia="cs-CZ"/>
    </w:rPr>
  </w:style>
  <w:style w:type="paragraph" w:styleId="Seznamsodrkami">
    <w:name w:val="List Bullet"/>
    <w:basedOn w:val="Normln"/>
    <w:uiPriority w:val="99"/>
    <w:rsid w:val="00626958"/>
    <w:pPr>
      <w:widowControl w:val="0"/>
      <w:ind w:left="568" w:hanging="284"/>
    </w:pPr>
    <w:rPr>
      <w:rFonts w:ascii="Times New Roman" w:hAnsi="Times New Roman"/>
      <w:szCs w:val="20"/>
      <w:lang w:eastAsia="cs-CZ"/>
    </w:rPr>
  </w:style>
  <w:style w:type="paragraph" w:styleId="Seznamsodrkami2">
    <w:name w:val="List Bullet 2"/>
    <w:basedOn w:val="Normln"/>
    <w:uiPriority w:val="99"/>
    <w:rsid w:val="00626958"/>
    <w:pPr>
      <w:widowControl w:val="0"/>
      <w:ind w:left="850" w:hanging="283"/>
    </w:pPr>
    <w:rPr>
      <w:rFonts w:ascii="Times New Roman" w:hAnsi="Times New Roman"/>
      <w:szCs w:val="20"/>
      <w:lang w:eastAsia="cs-CZ"/>
    </w:rPr>
  </w:style>
  <w:style w:type="paragraph" w:styleId="Zptenadresanaoblku">
    <w:name w:val="envelope return"/>
    <w:basedOn w:val="Normln"/>
    <w:uiPriority w:val="99"/>
    <w:rsid w:val="00626958"/>
    <w:pPr>
      <w:widowControl w:val="0"/>
    </w:pPr>
    <w:rPr>
      <w:rFonts w:ascii="Times New Roman" w:hAnsi="Times New Roman"/>
      <w:szCs w:val="20"/>
      <w:lang w:eastAsia="cs-CZ"/>
    </w:rPr>
  </w:style>
  <w:style w:type="paragraph" w:styleId="Seznam">
    <w:name w:val="List"/>
    <w:basedOn w:val="Normln"/>
    <w:uiPriority w:val="99"/>
    <w:rsid w:val="00626958"/>
    <w:pPr>
      <w:widowControl w:val="0"/>
      <w:ind w:left="283" w:hanging="283"/>
    </w:pPr>
    <w:rPr>
      <w:rFonts w:ascii="Times New Roman" w:hAnsi="Times New Roman"/>
      <w:szCs w:val="20"/>
      <w:lang w:eastAsia="cs-CZ"/>
    </w:rPr>
  </w:style>
  <w:style w:type="paragraph" w:styleId="Seznam2">
    <w:name w:val="List 2"/>
    <w:basedOn w:val="Normln"/>
    <w:uiPriority w:val="99"/>
    <w:rsid w:val="00626958"/>
    <w:pPr>
      <w:widowControl w:val="0"/>
      <w:ind w:left="566" w:hanging="283"/>
    </w:pPr>
    <w:rPr>
      <w:rFonts w:ascii="Times New Roman" w:hAnsi="Times New Roman"/>
      <w:szCs w:val="20"/>
      <w:lang w:eastAsia="cs-CZ"/>
    </w:rPr>
  </w:style>
  <w:style w:type="paragraph" w:styleId="Seznam3">
    <w:name w:val="List 3"/>
    <w:basedOn w:val="Normln"/>
    <w:uiPriority w:val="99"/>
    <w:rsid w:val="00626958"/>
    <w:pPr>
      <w:widowControl w:val="0"/>
      <w:ind w:left="849" w:hanging="283"/>
    </w:pPr>
    <w:rPr>
      <w:rFonts w:ascii="Times New Roman" w:hAnsi="Times New Roman"/>
      <w:szCs w:val="20"/>
      <w:lang w:eastAsia="cs-CZ"/>
    </w:rPr>
  </w:style>
  <w:style w:type="paragraph" w:styleId="Zkladntextodsazen">
    <w:name w:val="Body Text Indent"/>
    <w:basedOn w:val="Normln"/>
    <w:link w:val="ZkladntextodsazenChar"/>
    <w:uiPriority w:val="99"/>
    <w:rsid w:val="00626958"/>
    <w:pPr>
      <w:widowControl w:val="0"/>
      <w:spacing w:after="120"/>
      <w:ind w:left="283"/>
    </w:pPr>
    <w:rPr>
      <w:rFonts w:ascii="Times New Roman" w:hAnsi="Times New Roman"/>
      <w:szCs w:val="20"/>
    </w:rPr>
  </w:style>
  <w:style w:type="character" w:customStyle="1" w:styleId="ZkladntextodsazenChar">
    <w:name w:val="Základní text odsazený Char"/>
    <w:basedOn w:val="Standardnpsmoodstavce"/>
    <w:link w:val="Zkladntextodsazen"/>
    <w:uiPriority w:val="99"/>
    <w:rsid w:val="00626958"/>
    <w:rPr>
      <w:rFonts w:ascii="Times New Roman" w:eastAsia="Times New Roman" w:hAnsi="Times New Roman" w:cs="Times New Roman"/>
      <w:szCs w:val="20"/>
    </w:rPr>
  </w:style>
  <w:style w:type="paragraph" w:customStyle="1" w:styleId="uvodnitext">
    <w:name w:val="uvodni text"/>
    <w:locked/>
    <w:rsid w:val="00626958"/>
    <w:pPr>
      <w:widowControl w:val="0"/>
      <w:spacing w:after="0" w:line="240" w:lineRule="auto"/>
    </w:pPr>
    <w:rPr>
      <w:rFonts w:ascii="Times New Roman" w:eastAsia="Times New Roman" w:hAnsi="Times New Roman" w:cs="Times New Roman"/>
      <w:sz w:val="24"/>
      <w:szCs w:val="20"/>
      <w:lang w:eastAsia="cs-CZ"/>
    </w:rPr>
  </w:style>
  <w:style w:type="paragraph" w:customStyle="1" w:styleId="Popisobjektu">
    <w:name w:val="Popis objektu"/>
    <w:locked/>
    <w:rsid w:val="00626958"/>
    <w:pPr>
      <w:widowControl w:val="0"/>
      <w:spacing w:after="0" w:line="240" w:lineRule="auto"/>
    </w:pPr>
    <w:rPr>
      <w:rFonts w:ascii="Times New Roman" w:eastAsia="Times New Roman" w:hAnsi="Times New Roman" w:cs="Times New Roman"/>
      <w:sz w:val="24"/>
      <w:szCs w:val="20"/>
      <w:lang w:eastAsia="cs-CZ"/>
    </w:rPr>
  </w:style>
  <w:style w:type="paragraph" w:customStyle="1" w:styleId="Zkladntext21">
    <w:name w:val="Základní text 21"/>
    <w:basedOn w:val="Normln"/>
    <w:locked/>
    <w:rsid w:val="00626958"/>
    <w:pPr>
      <w:widowControl w:val="0"/>
    </w:pPr>
    <w:rPr>
      <w:rFonts w:ascii="Times New Roman" w:hAnsi="Times New Roman"/>
      <w:sz w:val="24"/>
      <w:szCs w:val="20"/>
      <w:lang w:eastAsia="cs-CZ"/>
    </w:rPr>
  </w:style>
  <w:style w:type="paragraph" w:customStyle="1" w:styleId="Zkladntext31">
    <w:name w:val="Základní text 31"/>
    <w:basedOn w:val="Normln"/>
    <w:locked/>
    <w:rsid w:val="00626958"/>
    <w:pPr>
      <w:widowControl w:val="0"/>
    </w:pPr>
    <w:rPr>
      <w:rFonts w:ascii="Times New Roman" w:hAnsi="Times New Roman"/>
      <w:i/>
      <w:sz w:val="24"/>
      <w:szCs w:val="20"/>
      <w:lang w:eastAsia="cs-CZ"/>
    </w:rPr>
  </w:style>
  <w:style w:type="paragraph" w:customStyle="1" w:styleId="Bintext">
    <w:name w:val="Bižný text"/>
    <w:basedOn w:val="Normln"/>
    <w:locked/>
    <w:rsid w:val="00626958"/>
    <w:pPr>
      <w:widowControl w:val="0"/>
      <w:spacing w:before="60" w:after="60"/>
      <w:ind w:firstLine="567"/>
    </w:pPr>
    <w:rPr>
      <w:rFonts w:ascii="Times New Roman" w:hAnsi="Times New Roman"/>
      <w:szCs w:val="20"/>
      <w:lang w:eastAsia="cs-CZ"/>
    </w:rPr>
  </w:style>
  <w:style w:type="paragraph" w:styleId="Prosttext">
    <w:name w:val="Plain Text"/>
    <w:basedOn w:val="Normln"/>
    <w:link w:val="ProsttextChar"/>
    <w:uiPriority w:val="99"/>
    <w:rsid w:val="00626958"/>
    <w:pPr>
      <w:widowControl w:val="0"/>
    </w:pPr>
    <w:rPr>
      <w:rFonts w:ascii="Courier New" w:hAnsi="Courier New"/>
      <w:szCs w:val="20"/>
    </w:rPr>
  </w:style>
  <w:style w:type="character" w:customStyle="1" w:styleId="ProsttextChar">
    <w:name w:val="Prostý text Char"/>
    <w:basedOn w:val="Standardnpsmoodstavce"/>
    <w:link w:val="Prosttext"/>
    <w:uiPriority w:val="99"/>
    <w:rsid w:val="00626958"/>
    <w:rPr>
      <w:rFonts w:ascii="Courier New" w:eastAsia="Times New Roman" w:hAnsi="Courier New" w:cs="Times New Roman"/>
      <w:sz w:val="20"/>
      <w:szCs w:val="20"/>
    </w:rPr>
  </w:style>
  <w:style w:type="paragraph" w:customStyle="1" w:styleId="Zkladntextodsazen31">
    <w:name w:val="Základní text odsazený 31"/>
    <w:basedOn w:val="Normln"/>
    <w:locked/>
    <w:rsid w:val="00626958"/>
    <w:pPr>
      <w:widowControl w:val="0"/>
      <w:ind w:firstLine="708"/>
    </w:pPr>
    <w:rPr>
      <w:rFonts w:ascii="Times New Roman" w:hAnsi="Times New Roman"/>
      <w:szCs w:val="20"/>
      <w:lang w:eastAsia="cs-CZ"/>
    </w:rPr>
  </w:style>
  <w:style w:type="paragraph" w:customStyle="1" w:styleId="font5">
    <w:name w:val="font5"/>
    <w:basedOn w:val="Normln"/>
    <w:locked/>
    <w:rsid w:val="00626958"/>
    <w:pPr>
      <w:spacing w:before="100" w:beforeAutospacing="1" w:after="100" w:afterAutospacing="1"/>
    </w:pPr>
    <w:rPr>
      <w:rFonts w:ascii="Times New Roman" w:hAnsi="Times New Roman"/>
      <w:sz w:val="14"/>
      <w:szCs w:val="14"/>
      <w:lang w:eastAsia="cs-CZ"/>
    </w:rPr>
  </w:style>
  <w:style w:type="paragraph" w:customStyle="1" w:styleId="xl27">
    <w:name w:val="xl27"/>
    <w:basedOn w:val="Normln"/>
    <w:locked/>
    <w:rsid w:val="00626958"/>
    <w:pPr>
      <w:pBdr>
        <w:top w:val="single" w:sz="8" w:space="0" w:color="auto"/>
        <w:left w:val="single" w:sz="8" w:space="0" w:color="auto"/>
        <w:bottom w:val="single" w:sz="8" w:space="0" w:color="auto"/>
      </w:pBdr>
      <w:shd w:val="clear" w:color="auto" w:fill="00FFFF"/>
      <w:spacing w:before="100" w:beforeAutospacing="1" w:after="100" w:afterAutospacing="1"/>
      <w:textAlignment w:val="center"/>
    </w:pPr>
    <w:rPr>
      <w:rFonts w:ascii="Times New Roman" w:hAnsi="Times New Roman"/>
      <w:sz w:val="14"/>
      <w:szCs w:val="14"/>
      <w:lang w:eastAsia="cs-CZ"/>
    </w:rPr>
  </w:style>
  <w:style w:type="paragraph" w:customStyle="1" w:styleId="xl28">
    <w:name w:val="xl28"/>
    <w:basedOn w:val="Normln"/>
    <w:locked/>
    <w:rsid w:val="00626958"/>
    <w:pPr>
      <w:pBdr>
        <w:top w:val="single" w:sz="8" w:space="0" w:color="auto"/>
        <w:bottom w:val="single" w:sz="8" w:space="0" w:color="auto"/>
      </w:pBdr>
      <w:shd w:val="clear" w:color="auto" w:fill="00FFFF"/>
      <w:spacing w:before="100" w:beforeAutospacing="1" w:after="100" w:afterAutospacing="1"/>
      <w:textAlignment w:val="center"/>
    </w:pPr>
    <w:rPr>
      <w:rFonts w:ascii="Times New Roman" w:hAnsi="Times New Roman"/>
      <w:sz w:val="14"/>
      <w:szCs w:val="14"/>
      <w:lang w:eastAsia="cs-CZ"/>
    </w:rPr>
  </w:style>
  <w:style w:type="paragraph" w:customStyle="1" w:styleId="xl29">
    <w:name w:val="xl29"/>
    <w:basedOn w:val="Normln"/>
    <w:locked/>
    <w:rsid w:val="00626958"/>
    <w:pPr>
      <w:pBdr>
        <w:top w:val="single" w:sz="8" w:space="0" w:color="auto"/>
        <w:bottom w:val="single" w:sz="8" w:space="0" w:color="auto"/>
      </w:pBdr>
      <w:shd w:val="clear" w:color="auto" w:fill="00FFFF"/>
      <w:spacing w:before="100" w:beforeAutospacing="1" w:after="100" w:afterAutospacing="1"/>
      <w:textAlignment w:val="center"/>
    </w:pPr>
    <w:rPr>
      <w:rFonts w:ascii="Times New Roman" w:hAnsi="Times New Roman"/>
      <w:b/>
      <w:bCs/>
      <w:sz w:val="14"/>
      <w:szCs w:val="14"/>
      <w:lang w:eastAsia="cs-CZ"/>
    </w:rPr>
  </w:style>
  <w:style w:type="paragraph" w:customStyle="1" w:styleId="xl30">
    <w:name w:val="xl30"/>
    <w:basedOn w:val="Normln"/>
    <w:locked/>
    <w:rsid w:val="00626958"/>
    <w:pPr>
      <w:pBdr>
        <w:top w:val="single" w:sz="8" w:space="0" w:color="auto"/>
        <w:bottom w:val="single" w:sz="8" w:space="0" w:color="auto"/>
        <w:right w:val="single" w:sz="8" w:space="0" w:color="auto"/>
      </w:pBdr>
      <w:shd w:val="clear" w:color="auto" w:fill="00FFFF"/>
      <w:spacing w:before="100" w:beforeAutospacing="1" w:after="100" w:afterAutospacing="1"/>
      <w:textAlignment w:val="center"/>
    </w:pPr>
    <w:rPr>
      <w:rFonts w:ascii="Times New Roman" w:hAnsi="Times New Roman"/>
      <w:sz w:val="14"/>
      <w:szCs w:val="14"/>
      <w:lang w:eastAsia="cs-CZ"/>
    </w:rPr>
  </w:style>
  <w:style w:type="paragraph" w:customStyle="1" w:styleId="xl31">
    <w:name w:val="xl31"/>
    <w:basedOn w:val="Normln"/>
    <w:locked/>
    <w:rsid w:val="00626958"/>
    <w:pPr>
      <w:pBdr>
        <w:bottom w:val="single" w:sz="4" w:space="0" w:color="auto"/>
        <w:right w:val="single" w:sz="8" w:space="0" w:color="auto"/>
      </w:pBdr>
      <w:shd w:val="clear" w:color="auto" w:fill="FFFF00"/>
      <w:spacing w:before="100" w:beforeAutospacing="1" w:after="100" w:afterAutospacing="1"/>
      <w:jc w:val="right"/>
    </w:pPr>
    <w:rPr>
      <w:rFonts w:ascii="Times New Roman" w:hAnsi="Times New Roman"/>
      <w:sz w:val="14"/>
      <w:szCs w:val="14"/>
      <w:lang w:eastAsia="cs-CZ"/>
    </w:rPr>
  </w:style>
  <w:style w:type="paragraph" w:customStyle="1" w:styleId="xl32">
    <w:name w:val="xl32"/>
    <w:basedOn w:val="Normln"/>
    <w:locked/>
    <w:rsid w:val="00626958"/>
    <w:pPr>
      <w:pBdr>
        <w:bottom w:val="single" w:sz="4" w:space="0" w:color="auto"/>
        <w:right w:val="single" w:sz="8"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33">
    <w:name w:val="xl33"/>
    <w:basedOn w:val="Normln"/>
    <w:locked/>
    <w:rsid w:val="00626958"/>
    <w:pPr>
      <w:pBdr>
        <w:top w:val="single" w:sz="4" w:space="0" w:color="auto"/>
        <w:bottom w:val="single" w:sz="4" w:space="0" w:color="auto"/>
        <w:right w:val="single" w:sz="8" w:space="0" w:color="auto"/>
      </w:pBdr>
      <w:shd w:val="clear" w:color="auto" w:fill="00FFFF"/>
      <w:spacing w:before="100" w:beforeAutospacing="1" w:after="100" w:afterAutospacing="1"/>
      <w:jc w:val="right"/>
    </w:pPr>
    <w:rPr>
      <w:rFonts w:ascii="Times New Roman" w:hAnsi="Times New Roman"/>
      <w:sz w:val="14"/>
      <w:szCs w:val="14"/>
      <w:lang w:eastAsia="cs-CZ"/>
    </w:rPr>
  </w:style>
  <w:style w:type="paragraph" w:customStyle="1" w:styleId="xl34">
    <w:name w:val="xl34"/>
    <w:basedOn w:val="Normln"/>
    <w:locked/>
    <w:rsid w:val="00626958"/>
    <w:pPr>
      <w:pBdr>
        <w:top w:val="single" w:sz="4" w:space="0" w:color="auto"/>
        <w:left w:val="single" w:sz="8" w:space="0" w:color="auto"/>
        <w:bottom w:val="single" w:sz="4"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35">
    <w:name w:val="xl35"/>
    <w:basedOn w:val="Normln"/>
    <w:locked/>
    <w:rsid w:val="00626958"/>
    <w:pPr>
      <w:pBdr>
        <w:top w:val="single" w:sz="4" w:space="0" w:color="auto"/>
        <w:bottom w:val="single" w:sz="4"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36">
    <w:name w:val="xl36"/>
    <w:basedOn w:val="Normln"/>
    <w:locked/>
    <w:rsid w:val="00626958"/>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37">
    <w:name w:val="xl37"/>
    <w:basedOn w:val="Normln"/>
    <w:locked/>
    <w:rsid w:val="00626958"/>
    <w:pPr>
      <w:pBdr>
        <w:top w:val="single" w:sz="4" w:space="0" w:color="auto"/>
        <w:bottom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38">
    <w:name w:val="xl38"/>
    <w:basedOn w:val="Normln"/>
    <w:locked/>
    <w:rsid w:val="00626958"/>
    <w:pPr>
      <w:pBdr>
        <w:top w:val="single" w:sz="4" w:space="0" w:color="auto"/>
        <w:bottom w:val="single" w:sz="4" w:space="0" w:color="auto"/>
        <w:right w:val="single" w:sz="8"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39">
    <w:name w:val="xl39"/>
    <w:basedOn w:val="Normln"/>
    <w:locked/>
    <w:rsid w:val="00626958"/>
    <w:pPr>
      <w:pBdr>
        <w:top w:val="single" w:sz="8" w:space="0" w:color="auto"/>
        <w:left w:val="single" w:sz="8" w:space="0" w:color="auto"/>
        <w:bottom w:val="single" w:sz="4"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40">
    <w:name w:val="xl40"/>
    <w:basedOn w:val="Normln"/>
    <w:locked/>
    <w:rsid w:val="00626958"/>
    <w:pPr>
      <w:pBdr>
        <w:top w:val="single" w:sz="8" w:space="0" w:color="auto"/>
        <w:bottom w:val="single" w:sz="4"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41">
    <w:name w:val="xl41"/>
    <w:basedOn w:val="Normln"/>
    <w:locked/>
    <w:rsid w:val="00626958"/>
    <w:pPr>
      <w:pBdr>
        <w:top w:val="single" w:sz="8" w:space="0" w:color="auto"/>
        <w:bottom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42">
    <w:name w:val="xl42"/>
    <w:basedOn w:val="Normln"/>
    <w:locked/>
    <w:rsid w:val="00626958"/>
    <w:pPr>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43">
    <w:name w:val="xl43"/>
    <w:basedOn w:val="Normln"/>
    <w:locked/>
    <w:rsid w:val="00626958"/>
    <w:pPr>
      <w:pBdr>
        <w:top w:val="single" w:sz="8" w:space="0" w:color="auto"/>
        <w:bottom w:val="single" w:sz="4" w:space="0" w:color="auto"/>
        <w:right w:val="single" w:sz="8" w:space="0" w:color="auto"/>
      </w:pBdr>
      <w:shd w:val="clear" w:color="auto" w:fill="00FFFF"/>
      <w:spacing w:before="100" w:beforeAutospacing="1" w:after="100" w:afterAutospacing="1"/>
      <w:jc w:val="right"/>
    </w:pPr>
    <w:rPr>
      <w:rFonts w:ascii="Times New Roman" w:hAnsi="Times New Roman"/>
      <w:sz w:val="14"/>
      <w:szCs w:val="14"/>
      <w:lang w:eastAsia="cs-CZ"/>
    </w:rPr>
  </w:style>
  <w:style w:type="paragraph" w:customStyle="1" w:styleId="xl44">
    <w:name w:val="xl44"/>
    <w:basedOn w:val="Normln"/>
    <w:locked/>
    <w:rsid w:val="00626958"/>
    <w:pPr>
      <w:pBdr>
        <w:bottom w:val="single" w:sz="8"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45">
    <w:name w:val="xl45"/>
    <w:basedOn w:val="Normln"/>
    <w:locked/>
    <w:rsid w:val="00626958"/>
    <w:pPr>
      <w:pBdr>
        <w:bottom w:val="single" w:sz="8"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46">
    <w:name w:val="xl46"/>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47">
    <w:name w:val="xl47"/>
    <w:basedOn w:val="Normln"/>
    <w:locked/>
    <w:rsid w:val="00626958"/>
    <w:pPr>
      <w:pBdr>
        <w:top w:val="single" w:sz="4" w:space="0" w:color="auto"/>
        <w:left w:val="single" w:sz="8" w:space="0" w:color="auto"/>
        <w:bottom w:val="single" w:sz="4" w:space="0" w:color="auto"/>
        <w:right w:val="single" w:sz="4" w:space="0" w:color="auto"/>
      </w:pBdr>
      <w:shd w:val="clear" w:color="auto" w:fill="00FFFF"/>
      <w:spacing w:before="100" w:beforeAutospacing="1" w:after="100" w:afterAutospacing="1"/>
      <w:jc w:val="center"/>
      <w:textAlignment w:val="center"/>
    </w:pPr>
    <w:rPr>
      <w:rFonts w:ascii="Times New Roman" w:hAnsi="Times New Roman"/>
      <w:sz w:val="14"/>
      <w:szCs w:val="14"/>
      <w:lang w:eastAsia="cs-CZ"/>
    </w:rPr>
  </w:style>
  <w:style w:type="paragraph" w:customStyle="1" w:styleId="xl48">
    <w:name w:val="xl48"/>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4"/>
      <w:szCs w:val="14"/>
      <w:lang w:eastAsia="cs-CZ"/>
    </w:rPr>
  </w:style>
  <w:style w:type="paragraph" w:customStyle="1" w:styleId="xl49">
    <w:name w:val="xl49"/>
    <w:basedOn w:val="Normln"/>
    <w:locked/>
    <w:rsid w:val="0062695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hAnsi="Times New Roman"/>
      <w:sz w:val="14"/>
      <w:szCs w:val="14"/>
      <w:lang w:eastAsia="cs-CZ"/>
    </w:rPr>
  </w:style>
  <w:style w:type="paragraph" w:customStyle="1" w:styleId="xl50">
    <w:name w:val="xl50"/>
    <w:basedOn w:val="Normln"/>
    <w:locked/>
    <w:rsid w:val="00626958"/>
    <w:pPr>
      <w:pBdr>
        <w:top w:val="single" w:sz="4" w:space="0" w:color="auto"/>
        <w:left w:val="single" w:sz="4" w:space="0" w:color="auto"/>
        <w:bottom w:val="single" w:sz="4" w:space="0" w:color="auto"/>
      </w:pBdr>
      <w:shd w:val="clear" w:color="auto" w:fill="00FFFF"/>
      <w:spacing w:before="100" w:beforeAutospacing="1" w:after="100" w:afterAutospacing="1"/>
      <w:jc w:val="center"/>
      <w:textAlignment w:val="center"/>
    </w:pPr>
    <w:rPr>
      <w:rFonts w:ascii="Times New Roman" w:hAnsi="Times New Roman"/>
      <w:sz w:val="14"/>
      <w:szCs w:val="14"/>
      <w:lang w:eastAsia="cs-CZ"/>
    </w:rPr>
  </w:style>
  <w:style w:type="paragraph" w:customStyle="1" w:styleId="xl51">
    <w:name w:val="xl51"/>
    <w:basedOn w:val="Normln"/>
    <w:locked/>
    <w:rsid w:val="00626958"/>
    <w:pPr>
      <w:pBdr>
        <w:top w:val="single" w:sz="4" w:space="0" w:color="auto"/>
        <w:left w:val="single" w:sz="4" w:space="0" w:color="auto"/>
        <w:bottom w:val="single" w:sz="4" w:space="0" w:color="auto"/>
      </w:pBdr>
      <w:shd w:val="clear" w:color="auto" w:fill="00FFFF"/>
      <w:spacing w:before="100" w:beforeAutospacing="1" w:after="100" w:afterAutospacing="1"/>
      <w:jc w:val="center"/>
      <w:textAlignment w:val="center"/>
    </w:pPr>
    <w:rPr>
      <w:rFonts w:ascii="Times New Roman" w:hAnsi="Times New Roman"/>
      <w:sz w:val="14"/>
      <w:szCs w:val="14"/>
      <w:lang w:eastAsia="cs-CZ"/>
    </w:rPr>
  </w:style>
  <w:style w:type="paragraph" w:customStyle="1" w:styleId="xl52">
    <w:name w:val="xl52"/>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textAlignment w:val="center"/>
    </w:pPr>
    <w:rPr>
      <w:rFonts w:ascii="Times New Roman" w:hAnsi="Times New Roman"/>
      <w:sz w:val="14"/>
      <w:szCs w:val="14"/>
      <w:lang w:eastAsia="cs-CZ"/>
    </w:rPr>
  </w:style>
  <w:style w:type="paragraph" w:customStyle="1" w:styleId="xl53">
    <w:name w:val="xl53"/>
    <w:basedOn w:val="Normln"/>
    <w:locked/>
    <w:rsid w:val="00626958"/>
    <w:pPr>
      <w:pBdr>
        <w:top w:val="single" w:sz="8" w:space="0" w:color="auto"/>
        <w:left w:val="single" w:sz="4" w:space="0" w:color="auto"/>
        <w:bottom w:val="single" w:sz="8" w:space="0" w:color="auto"/>
        <w:right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54">
    <w:name w:val="xl54"/>
    <w:basedOn w:val="Normln"/>
    <w:locked/>
    <w:rsid w:val="00626958"/>
    <w:pPr>
      <w:pBdr>
        <w:top w:val="single" w:sz="8" w:space="0" w:color="auto"/>
        <w:left w:val="single" w:sz="4" w:space="0" w:color="auto"/>
        <w:bottom w:val="single" w:sz="8"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55">
    <w:name w:val="xl55"/>
    <w:basedOn w:val="Normln"/>
    <w:locked/>
    <w:rsid w:val="00626958"/>
    <w:pPr>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Times New Roman" w:hAnsi="Times New Roman"/>
      <w:sz w:val="16"/>
      <w:szCs w:val="16"/>
      <w:lang w:eastAsia="cs-CZ"/>
    </w:rPr>
  </w:style>
  <w:style w:type="paragraph" w:customStyle="1" w:styleId="xl56">
    <w:name w:val="xl56"/>
    <w:basedOn w:val="Normln"/>
    <w:locked/>
    <w:rsid w:val="00626958"/>
    <w:pPr>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Times New Roman" w:hAnsi="Times New Roman"/>
      <w:sz w:val="16"/>
      <w:szCs w:val="16"/>
      <w:lang w:eastAsia="cs-CZ"/>
    </w:rPr>
  </w:style>
  <w:style w:type="paragraph" w:customStyle="1" w:styleId="xl57">
    <w:name w:val="xl57"/>
    <w:basedOn w:val="Normln"/>
    <w:locked/>
    <w:rsid w:val="00626958"/>
    <w:pPr>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Times New Roman" w:hAnsi="Times New Roman"/>
      <w:sz w:val="16"/>
      <w:szCs w:val="16"/>
      <w:lang w:eastAsia="cs-CZ"/>
    </w:rPr>
  </w:style>
  <w:style w:type="paragraph" w:customStyle="1" w:styleId="xl58">
    <w:name w:val="xl58"/>
    <w:basedOn w:val="Normln"/>
    <w:locked/>
    <w:rsid w:val="00626958"/>
    <w:pPr>
      <w:pBdr>
        <w:top w:val="single" w:sz="8" w:space="0" w:color="auto"/>
        <w:left w:val="single" w:sz="4" w:space="0" w:color="auto"/>
        <w:bottom w:val="single" w:sz="4" w:space="0" w:color="auto"/>
        <w:right w:val="single" w:sz="8" w:space="0" w:color="auto"/>
      </w:pBdr>
      <w:shd w:val="clear" w:color="auto" w:fill="00FFFF"/>
      <w:spacing w:before="100" w:beforeAutospacing="1" w:after="100" w:afterAutospacing="1"/>
      <w:jc w:val="right"/>
    </w:pPr>
    <w:rPr>
      <w:rFonts w:ascii="Times New Roman" w:hAnsi="Times New Roman"/>
      <w:sz w:val="16"/>
      <w:szCs w:val="16"/>
      <w:lang w:eastAsia="cs-CZ"/>
    </w:rPr>
  </w:style>
  <w:style w:type="paragraph" w:customStyle="1" w:styleId="xl59">
    <w:name w:val="xl59"/>
    <w:basedOn w:val="Normln"/>
    <w:locked/>
    <w:rsid w:val="00626958"/>
    <w:pPr>
      <w:pBdr>
        <w:top w:val="single" w:sz="4" w:space="0" w:color="auto"/>
        <w:left w:val="single" w:sz="8" w:space="0" w:color="auto"/>
        <w:bottom w:val="single" w:sz="8"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60">
    <w:name w:val="xl60"/>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jc w:val="center"/>
    </w:pPr>
    <w:rPr>
      <w:rFonts w:ascii="Times New Roman" w:hAnsi="Times New Roman"/>
      <w:sz w:val="16"/>
      <w:szCs w:val="16"/>
      <w:lang w:eastAsia="cs-CZ"/>
    </w:rPr>
  </w:style>
  <w:style w:type="paragraph" w:customStyle="1" w:styleId="xl61">
    <w:name w:val="xl61"/>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jc w:val="center"/>
    </w:pPr>
    <w:rPr>
      <w:rFonts w:ascii="Times New Roman" w:hAnsi="Times New Roman"/>
      <w:sz w:val="16"/>
      <w:szCs w:val="16"/>
      <w:lang w:eastAsia="cs-CZ"/>
    </w:rPr>
  </w:style>
  <w:style w:type="paragraph" w:customStyle="1" w:styleId="xl62">
    <w:name w:val="xl62"/>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jc w:val="right"/>
    </w:pPr>
    <w:rPr>
      <w:rFonts w:ascii="Times New Roman" w:hAnsi="Times New Roman"/>
      <w:sz w:val="16"/>
      <w:szCs w:val="16"/>
      <w:lang w:eastAsia="cs-CZ"/>
    </w:rPr>
  </w:style>
  <w:style w:type="paragraph" w:customStyle="1" w:styleId="xl63">
    <w:name w:val="xl63"/>
    <w:basedOn w:val="Normln"/>
    <w:locked/>
    <w:rsid w:val="00626958"/>
    <w:pPr>
      <w:pBdr>
        <w:top w:val="single" w:sz="4" w:space="0" w:color="auto"/>
        <w:left w:val="single" w:sz="4" w:space="0" w:color="auto"/>
        <w:bottom w:val="single" w:sz="8" w:space="0" w:color="auto"/>
        <w:right w:val="single" w:sz="8" w:space="0" w:color="auto"/>
      </w:pBdr>
      <w:shd w:val="clear" w:color="auto" w:fill="00FFFF"/>
      <w:spacing w:before="100" w:beforeAutospacing="1" w:after="100" w:afterAutospacing="1"/>
      <w:jc w:val="right"/>
    </w:pPr>
    <w:rPr>
      <w:rFonts w:ascii="Times New Roman" w:hAnsi="Times New Roman"/>
      <w:sz w:val="16"/>
      <w:szCs w:val="16"/>
      <w:lang w:eastAsia="cs-CZ"/>
    </w:rPr>
  </w:style>
  <w:style w:type="paragraph" w:customStyle="1" w:styleId="xl64">
    <w:name w:val="xl64"/>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65">
    <w:name w:val="xl65"/>
    <w:basedOn w:val="Normln"/>
    <w:locked/>
    <w:rsid w:val="00626958"/>
    <w:pPr>
      <w:pBdr>
        <w:left w:val="single" w:sz="4" w:space="0" w:color="auto"/>
        <w:bottom w:val="single" w:sz="8" w:space="0" w:color="auto"/>
        <w:right w:val="single" w:sz="8"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66">
    <w:name w:val="xl66"/>
    <w:basedOn w:val="Normln"/>
    <w:locked/>
    <w:rsid w:val="00626958"/>
    <w:pPr>
      <w:pBdr>
        <w:top w:val="single" w:sz="8" w:space="0" w:color="auto"/>
        <w:left w:val="single" w:sz="8" w:space="0" w:color="auto"/>
        <w:bottom w:val="single" w:sz="4"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font6">
    <w:name w:val="font6"/>
    <w:basedOn w:val="Normln"/>
    <w:locked/>
    <w:rsid w:val="00626958"/>
    <w:pPr>
      <w:spacing w:before="100" w:beforeAutospacing="1" w:after="100" w:afterAutospacing="1"/>
    </w:pPr>
    <w:rPr>
      <w:rFonts w:ascii="Tahoma" w:hAnsi="Tahoma" w:cs="Tahoma"/>
      <w:color w:val="000000"/>
      <w:sz w:val="16"/>
      <w:szCs w:val="16"/>
      <w:lang w:eastAsia="cs-CZ"/>
    </w:rPr>
  </w:style>
  <w:style w:type="paragraph" w:customStyle="1" w:styleId="xl70">
    <w:name w:val="xl70"/>
    <w:basedOn w:val="Normln"/>
    <w:locked/>
    <w:rsid w:val="00626958"/>
    <w:pPr>
      <w:pBdr>
        <w:bottom w:val="single" w:sz="4" w:space="0" w:color="auto"/>
        <w:right w:val="single" w:sz="4" w:space="0" w:color="auto"/>
      </w:pBdr>
      <w:spacing w:before="100" w:beforeAutospacing="1" w:after="100" w:afterAutospacing="1"/>
    </w:pPr>
    <w:rPr>
      <w:rFonts w:ascii="Times New Roman" w:hAnsi="Times New Roman"/>
      <w:sz w:val="24"/>
      <w:szCs w:val="24"/>
      <w:lang w:eastAsia="cs-CZ"/>
    </w:rPr>
  </w:style>
  <w:style w:type="paragraph" w:customStyle="1" w:styleId="xl71">
    <w:name w:val="xl71"/>
    <w:basedOn w:val="Normln"/>
    <w:locked/>
    <w:rsid w:val="00626958"/>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cs-CZ"/>
    </w:rPr>
  </w:style>
  <w:style w:type="paragraph" w:customStyle="1" w:styleId="xl72">
    <w:name w:val="xl72"/>
    <w:basedOn w:val="Normln"/>
    <w:locked/>
    <w:rsid w:val="00626958"/>
    <w:pPr>
      <w:pBdr>
        <w:top w:val="single" w:sz="8" w:space="0" w:color="auto"/>
        <w:left w:val="single" w:sz="8" w:space="0" w:color="auto"/>
        <w:bottom w:val="single" w:sz="4" w:space="0" w:color="auto"/>
      </w:pBdr>
      <w:shd w:val="clear" w:color="auto" w:fill="00FFFF"/>
      <w:spacing w:before="100" w:beforeAutospacing="1" w:after="100" w:afterAutospacing="1"/>
    </w:pPr>
    <w:rPr>
      <w:rFonts w:ascii="Times New Roman" w:hAnsi="Times New Roman"/>
      <w:b/>
      <w:bCs/>
      <w:sz w:val="24"/>
      <w:szCs w:val="24"/>
      <w:lang w:eastAsia="cs-CZ"/>
    </w:rPr>
  </w:style>
  <w:style w:type="paragraph" w:customStyle="1" w:styleId="xl73">
    <w:name w:val="xl73"/>
    <w:basedOn w:val="Normln"/>
    <w:locked/>
    <w:rsid w:val="00626958"/>
    <w:pPr>
      <w:pBdr>
        <w:top w:val="single" w:sz="8" w:space="0" w:color="auto"/>
        <w:bottom w:val="single" w:sz="4" w:space="0" w:color="auto"/>
      </w:pBdr>
      <w:shd w:val="clear" w:color="auto" w:fill="00FFFF"/>
      <w:spacing w:before="100" w:beforeAutospacing="1" w:after="100" w:afterAutospacing="1"/>
    </w:pPr>
    <w:rPr>
      <w:rFonts w:ascii="Times New Roman" w:hAnsi="Times New Roman"/>
      <w:b/>
      <w:bCs/>
      <w:sz w:val="24"/>
      <w:szCs w:val="24"/>
      <w:lang w:eastAsia="cs-CZ"/>
    </w:rPr>
  </w:style>
  <w:style w:type="paragraph" w:customStyle="1" w:styleId="xl74">
    <w:name w:val="xl74"/>
    <w:basedOn w:val="Normln"/>
    <w:locked/>
    <w:rsid w:val="00626958"/>
    <w:pPr>
      <w:pBdr>
        <w:top w:val="single" w:sz="8" w:space="0" w:color="auto"/>
        <w:left w:val="single" w:sz="8" w:space="0" w:color="auto"/>
        <w:bottom w:val="single" w:sz="4" w:space="0" w:color="auto"/>
      </w:pBdr>
      <w:shd w:val="clear" w:color="auto" w:fill="00FFFF"/>
      <w:spacing w:before="100" w:beforeAutospacing="1" w:after="100" w:afterAutospacing="1"/>
    </w:pPr>
    <w:rPr>
      <w:rFonts w:ascii="Times New Roman" w:hAnsi="Times New Roman"/>
      <w:b/>
      <w:bCs/>
      <w:sz w:val="24"/>
      <w:szCs w:val="24"/>
      <w:lang w:eastAsia="cs-CZ"/>
    </w:rPr>
  </w:style>
  <w:style w:type="paragraph" w:customStyle="1" w:styleId="xl75">
    <w:name w:val="xl75"/>
    <w:basedOn w:val="Normln"/>
    <w:locked/>
    <w:rsid w:val="00626958"/>
    <w:pPr>
      <w:pBdr>
        <w:top w:val="single" w:sz="8" w:space="0" w:color="auto"/>
        <w:bottom w:val="single" w:sz="4" w:space="0" w:color="auto"/>
      </w:pBdr>
      <w:shd w:val="clear" w:color="auto" w:fill="00FFFF"/>
      <w:spacing w:before="100" w:beforeAutospacing="1" w:after="100" w:afterAutospacing="1"/>
    </w:pPr>
    <w:rPr>
      <w:rFonts w:ascii="Times New Roman" w:hAnsi="Times New Roman"/>
      <w:b/>
      <w:bCs/>
      <w:sz w:val="24"/>
      <w:szCs w:val="24"/>
      <w:lang w:eastAsia="cs-CZ"/>
    </w:rPr>
  </w:style>
  <w:style w:type="paragraph" w:customStyle="1" w:styleId="xl76">
    <w:name w:val="xl76"/>
    <w:basedOn w:val="Normln"/>
    <w:locked/>
    <w:rsid w:val="00626958"/>
    <w:pPr>
      <w:pBdr>
        <w:top w:val="single" w:sz="8" w:space="0" w:color="auto"/>
        <w:bottom w:val="single" w:sz="4" w:space="0" w:color="auto"/>
        <w:right w:val="single" w:sz="4" w:space="0" w:color="auto"/>
      </w:pBdr>
      <w:shd w:val="clear" w:color="auto" w:fill="00FFFF"/>
      <w:spacing w:before="100" w:beforeAutospacing="1" w:after="100" w:afterAutospacing="1"/>
    </w:pPr>
    <w:rPr>
      <w:rFonts w:ascii="Times New Roman" w:hAnsi="Times New Roman"/>
      <w:b/>
      <w:bCs/>
      <w:sz w:val="24"/>
      <w:szCs w:val="24"/>
      <w:lang w:eastAsia="cs-CZ"/>
    </w:rPr>
  </w:style>
  <w:style w:type="paragraph" w:customStyle="1" w:styleId="xl77">
    <w:name w:val="xl77"/>
    <w:basedOn w:val="Normln"/>
    <w:locked/>
    <w:rsid w:val="00626958"/>
    <w:pPr>
      <w:pBdr>
        <w:top w:val="single" w:sz="4" w:space="0" w:color="auto"/>
        <w:left w:val="single" w:sz="8" w:space="0" w:color="auto"/>
        <w:bottom w:val="single" w:sz="8" w:space="0" w:color="auto"/>
      </w:pBdr>
      <w:shd w:val="clear" w:color="auto" w:fill="00FFFF"/>
      <w:spacing w:before="100" w:beforeAutospacing="1" w:after="100" w:afterAutospacing="1"/>
    </w:pPr>
    <w:rPr>
      <w:rFonts w:ascii="Times New Roman" w:hAnsi="Times New Roman"/>
      <w:sz w:val="24"/>
      <w:szCs w:val="24"/>
      <w:lang w:eastAsia="cs-CZ"/>
    </w:rPr>
  </w:style>
  <w:style w:type="paragraph" w:customStyle="1" w:styleId="xl78">
    <w:name w:val="xl78"/>
    <w:basedOn w:val="Normln"/>
    <w:locked/>
    <w:rsid w:val="00626958"/>
    <w:pPr>
      <w:pBdr>
        <w:top w:val="single" w:sz="4" w:space="0" w:color="auto"/>
        <w:bottom w:val="single" w:sz="8" w:space="0" w:color="auto"/>
      </w:pBdr>
      <w:shd w:val="clear" w:color="auto" w:fill="00FFFF"/>
      <w:spacing w:before="100" w:beforeAutospacing="1" w:after="100" w:afterAutospacing="1"/>
    </w:pPr>
    <w:rPr>
      <w:rFonts w:ascii="Times New Roman" w:hAnsi="Times New Roman"/>
      <w:sz w:val="24"/>
      <w:szCs w:val="24"/>
      <w:lang w:eastAsia="cs-CZ"/>
    </w:rPr>
  </w:style>
  <w:style w:type="paragraph" w:customStyle="1" w:styleId="xl79">
    <w:name w:val="xl79"/>
    <w:basedOn w:val="Normln"/>
    <w:locked/>
    <w:rsid w:val="00626958"/>
    <w:pPr>
      <w:pBdr>
        <w:top w:val="single" w:sz="4" w:space="0" w:color="auto"/>
        <w:bottom w:val="single" w:sz="8" w:space="0" w:color="auto"/>
        <w:right w:val="single" w:sz="4" w:space="0" w:color="auto"/>
      </w:pBdr>
      <w:shd w:val="clear" w:color="auto" w:fill="00FFFF"/>
      <w:spacing w:before="100" w:beforeAutospacing="1" w:after="100" w:afterAutospacing="1"/>
    </w:pPr>
    <w:rPr>
      <w:rFonts w:ascii="Times New Roman" w:hAnsi="Times New Roman"/>
      <w:sz w:val="24"/>
      <w:szCs w:val="24"/>
      <w:lang w:eastAsia="cs-CZ"/>
    </w:rPr>
  </w:style>
  <w:style w:type="paragraph" w:customStyle="1" w:styleId="xl80">
    <w:name w:val="xl80"/>
    <w:basedOn w:val="Normln"/>
    <w:locked/>
    <w:rsid w:val="00626958"/>
    <w:pPr>
      <w:pBdr>
        <w:top w:val="single" w:sz="8" w:space="0" w:color="auto"/>
        <w:left w:val="single" w:sz="8" w:space="0" w:color="auto"/>
        <w:bottom w:val="single" w:sz="4" w:space="0" w:color="auto"/>
      </w:pBdr>
      <w:shd w:val="clear" w:color="auto" w:fill="FFFF00"/>
      <w:spacing w:before="100" w:beforeAutospacing="1" w:after="100" w:afterAutospacing="1"/>
    </w:pPr>
    <w:rPr>
      <w:rFonts w:ascii="Times New Roman" w:hAnsi="Times New Roman"/>
      <w:sz w:val="24"/>
      <w:szCs w:val="24"/>
      <w:lang w:eastAsia="cs-CZ"/>
    </w:rPr>
  </w:style>
  <w:style w:type="paragraph" w:customStyle="1" w:styleId="xl81">
    <w:name w:val="xl81"/>
    <w:basedOn w:val="Normln"/>
    <w:locked/>
    <w:rsid w:val="00626958"/>
    <w:pPr>
      <w:pBdr>
        <w:top w:val="single" w:sz="8" w:space="0" w:color="auto"/>
        <w:bottom w:val="single" w:sz="4" w:space="0" w:color="auto"/>
      </w:pBdr>
      <w:shd w:val="clear" w:color="auto" w:fill="FFFF00"/>
      <w:spacing w:before="100" w:beforeAutospacing="1" w:after="100" w:afterAutospacing="1"/>
    </w:pPr>
    <w:rPr>
      <w:rFonts w:ascii="Times New Roman" w:hAnsi="Times New Roman"/>
      <w:sz w:val="24"/>
      <w:szCs w:val="24"/>
      <w:lang w:eastAsia="cs-CZ"/>
    </w:rPr>
  </w:style>
  <w:style w:type="paragraph" w:customStyle="1" w:styleId="xl82">
    <w:name w:val="xl82"/>
    <w:basedOn w:val="Normln"/>
    <w:locked/>
    <w:rsid w:val="00626958"/>
    <w:pPr>
      <w:pBdr>
        <w:top w:val="single" w:sz="8"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 w:val="24"/>
      <w:szCs w:val="24"/>
      <w:lang w:eastAsia="cs-CZ"/>
    </w:rPr>
  </w:style>
  <w:style w:type="paragraph" w:customStyle="1" w:styleId="xl83">
    <w:name w:val="xl83"/>
    <w:basedOn w:val="Normln"/>
    <w:locked/>
    <w:rsid w:val="0062695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cs-CZ"/>
    </w:rPr>
  </w:style>
  <w:style w:type="paragraph" w:customStyle="1" w:styleId="xl84">
    <w:name w:val="xl84"/>
    <w:basedOn w:val="Normln"/>
    <w:locked/>
    <w:rsid w:val="00626958"/>
    <w:pPr>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Times New Roman" w:hAnsi="Times New Roman"/>
      <w:sz w:val="24"/>
      <w:szCs w:val="24"/>
      <w:lang w:eastAsia="cs-CZ"/>
    </w:rPr>
  </w:style>
  <w:style w:type="paragraph" w:customStyle="1" w:styleId="xl85">
    <w:name w:val="xl85"/>
    <w:basedOn w:val="Normln"/>
    <w:locked/>
    <w:rsid w:val="00626958"/>
    <w:pPr>
      <w:pBdr>
        <w:top w:val="single" w:sz="4" w:space="0" w:color="auto"/>
        <w:left w:val="single" w:sz="8" w:space="0" w:color="auto"/>
        <w:bottom w:val="single" w:sz="4" w:space="0" w:color="auto"/>
      </w:pBdr>
      <w:shd w:val="clear" w:color="auto" w:fill="FFFF00"/>
      <w:spacing w:before="100" w:beforeAutospacing="1" w:after="100" w:afterAutospacing="1"/>
    </w:pPr>
    <w:rPr>
      <w:rFonts w:ascii="Times New Roman" w:hAnsi="Times New Roman"/>
      <w:sz w:val="24"/>
      <w:szCs w:val="24"/>
      <w:lang w:eastAsia="cs-CZ"/>
    </w:rPr>
  </w:style>
  <w:style w:type="paragraph" w:customStyle="1" w:styleId="xl86">
    <w:name w:val="xl86"/>
    <w:basedOn w:val="Normln"/>
    <w:locked/>
    <w:rsid w:val="00626958"/>
    <w:pPr>
      <w:pBdr>
        <w:top w:val="single" w:sz="4" w:space="0" w:color="auto"/>
        <w:bottom w:val="single" w:sz="4" w:space="0" w:color="auto"/>
      </w:pBdr>
      <w:shd w:val="clear" w:color="auto" w:fill="FFFF00"/>
      <w:spacing w:before="100" w:beforeAutospacing="1" w:after="100" w:afterAutospacing="1"/>
    </w:pPr>
    <w:rPr>
      <w:rFonts w:ascii="Times New Roman" w:hAnsi="Times New Roman"/>
      <w:sz w:val="24"/>
      <w:szCs w:val="24"/>
      <w:lang w:eastAsia="cs-CZ"/>
    </w:rPr>
  </w:style>
  <w:style w:type="paragraph" w:customStyle="1" w:styleId="xl87">
    <w:name w:val="xl87"/>
    <w:basedOn w:val="Normln"/>
    <w:locked/>
    <w:rsid w:val="00626958"/>
    <w:pPr>
      <w:pBdr>
        <w:top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 w:val="24"/>
      <w:szCs w:val="24"/>
      <w:lang w:eastAsia="cs-CZ"/>
    </w:rPr>
  </w:style>
  <w:style w:type="paragraph" w:customStyle="1" w:styleId="xl88">
    <w:name w:val="xl88"/>
    <w:basedOn w:val="Normln"/>
    <w:locked/>
    <w:rsid w:val="00626958"/>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Times New Roman" w:hAnsi="Times New Roman"/>
      <w:sz w:val="24"/>
      <w:szCs w:val="24"/>
      <w:lang w:eastAsia="cs-CZ"/>
    </w:rPr>
  </w:style>
  <w:style w:type="paragraph" w:customStyle="1" w:styleId="xl89">
    <w:name w:val="xl89"/>
    <w:basedOn w:val="Normln"/>
    <w:locked/>
    <w:rsid w:val="006269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cs-CZ"/>
    </w:rPr>
  </w:style>
  <w:style w:type="paragraph" w:customStyle="1" w:styleId="xl90">
    <w:name w:val="xl90"/>
    <w:basedOn w:val="Normln"/>
    <w:locked/>
    <w:rsid w:val="00626958"/>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Times New Roman" w:hAnsi="Times New Roman"/>
      <w:sz w:val="24"/>
      <w:szCs w:val="24"/>
      <w:lang w:eastAsia="cs-CZ"/>
    </w:rPr>
  </w:style>
  <w:style w:type="paragraph" w:customStyle="1" w:styleId="xl91">
    <w:name w:val="xl91"/>
    <w:basedOn w:val="Normln"/>
    <w:locked/>
    <w:rsid w:val="00626958"/>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jc w:val="center"/>
    </w:pPr>
    <w:rPr>
      <w:rFonts w:ascii="Times New Roman" w:hAnsi="Times New Roman"/>
      <w:sz w:val="24"/>
      <w:szCs w:val="24"/>
      <w:lang w:eastAsia="cs-CZ"/>
    </w:rPr>
  </w:style>
  <w:style w:type="paragraph" w:customStyle="1" w:styleId="xl92">
    <w:name w:val="xl92"/>
    <w:basedOn w:val="Normln"/>
    <w:locked/>
    <w:rsid w:val="00626958"/>
    <w:pPr>
      <w:pBdr>
        <w:top w:val="single" w:sz="4" w:space="0" w:color="auto"/>
        <w:left w:val="single" w:sz="8" w:space="0" w:color="auto"/>
        <w:bottom w:val="single" w:sz="8" w:space="0" w:color="auto"/>
      </w:pBdr>
      <w:shd w:val="clear" w:color="auto" w:fill="FFFF00"/>
      <w:spacing w:before="100" w:beforeAutospacing="1" w:after="100" w:afterAutospacing="1"/>
    </w:pPr>
    <w:rPr>
      <w:rFonts w:ascii="Times New Roman" w:hAnsi="Times New Roman"/>
      <w:sz w:val="24"/>
      <w:szCs w:val="24"/>
      <w:lang w:eastAsia="cs-CZ"/>
    </w:rPr>
  </w:style>
  <w:style w:type="paragraph" w:customStyle="1" w:styleId="xl93">
    <w:name w:val="xl93"/>
    <w:basedOn w:val="Normln"/>
    <w:locked/>
    <w:rsid w:val="00626958"/>
    <w:pPr>
      <w:pBdr>
        <w:top w:val="single" w:sz="4" w:space="0" w:color="auto"/>
        <w:bottom w:val="single" w:sz="8" w:space="0" w:color="auto"/>
      </w:pBdr>
      <w:shd w:val="clear" w:color="auto" w:fill="FFFF00"/>
      <w:spacing w:before="100" w:beforeAutospacing="1" w:after="100" w:afterAutospacing="1"/>
    </w:pPr>
    <w:rPr>
      <w:rFonts w:ascii="Times New Roman" w:hAnsi="Times New Roman"/>
      <w:sz w:val="24"/>
      <w:szCs w:val="24"/>
      <w:lang w:eastAsia="cs-CZ"/>
    </w:rPr>
  </w:style>
  <w:style w:type="paragraph" w:customStyle="1" w:styleId="xl94">
    <w:name w:val="xl94"/>
    <w:basedOn w:val="Normln"/>
    <w:locked/>
    <w:rsid w:val="00626958"/>
    <w:pPr>
      <w:pBdr>
        <w:top w:val="single" w:sz="4" w:space="0" w:color="auto"/>
        <w:bottom w:val="single" w:sz="8" w:space="0" w:color="auto"/>
        <w:right w:val="single" w:sz="4" w:space="0" w:color="auto"/>
      </w:pBdr>
      <w:shd w:val="clear" w:color="auto" w:fill="FFFF00"/>
      <w:spacing w:before="100" w:beforeAutospacing="1" w:after="100" w:afterAutospacing="1"/>
    </w:pPr>
    <w:rPr>
      <w:rFonts w:ascii="Times New Roman" w:hAnsi="Times New Roman"/>
      <w:sz w:val="24"/>
      <w:szCs w:val="24"/>
      <w:lang w:eastAsia="cs-CZ"/>
    </w:rPr>
  </w:style>
  <w:style w:type="paragraph" w:customStyle="1" w:styleId="xl95">
    <w:name w:val="xl95"/>
    <w:basedOn w:val="Normln"/>
    <w:locked/>
    <w:rsid w:val="0062695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lang w:eastAsia="cs-CZ"/>
    </w:rPr>
  </w:style>
  <w:style w:type="paragraph" w:customStyle="1" w:styleId="xl96">
    <w:name w:val="xl96"/>
    <w:basedOn w:val="Normln"/>
    <w:locked/>
    <w:rsid w:val="00626958"/>
    <w:pPr>
      <w:pBdr>
        <w:top w:val="single" w:sz="8" w:space="0" w:color="auto"/>
        <w:bottom w:val="single" w:sz="8" w:space="0" w:color="auto"/>
      </w:pBdr>
      <w:shd w:val="clear" w:color="auto" w:fill="00FFFF"/>
      <w:spacing w:before="100" w:beforeAutospacing="1" w:after="100" w:afterAutospacing="1"/>
    </w:pPr>
    <w:rPr>
      <w:rFonts w:ascii="Times New Roman" w:hAnsi="Times New Roman"/>
      <w:sz w:val="24"/>
      <w:szCs w:val="24"/>
      <w:lang w:eastAsia="cs-CZ"/>
    </w:rPr>
  </w:style>
  <w:style w:type="paragraph" w:customStyle="1" w:styleId="font7">
    <w:name w:val="font7"/>
    <w:basedOn w:val="Normln"/>
    <w:locked/>
    <w:rsid w:val="00626958"/>
    <w:pPr>
      <w:spacing w:before="100" w:beforeAutospacing="1" w:after="100" w:afterAutospacing="1"/>
    </w:pPr>
    <w:rPr>
      <w:rFonts w:ascii="Tahoma" w:hAnsi="Tahoma" w:cs="Tahoma"/>
      <w:color w:val="000000"/>
      <w:sz w:val="16"/>
      <w:szCs w:val="16"/>
      <w:lang w:eastAsia="cs-CZ"/>
    </w:rPr>
  </w:style>
  <w:style w:type="paragraph" w:customStyle="1" w:styleId="xl97">
    <w:name w:val="xl97"/>
    <w:basedOn w:val="Normln"/>
    <w:locked/>
    <w:rsid w:val="00626958"/>
    <w:pPr>
      <w:pBdr>
        <w:top w:val="single" w:sz="8" w:space="0" w:color="auto"/>
        <w:bottom w:val="single" w:sz="8" w:space="0" w:color="auto"/>
      </w:pBdr>
      <w:shd w:val="clear" w:color="auto" w:fill="00FFFF"/>
      <w:spacing w:before="100" w:beforeAutospacing="1" w:after="100" w:afterAutospacing="1"/>
      <w:jc w:val="center"/>
    </w:pPr>
    <w:rPr>
      <w:rFonts w:ascii="Times New Roman" w:hAnsi="Times New Roman"/>
      <w:i/>
      <w:iCs/>
      <w:sz w:val="24"/>
      <w:szCs w:val="24"/>
      <w:lang w:eastAsia="cs-CZ"/>
    </w:rPr>
  </w:style>
  <w:style w:type="paragraph" w:customStyle="1" w:styleId="xl98">
    <w:name w:val="xl98"/>
    <w:basedOn w:val="Normln"/>
    <w:locked/>
    <w:rsid w:val="00626958"/>
    <w:pPr>
      <w:pBdr>
        <w:top w:val="single" w:sz="8" w:space="0" w:color="auto"/>
        <w:left w:val="single" w:sz="4" w:space="0" w:color="auto"/>
        <w:bottom w:val="single" w:sz="8" w:space="0" w:color="auto"/>
        <w:right w:val="single" w:sz="4" w:space="0" w:color="auto"/>
      </w:pBdr>
      <w:shd w:val="clear" w:color="auto" w:fill="00FFFF"/>
      <w:spacing w:before="100" w:beforeAutospacing="1" w:after="100" w:afterAutospacing="1"/>
      <w:jc w:val="center"/>
    </w:pPr>
    <w:rPr>
      <w:rFonts w:ascii="Times New Roman" w:hAnsi="Times New Roman"/>
      <w:i/>
      <w:iCs/>
      <w:sz w:val="24"/>
      <w:szCs w:val="24"/>
      <w:lang w:eastAsia="cs-CZ"/>
    </w:rPr>
  </w:style>
  <w:style w:type="paragraph" w:customStyle="1" w:styleId="xl99">
    <w:name w:val="xl99"/>
    <w:basedOn w:val="Normln"/>
    <w:locked/>
    <w:rsid w:val="00626958"/>
    <w:pPr>
      <w:pBdr>
        <w:top w:val="single" w:sz="8" w:space="0" w:color="auto"/>
        <w:left w:val="single" w:sz="4" w:space="0" w:color="auto"/>
        <w:bottom w:val="single" w:sz="8" w:space="0" w:color="auto"/>
        <w:right w:val="single" w:sz="8" w:space="0" w:color="auto"/>
      </w:pBdr>
      <w:shd w:val="clear" w:color="auto" w:fill="00FFFF"/>
      <w:spacing w:before="100" w:beforeAutospacing="1" w:after="100" w:afterAutospacing="1"/>
      <w:jc w:val="center"/>
    </w:pPr>
    <w:rPr>
      <w:rFonts w:ascii="Times New Roman" w:hAnsi="Times New Roman"/>
      <w:i/>
      <w:iCs/>
      <w:sz w:val="24"/>
      <w:szCs w:val="24"/>
      <w:lang w:eastAsia="cs-CZ"/>
    </w:rPr>
  </w:style>
  <w:style w:type="paragraph" w:customStyle="1" w:styleId="xl100">
    <w:name w:val="xl100"/>
    <w:basedOn w:val="Normln"/>
    <w:locked/>
    <w:rsid w:val="00626958"/>
    <w:pPr>
      <w:pBdr>
        <w:top w:val="single" w:sz="8" w:space="0" w:color="auto"/>
        <w:left w:val="single" w:sz="8" w:space="0" w:color="auto"/>
        <w:bottom w:val="single" w:sz="8" w:space="0" w:color="auto"/>
      </w:pBdr>
      <w:shd w:val="clear" w:color="auto" w:fill="00FFFF"/>
      <w:spacing w:before="100" w:beforeAutospacing="1" w:after="100" w:afterAutospacing="1"/>
      <w:textAlignment w:val="center"/>
    </w:pPr>
    <w:rPr>
      <w:rFonts w:ascii="Times New Roman" w:hAnsi="Times New Roman"/>
      <w:b/>
      <w:bCs/>
      <w:sz w:val="24"/>
      <w:szCs w:val="24"/>
      <w:lang w:eastAsia="cs-CZ"/>
    </w:rPr>
  </w:style>
  <w:style w:type="paragraph" w:customStyle="1" w:styleId="xl101">
    <w:name w:val="xl101"/>
    <w:basedOn w:val="Normln"/>
    <w:locked/>
    <w:rsid w:val="00626958"/>
    <w:pPr>
      <w:pBdr>
        <w:top w:val="single" w:sz="8" w:space="0" w:color="auto"/>
        <w:bottom w:val="single" w:sz="8" w:space="0" w:color="auto"/>
      </w:pBdr>
      <w:shd w:val="clear" w:color="auto" w:fill="00FFFF"/>
      <w:spacing w:before="100" w:beforeAutospacing="1" w:after="100" w:afterAutospacing="1"/>
      <w:textAlignment w:val="center"/>
    </w:pPr>
    <w:rPr>
      <w:rFonts w:ascii="Times New Roman" w:hAnsi="Times New Roman"/>
      <w:b/>
      <w:bCs/>
      <w:sz w:val="24"/>
      <w:szCs w:val="24"/>
      <w:lang w:eastAsia="cs-CZ"/>
    </w:rPr>
  </w:style>
  <w:style w:type="paragraph" w:customStyle="1" w:styleId="xl102">
    <w:name w:val="xl102"/>
    <w:basedOn w:val="Normln"/>
    <w:locked/>
    <w:rsid w:val="00626958"/>
    <w:pPr>
      <w:pBdr>
        <w:top w:val="single" w:sz="8" w:space="0" w:color="auto"/>
        <w:bottom w:val="single" w:sz="8" w:space="0" w:color="auto"/>
      </w:pBdr>
      <w:shd w:val="clear" w:color="auto" w:fill="00FFFF"/>
      <w:spacing w:before="100" w:beforeAutospacing="1" w:after="100" w:afterAutospacing="1"/>
      <w:textAlignment w:val="center"/>
    </w:pPr>
    <w:rPr>
      <w:rFonts w:ascii="Times New Roman" w:hAnsi="Times New Roman"/>
      <w:sz w:val="24"/>
      <w:szCs w:val="24"/>
      <w:lang w:eastAsia="cs-CZ"/>
    </w:rPr>
  </w:style>
  <w:style w:type="paragraph" w:customStyle="1" w:styleId="xl103">
    <w:name w:val="xl103"/>
    <w:basedOn w:val="Normln"/>
    <w:locked/>
    <w:rsid w:val="00626958"/>
    <w:pPr>
      <w:pBdr>
        <w:top w:val="single" w:sz="8" w:space="0" w:color="auto"/>
        <w:bottom w:val="single" w:sz="8" w:space="0" w:color="auto"/>
        <w:right w:val="single" w:sz="8" w:space="0" w:color="auto"/>
      </w:pBdr>
      <w:shd w:val="clear" w:color="auto" w:fill="00FFFF"/>
      <w:spacing w:before="100" w:beforeAutospacing="1" w:after="100" w:afterAutospacing="1"/>
      <w:textAlignment w:val="center"/>
    </w:pPr>
    <w:rPr>
      <w:rFonts w:ascii="Times New Roman" w:hAnsi="Times New Roman"/>
      <w:sz w:val="24"/>
      <w:szCs w:val="24"/>
      <w:lang w:eastAsia="cs-CZ"/>
    </w:rPr>
  </w:style>
  <w:style w:type="paragraph" w:customStyle="1" w:styleId="xl104">
    <w:name w:val="xl104"/>
    <w:basedOn w:val="Normln"/>
    <w:locked/>
    <w:rsid w:val="00626958"/>
    <w:pPr>
      <w:pBdr>
        <w:top w:val="single" w:sz="8" w:space="0" w:color="auto"/>
        <w:left w:val="single" w:sz="8" w:space="0" w:color="auto"/>
        <w:bottom w:val="single" w:sz="4" w:space="0" w:color="auto"/>
      </w:pBdr>
      <w:shd w:val="clear" w:color="auto" w:fill="00FFFF"/>
      <w:spacing w:before="100" w:beforeAutospacing="1" w:after="100" w:afterAutospacing="1"/>
    </w:pPr>
    <w:rPr>
      <w:rFonts w:ascii="Times New Roman" w:hAnsi="Times New Roman"/>
      <w:b/>
      <w:bCs/>
      <w:sz w:val="24"/>
      <w:szCs w:val="24"/>
      <w:lang w:eastAsia="cs-CZ"/>
    </w:rPr>
  </w:style>
  <w:style w:type="paragraph" w:customStyle="1" w:styleId="xl105">
    <w:name w:val="xl105"/>
    <w:basedOn w:val="Normln"/>
    <w:locked/>
    <w:rsid w:val="00626958"/>
    <w:pPr>
      <w:pBdr>
        <w:top w:val="single" w:sz="4" w:space="0" w:color="auto"/>
        <w:left w:val="single" w:sz="8" w:space="0" w:color="auto"/>
        <w:bottom w:val="single" w:sz="8" w:space="0" w:color="auto"/>
      </w:pBdr>
      <w:shd w:val="clear" w:color="auto" w:fill="00FFFF"/>
      <w:spacing w:before="100" w:beforeAutospacing="1" w:after="100" w:afterAutospacing="1"/>
    </w:pPr>
    <w:rPr>
      <w:rFonts w:ascii="Times New Roman" w:hAnsi="Times New Roman"/>
      <w:sz w:val="24"/>
      <w:szCs w:val="24"/>
      <w:lang w:eastAsia="cs-CZ"/>
    </w:rPr>
  </w:style>
  <w:style w:type="paragraph" w:customStyle="1" w:styleId="xl106">
    <w:name w:val="xl106"/>
    <w:basedOn w:val="Normln"/>
    <w:locked/>
    <w:rsid w:val="00626958"/>
    <w:pPr>
      <w:pBdr>
        <w:top w:val="single" w:sz="8" w:space="0" w:color="auto"/>
        <w:left w:val="single" w:sz="8" w:space="0" w:color="auto"/>
        <w:bottom w:val="single" w:sz="4" w:space="0" w:color="auto"/>
      </w:pBdr>
      <w:spacing w:before="100" w:beforeAutospacing="1" w:after="100" w:afterAutospacing="1"/>
    </w:pPr>
    <w:rPr>
      <w:rFonts w:ascii="Times New Roman" w:hAnsi="Times New Roman"/>
      <w:sz w:val="24"/>
      <w:szCs w:val="24"/>
      <w:lang w:eastAsia="cs-CZ"/>
    </w:rPr>
  </w:style>
  <w:style w:type="paragraph" w:customStyle="1" w:styleId="xl107">
    <w:name w:val="xl107"/>
    <w:basedOn w:val="Normln"/>
    <w:locked/>
    <w:rsid w:val="00626958"/>
    <w:pPr>
      <w:pBdr>
        <w:top w:val="single" w:sz="4" w:space="0" w:color="auto"/>
        <w:left w:val="single" w:sz="8" w:space="0" w:color="auto"/>
        <w:bottom w:val="single" w:sz="4" w:space="0" w:color="auto"/>
      </w:pBdr>
      <w:spacing w:before="100" w:beforeAutospacing="1" w:after="100" w:afterAutospacing="1"/>
    </w:pPr>
    <w:rPr>
      <w:rFonts w:ascii="Times New Roman" w:hAnsi="Times New Roman"/>
      <w:sz w:val="24"/>
      <w:szCs w:val="24"/>
      <w:lang w:eastAsia="cs-CZ"/>
    </w:rPr>
  </w:style>
  <w:style w:type="paragraph" w:customStyle="1" w:styleId="xl108">
    <w:name w:val="xl108"/>
    <w:basedOn w:val="Normln"/>
    <w:locked/>
    <w:rsid w:val="00626958"/>
    <w:pPr>
      <w:pBdr>
        <w:top w:val="single" w:sz="4" w:space="0" w:color="auto"/>
        <w:left w:val="single" w:sz="8" w:space="0" w:color="auto"/>
        <w:bottom w:val="single" w:sz="8" w:space="0" w:color="auto"/>
      </w:pBdr>
      <w:spacing w:before="100" w:beforeAutospacing="1" w:after="100" w:afterAutospacing="1"/>
    </w:pPr>
    <w:rPr>
      <w:rFonts w:ascii="Times New Roman" w:hAnsi="Times New Roman"/>
      <w:sz w:val="24"/>
      <w:szCs w:val="24"/>
      <w:lang w:eastAsia="cs-CZ"/>
    </w:rPr>
  </w:style>
  <w:style w:type="paragraph" w:customStyle="1" w:styleId="xl109">
    <w:name w:val="xl109"/>
    <w:basedOn w:val="Normln"/>
    <w:locked/>
    <w:rsid w:val="00626958"/>
    <w:pPr>
      <w:pBdr>
        <w:top w:val="single" w:sz="8" w:space="0" w:color="auto"/>
        <w:bottom w:val="single" w:sz="8" w:space="0" w:color="auto"/>
      </w:pBdr>
      <w:shd w:val="clear" w:color="auto" w:fill="00FFFF"/>
      <w:spacing w:before="100" w:beforeAutospacing="1" w:after="100" w:afterAutospacing="1"/>
      <w:jc w:val="center"/>
    </w:pPr>
    <w:rPr>
      <w:rFonts w:ascii="Times New Roman" w:hAnsi="Times New Roman"/>
      <w:b/>
      <w:bCs/>
      <w:sz w:val="24"/>
      <w:szCs w:val="24"/>
      <w:lang w:eastAsia="cs-CZ"/>
    </w:rPr>
  </w:style>
  <w:style w:type="paragraph" w:customStyle="1" w:styleId="xl110">
    <w:name w:val="xl110"/>
    <w:basedOn w:val="Normln"/>
    <w:locked/>
    <w:rsid w:val="00626958"/>
    <w:pPr>
      <w:pBdr>
        <w:top w:val="single" w:sz="8" w:space="0" w:color="auto"/>
        <w:bottom w:val="single" w:sz="8" w:space="0" w:color="auto"/>
        <w:right w:val="single" w:sz="4" w:space="0" w:color="auto"/>
      </w:pBdr>
      <w:shd w:val="clear" w:color="auto" w:fill="00FFFF"/>
      <w:spacing w:before="100" w:beforeAutospacing="1" w:after="100" w:afterAutospacing="1"/>
      <w:jc w:val="center"/>
    </w:pPr>
    <w:rPr>
      <w:rFonts w:ascii="Times New Roman" w:hAnsi="Times New Roman"/>
      <w:b/>
      <w:bCs/>
      <w:sz w:val="24"/>
      <w:szCs w:val="24"/>
      <w:lang w:eastAsia="cs-CZ"/>
    </w:rPr>
  </w:style>
  <w:style w:type="paragraph" w:customStyle="1" w:styleId="xl111">
    <w:name w:val="xl111"/>
    <w:basedOn w:val="Normln"/>
    <w:locked/>
    <w:rsid w:val="00626958"/>
    <w:pPr>
      <w:pBdr>
        <w:top w:val="single" w:sz="4" w:space="0" w:color="auto"/>
        <w:left w:val="single" w:sz="8" w:space="0" w:color="auto"/>
        <w:bottom w:val="single" w:sz="8" w:space="0" w:color="auto"/>
      </w:pBdr>
      <w:shd w:val="clear" w:color="auto" w:fill="00FFFF"/>
      <w:spacing w:before="100" w:beforeAutospacing="1" w:after="100" w:afterAutospacing="1"/>
    </w:pPr>
    <w:rPr>
      <w:rFonts w:ascii="Times New Roman" w:hAnsi="Times New Roman"/>
      <w:b/>
      <w:bCs/>
      <w:sz w:val="24"/>
      <w:szCs w:val="24"/>
      <w:lang w:eastAsia="cs-CZ"/>
    </w:rPr>
  </w:style>
  <w:style w:type="paragraph" w:customStyle="1" w:styleId="xl115">
    <w:name w:val="xl115"/>
    <w:basedOn w:val="Normln"/>
    <w:locked/>
    <w:rsid w:val="00626958"/>
    <w:pPr>
      <w:pBdr>
        <w:top w:val="single" w:sz="4" w:space="0" w:color="auto"/>
        <w:left w:val="single" w:sz="4" w:space="0" w:color="auto"/>
        <w:bottom w:val="single" w:sz="8" w:space="0" w:color="auto"/>
        <w:right w:val="single" w:sz="4" w:space="0" w:color="auto"/>
      </w:pBdr>
      <w:shd w:val="clear" w:color="auto" w:fill="00FFFF"/>
      <w:spacing w:before="100" w:beforeAutospacing="1" w:after="100" w:afterAutospacing="1"/>
      <w:jc w:val="center"/>
    </w:pPr>
    <w:rPr>
      <w:rFonts w:ascii="Times New Roman" w:hAnsi="Times New Roman"/>
      <w:b/>
      <w:bCs/>
      <w:sz w:val="24"/>
      <w:szCs w:val="24"/>
      <w:lang w:eastAsia="cs-CZ"/>
    </w:rPr>
  </w:style>
  <w:style w:type="paragraph" w:customStyle="1" w:styleId="xl116">
    <w:name w:val="xl116"/>
    <w:basedOn w:val="Normln"/>
    <w:locked/>
    <w:rsid w:val="00626958"/>
    <w:pPr>
      <w:pBdr>
        <w:top w:val="single" w:sz="4" w:space="0" w:color="auto"/>
        <w:left w:val="single" w:sz="4" w:space="0" w:color="auto"/>
        <w:bottom w:val="single" w:sz="8" w:space="0" w:color="auto"/>
        <w:right w:val="single" w:sz="8" w:space="0" w:color="auto"/>
      </w:pBdr>
      <w:shd w:val="clear" w:color="auto" w:fill="00FFFF"/>
      <w:spacing w:before="100" w:beforeAutospacing="1" w:after="100" w:afterAutospacing="1"/>
      <w:jc w:val="center"/>
    </w:pPr>
    <w:rPr>
      <w:rFonts w:ascii="Times New Roman" w:hAnsi="Times New Roman"/>
      <w:b/>
      <w:bCs/>
      <w:sz w:val="24"/>
      <w:szCs w:val="24"/>
      <w:lang w:eastAsia="cs-CZ"/>
    </w:rPr>
  </w:style>
  <w:style w:type="paragraph" w:customStyle="1" w:styleId="font8">
    <w:name w:val="font8"/>
    <w:basedOn w:val="Normln"/>
    <w:locked/>
    <w:rsid w:val="00626958"/>
    <w:pPr>
      <w:spacing w:before="100" w:beforeAutospacing="1" w:after="100" w:afterAutospacing="1"/>
    </w:pPr>
    <w:rPr>
      <w:rFonts w:ascii="Tahoma" w:hAnsi="Tahoma" w:cs="Tahoma"/>
      <w:color w:val="000000"/>
      <w:sz w:val="16"/>
      <w:szCs w:val="16"/>
      <w:lang w:eastAsia="cs-CZ"/>
    </w:rPr>
  </w:style>
  <w:style w:type="paragraph" w:customStyle="1" w:styleId="font9">
    <w:name w:val="font9"/>
    <w:basedOn w:val="Normln"/>
    <w:locked/>
    <w:rsid w:val="00626958"/>
    <w:pPr>
      <w:spacing w:before="100" w:beforeAutospacing="1" w:after="100" w:afterAutospacing="1"/>
    </w:pPr>
    <w:rPr>
      <w:rFonts w:ascii="Times New Roman" w:hAnsi="Times New Roman"/>
      <w:sz w:val="16"/>
      <w:szCs w:val="16"/>
      <w:lang w:eastAsia="cs-CZ"/>
    </w:rPr>
  </w:style>
  <w:style w:type="paragraph" w:customStyle="1" w:styleId="xl117">
    <w:name w:val="xl117"/>
    <w:basedOn w:val="Normln"/>
    <w:locked/>
    <w:rsid w:val="00626958"/>
    <w:pPr>
      <w:pBdr>
        <w:left w:val="single" w:sz="8" w:space="0" w:color="auto"/>
        <w:bottom w:val="double" w:sz="6"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118">
    <w:name w:val="xl118"/>
    <w:basedOn w:val="Normln"/>
    <w:locked/>
    <w:rsid w:val="00626958"/>
    <w:pPr>
      <w:pBdr>
        <w:bottom w:val="double" w:sz="6"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119">
    <w:name w:val="xl119"/>
    <w:basedOn w:val="Normln"/>
    <w:locked/>
    <w:rsid w:val="00626958"/>
    <w:pPr>
      <w:pBdr>
        <w:top w:val="single" w:sz="4" w:space="0" w:color="auto"/>
        <w:left w:val="single" w:sz="4" w:space="0" w:color="auto"/>
        <w:bottom w:val="double" w:sz="6" w:space="0" w:color="auto"/>
        <w:right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20">
    <w:name w:val="xl120"/>
    <w:basedOn w:val="Normln"/>
    <w:locked/>
    <w:rsid w:val="00626958"/>
    <w:pPr>
      <w:pBdr>
        <w:bottom w:val="double" w:sz="6"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21">
    <w:name w:val="xl121"/>
    <w:basedOn w:val="Normln"/>
    <w:locked/>
    <w:rsid w:val="00626958"/>
    <w:pPr>
      <w:pBdr>
        <w:bottom w:val="double" w:sz="6" w:space="0" w:color="auto"/>
        <w:right w:val="single" w:sz="8"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122">
    <w:name w:val="xl122"/>
    <w:basedOn w:val="Normln"/>
    <w:locked/>
    <w:rsid w:val="00626958"/>
    <w:pPr>
      <w:pBdr>
        <w:bottom w:val="single" w:sz="4" w:space="0" w:color="auto"/>
        <w:right w:val="single" w:sz="8" w:space="0" w:color="auto"/>
      </w:pBdr>
      <w:shd w:val="clear" w:color="auto" w:fill="FFFF00"/>
      <w:spacing w:before="100" w:beforeAutospacing="1" w:after="100" w:afterAutospacing="1"/>
    </w:pPr>
    <w:rPr>
      <w:rFonts w:ascii="Times New Roman" w:hAnsi="Times New Roman"/>
      <w:sz w:val="14"/>
      <w:szCs w:val="14"/>
      <w:lang w:eastAsia="cs-CZ"/>
    </w:rPr>
  </w:style>
  <w:style w:type="paragraph" w:customStyle="1" w:styleId="xl123">
    <w:name w:val="xl123"/>
    <w:basedOn w:val="Normln"/>
    <w:locked/>
    <w:rsid w:val="00626958"/>
    <w:pPr>
      <w:pBdr>
        <w:bottom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24">
    <w:name w:val="xl124"/>
    <w:basedOn w:val="Normln"/>
    <w:locked/>
    <w:rsid w:val="00626958"/>
    <w:pPr>
      <w:pBdr>
        <w:top w:val="single" w:sz="4" w:space="0" w:color="auto"/>
        <w:bottom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25">
    <w:name w:val="xl125"/>
    <w:basedOn w:val="Normln"/>
    <w:locked/>
    <w:rsid w:val="00626958"/>
    <w:pPr>
      <w:pBdr>
        <w:left w:val="single" w:sz="8"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126">
    <w:name w:val="xl126"/>
    <w:basedOn w:val="Normln"/>
    <w:locked/>
    <w:rsid w:val="00626958"/>
    <w:pPr>
      <w:shd w:val="clear" w:color="auto" w:fill="00FFFF"/>
      <w:spacing w:before="100" w:beforeAutospacing="1" w:after="100" w:afterAutospacing="1"/>
    </w:pPr>
    <w:rPr>
      <w:rFonts w:ascii="Times New Roman" w:hAnsi="Times New Roman"/>
      <w:sz w:val="14"/>
      <w:szCs w:val="14"/>
      <w:lang w:eastAsia="cs-CZ"/>
    </w:rPr>
  </w:style>
  <w:style w:type="paragraph" w:customStyle="1" w:styleId="xl127">
    <w:name w:val="xl127"/>
    <w:basedOn w:val="Normln"/>
    <w:locked/>
    <w:rsid w:val="00626958"/>
    <w:pP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28">
    <w:name w:val="xl128"/>
    <w:basedOn w:val="Normln"/>
    <w:locked/>
    <w:rsid w:val="00626958"/>
    <w:pP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29">
    <w:name w:val="xl129"/>
    <w:basedOn w:val="Normln"/>
    <w:locked/>
    <w:rsid w:val="00626958"/>
    <w:pPr>
      <w:pBdr>
        <w:right w:val="single" w:sz="8" w:space="0" w:color="auto"/>
      </w:pBdr>
      <w:shd w:val="clear" w:color="auto" w:fill="00FFFF"/>
      <w:spacing w:before="100" w:beforeAutospacing="1" w:after="100" w:afterAutospacing="1"/>
      <w:jc w:val="right"/>
    </w:pPr>
    <w:rPr>
      <w:rFonts w:ascii="Times New Roman" w:hAnsi="Times New Roman"/>
      <w:sz w:val="14"/>
      <w:szCs w:val="14"/>
      <w:lang w:eastAsia="cs-CZ"/>
    </w:rPr>
  </w:style>
  <w:style w:type="paragraph" w:customStyle="1" w:styleId="xl130">
    <w:name w:val="xl130"/>
    <w:basedOn w:val="Normln"/>
    <w:locked/>
    <w:rsid w:val="00626958"/>
    <w:pPr>
      <w:pBdr>
        <w:top w:val="single" w:sz="4" w:space="0" w:color="auto"/>
        <w:bottom w:val="single" w:sz="4" w:space="0" w:color="auto"/>
        <w:right w:val="single" w:sz="8"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131">
    <w:name w:val="xl131"/>
    <w:basedOn w:val="Normln"/>
    <w:locked/>
    <w:rsid w:val="00626958"/>
    <w:pPr>
      <w:pBdr>
        <w:top w:val="single" w:sz="8" w:space="0" w:color="auto"/>
        <w:left w:val="single" w:sz="8" w:space="0" w:color="auto"/>
        <w:bottom w:val="single" w:sz="8" w:space="0" w:color="auto"/>
      </w:pBdr>
      <w:shd w:val="clear" w:color="auto" w:fill="00FFFF"/>
      <w:spacing w:before="100" w:beforeAutospacing="1" w:after="100" w:afterAutospacing="1"/>
    </w:pPr>
    <w:rPr>
      <w:rFonts w:ascii="Times New Roman" w:hAnsi="Times New Roman"/>
      <w:b/>
      <w:bCs/>
      <w:sz w:val="14"/>
      <w:szCs w:val="14"/>
      <w:lang w:eastAsia="cs-CZ"/>
    </w:rPr>
  </w:style>
  <w:style w:type="paragraph" w:customStyle="1" w:styleId="xl132">
    <w:name w:val="xl132"/>
    <w:basedOn w:val="Normln"/>
    <w:locked/>
    <w:rsid w:val="00626958"/>
    <w:pPr>
      <w:pBdr>
        <w:top w:val="single" w:sz="8" w:space="0" w:color="auto"/>
        <w:bottom w:val="single" w:sz="8" w:space="0" w:color="auto"/>
      </w:pBdr>
      <w:shd w:val="clear" w:color="auto" w:fill="00FFFF"/>
      <w:spacing w:before="100" w:beforeAutospacing="1" w:after="100" w:afterAutospacing="1"/>
    </w:pPr>
    <w:rPr>
      <w:rFonts w:ascii="Times New Roman" w:hAnsi="Times New Roman"/>
      <w:b/>
      <w:bCs/>
      <w:sz w:val="14"/>
      <w:szCs w:val="14"/>
      <w:lang w:eastAsia="cs-CZ"/>
    </w:rPr>
  </w:style>
  <w:style w:type="paragraph" w:customStyle="1" w:styleId="xl133">
    <w:name w:val="xl133"/>
    <w:basedOn w:val="Normln"/>
    <w:locked/>
    <w:rsid w:val="00626958"/>
    <w:pPr>
      <w:pBdr>
        <w:top w:val="single" w:sz="8" w:space="0" w:color="auto"/>
        <w:bottom w:val="single" w:sz="8" w:space="0" w:color="auto"/>
        <w:right w:val="single" w:sz="8" w:space="0" w:color="auto"/>
      </w:pBdr>
      <w:shd w:val="clear" w:color="auto" w:fill="00FFFF"/>
      <w:spacing w:before="100" w:beforeAutospacing="1" w:after="100" w:afterAutospacing="1"/>
    </w:pPr>
    <w:rPr>
      <w:rFonts w:ascii="Times New Roman" w:hAnsi="Times New Roman"/>
      <w:b/>
      <w:bCs/>
      <w:sz w:val="14"/>
      <w:szCs w:val="14"/>
      <w:lang w:eastAsia="cs-CZ"/>
    </w:rPr>
  </w:style>
  <w:style w:type="paragraph" w:customStyle="1" w:styleId="xl134">
    <w:name w:val="xl134"/>
    <w:basedOn w:val="Normln"/>
    <w:locked/>
    <w:rsid w:val="00626958"/>
    <w:pPr>
      <w:pBdr>
        <w:top w:val="single" w:sz="8" w:space="0" w:color="auto"/>
        <w:left w:val="single" w:sz="8" w:space="0" w:color="auto"/>
        <w:bottom w:val="single" w:sz="8"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135">
    <w:name w:val="xl135"/>
    <w:basedOn w:val="Normln"/>
    <w:locked/>
    <w:rsid w:val="00626958"/>
    <w:pPr>
      <w:pBdr>
        <w:top w:val="single" w:sz="8" w:space="0" w:color="auto"/>
        <w:left w:val="single" w:sz="8" w:space="0" w:color="auto"/>
        <w:bottom w:val="single" w:sz="8" w:space="0" w:color="auto"/>
      </w:pBdr>
      <w:shd w:val="clear" w:color="auto" w:fill="00FFFF"/>
      <w:spacing w:before="100" w:beforeAutospacing="1" w:after="100" w:afterAutospacing="1"/>
    </w:pPr>
    <w:rPr>
      <w:rFonts w:ascii="Times New Roman" w:hAnsi="Times New Roman"/>
      <w:b/>
      <w:bCs/>
      <w:sz w:val="14"/>
      <w:szCs w:val="14"/>
      <w:lang w:eastAsia="cs-CZ"/>
    </w:rPr>
  </w:style>
  <w:style w:type="paragraph" w:customStyle="1" w:styleId="xl136">
    <w:name w:val="xl136"/>
    <w:basedOn w:val="Normln"/>
    <w:locked/>
    <w:rsid w:val="00626958"/>
    <w:pPr>
      <w:pBdr>
        <w:top w:val="single" w:sz="8" w:space="0" w:color="auto"/>
        <w:bottom w:val="single" w:sz="8" w:space="0" w:color="auto"/>
      </w:pBdr>
      <w:shd w:val="clear" w:color="auto" w:fill="FFFF00"/>
      <w:spacing w:before="100" w:beforeAutospacing="1" w:after="100" w:afterAutospacing="1"/>
      <w:jc w:val="center"/>
    </w:pPr>
    <w:rPr>
      <w:rFonts w:ascii="Times New Roman" w:hAnsi="Times New Roman"/>
      <w:sz w:val="14"/>
      <w:szCs w:val="14"/>
      <w:lang w:eastAsia="cs-CZ"/>
    </w:rPr>
  </w:style>
  <w:style w:type="paragraph" w:customStyle="1" w:styleId="xl137">
    <w:name w:val="xl137"/>
    <w:basedOn w:val="Normln"/>
    <w:locked/>
    <w:rsid w:val="00626958"/>
    <w:pPr>
      <w:pBdr>
        <w:top w:val="single" w:sz="4" w:space="0" w:color="auto"/>
        <w:bottom w:val="single" w:sz="4" w:space="0" w:color="auto"/>
      </w:pBdr>
      <w:shd w:val="clear" w:color="auto" w:fill="FFFF00"/>
      <w:spacing w:before="100" w:beforeAutospacing="1" w:after="100" w:afterAutospacing="1"/>
      <w:jc w:val="center"/>
    </w:pPr>
    <w:rPr>
      <w:rFonts w:ascii="Times New Roman" w:hAnsi="Times New Roman"/>
      <w:sz w:val="14"/>
      <w:szCs w:val="14"/>
      <w:lang w:eastAsia="cs-CZ"/>
    </w:rPr>
  </w:style>
  <w:style w:type="paragraph" w:customStyle="1" w:styleId="xl138">
    <w:name w:val="xl138"/>
    <w:basedOn w:val="Normln"/>
    <w:locked/>
    <w:rsid w:val="00626958"/>
    <w:pPr>
      <w:pBdr>
        <w:top w:val="single" w:sz="4" w:space="0" w:color="auto"/>
        <w:bottom w:val="single" w:sz="4"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139">
    <w:name w:val="xl139"/>
    <w:basedOn w:val="Normln"/>
    <w:locked/>
    <w:rsid w:val="00626958"/>
    <w:pPr>
      <w:pBdr>
        <w:top w:val="single" w:sz="4" w:space="0" w:color="auto"/>
        <w:bottom w:val="single" w:sz="4" w:space="0" w:color="auto"/>
        <w:right w:val="single" w:sz="8" w:space="0" w:color="auto"/>
      </w:pBdr>
      <w:shd w:val="clear" w:color="auto" w:fill="00FFFF"/>
      <w:spacing w:before="100" w:beforeAutospacing="1" w:after="100" w:afterAutospacing="1"/>
      <w:jc w:val="right"/>
    </w:pPr>
    <w:rPr>
      <w:rFonts w:ascii="Times New Roman" w:hAnsi="Times New Roman"/>
      <w:sz w:val="14"/>
      <w:szCs w:val="14"/>
      <w:lang w:eastAsia="cs-CZ"/>
    </w:rPr>
  </w:style>
  <w:style w:type="paragraph" w:customStyle="1" w:styleId="xl140">
    <w:name w:val="xl140"/>
    <w:basedOn w:val="Normln"/>
    <w:locked/>
    <w:rsid w:val="00626958"/>
    <w:pPr>
      <w:pBdr>
        <w:top w:val="single" w:sz="4" w:space="0" w:color="auto"/>
        <w:left w:val="single" w:sz="4" w:space="0" w:color="auto"/>
        <w:bottom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41">
    <w:name w:val="xl141"/>
    <w:basedOn w:val="Normln"/>
    <w:locked/>
    <w:rsid w:val="00626958"/>
    <w:pPr>
      <w:pBdr>
        <w:bottom w:val="single" w:sz="4" w:space="0" w:color="auto"/>
        <w:right w:val="single" w:sz="8" w:space="0" w:color="auto"/>
      </w:pBdr>
      <w:shd w:val="clear" w:color="auto" w:fill="00FFFF"/>
      <w:spacing w:before="100" w:beforeAutospacing="1" w:after="100" w:afterAutospacing="1"/>
      <w:jc w:val="right"/>
    </w:pPr>
    <w:rPr>
      <w:rFonts w:ascii="Times New Roman" w:hAnsi="Times New Roman"/>
      <w:sz w:val="14"/>
      <w:szCs w:val="14"/>
      <w:lang w:eastAsia="cs-CZ"/>
    </w:rPr>
  </w:style>
  <w:style w:type="paragraph" w:customStyle="1" w:styleId="xl142">
    <w:name w:val="xl142"/>
    <w:basedOn w:val="Normln"/>
    <w:locked/>
    <w:rsid w:val="00626958"/>
    <w:pPr>
      <w:pBdr>
        <w:top w:val="single" w:sz="4" w:space="0" w:color="auto"/>
        <w:bottom w:val="single" w:sz="4" w:space="0" w:color="auto"/>
        <w:right w:val="single" w:sz="8" w:space="0" w:color="auto"/>
      </w:pBdr>
      <w:shd w:val="clear" w:color="auto" w:fill="00FFFF"/>
      <w:spacing w:before="100" w:beforeAutospacing="1" w:after="100" w:afterAutospacing="1"/>
    </w:pPr>
    <w:rPr>
      <w:rFonts w:ascii="Times New Roman" w:hAnsi="Times New Roman"/>
      <w:sz w:val="14"/>
      <w:szCs w:val="14"/>
      <w:lang w:eastAsia="cs-CZ"/>
    </w:rPr>
  </w:style>
  <w:style w:type="paragraph" w:customStyle="1" w:styleId="xl143">
    <w:name w:val="xl143"/>
    <w:basedOn w:val="Normln"/>
    <w:locked/>
    <w:rsid w:val="00626958"/>
    <w:pPr>
      <w:pBdr>
        <w:top w:val="single" w:sz="4" w:space="0" w:color="auto"/>
        <w:bottom w:val="single" w:sz="8" w:space="0" w:color="auto"/>
        <w:right w:val="single" w:sz="8" w:space="0" w:color="auto"/>
      </w:pBdr>
      <w:shd w:val="clear" w:color="auto" w:fill="00FFFF"/>
      <w:spacing w:before="100" w:beforeAutospacing="1" w:after="100" w:afterAutospacing="1"/>
      <w:jc w:val="right"/>
    </w:pPr>
    <w:rPr>
      <w:rFonts w:ascii="Times New Roman" w:hAnsi="Times New Roman"/>
      <w:sz w:val="14"/>
      <w:szCs w:val="14"/>
      <w:lang w:eastAsia="cs-CZ"/>
    </w:rPr>
  </w:style>
  <w:style w:type="paragraph" w:customStyle="1" w:styleId="xl144">
    <w:name w:val="xl144"/>
    <w:basedOn w:val="Normln"/>
    <w:locked/>
    <w:rsid w:val="0062695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14"/>
      <w:szCs w:val="14"/>
      <w:lang w:eastAsia="cs-CZ"/>
    </w:rPr>
  </w:style>
  <w:style w:type="paragraph" w:customStyle="1" w:styleId="xl145">
    <w:name w:val="xl145"/>
    <w:basedOn w:val="Normln"/>
    <w:locked/>
    <w:rsid w:val="00626958"/>
    <w:pPr>
      <w:pBdr>
        <w:top w:val="single" w:sz="8" w:space="0" w:color="auto"/>
        <w:left w:val="single" w:sz="4" w:space="0" w:color="auto"/>
        <w:bottom w:val="single" w:sz="8"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46">
    <w:name w:val="xl146"/>
    <w:basedOn w:val="Normln"/>
    <w:locked/>
    <w:rsid w:val="00626958"/>
    <w:pPr>
      <w:pBdr>
        <w:top w:val="single" w:sz="8"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47">
    <w:name w:val="xl147"/>
    <w:basedOn w:val="Normln"/>
    <w:locked/>
    <w:rsid w:val="00626958"/>
    <w:pPr>
      <w:pBdr>
        <w:top w:val="single" w:sz="8" w:space="0" w:color="auto"/>
        <w:right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48">
    <w:name w:val="xl148"/>
    <w:basedOn w:val="Normln"/>
    <w:locked/>
    <w:rsid w:val="00626958"/>
    <w:pPr>
      <w:pBdr>
        <w:top w:val="single" w:sz="8" w:space="0" w:color="auto"/>
        <w:bottom w:val="single" w:sz="4" w:space="0" w:color="auto"/>
        <w:right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49">
    <w:name w:val="xl149"/>
    <w:basedOn w:val="Normln"/>
    <w:locked/>
    <w:rsid w:val="00626958"/>
    <w:pPr>
      <w:pBdr>
        <w:top w:val="single" w:sz="4" w:space="0" w:color="auto"/>
        <w:left w:val="single" w:sz="4" w:space="0" w:color="auto"/>
        <w:bottom w:val="single" w:sz="8" w:space="0" w:color="auto"/>
        <w:right w:val="single" w:sz="8" w:space="0" w:color="auto"/>
      </w:pBdr>
      <w:shd w:val="clear" w:color="auto" w:fill="00FFFF"/>
      <w:spacing w:before="100" w:beforeAutospacing="1" w:after="100" w:afterAutospacing="1"/>
      <w:jc w:val="right"/>
    </w:pPr>
    <w:rPr>
      <w:rFonts w:ascii="Times New Roman" w:hAnsi="Times New Roman"/>
      <w:sz w:val="14"/>
      <w:szCs w:val="14"/>
      <w:lang w:eastAsia="cs-CZ"/>
    </w:rPr>
  </w:style>
  <w:style w:type="paragraph" w:customStyle="1" w:styleId="xl150">
    <w:name w:val="xl150"/>
    <w:basedOn w:val="Normln"/>
    <w:locked/>
    <w:rsid w:val="00626958"/>
    <w:pPr>
      <w:pBdr>
        <w:top w:val="single" w:sz="8" w:space="0" w:color="auto"/>
        <w:left w:val="single" w:sz="8" w:space="0" w:color="auto"/>
        <w:bottom w:val="single" w:sz="8" w:space="0" w:color="auto"/>
      </w:pBdr>
      <w:shd w:val="clear" w:color="auto" w:fill="00FFFF"/>
      <w:spacing w:before="100" w:beforeAutospacing="1" w:after="100" w:afterAutospacing="1"/>
    </w:pPr>
    <w:rPr>
      <w:rFonts w:ascii="Times New Roman" w:hAnsi="Times New Roman"/>
      <w:b/>
      <w:bCs/>
      <w:sz w:val="14"/>
      <w:szCs w:val="14"/>
      <w:lang w:eastAsia="cs-CZ"/>
    </w:rPr>
  </w:style>
  <w:style w:type="paragraph" w:customStyle="1" w:styleId="xl151">
    <w:name w:val="xl151"/>
    <w:basedOn w:val="Normln"/>
    <w:locked/>
    <w:rsid w:val="00626958"/>
    <w:pPr>
      <w:pBdr>
        <w:top w:val="single" w:sz="8" w:space="0" w:color="auto"/>
        <w:left w:val="single" w:sz="8" w:space="0" w:color="auto"/>
        <w:bottom w:val="single" w:sz="8" w:space="0" w:color="auto"/>
        <w:right w:val="single" w:sz="4"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52">
    <w:name w:val="xl152"/>
    <w:basedOn w:val="Normln"/>
    <w:locked/>
    <w:rsid w:val="00626958"/>
    <w:pPr>
      <w:pBdr>
        <w:top w:val="single" w:sz="8" w:space="0" w:color="auto"/>
        <w:left w:val="single" w:sz="4" w:space="0" w:color="auto"/>
        <w:bottom w:val="single" w:sz="8" w:space="0" w:color="auto"/>
      </w:pBdr>
      <w:shd w:val="clear" w:color="auto" w:fill="00FFFF"/>
      <w:spacing w:before="100" w:beforeAutospacing="1" w:after="100" w:afterAutospacing="1"/>
      <w:jc w:val="center"/>
    </w:pPr>
    <w:rPr>
      <w:rFonts w:ascii="Times New Roman" w:hAnsi="Times New Roman"/>
      <w:sz w:val="14"/>
      <w:szCs w:val="14"/>
      <w:lang w:eastAsia="cs-CZ"/>
    </w:rPr>
  </w:style>
  <w:style w:type="paragraph" w:customStyle="1" w:styleId="xl153">
    <w:name w:val="xl153"/>
    <w:basedOn w:val="Normln"/>
    <w:locked/>
    <w:rsid w:val="00626958"/>
    <w:pPr>
      <w:pBdr>
        <w:top w:val="single" w:sz="8" w:space="0" w:color="auto"/>
        <w:left w:val="single" w:sz="4" w:space="0" w:color="auto"/>
        <w:bottom w:val="single" w:sz="8" w:space="0" w:color="auto"/>
        <w:right w:val="single" w:sz="8" w:space="0" w:color="auto"/>
      </w:pBdr>
      <w:shd w:val="clear" w:color="auto" w:fill="00FFFF"/>
      <w:spacing w:before="100" w:beforeAutospacing="1" w:after="100" w:afterAutospacing="1"/>
      <w:jc w:val="center"/>
    </w:pPr>
    <w:rPr>
      <w:rFonts w:ascii="Times New Roman" w:hAnsi="Times New Roman"/>
      <w:sz w:val="14"/>
      <w:szCs w:val="14"/>
      <w:lang w:eastAsia="cs-CZ"/>
    </w:rPr>
  </w:style>
  <w:style w:type="character" w:customStyle="1" w:styleId="titulninadpis">
    <w:name w:val="titulni nadpis"/>
    <w:locked/>
    <w:rsid w:val="00626958"/>
    <w:rPr>
      <w:b/>
      <w:sz w:val="20"/>
    </w:rPr>
  </w:style>
  <w:style w:type="paragraph" w:customStyle="1" w:styleId="zaveradresa">
    <w:name w:val="zaver adresa"/>
    <w:locked/>
    <w:rsid w:val="00626958"/>
    <w:pPr>
      <w:widowControl w:val="0"/>
      <w:spacing w:after="0" w:line="240" w:lineRule="auto"/>
    </w:pPr>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uiPriority w:val="99"/>
    <w:rsid w:val="00626958"/>
    <w:pPr>
      <w:ind w:left="780"/>
    </w:pPr>
    <w:rPr>
      <w:rFonts w:ascii="Times New Roman" w:hAnsi="Times New Roman"/>
      <w:sz w:val="24"/>
      <w:szCs w:val="24"/>
    </w:rPr>
  </w:style>
  <w:style w:type="character" w:customStyle="1" w:styleId="Zkladntextodsazen2Char">
    <w:name w:val="Základní text odsazený 2 Char"/>
    <w:basedOn w:val="Standardnpsmoodstavce"/>
    <w:link w:val="Zkladntextodsazen2"/>
    <w:uiPriority w:val="99"/>
    <w:rsid w:val="00626958"/>
    <w:rPr>
      <w:rFonts w:ascii="Times New Roman" w:eastAsia="Times New Roman" w:hAnsi="Times New Roman" w:cs="Times New Roman"/>
      <w:sz w:val="24"/>
      <w:szCs w:val="24"/>
    </w:rPr>
  </w:style>
  <w:style w:type="paragraph" w:customStyle="1" w:styleId="font10">
    <w:name w:val="font10"/>
    <w:basedOn w:val="Normln"/>
    <w:locked/>
    <w:rsid w:val="00626958"/>
    <w:pPr>
      <w:spacing w:before="100" w:beforeAutospacing="1" w:after="100" w:afterAutospacing="1"/>
    </w:pPr>
    <w:rPr>
      <w:rFonts w:ascii="Tahoma" w:eastAsia="Arial Unicode MS" w:hAnsi="Tahoma" w:cs="Tahoma"/>
      <w:color w:val="000000"/>
      <w:sz w:val="16"/>
      <w:szCs w:val="16"/>
      <w:lang w:eastAsia="cs-CZ"/>
    </w:rPr>
  </w:style>
  <w:style w:type="paragraph" w:customStyle="1" w:styleId="Aconstext">
    <w:name w:val="Acons text"/>
    <w:basedOn w:val="Normln"/>
    <w:locked/>
    <w:rsid w:val="00626958"/>
    <w:rPr>
      <w:rFonts w:ascii="Times New Roman" w:hAnsi="Times New Roman"/>
      <w:sz w:val="24"/>
      <w:szCs w:val="20"/>
      <w:lang w:eastAsia="cs-CZ"/>
    </w:rPr>
  </w:style>
  <w:style w:type="table" w:customStyle="1" w:styleId="Mkatabulky15">
    <w:name w:val="Mřížka tabulky15"/>
    <w:basedOn w:val="Normlntabulka"/>
    <w:next w:val="Mkatabulky"/>
    <w:locked/>
    <w:rsid w:val="0062695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text-posudek">
    <w:name w:val="Běžný text - posudek"/>
    <w:basedOn w:val="Zkladntext"/>
    <w:autoRedefine/>
    <w:locked/>
    <w:rsid w:val="00626958"/>
  </w:style>
  <w:style w:type="paragraph" w:customStyle="1" w:styleId="Bintext-posudek">
    <w:name w:val="Bižný text - posudek"/>
    <w:basedOn w:val="Zkladntext"/>
    <w:locked/>
    <w:rsid w:val="00626958"/>
  </w:style>
  <w:style w:type="paragraph" w:customStyle="1" w:styleId="inz-info">
    <w:name w:val="inz-info"/>
    <w:basedOn w:val="Normln"/>
    <w:locked/>
    <w:rsid w:val="00626958"/>
    <w:pPr>
      <w:spacing w:before="100" w:beforeAutospacing="1" w:after="100" w:afterAutospacing="1"/>
    </w:pPr>
    <w:rPr>
      <w:rFonts w:ascii="Times New Roman" w:hAnsi="Times New Roman"/>
      <w:sz w:val="24"/>
      <w:szCs w:val="24"/>
      <w:lang w:eastAsia="cs-CZ"/>
    </w:rPr>
  </w:style>
  <w:style w:type="character" w:customStyle="1" w:styleId="price">
    <w:name w:val="price"/>
    <w:locked/>
    <w:rsid w:val="00626958"/>
  </w:style>
  <w:style w:type="paragraph" w:customStyle="1" w:styleId="inz-text">
    <w:name w:val="inz-text"/>
    <w:basedOn w:val="Normln"/>
    <w:locked/>
    <w:rsid w:val="00626958"/>
    <w:pPr>
      <w:spacing w:before="100" w:beforeAutospacing="1" w:after="100" w:afterAutospacing="1"/>
    </w:pPr>
    <w:rPr>
      <w:rFonts w:ascii="Times New Roman" w:hAnsi="Times New Roman"/>
      <w:sz w:val="24"/>
      <w:szCs w:val="24"/>
      <w:lang w:eastAsia="cs-CZ"/>
    </w:rPr>
  </w:style>
  <w:style w:type="paragraph" w:customStyle="1" w:styleId="StylZkladntextTahomazarovnnnasted">
    <w:name w:val="Styl Základní text + Tahoma zarovnání na střed"/>
    <w:basedOn w:val="Zkladntext"/>
    <w:autoRedefine/>
    <w:locked/>
    <w:rsid w:val="00626958"/>
  </w:style>
  <w:style w:type="character" w:customStyle="1" w:styleId="platne">
    <w:name w:val="platne"/>
    <w:locked/>
    <w:rsid w:val="00626958"/>
  </w:style>
  <w:style w:type="character" w:customStyle="1" w:styleId="new-vykrik">
    <w:name w:val="new-vykrik"/>
    <w:locked/>
    <w:rsid w:val="00626958"/>
  </w:style>
  <w:style w:type="character" w:customStyle="1" w:styleId="t9pt">
    <w:name w:val="t9pt"/>
    <w:locked/>
    <w:rsid w:val="00626958"/>
  </w:style>
  <w:style w:type="character" w:customStyle="1" w:styleId="BezmezerChar">
    <w:name w:val="Bez mezer Char"/>
    <w:aliases w:val="Normální E Char,No Spacing Char"/>
    <w:link w:val="Bezmezer"/>
    <w:uiPriority w:val="1"/>
    <w:locked/>
    <w:rsid w:val="00626958"/>
  </w:style>
  <w:style w:type="character" w:customStyle="1" w:styleId="8pt">
    <w:name w:val="8pt"/>
    <w:locked/>
    <w:rsid w:val="00626958"/>
  </w:style>
  <w:style w:type="paragraph" w:styleId="z-Zatekformule">
    <w:name w:val="HTML Top of Form"/>
    <w:basedOn w:val="Normln"/>
    <w:next w:val="Normln"/>
    <w:link w:val="z-ZatekformuleChar"/>
    <w:hidden/>
    <w:uiPriority w:val="99"/>
    <w:unhideWhenUsed/>
    <w:rsid w:val="00626958"/>
    <w:pPr>
      <w:pBdr>
        <w:bottom w:val="single" w:sz="6" w:space="1" w:color="auto"/>
      </w:pBdr>
      <w:jc w:val="center"/>
    </w:pPr>
    <w:rPr>
      <w:rFonts w:ascii="Arial" w:hAnsi="Arial"/>
      <w:vanish/>
      <w:sz w:val="16"/>
      <w:szCs w:val="16"/>
    </w:rPr>
  </w:style>
  <w:style w:type="character" w:customStyle="1" w:styleId="z-ZatekformuleChar">
    <w:name w:val="z-Začátek formuláře Char"/>
    <w:basedOn w:val="Standardnpsmoodstavce"/>
    <w:link w:val="z-Zatekformule"/>
    <w:uiPriority w:val="99"/>
    <w:rsid w:val="00626958"/>
    <w:rPr>
      <w:rFonts w:ascii="Arial" w:eastAsia="Times New Roman" w:hAnsi="Arial" w:cs="Times New Roman"/>
      <w:vanish/>
      <w:sz w:val="16"/>
      <w:szCs w:val="16"/>
    </w:rPr>
  </w:style>
  <w:style w:type="paragraph" w:styleId="z-Konecformule">
    <w:name w:val="HTML Bottom of Form"/>
    <w:basedOn w:val="Normln"/>
    <w:next w:val="Normln"/>
    <w:link w:val="z-KonecformuleChar"/>
    <w:hidden/>
    <w:uiPriority w:val="99"/>
    <w:unhideWhenUsed/>
    <w:rsid w:val="00626958"/>
    <w:pPr>
      <w:pBdr>
        <w:top w:val="single" w:sz="6" w:space="1" w:color="auto"/>
      </w:pBdr>
      <w:jc w:val="center"/>
    </w:pPr>
    <w:rPr>
      <w:rFonts w:ascii="Arial" w:hAnsi="Arial"/>
      <w:vanish/>
      <w:sz w:val="16"/>
      <w:szCs w:val="16"/>
    </w:rPr>
  </w:style>
  <w:style w:type="character" w:customStyle="1" w:styleId="z-KonecformuleChar">
    <w:name w:val="z-Konec formuláře Char"/>
    <w:basedOn w:val="Standardnpsmoodstavce"/>
    <w:link w:val="z-Konecformule"/>
    <w:uiPriority w:val="99"/>
    <w:rsid w:val="00626958"/>
    <w:rPr>
      <w:rFonts w:ascii="Arial" w:eastAsia="Times New Roman" w:hAnsi="Arial" w:cs="Times New Roman"/>
      <w:vanish/>
      <w:sz w:val="16"/>
      <w:szCs w:val="16"/>
    </w:rPr>
  </w:style>
  <w:style w:type="character" w:customStyle="1" w:styleId="text12pt">
    <w:name w:val="text12pt"/>
    <w:locked/>
    <w:rsid w:val="00626958"/>
  </w:style>
  <w:style w:type="character" w:customStyle="1" w:styleId="skypepnhprintcontainer">
    <w:name w:val="skype_pnh_print_container"/>
    <w:locked/>
    <w:rsid w:val="00626958"/>
  </w:style>
  <w:style w:type="character" w:customStyle="1" w:styleId="skypepnhcontainer">
    <w:name w:val="skype_pnh_container"/>
    <w:locked/>
    <w:rsid w:val="00626958"/>
  </w:style>
  <w:style w:type="character" w:customStyle="1" w:styleId="skypepnhmark">
    <w:name w:val="skype_pnh_mark"/>
    <w:locked/>
    <w:rsid w:val="00626958"/>
  </w:style>
  <w:style w:type="character" w:customStyle="1" w:styleId="skypepnhleftspan">
    <w:name w:val="skype_pnh_left_span"/>
    <w:locked/>
    <w:rsid w:val="00626958"/>
  </w:style>
  <w:style w:type="character" w:customStyle="1" w:styleId="skypepnhdropartspan">
    <w:name w:val="skype_pnh_dropart_span"/>
    <w:locked/>
    <w:rsid w:val="00626958"/>
  </w:style>
  <w:style w:type="character" w:customStyle="1" w:styleId="skypepnhdropartflagspan">
    <w:name w:val="skype_pnh_dropart_flag_span"/>
    <w:locked/>
    <w:rsid w:val="00626958"/>
  </w:style>
  <w:style w:type="character" w:customStyle="1" w:styleId="skypepnhtextspan">
    <w:name w:val="skype_pnh_text_span"/>
    <w:locked/>
    <w:rsid w:val="00626958"/>
  </w:style>
  <w:style w:type="character" w:customStyle="1" w:styleId="skypepnhrightspan">
    <w:name w:val="skype_pnh_right_span"/>
    <w:locked/>
    <w:rsid w:val="00626958"/>
  </w:style>
  <w:style w:type="character" w:customStyle="1" w:styleId="7pt">
    <w:name w:val="7pt"/>
    <w:locked/>
    <w:rsid w:val="00626958"/>
  </w:style>
  <w:style w:type="paragraph" w:customStyle="1" w:styleId="Eerveninormln">
    <w:name w:val="Eerveni normální"/>
    <w:basedOn w:val="Normln"/>
    <w:locked/>
    <w:rsid w:val="00626958"/>
    <w:pPr>
      <w:overflowPunct w:val="0"/>
      <w:autoSpaceDE w:val="0"/>
      <w:autoSpaceDN w:val="0"/>
      <w:adjustRightInd w:val="0"/>
      <w:textAlignment w:val="baseline"/>
    </w:pPr>
    <w:rPr>
      <w:rFonts w:ascii="Times New Roman" w:hAnsi="Times New Roman"/>
      <w:color w:val="FF0000"/>
      <w:szCs w:val="20"/>
      <w:lang w:eastAsia="cs-CZ"/>
    </w:rPr>
  </w:style>
  <w:style w:type="paragraph" w:customStyle="1" w:styleId="Zeleninormln">
    <w:name w:val="Zeleni normální"/>
    <w:basedOn w:val="Normln"/>
    <w:locked/>
    <w:rsid w:val="00626958"/>
    <w:pPr>
      <w:overflowPunct w:val="0"/>
      <w:autoSpaceDE w:val="0"/>
      <w:autoSpaceDN w:val="0"/>
      <w:adjustRightInd w:val="0"/>
      <w:textAlignment w:val="baseline"/>
    </w:pPr>
    <w:rPr>
      <w:rFonts w:ascii="Times New Roman" w:hAnsi="Times New Roman"/>
      <w:color w:val="00FF00"/>
      <w:szCs w:val="20"/>
      <w:lang w:eastAsia="cs-CZ"/>
    </w:rPr>
  </w:style>
  <w:style w:type="paragraph" w:customStyle="1" w:styleId="Modoenormln">
    <w:name w:val="Modoe normální"/>
    <w:basedOn w:val="Zeleninormln"/>
    <w:locked/>
    <w:rsid w:val="00626958"/>
    <w:rPr>
      <w:color w:val="0000FF"/>
    </w:rPr>
  </w:style>
  <w:style w:type="paragraph" w:customStyle="1" w:styleId="Hlavnnadpis">
    <w:name w:val="Hlavní nadpis"/>
    <w:basedOn w:val="Normln"/>
    <w:locked/>
    <w:rsid w:val="00626958"/>
    <w:pPr>
      <w:overflowPunct w:val="0"/>
      <w:autoSpaceDE w:val="0"/>
      <w:autoSpaceDN w:val="0"/>
      <w:adjustRightInd w:val="0"/>
      <w:jc w:val="center"/>
      <w:textAlignment w:val="baseline"/>
    </w:pPr>
    <w:rPr>
      <w:rFonts w:ascii="Arial" w:hAnsi="Arial"/>
      <w:b/>
      <w:smallCaps/>
      <w:sz w:val="48"/>
      <w:szCs w:val="20"/>
      <w:lang w:eastAsia="cs-CZ"/>
    </w:rPr>
  </w:style>
  <w:style w:type="paragraph" w:styleId="Nzev">
    <w:name w:val="Title"/>
    <w:basedOn w:val="Normln"/>
    <w:link w:val="NzevChar"/>
    <w:rsid w:val="00626958"/>
    <w:pPr>
      <w:overflowPunct w:val="0"/>
      <w:autoSpaceDE w:val="0"/>
      <w:autoSpaceDN w:val="0"/>
      <w:adjustRightInd w:val="0"/>
      <w:spacing w:before="240" w:after="60"/>
      <w:jc w:val="center"/>
      <w:textAlignment w:val="baseline"/>
    </w:pPr>
    <w:rPr>
      <w:rFonts w:ascii="Arial" w:hAnsi="Arial"/>
      <w:b/>
      <w:kern w:val="28"/>
      <w:sz w:val="32"/>
      <w:szCs w:val="20"/>
    </w:rPr>
  </w:style>
  <w:style w:type="character" w:customStyle="1" w:styleId="NzevChar">
    <w:name w:val="Název Char"/>
    <w:basedOn w:val="Standardnpsmoodstavce"/>
    <w:link w:val="Nzev"/>
    <w:rsid w:val="00626958"/>
    <w:rPr>
      <w:rFonts w:ascii="Arial" w:eastAsia="Times New Roman" w:hAnsi="Arial" w:cs="Times New Roman"/>
      <w:b/>
      <w:kern w:val="28"/>
      <w:sz w:val="32"/>
      <w:szCs w:val="20"/>
    </w:rPr>
  </w:style>
  <w:style w:type="paragraph" w:customStyle="1" w:styleId="BodyText21">
    <w:name w:val="Body Text 21"/>
    <w:basedOn w:val="Normln"/>
    <w:locked/>
    <w:rsid w:val="00626958"/>
    <w:pPr>
      <w:overflowPunct w:val="0"/>
      <w:autoSpaceDE w:val="0"/>
      <w:autoSpaceDN w:val="0"/>
      <w:adjustRightInd w:val="0"/>
      <w:spacing w:after="120"/>
      <w:ind w:left="283"/>
      <w:textAlignment w:val="baseline"/>
    </w:pPr>
    <w:rPr>
      <w:rFonts w:ascii="Times New Roman" w:hAnsi="Times New Roman"/>
      <w:szCs w:val="20"/>
      <w:lang w:eastAsia="cs-CZ"/>
    </w:rPr>
  </w:style>
  <w:style w:type="paragraph" w:customStyle="1" w:styleId="BodyText31">
    <w:name w:val="Body Text 31"/>
    <w:basedOn w:val="BodyText21"/>
    <w:locked/>
    <w:rsid w:val="00626958"/>
  </w:style>
  <w:style w:type="paragraph" w:styleId="FormtovanvHTML">
    <w:name w:val="HTML Preformatted"/>
    <w:basedOn w:val="Normln"/>
    <w:link w:val="FormtovanvHTMLChar"/>
    <w:uiPriority w:val="99"/>
    <w:unhideWhenUsed/>
    <w:rsid w:val="0062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rPr>
  </w:style>
  <w:style w:type="character" w:customStyle="1" w:styleId="FormtovanvHTMLChar">
    <w:name w:val="Formátovaný v HTML Char"/>
    <w:basedOn w:val="Standardnpsmoodstavce"/>
    <w:link w:val="FormtovanvHTML"/>
    <w:uiPriority w:val="99"/>
    <w:rsid w:val="00626958"/>
    <w:rPr>
      <w:rFonts w:ascii="Courier New" w:eastAsia="Times New Roman" w:hAnsi="Courier New" w:cs="Times New Roman"/>
      <w:sz w:val="20"/>
      <w:szCs w:val="20"/>
    </w:rPr>
  </w:style>
  <w:style w:type="paragraph" w:customStyle="1" w:styleId="StylNadpis1Ped6b">
    <w:name w:val="Styl Nadpis 1 + Před:  6 b."/>
    <w:basedOn w:val="Nadpis1"/>
    <w:autoRedefine/>
    <w:locked/>
    <w:rsid w:val="00626958"/>
    <w:pPr>
      <w:keepLines w:val="0"/>
      <w:pBdr>
        <w:bottom w:val="none" w:sz="0" w:space="0" w:color="auto"/>
      </w:pBdr>
      <w:tabs>
        <w:tab w:val="num" w:pos="432"/>
      </w:tabs>
      <w:overflowPunct w:val="0"/>
      <w:autoSpaceDE w:val="0"/>
      <w:autoSpaceDN w:val="0"/>
      <w:adjustRightInd w:val="0"/>
      <w:spacing w:before="120" w:after="0"/>
      <w:textAlignment w:val="baseline"/>
    </w:pPr>
    <w:rPr>
      <w:rFonts w:ascii="Times New Roman" w:eastAsia="Times New Roman" w:hAnsi="Times New Roman" w:cs="Times New Roman"/>
      <w:b/>
      <w:bCs/>
      <w:color w:val="000000"/>
      <w:kern w:val="28"/>
      <w:sz w:val="28"/>
      <w:szCs w:val="20"/>
      <w:lang w:eastAsia="en-US"/>
      <w14:textFill>
        <w14:solidFill>
          <w14:srgbClr w14:val="000000">
            <w14:shade w14:val="30000"/>
            <w14:satMod w14:val="115000"/>
          </w14:srgbClr>
        </w14:solidFill>
      </w14:textFill>
    </w:rPr>
  </w:style>
  <w:style w:type="paragraph" w:customStyle="1" w:styleId="import18">
    <w:name w:val="import18"/>
    <w:basedOn w:val="Normln"/>
    <w:locked/>
    <w:rsid w:val="00626958"/>
    <w:pPr>
      <w:spacing w:before="100" w:beforeAutospacing="1" w:after="100" w:afterAutospacing="1"/>
    </w:pPr>
    <w:rPr>
      <w:rFonts w:ascii="Times New Roman" w:hAnsi="Times New Roman"/>
      <w:sz w:val="24"/>
      <w:szCs w:val="24"/>
      <w:lang w:eastAsia="cs-CZ"/>
    </w:rPr>
  </w:style>
  <w:style w:type="character" w:customStyle="1" w:styleId="address">
    <w:name w:val="address"/>
    <w:locked/>
    <w:rsid w:val="00626958"/>
  </w:style>
  <w:style w:type="character" w:customStyle="1" w:styleId="street-address">
    <w:name w:val="street-address"/>
    <w:locked/>
    <w:rsid w:val="00626958"/>
  </w:style>
  <w:style w:type="character" w:customStyle="1" w:styleId="id">
    <w:name w:val="id"/>
    <w:locked/>
    <w:rsid w:val="00626958"/>
  </w:style>
  <w:style w:type="paragraph" w:customStyle="1" w:styleId="BodyText22">
    <w:name w:val="Body Text 22"/>
    <w:basedOn w:val="Normln"/>
    <w:locked/>
    <w:rsid w:val="00626958"/>
    <w:pPr>
      <w:overflowPunct w:val="0"/>
      <w:autoSpaceDE w:val="0"/>
      <w:autoSpaceDN w:val="0"/>
      <w:adjustRightInd w:val="0"/>
      <w:spacing w:after="120"/>
      <w:ind w:left="283"/>
      <w:textAlignment w:val="baseline"/>
    </w:pPr>
    <w:rPr>
      <w:rFonts w:ascii="Times New Roman" w:hAnsi="Times New Roman"/>
      <w:szCs w:val="20"/>
      <w:lang w:eastAsia="cs-CZ"/>
    </w:rPr>
  </w:style>
  <w:style w:type="paragraph" w:customStyle="1" w:styleId="xl154">
    <w:name w:val="xl154"/>
    <w:basedOn w:val="Normln"/>
    <w:locked/>
    <w:rsid w:val="00626958"/>
    <w:pPr>
      <w:pBdr>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Times New Roman" w:hAnsi="Times New Roman"/>
      <w:sz w:val="18"/>
      <w:szCs w:val="18"/>
      <w:lang w:eastAsia="cs-CZ"/>
    </w:rPr>
  </w:style>
  <w:style w:type="paragraph" w:customStyle="1" w:styleId="xl155">
    <w:name w:val="xl155"/>
    <w:basedOn w:val="Normln"/>
    <w:locked/>
    <w:rsid w:val="00626958"/>
    <w:pPr>
      <w:pBdr>
        <w:bottom w:val="single" w:sz="4" w:space="0" w:color="auto"/>
      </w:pBdr>
      <w:shd w:val="clear" w:color="000000" w:fill="CCCCFF"/>
      <w:spacing w:before="100" w:beforeAutospacing="1" w:after="100" w:afterAutospacing="1"/>
      <w:textAlignment w:val="center"/>
    </w:pPr>
    <w:rPr>
      <w:rFonts w:ascii="Times New Roman" w:hAnsi="Times New Roman"/>
      <w:sz w:val="18"/>
      <w:szCs w:val="18"/>
      <w:lang w:eastAsia="cs-CZ"/>
    </w:rPr>
  </w:style>
  <w:style w:type="paragraph" w:customStyle="1" w:styleId="xl156">
    <w:name w:val="xl156"/>
    <w:basedOn w:val="Normln"/>
    <w:locked/>
    <w:rsid w:val="00626958"/>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Times New Roman" w:hAnsi="Times New Roman"/>
      <w:sz w:val="18"/>
      <w:szCs w:val="18"/>
      <w:lang w:eastAsia="cs-CZ"/>
    </w:rPr>
  </w:style>
  <w:style w:type="paragraph" w:customStyle="1" w:styleId="xl157">
    <w:name w:val="xl157"/>
    <w:basedOn w:val="Normln"/>
    <w:locked/>
    <w:rsid w:val="00626958"/>
    <w:pPr>
      <w:pBdr>
        <w:left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hAnsi="Times New Roman"/>
      <w:sz w:val="18"/>
      <w:szCs w:val="18"/>
      <w:lang w:eastAsia="cs-CZ"/>
    </w:rPr>
  </w:style>
  <w:style w:type="paragraph" w:customStyle="1" w:styleId="xl158">
    <w:name w:val="xl158"/>
    <w:basedOn w:val="Normln"/>
    <w:locked/>
    <w:rsid w:val="00626958"/>
    <w:pPr>
      <w:pBdr>
        <w:bottom w:val="single" w:sz="4" w:space="0" w:color="auto"/>
      </w:pBdr>
      <w:shd w:val="clear" w:color="000000" w:fill="33CCCC"/>
      <w:spacing w:before="100" w:beforeAutospacing="1" w:after="100" w:afterAutospacing="1"/>
      <w:textAlignment w:val="center"/>
    </w:pPr>
    <w:rPr>
      <w:rFonts w:ascii="Times New Roman" w:hAnsi="Times New Roman"/>
      <w:sz w:val="18"/>
      <w:szCs w:val="18"/>
      <w:lang w:eastAsia="cs-CZ"/>
    </w:rPr>
  </w:style>
  <w:style w:type="paragraph" w:customStyle="1" w:styleId="xl159">
    <w:name w:val="xl159"/>
    <w:basedOn w:val="Normln"/>
    <w:locked/>
    <w:rsid w:val="00626958"/>
    <w:pPr>
      <w:pBdr>
        <w:left w:val="single" w:sz="4" w:space="0" w:color="auto"/>
        <w:bottom w:val="single" w:sz="4" w:space="0" w:color="auto"/>
        <w:right w:val="single" w:sz="4" w:space="0" w:color="auto"/>
      </w:pBdr>
      <w:shd w:val="clear" w:color="000000" w:fill="33CCCC"/>
      <w:spacing w:before="100" w:beforeAutospacing="1" w:after="100" w:afterAutospacing="1"/>
      <w:jc w:val="center"/>
      <w:textAlignment w:val="center"/>
    </w:pPr>
    <w:rPr>
      <w:rFonts w:ascii="Times New Roman" w:hAnsi="Times New Roman"/>
      <w:sz w:val="18"/>
      <w:szCs w:val="18"/>
      <w:lang w:eastAsia="cs-CZ"/>
    </w:rPr>
  </w:style>
  <w:style w:type="paragraph" w:customStyle="1" w:styleId="xl160">
    <w:name w:val="xl160"/>
    <w:basedOn w:val="Normln"/>
    <w:locked/>
    <w:rsid w:val="00626958"/>
    <w:pPr>
      <w:pBdr>
        <w:left w:val="single" w:sz="4" w:space="0" w:color="auto"/>
        <w:bottom w:val="single" w:sz="4" w:space="0" w:color="auto"/>
        <w:right w:val="single" w:sz="8" w:space="0" w:color="auto"/>
      </w:pBdr>
      <w:shd w:val="clear" w:color="000000" w:fill="33CCCC"/>
      <w:spacing w:before="100" w:beforeAutospacing="1" w:after="100" w:afterAutospacing="1"/>
      <w:jc w:val="center"/>
      <w:textAlignment w:val="center"/>
    </w:pPr>
    <w:rPr>
      <w:rFonts w:ascii="Times New Roman" w:hAnsi="Times New Roman"/>
      <w:sz w:val="18"/>
      <w:szCs w:val="18"/>
      <w:lang w:eastAsia="cs-CZ"/>
    </w:rPr>
  </w:style>
  <w:style w:type="paragraph" w:customStyle="1" w:styleId="xl161">
    <w:name w:val="xl161"/>
    <w:basedOn w:val="Normln"/>
    <w:locked/>
    <w:rsid w:val="00626958"/>
    <w:pPr>
      <w:pBdr>
        <w:bottom w:val="single" w:sz="4" w:space="0" w:color="auto"/>
      </w:pBdr>
      <w:shd w:val="clear" w:color="000000" w:fill="C0C0C0"/>
      <w:spacing w:before="100" w:beforeAutospacing="1" w:after="100" w:afterAutospacing="1"/>
      <w:textAlignment w:val="center"/>
    </w:pPr>
    <w:rPr>
      <w:rFonts w:ascii="Times New Roman" w:hAnsi="Times New Roman"/>
      <w:sz w:val="18"/>
      <w:szCs w:val="18"/>
      <w:lang w:eastAsia="cs-CZ"/>
    </w:rPr>
  </w:style>
  <w:style w:type="paragraph" w:customStyle="1" w:styleId="xl162">
    <w:name w:val="xl162"/>
    <w:basedOn w:val="Normln"/>
    <w:locked/>
    <w:rsid w:val="00626958"/>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18"/>
      <w:szCs w:val="18"/>
      <w:lang w:eastAsia="cs-CZ"/>
    </w:rPr>
  </w:style>
  <w:style w:type="paragraph" w:customStyle="1" w:styleId="xl163">
    <w:name w:val="xl163"/>
    <w:basedOn w:val="Normln"/>
    <w:locked/>
    <w:rsid w:val="00626958"/>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hAnsi="Times New Roman"/>
      <w:sz w:val="18"/>
      <w:szCs w:val="18"/>
      <w:lang w:eastAsia="cs-CZ"/>
    </w:rPr>
  </w:style>
  <w:style w:type="paragraph" w:customStyle="1" w:styleId="xl164">
    <w:name w:val="xl164"/>
    <w:basedOn w:val="Normln"/>
    <w:locked/>
    <w:rsid w:val="00626958"/>
    <w:pPr>
      <w:pBdr>
        <w:top w:val="single" w:sz="4" w:space="0" w:color="auto"/>
        <w:bottom w:val="single" w:sz="8" w:space="0" w:color="auto"/>
      </w:pBdr>
      <w:shd w:val="clear" w:color="000000" w:fill="C0C0C0"/>
      <w:spacing w:before="100" w:beforeAutospacing="1" w:after="100" w:afterAutospacing="1"/>
      <w:textAlignment w:val="center"/>
    </w:pPr>
    <w:rPr>
      <w:rFonts w:ascii="Times New Roman" w:hAnsi="Times New Roman"/>
      <w:sz w:val="18"/>
      <w:szCs w:val="18"/>
      <w:lang w:eastAsia="cs-CZ"/>
    </w:rPr>
  </w:style>
  <w:style w:type="paragraph" w:customStyle="1" w:styleId="xl165">
    <w:name w:val="xl165"/>
    <w:basedOn w:val="Normln"/>
    <w:locked/>
    <w:rsid w:val="00626958"/>
    <w:pPr>
      <w:pBdr>
        <w:top w:val="single" w:sz="8" w:space="0" w:color="auto"/>
        <w:bottom w:val="single" w:sz="8" w:space="0" w:color="auto"/>
      </w:pBdr>
      <w:shd w:val="clear" w:color="000000" w:fill="00FFFF"/>
      <w:spacing w:before="100" w:beforeAutospacing="1" w:after="100" w:afterAutospacing="1"/>
      <w:textAlignment w:val="center"/>
    </w:pPr>
    <w:rPr>
      <w:rFonts w:ascii="Times New Roman" w:hAnsi="Times New Roman"/>
      <w:sz w:val="18"/>
      <w:szCs w:val="18"/>
      <w:lang w:eastAsia="cs-CZ"/>
    </w:rPr>
  </w:style>
  <w:style w:type="paragraph" w:customStyle="1" w:styleId="xl166">
    <w:name w:val="xl166"/>
    <w:basedOn w:val="Normln"/>
    <w:locked/>
    <w:rsid w:val="00626958"/>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hAnsi="Times New Roman"/>
      <w:b/>
      <w:bCs/>
      <w:sz w:val="18"/>
      <w:szCs w:val="18"/>
      <w:lang w:eastAsia="cs-CZ"/>
    </w:rPr>
  </w:style>
  <w:style w:type="paragraph" w:customStyle="1" w:styleId="xl167">
    <w:name w:val="xl167"/>
    <w:basedOn w:val="Normln"/>
    <w:locked/>
    <w:rsid w:val="00626958"/>
    <w:pPr>
      <w:pBdr>
        <w:top w:val="single" w:sz="8" w:space="0" w:color="auto"/>
        <w:bottom w:val="single" w:sz="8" w:space="0" w:color="auto"/>
      </w:pBdr>
      <w:shd w:val="clear" w:color="000000" w:fill="00FFFF"/>
      <w:spacing w:before="100" w:beforeAutospacing="1" w:after="100" w:afterAutospacing="1"/>
      <w:textAlignment w:val="center"/>
    </w:pPr>
    <w:rPr>
      <w:rFonts w:ascii="Times New Roman" w:hAnsi="Times New Roman"/>
      <w:b/>
      <w:bCs/>
      <w:sz w:val="18"/>
      <w:szCs w:val="18"/>
      <w:lang w:eastAsia="cs-CZ"/>
    </w:rPr>
  </w:style>
  <w:style w:type="paragraph" w:customStyle="1" w:styleId="xl168">
    <w:name w:val="xl168"/>
    <w:basedOn w:val="Normln"/>
    <w:locked/>
    <w:rsid w:val="00626958"/>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hAnsi="Times New Roman"/>
      <w:sz w:val="18"/>
      <w:szCs w:val="18"/>
      <w:lang w:eastAsia="cs-CZ"/>
    </w:rPr>
  </w:style>
  <w:style w:type="paragraph" w:customStyle="1" w:styleId="xl169">
    <w:name w:val="xl169"/>
    <w:basedOn w:val="Normln"/>
    <w:locked/>
    <w:rsid w:val="00626958"/>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hAnsi="Times New Roman"/>
      <w:sz w:val="18"/>
      <w:szCs w:val="18"/>
      <w:lang w:eastAsia="cs-CZ"/>
    </w:rPr>
  </w:style>
  <w:style w:type="paragraph" w:customStyle="1" w:styleId="xl170">
    <w:name w:val="xl170"/>
    <w:basedOn w:val="Normln"/>
    <w:locked/>
    <w:rsid w:val="00626958"/>
    <w:pPr>
      <w:pBdr>
        <w:top w:val="single" w:sz="8" w:space="0" w:color="auto"/>
        <w:left w:val="single" w:sz="4" w:space="0" w:color="auto"/>
        <w:bottom w:val="single" w:sz="8" w:space="0" w:color="auto"/>
        <w:right w:val="single" w:sz="4" w:space="0" w:color="auto"/>
      </w:pBdr>
      <w:shd w:val="clear" w:color="000000" w:fill="00FFFF"/>
      <w:spacing w:before="100" w:beforeAutospacing="1" w:after="100" w:afterAutospacing="1"/>
      <w:jc w:val="center"/>
      <w:textAlignment w:val="center"/>
    </w:pPr>
    <w:rPr>
      <w:rFonts w:ascii="Times New Roman" w:hAnsi="Times New Roman"/>
      <w:b/>
      <w:bCs/>
      <w:sz w:val="18"/>
      <w:szCs w:val="18"/>
      <w:lang w:eastAsia="cs-CZ"/>
    </w:rPr>
  </w:style>
  <w:style w:type="paragraph" w:customStyle="1" w:styleId="xl171">
    <w:name w:val="xl171"/>
    <w:basedOn w:val="Normln"/>
    <w:locked/>
    <w:rsid w:val="00626958"/>
    <w:pPr>
      <w:pBdr>
        <w:top w:val="single" w:sz="8" w:space="0" w:color="auto"/>
        <w:left w:val="single" w:sz="4" w:space="0" w:color="auto"/>
        <w:bottom w:val="single" w:sz="8" w:space="0" w:color="auto"/>
        <w:right w:val="single" w:sz="8" w:space="0" w:color="auto"/>
      </w:pBdr>
      <w:shd w:val="clear" w:color="000000" w:fill="FF8080"/>
      <w:spacing w:before="100" w:beforeAutospacing="1" w:after="100" w:afterAutospacing="1"/>
      <w:jc w:val="center"/>
      <w:textAlignment w:val="center"/>
    </w:pPr>
    <w:rPr>
      <w:rFonts w:ascii="Times New Roman" w:hAnsi="Times New Roman"/>
      <w:b/>
      <w:bCs/>
      <w:sz w:val="18"/>
      <w:szCs w:val="18"/>
      <w:lang w:eastAsia="cs-CZ"/>
    </w:rPr>
  </w:style>
  <w:style w:type="paragraph" w:customStyle="1" w:styleId="xl172">
    <w:name w:val="xl172"/>
    <w:basedOn w:val="Normln"/>
    <w:locked/>
    <w:rsid w:val="00626958"/>
    <w:pPr>
      <w:pBdr>
        <w:top w:val="single" w:sz="8" w:space="0" w:color="auto"/>
        <w:left w:val="single" w:sz="8" w:space="0" w:color="auto"/>
        <w:bottom w:val="single" w:sz="4" w:space="0" w:color="auto"/>
      </w:pBdr>
      <w:shd w:val="clear" w:color="000000" w:fill="00FFFF"/>
      <w:spacing w:before="100" w:beforeAutospacing="1" w:after="100" w:afterAutospacing="1"/>
    </w:pPr>
    <w:rPr>
      <w:rFonts w:ascii="Times New Roman" w:hAnsi="Times New Roman"/>
      <w:sz w:val="24"/>
      <w:szCs w:val="24"/>
      <w:lang w:eastAsia="cs-CZ"/>
    </w:rPr>
  </w:style>
  <w:style w:type="paragraph" w:customStyle="1" w:styleId="xl173">
    <w:name w:val="xl173"/>
    <w:basedOn w:val="Normln"/>
    <w:locked/>
    <w:rsid w:val="00626958"/>
    <w:pPr>
      <w:pBdr>
        <w:top w:val="single" w:sz="8" w:space="0" w:color="auto"/>
        <w:bottom w:val="single" w:sz="4" w:space="0" w:color="auto"/>
      </w:pBdr>
      <w:shd w:val="clear" w:color="000000" w:fill="00FFFF"/>
      <w:spacing w:before="100" w:beforeAutospacing="1" w:after="100" w:afterAutospacing="1"/>
    </w:pPr>
    <w:rPr>
      <w:rFonts w:ascii="Times New Roman" w:hAnsi="Times New Roman"/>
      <w:b/>
      <w:bCs/>
      <w:sz w:val="24"/>
      <w:szCs w:val="24"/>
      <w:lang w:eastAsia="cs-CZ"/>
    </w:rPr>
  </w:style>
  <w:style w:type="paragraph" w:customStyle="1" w:styleId="xl174">
    <w:name w:val="xl174"/>
    <w:basedOn w:val="Normln"/>
    <w:locked/>
    <w:rsid w:val="00626958"/>
    <w:pPr>
      <w:pBdr>
        <w:top w:val="single" w:sz="8" w:space="0" w:color="auto"/>
        <w:bottom w:val="single" w:sz="4" w:space="0" w:color="auto"/>
        <w:right w:val="single" w:sz="8" w:space="0" w:color="auto"/>
      </w:pBdr>
      <w:shd w:val="clear" w:color="000000" w:fill="00FFFF"/>
      <w:spacing w:before="100" w:beforeAutospacing="1" w:after="100" w:afterAutospacing="1"/>
    </w:pPr>
    <w:rPr>
      <w:rFonts w:ascii="Times New Roman" w:hAnsi="Times New Roman"/>
      <w:b/>
      <w:bCs/>
      <w:sz w:val="24"/>
      <w:szCs w:val="24"/>
      <w:lang w:eastAsia="cs-CZ"/>
    </w:rPr>
  </w:style>
  <w:style w:type="paragraph" w:customStyle="1" w:styleId="xl175">
    <w:name w:val="xl175"/>
    <w:basedOn w:val="Normln"/>
    <w:locked/>
    <w:rsid w:val="00626958"/>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hAnsi="Times New Roman"/>
      <w:sz w:val="24"/>
      <w:szCs w:val="24"/>
      <w:lang w:eastAsia="cs-CZ"/>
    </w:rPr>
  </w:style>
  <w:style w:type="paragraph" w:customStyle="1" w:styleId="xl176">
    <w:name w:val="xl176"/>
    <w:basedOn w:val="Normln"/>
    <w:locked/>
    <w:rsid w:val="00626958"/>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hAnsi="Times New Roman"/>
      <w:sz w:val="24"/>
      <w:szCs w:val="24"/>
      <w:lang w:eastAsia="cs-CZ"/>
    </w:rPr>
  </w:style>
  <w:style w:type="paragraph" w:customStyle="1" w:styleId="xl177">
    <w:name w:val="xl177"/>
    <w:basedOn w:val="Normln"/>
    <w:locked/>
    <w:rsid w:val="00626958"/>
    <w:pPr>
      <w:pBdr>
        <w:left w:val="single" w:sz="8" w:space="0" w:color="auto"/>
        <w:bottom w:val="single" w:sz="4" w:space="0" w:color="auto"/>
      </w:pBdr>
      <w:shd w:val="clear" w:color="000000" w:fill="00FFFF"/>
      <w:spacing w:before="100" w:beforeAutospacing="1" w:after="100" w:afterAutospacing="1"/>
    </w:pPr>
    <w:rPr>
      <w:rFonts w:ascii="Times New Roman" w:hAnsi="Times New Roman"/>
      <w:sz w:val="24"/>
      <w:szCs w:val="24"/>
      <w:lang w:eastAsia="cs-CZ"/>
    </w:rPr>
  </w:style>
  <w:style w:type="paragraph" w:customStyle="1" w:styleId="xl178">
    <w:name w:val="xl178"/>
    <w:basedOn w:val="Normln"/>
    <w:locked/>
    <w:rsid w:val="00626958"/>
    <w:pPr>
      <w:pBdr>
        <w:bottom w:val="single" w:sz="4" w:space="0" w:color="auto"/>
      </w:pBdr>
      <w:shd w:val="clear" w:color="000000" w:fill="00FFFF"/>
      <w:spacing w:before="100" w:beforeAutospacing="1" w:after="100" w:afterAutospacing="1"/>
    </w:pPr>
    <w:rPr>
      <w:rFonts w:ascii="Times New Roman" w:hAnsi="Times New Roman"/>
      <w:sz w:val="24"/>
      <w:szCs w:val="24"/>
      <w:lang w:eastAsia="cs-CZ"/>
    </w:rPr>
  </w:style>
  <w:style w:type="paragraph" w:customStyle="1" w:styleId="xl179">
    <w:name w:val="xl179"/>
    <w:basedOn w:val="Normln"/>
    <w:locked/>
    <w:rsid w:val="00626958"/>
    <w:pPr>
      <w:pBdr>
        <w:bottom w:val="single" w:sz="4" w:space="0" w:color="auto"/>
      </w:pBdr>
      <w:shd w:val="clear" w:color="000000" w:fill="00FFFF"/>
      <w:spacing w:before="100" w:beforeAutospacing="1" w:after="100" w:afterAutospacing="1"/>
      <w:jc w:val="center"/>
    </w:pPr>
    <w:rPr>
      <w:rFonts w:ascii="Times New Roman" w:hAnsi="Times New Roman"/>
      <w:sz w:val="24"/>
      <w:szCs w:val="24"/>
      <w:lang w:eastAsia="cs-CZ"/>
    </w:rPr>
  </w:style>
  <w:style w:type="paragraph" w:customStyle="1" w:styleId="xl180">
    <w:name w:val="xl180"/>
    <w:basedOn w:val="Normln"/>
    <w:locked/>
    <w:rsid w:val="00626958"/>
    <w:pPr>
      <w:pBdr>
        <w:top w:val="single" w:sz="8" w:space="0" w:color="auto"/>
        <w:left w:val="single" w:sz="4" w:space="0" w:color="auto"/>
        <w:bottom w:val="double" w:sz="6" w:space="0" w:color="auto"/>
      </w:pBdr>
      <w:shd w:val="clear" w:color="000000" w:fill="00FFFF"/>
      <w:spacing w:before="100" w:beforeAutospacing="1" w:after="100" w:afterAutospacing="1"/>
      <w:textAlignment w:val="center"/>
    </w:pPr>
    <w:rPr>
      <w:rFonts w:ascii="Times New Roman" w:hAnsi="Times New Roman"/>
      <w:sz w:val="18"/>
      <w:szCs w:val="18"/>
      <w:lang w:eastAsia="cs-CZ"/>
    </w:rPr>
  </w:style>
  <w:style w:type="paragraph" w:customStyle="1" w:styleId="xl181">
    <w:name w:val="xl181"/>
    <w:basedOn w:val="Normln"/>
    <w:locked/>
    <w:rsid w:val="00626958"/>
    <w:pPr>
      <w:pBdr>
        <w:top w:val="single" w:sz="8"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hAnsi="Times New Roman"/>
      <w:sz w:val="18"/>
      <w:szCs w:val="18"/>
      <w:lang w:eastAsia="cs-CZ"/>
    </w:rPr>
  </w:style>
  <w:style w:type="paragraph" w:customStyle="1" w:styleId="xl182">
    <w:name w:val="xl182"/>
    <w:basedOn w:val="Normln"/>
    <w:locked/>
    <w:rsid w:val="00626958"/>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sz w:val="18"/>
      <w:szCs w:val="18"/>
      <w:lang w:eastAsia="cs-CZ"/>
    </w:rPr>
  </w:style>
  <w:style w:type="paragraph" w:customStyle="1" w:styleId="xl183">
    <w:name w:val="xl183"/>
    <w:basedOn w:val="Normln"/>
    <w:locked/>
    <w:rsid w:val="00626958"/>
    <w:pPr>
      <w:pBdr>
        <w:top w:val="single" w:sz="4" w:space="0" w:color="auto"/>
        <w:bottom w:val="single" w:sz="4" w:space="0" w:color="auto"/>
        <w:right w:val="single" w:sz="4" w:space="0" w:color="auto"/>
      </w:pBdr>
      <w:shd w:val="clear" w:color="000000" w:fill="00FFFF"/>
      <w:spacing w:before="100" w:beforeAutospacing="1" w:after="100" w:afterAutospacing="1"/>
      <w:textAlignment w:val="center"/>
    </w:pPr>
    <w:rPr>
      <w:rFonts w:ascii="Times New Roman" w:hAnsi="Times New Roman"/>
      <w:sz w:val="18"/>
      <w:szCs w:val="18"/>
      <w:lang w:eastAsia="cs-CZ"/>
    </w:rPr>
  </w:style>
  <w:style w:type="paragraph" w:customStyle="1" w:styleId="xl184">
    <w:name w:val="xl184"/>
    <w:basedOn w:val="Normln"/>
    <w:locked/>
    <w:rsid w:val="00626958"/>
    <w:pPr>
      <w:pBdr>
        <w:top w:val="single" w:sz="4" w:space="0" w:color="auto"/>
        <w:left w:val="single" w:sz="4" w:space="0" w:color="auto"/>
        <w:bottom w:val="double" w:sz="6" w:space="0" w:color="auto"/>
      </w:pBdr>
      <w:shd w:val="clear" w:color="000000" w:fill="FFFF00"/>
      <w:spacing w:before="100" w:beforeAutospacing="1" w:after="100" w:afterAutospacing="1"/>
      <w:textAlignment w:val="center"/>
    </w:pPr>
    <w:rPr>
      <w:rFonts w:ascii="Times New Roman" w:hAnsi="Times New Roman"/>
      <w:sz w:val="18"/>
      <w:szCs w:val="18"/>
      <w:lang w:eastAsia="cs-CZ"/>
    </w:rPr>
  </w:style>
  <w:style w:type="paragraph" w:customStyle="1" w:styleId="xl185">
    <w:name w:val="xl185"/>
    <w:basedOn w:val="Normln"/>
    <w:locked/>
    <w:rsid w:val="00626958"/>
    <w:pPr>
      <w:pBdr>
        <w:top w:val="single" w:sz="4"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hAnsi="Times New Roman"/>
      <w:sz w:val="18"/>
      <w:szCs w:val="18"/>
      <w:lang w:eastAsia="cs-CZ"/>
    </w:rPr>
  </w:style>
  <w:style w:type="paragraph" w:customStyle="1" w:styleId="xl186">
    <w:name w:val="xl186"/>
    <w:basedOn w:val="Normln"/>
    <w:locked/>
    <w:rsid w:val="00626958"/>
    <w:pPr>
      <w:pBdr>
        <w:top w:val="single" w:sz="8" w:space="0" w:color="auto"/>
        <w:bottom w:val="single" w:sz="8" w:space="0" w:color="auto"/>
      </w:pBdr>
      <w:shd w:val="clear" w:color="000000" w:fill="00FFFF"/>
      <w:spacing w:before="100" w:beforeAutospacing="1" w:after="100" w:afterAutospacing="1"/>
    </w:pPr>
    <w:rPr>
      <w:rFonts w:ascii="Times New Roman" w:hAnsi="Times New Roman"/>
      <w:b/>
      <w:bCs/>
      <w:sz w:val="24"/>
      <w:szCs w:val="24"/>
      <w:lang w:eastAsia="cs-CZ"/>
    </w:rPr>
  </w:style>
  <w:style w:type="paragraph" w:customStyle="1" w:styleId="xl187">
    <w:name w:val="xl187"/>
    <w:basedOn w:val="Normln"/>
    <w:locked/>
    <w:rsid w:val="00626958"/>
    <w:pPr>
      <w:pBdr>
        <w:top w:val="single" w:sz="8" w:space="0" w:color="auto"/>
        <w:bottom w:val="single" w:sz="8" w:space="0" w:color="auto"/>
        <w:right w:val="single" w:sz="8" w:space="0" w:color="auto"/>
      </w:pBdr>
      <w:shd w:val="clear" w:color="000000" w:fill="00FFFF"/>
      <w:spacing w:before="100" w:beforeAutospacing="1" w:after="100" w:afterAutospacing="1"/>
    </w:pPr>
    <w:rPr>
      <w:rFonts w:ascii="Times New Roman" w:hAnsi="Times New Roman"/>
      <w:b/>
      <w:bCs/>
      <w:sz w:val="24"/>
      <w:szCs w:val="24"/>
      <w:lang w:eastAsia="cs-CZ"/>
    </w:rPr>
  </w:style>
  <w:style w:type="paragraph" w:customStyle="1" w:styleId="xl188">
    <w:name w:val="xl188"/>
    <w:basedOn w:val="Normln"/>
    <w:locked/>
    <w:rsid w:val="00626958"/>
    <w:pPr>
      <w:pBdr>
        <w:top w:val="single" w:sz="4" w:space="0" w:color="auto"/>
        <w:bottom w:val="single" w:sz="4" w:space="0" w:color="auto"/>
      </w:pBdr>
      <w:shd w:val="clear" w:color="000000" w:fill="FFFFCC"/>
      <w:spacing w:before="100" w:beforeAutospacing="1" w:after="100" w:afterAutospacing="1"/>
    </w:pPr>
    <w:rPr>
      <w:rFonts w:ascii="Times New Roman" w:hAnsi="Times New Roman"/>
      <w:sz w:val="24"/>
      <w:szCs w:val="24"/>
      <w:lang w:eastAsia="cs-CZ"/>
    </w:rPr>
  </w:style>
  <w:style w:type="paragraph" w:customStyle="1" w:styleId="xl189">
    <w:name w:val="xl189"/>
    <w:basedOn w:val="Normln"/>
    <w:locked/>
    <w:rsid w:val="00626958"/>
    <w:pPr>
      <w:pBdr>
        <w:bottom w:val="single" w:sz="4" w:space="0" w:color="auto"/>
        <w:right w:val="single" w:sz="8" w:space="0" w:color="auto"/>
      </w:pBdr>
      <w:shd w:val="clear" w:color="000000" w:fill="FFFFCC"/>
      <w:spacing w:before="100" w:beforeAutospacing="1" w:after="100" w:afterAutospacing="1"/>
    </w:pPr>
    <w:rPr>
      <w:rFonts w:ascii="Times New Roman" w:hAnsi="Times New Roman"/>
      <w:sz w:val="24"/>
      <w:szCs w:val="24"/>
      <w:lang w:eastAsia="cs-CZ"/>
    </w:rPr>
  </w:style>
  <w:style w:type="paragraph" w:customStyle="1" w:styleId="xl190">
    <w:name w:val="xl190"/>
    <w:basedOn w:val="Normln"/>
    <w:locked/>
    <w:rsid w:val="00626958"/>
    <w:pPr>
      <w:pBdr>
        <w:left w:val="single" w:sz="8" w:space="0" w:color="auto"/>
        <w:right w:val="single" w:sz="4" w:space="0" w:color="auto"/>
      </w:pBdr>
      <w:shd w:val="clear" w:color="000000" w:fill="00FFFF"/>
      <w:spacing w:before="100" w:beforeAutospacing="1" w:after="100" w:afterAutospacing="1"/>
      <w:jc w:val="center"/>
    </w:pPr>
    <w:rPr>
      <w:rFonts w:ascii="Times New Roman" w:hAnsi="Times New Roman"/>
      <w:i/>
      <w:iCs/>
      <w:sz w:val="18"/>
      <w:szCs w:val="18"/>
      <w:lang w:eastAsia="cs-CZ"/>
    </w:rPr>
  </w:style>
  <w:style w:type="paragraph" w:customStyle="1" w:styleId="xl191">
    <w:name w:val="xl191"/>
    <w:basedOn w:val="Normln"/>
    <w:locked/>
    <w:rsid w:val="00626958"/>
    <w:pPr>
      <w:pBdr>
        <w:left w:val="single" w:sz="8" w:space="0" w:color="auto"/>
        <w:bottom w:val="single" w:sz="8" w:space="0" w:color="auto"/>
        <w:right w:val="single" w:sz="4" w:space="0" w:color="auto"/>
      </w:pBdr>
      <w:shd w:val="clear" w:color="000000" w:fill="00FFFF"/>
      <w:spacing w:before="100" w:beforeAutospacing="1" w:after="100" w:afterAutospacing="1"/>
    </w:pPr>
    <w:rPr>
      <w:rFonts w:ascii="Times New Roman" w:hAnsi="Times New Roman"/>
      <w:i/>
      <w:iCs/>
      <w:sz w:val="18"/>
      <w:szCs w:val="18"/>
      <w:lang w:eastAsia="cs-CZ"/>
    </w:rPr>
  </w:style>
  <w:style w:type="paragraph" w:customStyle="1" w:styleId="xl192">
    <w:name w:val="xl192"/>
    <w:basedOn w:val="Normln"/>
    <w:locked/>
    <w:rsid w:val="00626958"/>
    <w:pPr>
      <w:pBdr>
        <w:top w:val="single" w:sz="8" w:space="0" w:color="auto"/>
        <w:left w:val="single" w:sz="8" w:space="0" w:color="auto"/>
        <w:bottom w:val="single" w:sz="8" w:space="0" w:color="auto"/>
      </w:pBdr>
      <w:shd w:val="clear" w:color="000000" w:fill="00FFFF"/>
      <w:spacing w:before="100" w:beforeAutospacing="1" w:after="100" w:afterAutospacing="1"/>
      <w:jc w:val="center"/>
      <w:textAlignment w:val="top"/>
    </w:pPr>
    <w:rPr>
      <w:rFonts w:ascii="Times New Roman" w:hAnsi="Times New Roman"/>
      <w:sz w:val="18"/>
      <w:szCs w:val="18"/>
      <w:lang w:eastAsia="cs-CZ"/>
    </w:rPr>
  </w:style>
  <w:style w:type="paragraph" w:customStyle="1" w:styleId="xl193">
    <w:name w:val="xl193"/>
    <w:basedOn w:val="Normln"/>
    <w:locked/>
    <w:rsid w:val="00626958"/>
    <w:pPr>
      <w:pBdr>
        <w:top w:val="single" w:sz="8" w:space="0" w:color="auto"/>
        <w:bottom w:val="single" w:sz="8" w:space="0" w:color="auto"/>
      </w:pBdr>
      <w:shd w:val="clear" w:color="000000" w:fill="00FFFF"/>
      <w:spacing w:before="100" w:beforeAutospacing="1" w:after="100" w:afterAutospacing="1"/>
      <w:textAlignment w:val="top"/>
    </w:pPr>
    <w:rPr>
      <w:rFonts w:ascii="Times New Roman" w:hAnsi="Times New Roman"/>
      <w:sz w:val="18"/>
      <w:szCs w:val="18"/>
      <w:lang w:eastAsia="cs-CZ"/>
    </w:rPr>
  </w:style>
  <w:style w:type="paragraph" w:customStyle="1" w:styleId="xl194">
    <w:name w:val="xl194"/>
    <w:basedOn w:val="Normln"/>
    <w:locked/>
    <w:rsid w:val="00626958"/>
    <w:pPr>
      <w:pBdr>
        <w:top w:val="single" w:sz="8" w:space="0" w:color="auto"/>
        <w:bottom w:val="single" w:sz="8" w:space="0" w:color="auto"/>
      </w:pBdr>
      <w:shd w:val="clear" w:color="000000" w:fill="00FFFF"/>
      <w:spacing w:before="100" w:beforeAutospacing="1" w:after="100" w:afterAutospacing="1"/>
      <w:jc w:val="center"/>
      <w:textAlignment w:val="top"/>
    </w:pPr>
    <w:rPr>
      <w:rFonts w:ascii="Times New Roman" w:hAnsi="Times New Roman"/>
      <w:sz w:val="18"/>
      <w:szCs w:val="18"/>
      <w:lang w:eastAsia="cs-CZ"/>
    </w:rPr>
  </w:style>
  <w:style w:type="paragraph" w:customStyle="1" w:styleId="xl195">
    <w:name w:val="xl195"/>
    <w:basedOn w:val="Normln"/>
    <w:locked/>
    <w:rsid w:val="00626958"/>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hAnsi="Times New Roman"/>
      <w:sz w:val="18"/>
      <w:szCs w:val="18"/>
      <w:lang w:eastAsia="cs-CZ"/>
    </w:rPr>
  </w:style>
  <w:style w:type="paragraph" w:customStyle="1" w:styleId="xl196">
    <w:name w:val="xl196"/>
    <w:basedOn w:val="Normln"/>
    <w:locked/>
    <w:rsid w:val="00626958"/>
    <w:pPr>
      <w:pBdr>
        <w:top w:val="single" w:sz="8" w:space="0" w:color="auto"/>
        <w:left w:val="single" w:sz="8" w:space="0" w:color="auto"/>
        <w:bottom w:val="single" w:sz="4" w:space="0" w:color="auto"/>
      </w:pBdr>
      <w:shd w:val="clear" w:color="000000" w:fill="00FFFF"/>
      <w:spacing w:before="100" w:beforeAutospacing="1" w:after="100" w:afterAutospacing="1"/>
      <w:jc w:val="center"/>
      <w:textAlignment w:val="top"/>
    </w:pPr>
    <w:rPr>
      <w:rFonts w:ascii="Times New Roman" w:hAnsi="Times New Roman"/>
      <w:b/>
      <w:bCs/>
      <w:sz w:val="18"/>
      <w:szCs w:val="18"/>
      <w:lang w:eastAsia="cs-CZ"/>
    </w:rPr>
  </w:style>
  <w:style w:type="paragraph" w:customStyle="1" w:styleId="xl197">
    <w:name w:val="xl197"/>
    <w:basedOn w:val="Normln"/>
    <w:locked/>
    <w:rsid w:val="00626958"/>
    <w:pPr>
      <w:pBdr>
        <w:top w:val="single" w:sz="8" w:space="0" w:color="auto"/>
        <w:bottom w:val="single" w:sz="4" w:space="0" w:color="auto"/>
      </w:pBdr>
      <w:shd w:val="clear" w:color="000000" w:fill="00FFFF"/>
      <w:spacing w:before="100" w:beforeAutospacing="1" w:after="100" w:afterAutospacing="1"/>
      <w:textAlignment w:val="top"/>
    </w:pPr>
    <w:rPr>
      <w:rFonts w:ascii="Times New Roman" w:hAnsi="Times New Roman"/>
      <w:b/>
      <w:bCs/>
      <w:sz w:val="18"/>
      <w:szCs w:val="18"/>
      <w:lang w:eastAsia="cs-CZ"/>
    </w:rPr>
  </w:style>
  <w:style w:type="paragraph" w:customStyle="1" w:styleId="xl198">
    <w:name w:val="xl198"/>
    <w:basedOn w:val="Normln"/>
    <w:locked/>
    <w:rsid w:val="00626958"/>
    <w:pPr>
      <w:pBdr>
        <w:top w:val="single" w:sz="8" w:space="0" w:color="auto"/>
        <w:bottom w:val="single" w:sz="4" w:space="0" w:color="auto"/>
      </w:pBdr>
      <w:shd w:val="clear" w:color="000000" w:fill="00FFFF"/>
      <w:spacing w:before="100" w:beforeAutospacing="1" w:after="100" w:afterAutospacing="1"/>
      <w:textAlignment w:val="top"/>
    </w:pPr>
    <w:rPr>
      <w:rFonts w:ascii="Times New Roman" w:hAnsi="Times New Roman"/>
      <w:sz w:val="18"/>
      <w:szCs w:val="18"/>
      <w:lang w:eastAsia="cs-CZ"/>
    </w:rPr>
  </w:style>
  <w:style w:type="paragraph" w:customStyle="1" w:styleId="xl199">
    <w:name w:val="xl199"/>
    <w:basedOn w:val="Normln"/>
    <w:locked/>
    <w:rsid w:val="00626958"/>
    <w:pPr>
      <w:pBdr>
        <w:top w:val="single" w:sz="8" w:space="0" w:color="auto"/>
        <w:bottom w:val="single" w:sz="4" w:space="0" w:color="auto"/>
      </w:pBdr>
      <w:shd w:val="clear" w:color="000000" w:fill="00FFFF"/>
      <w:spacing w:before="100" w:beforeAutospacing="1" w:after="100" w:afterAutospacing="1"/>
      <w:textAlignment w:val="center"/>
    </w:pPr>
    <w:rPr>
      <w:rFonts w:ascii="Times New Roman" w:hAnsi="Times New Roman"/>
      <w:sz w:val="18"/>
      <w:szCs w:val="18"/>
      <w:lang w:eastAsia="cs-CZ"/>
    </w:rPr>
  </w:style>
  <w:style w:type="paragraph" w:customStyle="1" w:styleId="xl200">
    <w:name w:val="xl200"/>
    <w:basedOn w:val="Normln"/>
    <w:locked/>
    <w:rsid w:val="00626958"/>
    <w:pPr>
      <w:pBdr>
        <w:top w:val="single" w:sz="8" w:space="0" w:color="auto"/>
        <w:bottom w:val="single" w:sz="4" w:space="0" w:color="auto"/>
      </w:pBdr>
      <w:shd w:val="clear" w:color="000000" w:fill="00FFFF"/>
      <w:spacing w:before="100" w:beforeAutospacing="1" w:after="100" w:afterAutospacing="1"/>
      <w:jc w:val="center"/>
      <w:textAlignment w:val="center"/>
    </w:pPr>
    <w:rPr>
      <w:rFonts w:ascii="Times New Roman" w:hAnsi="Times New Roman"/>
      <w:sz w:val="18"/>
      <w:szCs w:val="18"/>
      <w:lang w:eastAsia="cs-CZ"/>
    </w:rPr>
  </w:style>
  <w:style w:type="paragraph" w:customStyle="1" w:styleId="xl201">
    <w:name w:val="xl201"/>
    <w:basedOn w:val="Normln"/>
    <w:locked/>
    <w:rsid w:val="00626958"/>
    <w:pPr>
      <w:pBdr>
        <w:top w:val="single" w:sz="8" w:space="0" w:color="auto"/>
        <w:bottom w:val="single" w:sz="4" w:space="0" w:color="auto"/>
        <w:right w:val="single" w:sz="8" w:space="0" w:color="auto"/>
      </w:pBdr>
      <w:shd w:val="clear" w:color="000000" w:fill="00FFFF"/>
      <w:spacing w:before="100" w:beforeAutospacing="1" w:after="100" w:afterAutospacing="1"/>
      <w:jc w:val="center"/>
      <w:textAlignment w:val="center"/>
    </w:pPr>
    <w:rPr>
      <w:rFonts w:ascii="Times New Roman" w:hAnsi="Times New Roman"/>
      <w:sz w:val="18"/>
      <w:szCs w:val="18"/>
      <w:lang w:eastAsia="cs-CZ"/>
    </w:rPr>
  </w:style>
  <w:style w:type="paragraph" w:customStyle="1" w:styleId="xl202">
    <w:name w:val="xl202"/>
    <w:basedOn w:val="Normln"/>
    <w:locked/>
    <w:rsid w:val="00626958"/>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hAnsi="Times New Roman"/>
      <w:sz w:val="18"/>
      <w:szCs w:val="18"/>
      <w:lang w:eastAsia="cs-CZ"/>
    </w:rPr>
  </w:style>
  <w:style w:type="paragraph" w:customStyle="1" w:styleId="xl203">
    <w:name w:val="xl203"/>
    <w:basedOn w:val="Normln"/>
    <w:locked/>
    <w:rsid w:val="00626958"/>
    <w:pPr>
      <w:pBdr>
        <w:top w:val="single" w:sz="8" w:space="0" w:color="auto"/>
        <w:bottom w:val="single" w:sz="8" w:space="0" w:color="auto"/>
      </w:pBdr>
      <w:shd w:val="clear" w:color="000000" w:fill="00FFFF"/>
      <w:spacing w:before="100" w:beforeAutospacing="1" w:after="100" w:afterAutospacing="1"/>
      <w:jc w:val="right"/>
      <w:textAlignment w:val="center"/>
    </w:pPr>
    <w:rPr>
      <w:rFonts w:ascii="Times New Roman" w:hAnsi="Times New Roman"/>
      <w:sz w:val="18"/>
      <w:szCs w:val="18"/>
      <w:lang w:eastAsia="cs-CZ"/>
    </w:rPr>
  </w:style>
  <w:style w:type="paragraph" w:customStyle="1" w:styleId="xl204">
    <w:name w:val="xl204"/>
    <w:basedOn w:val="Normln"/>
    <w:locked/>
    <w:rsid w:val="00626958"/>
    <w:pPr>
      <w:pBdr>
        <w:top w:val="single" w:sz="8" w:space="0" w:color="auto"/>
        <w:left w:val="single" w:sz="8" w:space="0" w:color="auto"/>
        <w:bottom w:val="double" w:sz="6" w:space="0" w:color="auto"/>
      </w:pBdr>
      <w:shd w:val="clear" w:color="000000" w:fill="00FFFF"/>
      <w:spacing w:before="100" w:beforeAutospacing="1" w:after="100" w:afterAutospacing="1"/>
      <w:jc w:val="center"/>
      <w:textAlignment w:val="center"/>
    </w:pPr>
    <w:rPr>
      <w:rFonts w:ascii="Times New Roman" w:hAnsi="Times New Roman"/>
      <w:sz w:val="18"/>
      <w:szCs w:val="18"/>
      <w:lang w:eastAsia="cs-CZ"/>
    </w:rPr>
  </w:style>
  <w:style w:type="paragraph" w:customStyle="1" w:styleId="xl205">
    <w:name w:val="xl205"/>
    <w:basedOn w:val="Normln"/>
    <w:locked/>
    <w:rsid w:val="00626958"/>
    <w:pPr>
      <w:pBdr>
        <w:top w:val="single" w:sz="8" w:space="0" w:color="auto"/>
        <w:bottom w:val="double" w:sz="6" w:space="0" w:color="auto"/>
      </w:pBdr>
      <w:shd w:val="clear" w:color="000000" w:fill="00FFFF"/>
      <w:spacing w:before="100" w:beforeAutospacing="1" w:after="100" w:afterAutospacing="1"/>
      <w:textAlignment w:val="center"/>
    </w:pPr>
    <w:rPr>
      <w:rFonts w:ascii="Times New Roman" w:hAnsi="Times New Roman"/>
      <w:b/>
      <w:bCs/>
      <w:sz w:val="18"/>
      <w:szCs w:val="18"/>
      <w:lang w:eastAsia="cs-CZ"/>
    </w:rPr>
  </w:style>
  <w:style w:type="paragraph" w:customStyle="1" w:styleId="xl206">
    <w:name w:val="xl206"/>
    <w:basedOn w:val="Normln"/>
    <w:locked/>
    <w:rsid w:val="00626958"/>
    <w:pPr>
      <w:pBdr>
        <w:top w:val="single" w:sz="8" w:space="0" w:color="auto"/>
        <w:left w:val="single" w:sz="4" w:space="0" w:color="auto"/>
        <w:bottom w:val="double" w:sz="6" w:space="0" w:color="auto"/>
        <w:right w:val="single" w:sz="4" w:space="0" w:color="auto"/>
      </w:pBdr>
      <w:shd w:val="clear" w:color="000000" w:fill="00FFFF"/>
      <w:spacing w:before="100" w:beforeAutospacing="1" w:after="100" w:afterAutospacing="1"/>
      <w:jc w:val="center"/>
      <w:textAlignment w:val="center"/>
    </w:pPr>
    <w:rPr>
      <w:rFonts w:ascii="Times New Roman" w:hAnsi="Times New Roman"/>
      <w:sz w:val="18"/>
      <w:szCs w:val="18"/>
      <w:lang w:eastAsia="cs-CZ"/>
    </w:rPr>
  </w:style>
  <w:style w:type="paragraph" w:customStyle="1" w:styleId="xl207">
    <w:name w:val="xl207"/>
    <w:basedOn w:val="Normln"/>
    <w:locked/>
    <w:rsid w:val="00626958"/>
    <w:pPr>
      <w:pBdr>
        <w:top w:val="single" w:sz="8" w:space="0" w:color="auto"/>
        <w:left w:val="single" w:sz="4" w:space="0" w:color="auto"/>
        <w:bottom w:val="double" w:sz="6" w:space="0" w:color="auto"/>
        <w:right w:val="single" w:sz="8" w:space="0" w:color="auto"/>
      </w:pBdr>
      <w:shd w:val="clear" w:color="000000" w:fill="00FFFF"/>
      <w:spacing w:before="100" w:beforeAutospacing="1" w:after="100" w:afterAutospacing="1"/>
      <w:jc w:val="center"/>
      <w:textAlignment w:val="center"/>
    </w:pPr>
    <w:rPr>
      <w:rFonts w:ascii="Times New Roman" w:hAnsi="Times New Roman"/>
      <w:sz w:val="18"/>
      <w:szCs w:val="18"/>
      <w:lang w:eastAsia="cs-CZ"/>
    </w:rPr>
  </w:style>
  <w:style w:type="paragraph" w:customStyle="1" w:styleId="xl208">
    <w:name w:val="xl208"/>
    <w:basedOn w:val="Normln"/>
    <w:locked/>
    <w:rsid w:val="00626958"/>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hAnsi="Times New Roman"/>
      <w:sz w:val="18"/>
      <w:szCs w:val="18"/>
      <w:lang w:eastAsia="cs-CZ"/>
    </w:rPr>
  </w:style>
  <w:style w:type="paragraph" w:customStyle="1" w:styleId="xl209">
    <w:name w:val="xl209"/>
    <w:basedOn w:val="Normln"/>
    <w:locked/>
    <w:rsid w:val="00626958"/>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hAnsi="Times New Roman"/>
      <w:b/>
      <w:bCs/>
      <w:sz w:val="18"/>
      <w:szCs w:val="18"/>
      <w:lang w:eastAsia="cs-CZ"/>
    </w:rPr>
  </w:style>
  <w:style w:type="paragraph" w:customStyle="1" w:styleId="xl210">
    <w:name w:val="xl210"/>
    <w:basedOn w:val="Normln"/>
    <w:locked/>
    <w:rsid w:val="0062695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hAnsi="Times New Roman"/>
      <w:sz w:val="18"/>
      <w:szCs w:val="18"/>
      <w:lang w:eastAsia="cs-CZ"/>
    </w:rPr>
  </w:style>
  <w:style w:type="paragraph" w:customStyle="1" w:styleId="xl211">
    <w:name w:val="xl211"/>
    <w:basedOn w:val="Normln"/>
    <w:locked/>
    <w:rsid w:val="0062695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18"/>
      <w:szCs w:val="18"/>
      <w:lang w:eastAsia="cs-CZ"/>
    </w:rPr>
  </w:style>
  <w:style w:type="paragraph" w:customStyle="1" w:styleId="xl212">
    <w:name w:val="xl212"/>
    <w:basedOn w:val="Normln"/>
    <w:locked/>
    <w:rsid w:val="00626958"/>
    <w:pPr>
      <w:pBdr>
        <w:top w:val="single" w:sz="4" w:space="0" w:color="auto"/>
        <w:bottom w:val="single" w:sz="4" w:space="0" w:color="auto"/>
      </w:pBdr>
      <w:shd w:val="clear" w:color="000000" w:fill="00FFFF"/>
      <w:spacing w:before="100" w:beforeAutospacing="1" w:after="100" w:afterAutospacing="1"/>
    </w:pPr>
    <w:rPr>
      <w:rFonts w:ascii="Times New Roman" w:hAnsi="Times New Roman"/>
      <w:sz w:val="24"/>
      <w:szCs w:val="24"/>
      <w:lang w:eastAsia="cs-CZ"/>
    </w:rPr>
  </w:style>
  <w:style w:type="paragraph" w:customStyle="1" w:styleId="xl213">
    <w:name w:val="xl213"/>
    <w:basedOn w:val="Normln"/>
    <w:locked/>
    <w:rsid w:val="00626958"/>
    <w:pPr>
      <w:pBdr>
        <w:top w:val="single" w:sz="4" w:space="0" w:color="auto"/>
        <w:bottom w:val="single" w:sz="4" w:space="0" w:color="auto"/>
        <w:right w:val="single" w:sz="8" w:space="0" w:color="auto"/>
      </w:pBdr>
      <w:shd w:val="clear" w:color="000000" w:fill="00FFFF"/>
      <w:spacing w:before="100" w:beforeAutospacing="1" w:after="100" w:afterAutospacing="1"/>
    </w:pPr>
    <w:rPr>
      <w:rFonts w:ascii="Times New Roman" w:hAnsi="Times New Roman"/>
      <w:sz w:val="24"/>
      <w:szCs w:val="24"/>
      <w:lang w:eastAsia="cs-CZ"/>
    </w:rPr>
  </w:style>
  <w:style w:type="paragraph" w:customStyle="1" w:styleId="xl214">
    <w:name w:val="xl214"/>
    <w:basedOn w:val="Normln"/>
    <w:locked/>
    <w:rsid w:val="00626958"/>
    <w:pPr>
      <w:pBdr>
        <w:top w:val="single" w:sz="8" w:space="0" w:color="auto"/>
        <w:left w:val="single" w:sz="8" w:space="0" w:color="auto"/>
        <w:bottom w:val="single" w:sz="8" w:space="0" w:color="auto"/>
      </w:pBdr>
      <w:shd w:val="clear" w:color="000000" w:fill="00FFFF"/>
      <w:spacing w:before="100" w:beforeAutospacing="1" w:after="100" w:afterAutospacing="1"/>
    </w:pPr>
    <w:rPr>
      <w:rFonts w:ascii="Times New Roman" w:hAnsi="Times New Roman"/>
      <w:b/>
      <w:bCs/>
      <w:sz w:val="24"/>
      <w:szCs w:val="24"/>
      <w:lang w:eastAsia="cs-CZ"/>
    </w:rPr>
  </w:style>
  <w:style w:type="paragraph" w:customStyle="1" w:styleId="xl215">
    <w:name w:val="xl215"/>
    <w:basedOn w:val="Normln"/>
    <w:locked/>
    <w:rsid w:val="00626958"/>
    <w:pPr>
      <w:pBdr>
        <w:top w:val="single" w:sz="4" w:space="0" w:color="auto"/>
        <w:bottom w:val="single" w:sz="4" w:space="0" w:color="auto"/>
      </w:pBdr>
      <w:shd w:val="clear" w:color="000000" w:fill="99CCFF"/>
      <w:spacing w:before="100" w:beforeAutospacing="1" w:after="100" w:afterAutospacing="1"/>
      <w:jc w:val="right"/>
    </w:pPr>
    <w:rPr>
      <w:rFonts w:ascii="Times New Roman" w:hAnsi="Times New Roman"/>
      <w:sz w:val="24"/>
      <w:szCs w:val="24"/>
      <w:lang w:eastAsia="cs-CZ"/>
    </w:rPr>
  </w:style>
  <w:style w:type="paragraph" w:customStyle="1" w:styleId="xl216">
    <w:name w:val="xl216"/>
    <w:basedOn w:val="Normln"/>
    <w:locked/>
    <w:rsid w:val="00626958"/>
    <w:pPr>
      <w:pBdr>
        <w:top w:val="single" w:sz="4" w:space="0" w:color="auto"/>
        <w:bottom w:val="single" w:sz="4" w:space="0" w:color="auto"/>
      </w:pBdr>
      <w:shd w:val="clear" w:color="000000" w:fill="99CCFF"/>
      <w:spacing w:before="100" w:beforeAutospacing="1" w:after="100" w:afterAutospacing="1"/>
      <w:jc w:val="center"/>
    </w:pPr>
    <w:rPr>
      <w:rFonts w:ascii="Times New Roman" w:hAnsi="Times New Roman"/>
      <w:sz w:val="24"/>
      <w:szCs w:val="24"/>
      <w:lang w:eastAsia="cs-CZ"/>
    </w:rPr>
  </w:style>
  <w:style w:type="paragraph" w:customStyle="1" w:styleId="HBText">
    <w:name w:val="HB Text"/>
    <w:uiPriority w:val="99"/>
    <w:locked/>
    <w:rsid w:val="00626958"/>
    <w:pPr>
      <w:widowControl w:val="0"/>
      <w:autoSpaceDE w:val="0"/>
      <w:autoSpaceDN w:val="0"/>
      <w:adjustRightInd w:val="0"/>
      <w:spacing w:before="30" w:after="30" w:line="240" w:lineRule="auto"/>
    </w:pPr>
    <w:rPr>
      <w:rFonts w:ascii="Arial" w:eastAsia="Times New Roman" w:hAnsi="Arial" w:cs="Arial"/>
      <w:color w:val="000000"/>
      <w:sz w:val="18"/>
      <w:szCs w:val="18"/>
      <w:lang w:eastAsia="cs-CZ"/>
    </w:rPr>
  </w:style>
  <w:style w:type="character" w:customStyle="1" w:styleId="RozvrendokumentuChar">
    <w:name w:val="Rozvržení dokumentu Char"/>
    <w:locked/>
    <w:rsid w:val="00626958"/>
    <w:rPr>
      <w:rFonts w:ascii="Tahoma" w:hAnsi="Tahoma"/>
      <w:shd w:val="clear" w:color="auto" w:fill="000080"/>
      <w:lang w:val="cs-CZ" w:eastAsia="cs-CZ"/>
    </w:rPr>
  </w:style>
  <w:style w:type="paragraph" w:customStyle="1" w:styleId="odrky0">
    <w:name w:val="odrážky"/>
    <w:basedOn w:val="Normln"/>
    <w:locked/>
    <w:rsid w:val="00626958"/>
    <w:pPr>
      <w:numPr>
        <w:numId w:val="39"/>
      </w:numPr>
      <w:spacing w:line="360" w:lineRule="auto"/>
    </w:pPr>
    <w:rPr>
      <w:rFonts w:ascii="Times New Roman" w:hAnsi="Times New Roman"/>
      <w:sz w:val="24"/>
      <w:szCs w:val="24"/>
      <w:lang w:eastAsia="cs-CZ"/>
    </w:rPr>
  </w:style>
  <w:style w:type="paragraph" w:customStyle="1" w:styleId="StylZkladntextTun">
    <w:name w:val="Styl Základní text + Tučné"/>
    <w:basedOn w:val="Zkladntext"/>
    <w:link w:val="StylZkladntextTunChar"/>
    <w:autoRedefine/>
    <w:locked/>
    <w:rsid w:val="00626958"/>
  </w:style>
  <w:style w:type="character" w:customStyle="1" w:styleId="StylZkladntextTunChar">
    <w:name w:val="Styl Základní text + Tučné Char"/>
    <w:link w:val="StylZkladntextTun"/>
    <w:locked/>
    <w:rsid w:val="00626958"/>
    <w:rPr>
      <w:rFonts w:ascii="Arial" w:eastAsia="Arial Unicode MS" w:hAnsi="Arial" w:cs="Arial"/>
      <w:sz w:val="24"/>
      <w:szCs w:val="24"/>
      <w:lang w:eastAsia="cs-CZ"/>
    </w:rPr>
  </w:style>
  <w:style w:type="character" w:customStyle="1" w:styleId="locality">
    <w:name w:val="locality"/>
    <w:locked/>
    <w:rsid w:val="00626958"/>
  </w:style>
  <w:style w:type="paragraph" w:styleId="Seznamsodrkami3">
    <w:name w:val="List Bullet 3"/>
    <w:basedOn w:val="Normln"/>
    <w:uiPriority w:val="99"/>
    <w:unhideWhenUsed/>
    <w:rsid w:val="00626958"/>
    <w:pPr>
      <w:numPr>
        <w:numId w:val="40"/>
      </w:numPr>
      <w:overflowPunct w:val="0"/>
      <w:autoSpaceDE w:val="0"/>
      <w:autoSpaceDN w:val="0"/>
      <w:adjustRightInd w:val="0"/>
      <w:contextualSpacing/>
      <w:textAlignment w:val="baseline"/>
    </w:pPr>
    <w:rPr>
      <w:rFonts w:ascii="Times New Roman" w:hAnsi="Times New Roman"/>
      <w:szCs w:val="20"/>
      <w:lang w:eastAsia="cs-CZ"/>
    </w:rPr>
  </w:style>
  <w:style w:type="paragraph" w:customStyle="1" w:styleId="Styl">
    <w:name w:val="Styl"/>
    <w:basedOn w:val="Normln"/>
    <w:uiPriority w:val="99"/>
    <w:locked/>
    <w:rsid w:val="00626958"/>
    <w:pPr>
      <w:spacing w:line="240" w:lineRule="exact"/>
    </w:pPr>
    <w:rPr>
      <w:rFonts w:ascii="Times New Roman Bold" w:hAnsi="Times New Roman Bold"/>
      <w:b/>
      <w:sz w:val="26"/>
      <w:szCs w:val="26"/>
      <w:lang w:val="sk-SK"/>
    </w:rPr>
  </w:style>
  <w:style w:type="paragraph" w:customStyle="1" w:styleId="row">
    <w:name w:val="row"/>
    <w:basedOn w:val="Normln"/>
    <w:locked/>
    <w:rsid w:val="00626958"/>
    <w:pPr>
      <w:spacing w:before="100" w:beforeAutospacing="1" w:after="100" w:afterAutospacing="1"/>
    </w:pPr>
    <w:rPr>
      <w:rFonts w:ascii="Times New Roman" w:hAnsi="Times New Roman"/>
      <w:sz w:val="24"/>
      <w:szCs w:val="24"/>
      <w:lang w:eastAsia="cs-CZ"/>
    </w:rPr>
  </w:style>
  <w:style w:type="paragraph" w:customStyle="1" w:styleId="description">
    <w:name w:val="description"/>
    <w:basedOn w:val="Normln"/>
    <w:locked/>
    <w:rsid w:val="00626958"/>
    <w:pPr>
      <w:spacing w:before="100" w:beforeAutospacing="1" w:after="100" w:afterAutospacing="1"/>
    </w:pPr>
    <w:rPr>
      <w:rFonts w:ascii="Times New Roman" w:hAnsi="Times New Roman"/>
      <w:sz w:val="24"/>
      <w:szCs w:val="24"/>
      <w:lang w:eastAsia="cs-CZ"/>
    </w:rPr>
  </w:style>
  <w:style w:type="paragraph" w:customStyle="1" w:styleId="BodyText32">
    <w:name w:val="Body Text 32"/>
    <w:basedOn w:val="Normln"/>
    <w:locked/>
    <w:rsid w:val="00626958"/>
    <w:pPr>
      <w:overflowPunct w:val="0"/>
      <w:autoSpaceDE w:val="0"/>
      <w:autoSpaceDN w:val="0"/>
      <w:adjustRightInd w:val="0"/>
      <w:spacing w:after="120"/>
      <w:textAlignment w:val="baseline"/>
    </w:pPr>
    <w:rPr>
      <w:rFonts w:ascii="Times New Roman" w:hAnsi="Times New Roman"/>
      <w:szCs w:val="20"/>
      <w:lang w:eastAsia="cs-CZ"/>
    </w:rPr>
  </w:style>
  <w:style w:type="paragraph" w:styleId="Rozloendokumentu">
    <w:name w:val="Document Map"/>
    <w:basedOn w:val="Normln"/>
    <w:link w:val="RozloendokumentuChar"/>
    <w:uiPriority w:val="99"/>
    <w:rsid w:val="00626958"/>
    <w:rPr>
      <w:sz w:val="16"/>
      <w:szCs w:val="16"/>
    </w:rPr>
  </w:style>
  <w:style w:type="character" w:customStyle="1" w:styleId="RozloendokumentuChar">
    <w:name w:val="Rozložení dokumentu Char"/>
    <w:basedOn w:val="Standardnpsmoodstavce"/>
    <w:link w:val="Rozloendokumentu"/>
    <w:uiPriority w:val="99"/>
    <w:rsid w:val="00626958"/>
    <w:rPr>
      <w:rFonts w:ascii="Segoe UI" w:eastAsia="Times New Roman" w:hAnsi="Segoe UI" w:cs="Times New Roman"/>
      <w:sz w:val="16"/>
      <w:szCs w:val="16"/>
    </w:rPr>
  </w:style>
  <w:style w:type="paragraph" w:customStyle="1" w:styleId="Textodstavce">
    <w:name w:val="Text odstavce"/>
    <w:basedOn w:val="Normln"/>
    <w:uiPriority w:val="99"/>
    <w:locked/>
    <w:rsid w:val="00626958"/>
    <w:pPr>
      <w:numPr>
        <w:numId w:val="42"/>
      </w:numPr>
      <w:tabs>
        <w:tab w:val="left" w:pos="851"/>
      </w:tabs>
      <w:spacing w:after="120"/>
      <w:outlineLvl w:val="6"/>
    </w:pPr>
    <w:rPr>
      <w:rFonts w:ascii="Times New Roman" w:hAnsi="Times New Roman"/>
      <w:sz w:val="24"/>
      <w:szCs w:val="20"/>
      <w:lang w:eastAsia="cs-CZ"/>
    </w:rPr>
  </w:style>
  <w:style w:type="paragraph" w:customStyle="1" w:styleId="Textbodu">
    <w:name w:val="Text bodu"/>
    <w:basedOn w:val="Normln"/>
    <w:uiPriority w:val="99"/>
    <w:locked/>
    <w:rsid w:val="00626958"/>
    <w:pPr>
      <w:numPr>
        <w:ilvl w:val="2"/>
        <w:numId w:val="42"/>
      </w:numPr>
      <w:outlineLvl w:val="8"/>
    </w:pPr>
    <w:rPr>
      <w:rFonts w:ascii="Times New Roman" w:hAnsi="Times New Roman"/>
      <w:sz w:val="24"/>
      <w:szCs w:val="20"/>
      <w:lang w:eastAsia="cs-CZ"/>
    </w:rPr>
  </w:style>
  <w:style w:type="paragraph" w:customStyle="1" w:styleId="Textpsmene">
    <w:name w:val="Text písmene"/>
    <w:basedOn w:val="Normln"/>
    <w:uiPriority w:val="99"/>
    <w:locked/>
    <w:rsid w:val="00626958"/>
    <w:pPr>
      <w:numPr>
        <w:ilvl w:val="1"/>
        <w:numId w:val="42"/>
      </w:numPr>
      <w:outlineLvl w:val="7"/>
    </w:pPr>
    <w:rPr>
      <w:rFonts w:ascii="Times New Roman" w:hAnsi="Times New Roman"/>
      <w:sz w:val="24"/>
      <w:szCs w:val="20"/>
      <w:lang w:eastAsia="cs-CZ"/>
    </w:rPr>
  </w:style>
  <w:style w:type="character" w:customStyle="1" w:styleId="TextbublinyChar1">
    <w:name w:val="Text bubliny Char1"/>
    <w:uiPriority w:val="99"/>
    <w:semiHidden/>
    <w:locked/>
    <w:rsid w:val="00626958"/>
    <w:rPr>
      <w:rFonts w:ascii="Segoe UI" w:hAnsi="Segoe UI"/>
      <w:sz w:val="18"/>
      <w:lang w:val="x-none" w:eastAsia="cs-CZ"/>
    </w:rPr>
  </w:style>
  <w:style w:type="paragraph" w:styleId="Textvbloku">
    <w:name w:val="Block Text"/>
    <w:basedOn w:val="Normln"/>
    <w:uiPriority w:val="99"/>
    <w:rsid w:val="00626958"/>
    <w:pPr>
      <w:ind w:left="540" w:right="332"/>
    </w:pPr>
    <w:rPr>
      <w:rFonts w:ascii="Times New Roman" w:hAnsi="Times New Roman"/>
      <w:sz w:val="24"/>
      <w:szCs w:val="24"/>
      <w:lang w:eastAsia="cs-CZ"/>
    </w:rPr>
  </w:style>
  <w:style w:type="paragraph" w:customStyle="1" w:styleId="zdroj0">
    <w:name w:val="zdroj"/>
    <w:basedOn w:val="Normln"/>
    <w:link w:val="zdrojChar0"/>
    <w:locked/>
    <w:rsid w:val="00626958"/>
    <w:pPr>
      <w:spacing w:after="120"/>
      <w:contextualSpacing/>
    </w:pPr>
    <w:rPr>
      <w:rFonts w:ascii="Times New Roman" w:hAnsi="Times New Roman"/>
      <w:i/>
      <w:szCs w:val="24"/>
      <w:lang w:eastAsia="cs-CZ"/>
    </w:rPr>
  </w:style>
  <w:style w:type="character" w:customStyle="1" w:styleId="zdrojChar0">
    <w:name w:val="zdroj Char"/>
    <w:link w:val="zdroj0"/>
    <w:locked/>
    <w:rsid w:val="00626958"/>
    <w:rPr>
      <w:rFonts w:ascii="Times New Roman" w:eastAsia="Times New Roman" w:hAnsi="Times New Roman" w:cs="Times New Roman"/>
      <w:i/>
      <w:sz w:val="20"/>
      <w:szCs w:val="24"/>
      <w:lang w:eastAsia="cs-CZ"/>
    </w:rPr>
  </w:style>
  <w:style w:type="numbering" w:customStyle="1" w:styleId="seznamliteratury">
    <w:name w:val="seznam literatury"/>
    <w:locked/>
    <w:rsid w:val="00626958"/>
    <w:pPr>
      <w:numPr>
        <w:numId w:val="41"/>
      </w:numPr>
    </w:pPr>
  </w:style>
  <w:style w:type="character" w:customStyle="1" w:styleId="foto-foto">
    <w:name w:val="foto-foto"/>
    <w:basedOn w:val="Standardnpsmoodstavce"/>
    <w:locked/>
    <w:rsid w:val="00626958"/>
  </w:style>
  <w:style w:type="paragraph" w:customStyle="1" w:styleId="Vrazncitt1">
    <w:name w:val="Výrazný citát1"/>
    <w:basedOn w:val="Normln"/>
    <w:next w:val="Normln"/>
    <w:uiPriority w:val="30"/>
    <w:qFormat/>
    <w:locked/>
    <w:rsid w:val="00626958"/>
    <w:pPr>
      <w:pBdr>
        <w:top w:val="single" w:sz="4" w:space="10" w:color="4F81BD"/>
        <w:bottom w:val="single" w:sz="4" w:space="10" w:color="4F81BD"/>
      </w:pBdr>
      <w:spacing w:before="360" w:after="360"/>
      <w:ind w:left="864" w:right="864"/>
      <w:jc w:val="center"/>
    </w:pPr>
    <w:rPr>
      <w:i/>
      <w:iCs/>
      <w:color w:val="4F81BD"/>
    </w:rPr>
  </w:style>
  <w:style w:type="character" w:customStyle="1" w:styleId="VrazncittChar">
    <w:name w:val="Výrazný citát Char"/>
    <w:basedOn w:val="Standardnpsmoodstavce"/>
    <w:link w:val="Vrazncitt"/>
    <w:uiPriority w:val="30"/>
    <w:rsid w:val="00626958"/>
    <w:rPr>
      <w:rFonts w:eastAsia="Calibri" w:cs="Times New Roman"/>
      <w:i/>
      <w:iCs/>
      <w:color w:val="4F81BD"/>
    </w:rPr>
  </w:style>
  <w:style w:type="table" w:customStyle="1" w:styleId="Tabulkasmkou4zvraznn31">
    <w:name w:val="Tabulka s mřížkou 4 – zvýraznění 31"/>
    <w:basedOn w:val="Normlntabulka"/>
    <w:uiPriority w:val="49"/>
    <w:locked/>
    <w:rsid w:val="00626958"/>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pertex">
    <w:name w:val="pertex"/>
    <w:basedOn w:val="Normln"/>
    <w:locked/>
    <w:rsid w:val="00626958"/>
    <w:pPr>
      <w:spacing w:before="100" w:beforeAutospacing="1" w:after="100" w:afterAutospacing="1"/>
    </w:pPr>
    <w:rPr>
      <w:rFonts w:ascii="Times New Roman" w:hAnsi="Times New Roman"/>
      <w:sz w:val="24"/>
      <w:szCs w:val="24"/>
      <w:lang w:eastAsia="cs-CZ"/>
    </w:rPr>
  </w:style>
  <w:style w:type="paragraph" w:customStyle="1" w:styleId="autor">
    <w:name w:val="autor"/>
    <w:basedOn w:val="Normln"/>
    <w:locked/>
    <w:rsid w:val="00626958"/>
    <w:pPr>
      <w:spacing w:before="100" w:beforeAutospacing="1" w:after="100" w:afterAutospacing="1"/>
    </w:pPr>
    <w:rPr>
      <w:rFonts w:ascii="Times New Roman" w:hAnsi="Times New Roman"/>
      <w:sz w:val="24"/>
      <w:szCs w:val="24"/>
      <w:lang w:eastAsia="cs-CZ"/>
    </w:rPr>
  </w:style>
  <w:style w:type="paragraph" w:customStyle="1" w:styleId="right">
    <w:name w:val="right"/>
    <w:basedOn w:val="Normln"/>
    <w:locked/>
    <w:rsid w:val="00626958"/>
    <w:pPr>
      <w:spacing w:before="100" w:beforeAutospacing="1" w:after="100" w:afterAutospacing="1"/>
    </w:pPr>
    <w:rPr>
      <w:rFonts w:ascii="Times New Roman" w:hAnsi="Times New Roman"/>
      <w:sz w:val="24"/>
      <w:szCs w:val="24"/>
      <w:lang w:eastAsia="cs-CZ"/>
    </w:rPr>
  </w:style>
  <w:style w:type="paragraph" w:customStyle="1" w:styleId="radek">
    <w:name w:val="radek"/>
    <w:basedOn w:val="Normln"/>
    <w:locked/>
    <w:rsid w:val="00626958"/>
    <w:pPr>
      <w:spacing w:before="100" w:beforeAutospacing="1" w:after="100" w:afterAutospacing="1"/>
    </w:pPr>
    <w:rPr>
      <w:rFonts w:ascii="Times New Roman" w:hAnsi="Times New Roman"/>
      <w:sz w:val="24"/>
      <w:szCs w:val="24"/>
      <w:lang w:eastAsia="cs-CZ"/>
    </w:rPr>
  </w:style>
  <w:style w:type="character" w:customStyle="1" w:styleId="text1">
    <w:name w:val="text1"/>
    <w:basedOn w:val="Standardnpsmoodstavce"/>
    <w:locked/>
    <w:rsid w:val="00626958"/>
  </w:style>
  <w:style w:type="paragraph" w:customStyle="1" w:styleId="Styl2">
    <w:name w:val="Styl2"/>
    <w:basedOn w:val="Bezmezer"/>
    <w:locked/>
    <w:rsid w:val="00626958"/>
    <w:pPr>
      <w:spacing w:before="120" w:after="120" w:line="276" w:lineRule="auto"/>
      <w:ind w:left="851" w:hanging="851"/>
      <w:jc w:val="both"/>
    </w:pPr>
    <w:rPr>
      <w:rFonts w:ascii="Arial" w:eastAsia="Calibri" w:hAnsi="Arial" w:cs="Arial"/>
      <w:lang w:eastAsia="cs-CZ"/>
    </w:rPr>
  </w:style>
  <w:style w:type="paragraph" w:customStyle="1" w:styleId="Psmena">
    <w:name w:val="Písmena"/>
    <w:link w:val="PsmenaChar"/>
    <w:locked/>
    <w:rsid w:val="00626958"/>
    <w:pPr>
      <w:spacing w:after="0" w:line="276" w:lineRule="auto"/>
      <w:ind w:left="851" w:hanging="284"/>
      <w:jc w:val="both"/>
    </w:pPr>
    <w:rPr>
      <w:rFonts w:ascii="Arial" w:eastAsia="Times New Roman" w:hAnsi="Arial" w:cs="Arial"/>
      <w:bCs/>
    </w:rPr>
  </w:style>
  <w:style w:type="character" w:customStyle="1" w:styleId="PsmenaChar">
    <w:name w:val="Písmena Char"/>
    <w:basedOn w:val="Standardnpsmoodstavce"/>
    <w:link w:val="Psmena"/>
    <w:rsid w:val="00626958"/>
    <w:rPr>
      <w:rFonts w:ascii="Arial" w:eastAsia="Times New Roman" w:hAnsi="Arial" w:cs="Arial"/>
      <w:bCs/>
    </w:rPr>
  </w:style>
  <w:style w:type="paragraph" w:customStyle="1" w:styleId="rovezanadpis">
    <w:name w:val="Úroveň za nadpis"/>
    <w:basedOn w:val="Normln"/>
    <w:link w:val="rovezanadpisChar"/>
    <w:locked/>
    <w:rsid w:val="00626958"/>
    <w:pPr>
      <w:tabs>
        <w:tab w:val="left" w:pos="1021"/>
      </w:tabs>
      <w:spacing w:before="60" w:after="60" w:line="276" w:lineRule="auto"/>
      <w:ind w:left="851" w:hanging="851"/>
    </w:pPr>
    <w:rPr>
      <w:rFonts w:ascii="Arial" w:hAnsi="Arial" w:cs="Arial"/>
      <w:color w:val="000000"/>
      <w:lang w:eastAsia="cs-CZ"/>
    </w:rPr>
  </w:style>
  <w:style w:type="character" w:customStyle="1" w:styleId="rovezanadpisChar">
    <w:name w:val="Úroveň za nadpis Char"/>
    <w:basedOn w:val="Standardnpsmoodstavce"/>
    <w:link w:val="rovezanadpis"/>
    <w:rsid w:val="00626958"/>
    <w:rPr>
      <w:rFonts w:ascii="Arial" w:eastAsia="Times New Roman" w:hAnsi="Arial" w:cs="Arial"/>
      <w:color w:val="000000"/>
      <w:lang w:eastAsia="cs-CZ"/>
    </w:rPr>
  </w:style>
  <w:style w:type="paragraph" w:customStyle="1" w:styleId="10">
    <w:name w:val="1"/>
    <w:rsid w:val="00626958"/>
    <w:pPr>
      <w:jc w:val="both"/>
    </w:pPr>
    <w:rPr>
      <w:rFonts w:ascii="Segoe UI" w:eastAsia="Times New Roman" w:hAnsi="Segoe UI" w:cs="Times New Roman"/>
      <w:sz w:val="20"/>
    </w:rPr>
  </w:style>
  <w:style w:type="character" w:customStyle="1" w:styleId="textfont">
    <w:name w:val="textfont"/>
    <w:basedOn w:val="Standardnpsmoodstavce"/>
    <w:rsid w:val="00626958"/>
  </w:style>
  <w:style w:type="paragraph" w:customStyle="1" w:styleId="Standard">
    <w:name w:val="Standard"/>
    <w:rsid w:val="00626958"/>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Heading">
    <w:name w:val="Heading"/>
    <w:basedOn w:val="Standard"/>
    <w:next w:val="Textbody"/>
    <w:rsid w:val="00626958"/>
    <w:pPr>
      <w:keepNext/>
      <w:spacing w:before="240" w:after="120"/>
    </w:pPr>
    <w:rPr>
      <w:rFonts w:ascii="Arial" w:eastAsia="Microsoft YaHei" w:hAnsi="Arial"/>
      <w:sz w:val="28"/>
      <w:szCs w:val="28"/>
    </w:rPr>
  </w:style>
  <w:style w:type="paragraph" w:customStyle="1" w:styleId="Textbody">
    <w:name w:val="Text body"/>
    <w:basedOn w:val="Standard"/>
    <w:rsid w:val="00626958"/>
    <w:pPr>
      <w:spacing w:after="120"/>
    </w:pPr>
  </w:style>
  <w:style w:type="paragraph" w:customStyle="1" w:styleId="Index">
    <w:name w:val="Index"/>
    <w:basedOn w:val="Standard"/>
    <w:rsid w:val="00626958"/>
    <w:pPr>
      <w:suppressLineNumbers/>
    </w:pPr>
  </w:style>
  <w:style w:type="paragraph" w:customStyle="1" w:styleId="TableContents">
    <w:name w:val="Table Contents"/>
    <w:basedOn w:val="Standard"/>
    <w:rsid w:val="00626958"/>
    <w:pPr>
      <w:suppressLineNumbers/>
    </w:pPr>
  </w:style>
  <w:style w:type="character" w:customStyle="1" w:styleId="WW8Num3z0">
    <w:name w:val="WW8Num3z0"/>
    <w:rsid w:val="00626958"/>
    <w:rPr>
      <w:rFonts w:cs="Arial"/>
    </w:rPr>
  </w:style>
  <w:style w:type="numbering" w:customStyle="1" w:styleId="WW8Num3">
    <w:name w:val="WW8Num3"/>
    <w:basedOn w:val="Bezseznamu"/>
    <w:rsid w:val="00626958"/>
    <w:pPr>
      <w:numPr>
        <w:numId w:val="43"/>
      </w:numPr>
    </w:pPr>
  </w:style>
  <w:style w:type="character" w:customStyle="1" w:styleId="author2">
    <w:name w:val="author2"/>
    <w:basedOn w:val="Standardnpsmoodstavce"/>
    <w:uiPriority w:val="99"/>
    <w:rsid w:val="00626958"/>
  </w:style>
  <w:style w:type="character" w:customStyle="1" w:styleId="UnresolvedMention">
    <w:name w:val="Unresolved Mention"/>
    <w:basedOn w:val="Standardnpsmoodstavce"/>
    <w:uiPriority w:val="99"/>
    <w:semiHidden/>
    <w:unhideWhenUsed/>
    <w:rsid w:val="00626958"/>
    <w:rPr>
      <w:color w:val="808080"/>
      <w:shd w:val="clear" w:color="auto" w:fill="E6E6E6"/>
    </w:rPr>
  </w:style>
  <w:style w:type="table" w:customStyle="1" w:styleId="Tabulkasmkou4zvraznn61">
    <w:name w:val="Tabulka s mřížkou 4 – zvýraznění 61"/>
    <w:basedOn w:val="Normlntabulka"/>
    <w:uiPriority w:val="49"/>
    <w:rsid w:val="00626958"/>
    <w:pPr>
      <w:spacing w:after="0" w:line="240" w:lineRule="auto"/>
    </w:pPr>
    <w:rPr>
      <w:rFonts w:eastAsia="Times New Roman" w:cs="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e24kjd">
    <w:name w:val="e24kjd"/>
    <w:basedOn w:val="Standardnpsmoodstavce"/>
    <w:rsid w:val="00626958"/>
  </w:style>
  <w:style w:type="table" w:styleId="Svtlseznamzvraznn2">
    <w:name w:val="Light List Accent 2"/>
    <w:basedOn w:val="Normlntabulka"/>
    <w:uiPriority w:val="61"/>
    <w:unhideWhenUsed/>
    <w:rsid w:val="0062695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Podnadpis">
    <w:name w:val="Subtitle"/>
    <w:aliases w:val="Podstyl"/>
    <w:basedOn w:val="Normln"/>
    <w:next w:val="Normln"/>
    <w:link w:val="PodnadpisChar"/>
    <w:uiPriority w:val="99"/>
    <w:qFormat/>
    <w:rsid w:val="00626958"/>
    <w:pPr>
      <w:numPr>
        <w:ilvl w:val="1"/>
      </w:numPr>
    </w:pPr>
    <w:rPr>
      <w:b/>
      <w:color w:val="FFFFFF"/>
      <w:spacing w:val="15"/>
    </w:rPr>
  </w:style>
  <w:style w:type="character" w:customStyle="1" w:styleId="PodnadpisChar1">
    <w:name w:val="Podnadpis Char1"/>
    <w:basedOn w:val="Standardnpsmoodstavce"/>
    <w:uiPriority w:val="11"/>
    <w:rsid w:val="00626958"/>
    <w:rPr>
      <w:rFonts w:eastAsiaTheme="minorEastAsia"/>
      <w:color w:val="5A5A5A" w:themeColor="text1" w:themeTint="A5"/>
      <w:spacing w:val="15"/>
    </w:rPr>
  </w:style>
  <w:style w:type="table" w:styleId="Svtlstnovnzvraznn2">
    <w:name w:val="Light Shading Accent 2"/>
    <w:basedOn w:val="Normlntabulka"/>
    <w:uiPriority w:val="60"/>
    <w:unhideWhenUsed/>
    <w:rsid w:val="0062695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Vrazncitt">
    <w:name w:val="Intense Quote"/>
    <w:basedOn w:val="Normln"/>
    <w:next w:val="Normln"/>
    <w:link w:val="VrazncittChar"/>
    <w:uiPriority w:val="30"/>
    <w:qFormat/>
    <w:rsid w:val="00626958"/>
    <w:pPr>
      <w:pBdr>
        <w:top w:val="single" w:sz="4" w:space="10" w:color="5B9BD5" w:themeColor="accent1"/>
        <w:bottom w:val="single" w:sz="4" w:space="10" w:color="5B9BD5" w:themeColor="accent1"/>
      </w:pBdr>
      <w:spacing w:before="360" w:after="360"/>
      <w:ind w:left="864" w:right="864"/>
      <w:jc w:val="center"/>
    </w:pPr>
    <w:rPr>
      <w:rFonts w:eastAsia="Calibri"/>
      <w:i/>
      <w:iCs/>
      <w:color w:val="4F81BD"/>
    </w:rPr>
  </w:style>
  <w:style w:type="character" w:customStyle="1" w:styleId="VrazncittChar1">
    <w:name w:val="Výrazný citát Char1"/>
    <w:basedOn w:val="Standardnpsmoodstavce"/>
    <w:uiPriority w:val="30"/>
    <w:rsid w:val="00626958"/>
    <w:rPr>
      <w:i/>
      <w:iCs/>
      <w:color w:val="5B9BD5" w:themeColor="accent1"/>
    </w:rPr>
  </w:style>
  <w:style w:type="paragraph" w:customStyle="1" w:styleId="Pa19">
    <w:name w:val="Pa19"/>
    <w:basedOn w:val="Normln"/>
    <w:next w:val="Normln"/>
    <w:uiPriority w:val="99"/>
    <w:rsid w:val="00626958"/>
    <w:pPr>
      <w:autoSpaceDE w:val="0"/>
      <w:autoSpaceDN w:val="0"/>
      <w:adjustRightInd w:val="0"/>
      <w:spacing w:line="181" w:lineRule="atLeast"/>
    </w:pPr>
    <w:rPr>
      <w:rFonts w:ascii="Myriad Pro Light" w:hAnsi="Myriad Pro Light"/>
      <w:sz w:val="24"/>
      <w:szCs w:val="24"/>
    </w:rPr>
  </w:style>
  <w:style w:type="paragraph" w:customStyle="1" w:styleId="Pa24">
    <w:name w:val="Pa24"/>
    <w:basedOn w:val="Normln"/>
    <w:next w:val="Normln"/>
    <w:uiPriority w:val="99"/>
    <w:rsid w:val="00626958"/>
    <w:pPr>
      <w:autoSpaceDE w:val="0"/>
      <w:autoSpaceDN w:val="0"/>
      <w:adjustRightInd w:val="0"/>
      <w:spacing w:line="181" w:lineRule="atLeast"/>
    </w:pPr>
    <w:rPr>
      <w:rFonts w:ascii="Myriad Pro Light" w:hAnsi="Myriad Pro Light"/>
      <w:sz w:val="24"/>
      <w:szCs w:val="24"/>
    </w:rPr>
  </w:style>
  <w:style w:type="numbering" w:customStyle="1" w:styleId="Bezseznamu8">
    <w:name w:val="Bez seznamu8"/>
    <w:next w:val="Bezseznamu"/>
    <w:uiPriority w:val="99"/>
    <w:semiHidden/>
    <w:unhideWhenUsed/>
    <w:rsid w:val="00626958"/>
  </w:style>
  <w:style w:type="numbering" w:customStyle="1" w:styleId="Bezseznamu9">
    <w:name w:val="Bez seznamu9"/>
    <w:next w:val="Bezseznamu"/>
    <w:uiPriority w:val="99"/>
    <w:semiHidden/>
    <w:unhideWhenUsed/>
    <w:rsid w:val="00626958"/>
  </w:style>
  <w:style w:type="paragraph" w:customStyle="1" w:styleId="xmsonormal">
    <w:name w:val="x_msonormal"/>
    <w:basedOn w:val="Normln"/>
    <w:rsid w:val="00626958"/>
    <w:rPr>
      <w:rFonts w:ascii="Times New Roman" w:hAnsi="Times New Roman"/>
      <w:sz w:val="24"/>
      <w:szCs w:val="24"/>
      <w:lang w:eastAsia="cs-CZ"/>
    </w:rPr>
  </w:style>
  <w:style w:type="table" w:customStyle="1" w:styleId="Mkatabulky25">
    <w:name w:val="Mřížka tabulky25"/>
    <w:basedOn w:val="Normlntabulka"/>
    <w:next w:val="Mkatabulky"/>
    <w:rsid w:val="00626958"/>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vraznn">
    <w:name w:val="Zvýrazněné"/>
    <w:basedOn w:val="Normln"/>
    <w:link w:val="ZvraznnChar"/>
    <w:rsid w:val="002455A5"/>
    <w:pPr>
      <w:spacing w:before="240" w:after="120"/>
    </w:pPr>
    <w:rPr>
      <w:rFonts w:eastAsia="Arial Unicode MS" w:cs="Segoe UI"/>
      <w:b/>
      <w:szCs w:val="20"/>
      <w:u w:val="single"/>
      <w:lang w:eastAsia="cs-CZ"/>
    </w:rPr>
  </w:style>
  <w:style w:type="character" w:customStyle="1" w:styleId="ZvraznnChar">
    <w:name w:val="Zvýrazněné Char"/>
    <w:basedOn w:val="Standardnpsmoodstavce"/>
    <w:link w:val="Zvraznn"/>
    <w:rsid w:val="002455A5"/>
    <w:rPr>
      <w:rFonts w:ascii="Segoe UI" w:eastAsia="Arial Unicode MS" w:hAnsi="Segoe UI" w:cs="Segoe UI"/>
      <w:b/>
      <w:sz w:val="20"/>
      <w:szCs w:val="20"/>
      <w:u w:val="single"/>
      <w:lang w:eastAsia="cs-CZ"/>
    </w:rPr>
  </w:style>
  <w:style w:type="numbering" w:customStyle="1" w:styleId="Bezseznamu1111111">
    <w:name w:val="Bez seznamu1111111"/>
    <w:next w:val="Bezseznamu"/>
    <w:uiPriority w:val="99"/>
    <w:semiHidden/>
    <w:unhideWhenUsed/>
    <w:rsid w:val="005F6AA9"/>
  </w:style>
  <w:style w:type="numbering" w:customStyle="1" w:styleId="seznamliteratury1">
    <w:name w:val="seznam literatury1"/>
    <w:locked/>
    <w:rsid w:val="005F6AA9"/>
  </w:style>
  <w:style w:type="numbering" w:customStyle="1" w:styleId="WW8Num31">
    <w:name w:val="WW8Num31"/>
    <w:basedOn w:val="Bezseznamu"/>
    <w:rsid w:val="005F6AA9"/>
  </w:style>
  <w:style w:type="numbering" w:customStyle="1" w:styleId="Bezseznamu11111111">
    <w:name w:val="Bez seznamu11111111"/>
    <w:next w:val="Bezseznamu"/>
    <w:uiPriority w:val="99"/>
    <w:semiHidden/>
    <w:unhideWhenUsed/>
    <w:rsid w:val="005F6AA9"/>
  </w:style>
  <w:style w:type="paragraph" w:customStyle="1" w:styleId="popisekobjektu">
    <w:name w:val="popisek objektu"/>
    <w:basedOn w:val="Titulek"/>
    <w:link w:val="popisekobjektuChar"/>
    <w:rsid w:val="005F6AA9"/>
    <w:pPr>
      <w:jc w:val="left"/>
    </w:pPr>
    <w:rPr>
      <w:sz w:val="18"/>
    </w:rPr>
  </w:style>
  <w:style w:type="character" w:customStyle="1" w:styleId="popisekobjektuChar">
    <w:name w:val="popisek objektu Char"/>
    <w:basedOn w:val="TitulekChar"/>
    <w:link w:val="popisekobjektu"/>
    <w:rsid w:val="005F6AA9"/>
    <w:rPr>
      <w:rFonts w:ascii="Segoe UI" w:eastAsia="Arial Unicode MS" w:hAnsi="Segoe UI" w:cs="Segoe UI"/>
      <w:b/>
      <w:bCs/>
      <w:sz w:val="18"/>
      <w:szCs w:val="20"/>
      <w:lang w:eastAsia="cs-CZ"/>
    </w:rPr>
  </w:style>
  <w:style w:type="paragraph" w:customStyle="1" w:styleId="popistabulkySPRSS2024">
    <w:name w:val="popis tabulky SPRSS 2024"/>
    <w:basedOn w:val="Normln"/>
    <w:link w:val="popistabulkySPRSS2024Char"/>
    <w:qFormat/>
    <w:rsid w:val="00694609"/>
    <w:pPr>
      <w:keepNext/>
      <w:spacing w:before="240"/>
    </w:pPr>
    <w:rPr>
      <w:rFonts w:eastAsia="Arial Unicode MS" w:cs="Segoe UI"/>
      <w:b/>
      <w:sz w:val="18"/>
      <w:szCs w:val="18"/>
      <w:lang w:eastAsia="cs-CZ"/>
    </w:rPr>
  </w:style>
  <w:style w:type="character" w:customStyle="1" w:styleId="popistabulkySPRSS2024Char">
    <w:name w:val="popis tabulky SPRSS 2024 Char"/>
    <w:basedOn w:val="Standardnpsmoodstavce"/>
    <w:link w:val="popistabulkySPRSS2024"/>
    <w:rsid w:val="00694609"/>
    <w:rPr>
      <w:rFonts w:ascii="Segoe UI" w:eastAsia="Arial Unicode MS" w:hAnsi="Segoe UI" w:cs="Segoe UI"/>
      <w:b/>
      <w:sz w:val="18"/>
      <w:szCs w:val="18"/>
      <w:lang w:eastAsia="cs-CZ"/>
    </w:rPr>
  </w:style>
  <w:style w:type="numbering" w:customStyle="1" w:styleId="Bezseznamu10">
    <w:name w:val="Bez seznamu10"/>
    <w:next w:val="Bezseznamu"/>
    <w:uiPriority w:val="99"/>
    <w:semiHidden/>
    <w:unhideWhenUsed/>
    <w:rsid w:val="005F6AA9"/>
  </w:style>
  <w:style w:type="numbering" w:customStyle="1" w:styleId="Bezseznamu15">
    <w:name w:val="Bez seznamu15"/>
    <w:next w:val="Bezseznamu"/>
    <w:uiPriority w:val="99"/>
    <w:semiHidden/>
    <w:unhideWhenUsed/>
    <w:rsid w:val="005F6AA9"/>
  </w:style>
  <w:style w:type="numbering" w:customStyle="1" w:styleId="Bezseznamu114">
    <w:name w:val="Bez seznamu114"/>
    <w:next w:val="Bezseznamu"/>
    <w:uiPriority w:val="99"/>
    <w:semiHidden/>
    <w:unhideWhenUsed/>
    <w:rsid w:val="005F6AA9"/>
  </w:style>
  <w:style w:type="numbering" w:customStyle="1" w:styleId="Bezseznamu1113">
    <w:name w:val="Bez seznamu1113"/>
    <w:next w:val="Bezseznamu"/>
    <w:uiPriority w:val="99"/>
    <w:semiHidden/>
    <w:unhideWhenUsed/>
    <w:rsid w:val="005F6AA9"/>
  </w:style>
  <w:style w:type="numbering" w:customStyle="1" w:styleId="Bezseznamu23">
    <w:name w:val="Bez seznamu23"/>
    <w:next w:val="Bezseznamu"/>
    <w:uiPriority w:val="99"/>
    <w:semiHidden/>
    <w:unhideWhenUsed/>
    <w:rsid w:val="005F6AA9"/>
  </w:style>
  <w:style w:type="numbering" w:customStyle="1" w:styleId="Bezseznamu11113">
    <w:name w:val="Bez seznamu11113"/>
    <w:next w:val="Bezseznamu"/>
    <w:uiPriority w:val="99"/>
    <w:semiHidden/>
    <w:unhideWhenUsed/>
    <w:rsid w:val="005F6AA9"/>
  </w:style>
  <w:style w:type="numbering" w:customStyle="1" w:styleId="Bezseznamu33">
    <w:name w:val="Bez seznamu33"/>
    <w:next w:val="Bezseznamu"/>
    <w:uiPriority w:val="99"/>
    <w:semiHidden/>
    <w:unhideWhenUsed/>
    <w:rsid w:val="005F6AA9"/>
  </w:style>
  <w:style w:type="numbering" w:customStyle="1" w:styleId="Bezseznamu123">
    <w:name w:val="Bez seznamu123"/>
    <w:next w:val="Bezseznamu"/>
    <w:uiPriority w:val="99"/>
    <w:semiHidden/>
    <w:unhideWhenUsed/>
    <w:rsid w:val="005F6AA9"/>
  </w:style>
  <w:style w:type="numbering" w:customStyle="1" w:styleId="Bezseznamu111113">
    <w:name w:val="Bez seznamu111113"/>
    <w:next w:val="Bezseznamu"/>
    <w:uiPriority w:val="99"/>
    <w:semiHidden/>
    <w:unhideWhenUsed/>
    <w:rsid w:val="005F6AA9"/>
  </w:style>
  <w:style w:type="numbering" w:customStyle="1" w:styleId="Bezseznamu43">
    <w:name w:val="Bez seznamu43"/>
    <w:next w:val="Bezseznamu"/>
    <w:uiPriority w:val="99"/>
    <w:semiHidden/>
    <w:unhideWhenUsed/>
    <w:rsid w:val="005F6AA9"/>
  </w:style>
  <w:style w:type="numbering" w:customStyle="1" w:styleId="Bezseznamu52">
    <w:name w:val="Bez seznamu52"/>
    <w:next w:val="Bezseznamu"/>
    <w:uiPriority w:val="99"/>
    <w:semiHidden/>
    <w:unhideWhenUsed/>
    <w:rsid w:val="005F6AA9"/>
  </w:style>
  <w:style w:type="numbering" w:customStyle="1" w:styleId="Bezseznamu132">
    <w:name w:val="Bez seznamu132"/>
    <w:next w:val="Bezseznamu"/>
    <w:uiPriority w:val="99"/>
    <w:semiHidden/>
    <w:unhideWhenUsed/>
    <w:rsid w:val="005F6AA9"/>
  </w:style>
  <w:style w:type="numbering" w:customStyle="1" w:styleId="Bezseznamu1122">
    <w:name w:val="Bez seznamu1122"/>
    <w:next w:val="Bezseznamu"/>
    <w:uiPriority w:val="99"/>
    <w:semiHidden/>
    <w:unhideWhenUsed/>
    <w:rsid w:val="005F6AA9"/>
  </w:style>
  <w:style w:type="numbering" w:customStyle="1" w:styleId="Bezseznamu212">
    <w:name w:val="Bez seznamu212"/>
    <w:next w:val="Bezseznamu"/>
    <w:uiPriority w:val="99"/>
    <w:semiHidden/>
    <w:unhideWhenUsed/>
    <w:rsid w:val="005F6AA9"/>
  </w:style>
  <w:style w:type="numbering" w:customStyle="1" w:styleId="Bezseznamu1111112">
    <w:name w:val="Bez seznamu1111112"/>
    <w:next w:val="Bezseznamu"/>
    <w:uiPriority w:val="99"/>
    <w:semiHidden/>
    <w:unhideWhenUsed/>
    <w:rsid w:val="005F6AA9"/>
  </w:style>
  <w:style w:type="numbering" w:customStyle="1" w:styleId="Bezseznamu312">
    <w:name w:val="Bez seznamu312"/>
    <w:next w:val="Bezseznamu"/>
    <w:uiPriority w:val="99"/>
    <w:semiHidden/>
    <w:unhideWhenUsed/>
    <w:rsid w:val="005F6AA9"/>
  </w:style>
  <w:style w:type="numbering" w:customStyle="1" w:styleId="Bezseznamu1212">
    <w:name w:val="Bez seznamu1212"/>
    <w:next w:val="Bezseznamu"/>
    <w:uiPriority w:val="99"/>
    <w:semiHidden/>
    <w:unhideWhenUsed/>
    <w:rsid w:val="005F6AA9"/>
  </w:style>
  <w:style w:type="numbering" w:customStyle="1" w:styleId="Bezseznamu11111112">
    <w:name w:val="Bez seznamu11111112"/>
    <w:next w:val="Bezseznamu"/>
    <w:uiPriority w:val="99"/>
    <w:semiHidden/>
    <w:unhideWhenUsed/>
    <w:rsid w:val="005F6AA9"/>
  </w:style>
  <w:style w:type="numbering" w:customStyle="1" w:styleId="Bezseznamu412">
    <w:name w:val="Bez seznamu412"/>
    <w:next w:val="Bezseznamu"/>
    <w:uiPriority w:val="99"/>
    <w:semiHidden/>
    <w:unhideWhenUsed/>
    <w:rsid w:val="005F6AA9"/>
  </w:style>
  <w:style w:type="numbering" w:customStyle="1" w:styleId="Bezseznamu61">
    <w:name w:val="Bez seznamu61"/>
    <w:next w:val="Bezseznamu"/>
    <w:uiPriority w:val="99"/>
    <w:semiHidden/>
    <w:unhideWhenUsed/>
    <w:rsid w:val="005F6AA9"/>
  </w:style>
  <w:style w:type="numbering" w:customStyle="1" w:styleId="Bezseznamu141">
    <w:name w:val="Bez seznamu141"/>
    <w:next w:val="Bezseznamu"/>
    <w:uiPriority w:val="99"/>
    <w:semiHidden/>
    <w:unhideWhenUsed/>
    <w:rsid w:val="005F6AA9"/>
  </w:style>
  <w:style w:type="numbering" w:customStyle="1" w:styleId="Bezseznamu221">
    <w:name w:val="Bez seznamu221"/>
    <w:next w:val="Bezseznamu"/>
    <w:uiPriority w:val="99"/>
    <w:semiHidden/>
    <w:unhideWhenUsed/>
    <w:rsid w:val="005F6AA9"/>
  </w:style>
  <w:style w:type="numbering" w:customStyle="1" w:styleId="Bezseznamu1131">
    <w:name w:val="Bez seznamu1131"/>
    <w:next w:val="Bezseznamu"/>
    <w:uiPriority w:val="99"/>
    <w:semiHidden/>
    <w:unhideWhenUsed/>
    <w:rsid w:val="005F6AA9"/>
  </w:style>
  <w:style w:type="numbering" w:customStyle="1" w:styleId="Bezseznamu321">
    <w:name w:val="Bez seznamu321"/>
    <w:next w:val="Bezseznamu"/>
    <w:uiPriority w:val="99"/>
    <w:semiHidden/>
    <w:unhideWhenUsed/>
    <w:rsid w:val="005F6AA9"/>
  </w:style>
  <w:style w:type="numbering" w:customStyle="1" w:styleId="Bezseznamu1221">
    <w:name w:val="Bez seznamu1221"/>
    <w:next w:val="Bezseznamu"/>
    <w:uiPriority w:val="99"/>
    <w:semiHidden/>
    <w:unhideWhenUsed/>
    <w:rsid w:val="005F6AA9"/>
  </w:style>
  <w:style w:type="numbering" w:customStyle="1" w:styleId="Bezseznamu11121">
    <w:name w:val="Bez seznamu11121"/>
    <w:next w:val="Bezseznamu"/>
    <w:uiPriority w:val="99"/>
    <w:semiHidden/>
    <w:unhideWhenUsed/>
    <w:rsid w:val="005F6AA9"/>
  </w:style>
  <w:style w:type="numbering" w:customStyle="1" w:styleId="Bezseznamu421">
    <w:name w:val="Bez seznamu421"/>
    <w:next w:val="Bezseznamu"/>
    <w:uiPriority w:val="99"/>
    <w:semiHidden/>
    <w:unhideWhenUsed/>
    <w:rsid w:val="005F6AA9"/>
  </w:style>
  <w:style w:type="numbering" w:customStyle="1" w:styleId="Bezseznamu511">
    <w:name w:val="Bez seznamu511"/>
    <w:next w:val="Bezseznamu"/>
    <w:uiPriority w:val="99"/>
    <w:semiHidden/>
    <w:unhideWhenUsed/>
    <w:rsid w:val="005F6AA9"/>
  </w:style>
  <w:style w:type="numbering" w:customStyle="1" w:styleId="Bezseznamu1311">
    <w:name w:val="Bez seznamu1311"/>
    <w:next w:val="Bezseznamu"/>
    <w:uiPriority w:val="99"/>
    <w:semiHidden/>
    <w:unhideWhenUsed/>
    <w:rsid w:val="005F6AA9"/>
  </w:style>
  <w:style w:type="numbering" w:customStyle="1" w:styleId="Bezseznamu11211">
    <w:name w:val="Bez seznamu11211"/>
    <w:next w:val="Bezseznamu"/>
    <w:uiPriority w:val="99"/>
    <w:semiHidden/>
    <w:unhideWhenUsed/>
    <w:rsid w:val="005F6AA9"/>
  </w:style>
  <w:style w:type="numbering" w:customStyle="1" w:styleId="Bezseznamu2111">
    <w:name w:val="Bez seznamu2111"/>
    <w:next w:val="Bezseznamu"/>
    <w:uiPriority w:val="99"/>
    <w:semiHidden/>
    <w:unhideWhenUsed/>
    <w:rsid w:val="005F6AA9"/>
  </w:style>
  <w:style w:type="numbering" w:customStyle="1" w:styleId="Bezseznamu111121">
    <w:name w:val="Bez seznamu111121"/>
    <w:next w:val="Bezseznamu"/>
    <w:uiPriority w:val="99"/>
    <w:semiHidden/>
    <w:unhideWhenUsed/>
    <w:rsid w:val="005F6AA9"/>
  </w:style>
  <w:style w:type="numbering" w:customStyle="1" w:styleId="Bezseznamu3111">
    <w:name w:val="Bez seznamu3111"/>
    <w:next w:val="Bezseznamu"/>
    <w:uiPriority w:val="99"/>
    <w:semiHidden/>
    <w:unhideWhenUsed/>
    <w:rsid w:val="005F6AA9"/>
  </w:style>
  <w:style w:type="numbering" w:customStyle="1" w:styleId="Bezseznamu12111">
    <w:name w:val="Bez seznamu12111"/>
    <w:next w:val="Bezseznamu"/>
    <w:uiPriority w:val="99"/>
    <w:semiHidden/>
    <w:unhideWhenUsed/>
    <w:rsid w:val="005F6AA9"/>
  </w:style>
  <w:style w:type="numbering" w:customStyle="1" w:styleId="Bezseznamu1111121">
    <w:name w:val="Bez seznamu1111121"/>
    <w:next w:val="Bezseznamu"/>
    <w:uiPriority w:val="99"/>
    <w:semiHidden/>
    <w:unhideWhenUsed/>
    <w:rsid w:val="005F6AA9"/>
  </w:style>
  <w:style w:type="numbering" w:customStyle="1" w:styleId="Bezseznamu4111">
    <w:name w:val="Bez seznamu4111"/>
    <w:next w:val="Bezseznamu"/>
    <w:uiPriority w:val="99"/>
    <w:semiHidden/>
    <w:unhideWhenUsed/>
    <w:rsid w:val="005F6AA9"/>
  </w:style>
  <w:style w:type="numbering" w:customStyle="1" w:styleId="Bezseznamu71">
    <w:name w:val="Bez seznamu71"/>
    <w:next w:val="Bezseznamu"/>
    <w:uiPriority w:val="99"/>
    <w:semiHidden/>
    <w:unhideWhenUsed/>
    <w:rsid w:val="005F6AA9"/>
  </w:style>
  <w:style w:type="numbering" w:customStyle="1" w:styleId="Bezseznamu81">
    <w:name w:val="Bez seznamu81"/>
    <w:next w:val="Bezseznamu"/>
    <w:uiPriority w:val="99"/>
    <w:semiHidden/>
    <w:unhideWhenUsed/>
    <w:rsid w:val="005F6AA9"/>
  </w:style>
  <w:style w:type="numbering" w:customStyle="1" w:styleId="Bezseznamu91">
    <w:name w:val="Bez seznamu91"/>
    <w:next w:val="Bezseznamu"/>
    <w:uiPriority w:val="99"/>
    <w:semiHidden/>
    <w:unhideWhenUsed/>
    <w:rsid w:val="005F6AA9"/>
  </w:style>
  <w:style w:type="numbering" w:customStyle="1" w:styleId="Bezseznamu16">
    <w:name w:val="Bez seznamu16"/>
    <w:next w:val="Bezseznamu"/>
    <w:uiPriority w:val="99"/>
    <w:semiHidden/>
    <w:unhideWhenUsed/>
    <w:rsid w:val="005F6AA9"/>
  </w:style>
  <w:style w:type="numbering" w:customStyle="1" w:styleId="Bezseznamu17">
    <w:name w:val="Bez seznamu17"/>
    <w:next w:val="Bezseznamu"/>
    <w:uiPriority w:val="99"/>
    <w:semiHidden/>
    <w:unhideWhenUsed/>
    <w:rsid w:val="005F6AA9"/>
  </w:style>
  <w:style w:type="table" w:customStyle="1" w:styleId="Mkatabulky10">
    <w:name w:val="Mřížka tabulky10"/>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5">
    <w:name w:val="Bez seznamu115"/>
    <w:next w:val="Bezseznamu"/>
    <w:uiPriority w:val="99"/>
    <w:semiHidden/>
    <w:unhideWhenUsed/>
    <w:rsid w:val="005F6AA9"/>
  </w:style>
  <w:style w:type="table" w:customStyle="1" w:styleId="Elegantntabulka5">
    <w:name w:val="Elegantní tabulka5"/>
    <w:basedOn w:val="Normlntabulka"/>
    <w:next w:val="Elegantntabulka"/>
    <w:rsid w:val="005F6AA9"/>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6">
    <w:name w:val="Mřížka tabulky16"/>
    <w:basedOn w:val="Normlntabulka"/>
    <w:next w:val="Mkatabulky"/>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4">
    <w:name w:val="Bez seznamu1114"/>
    <w:next w:val="Bezseznamu"/>
    <w:uiPriority w:val="99"/>
    <w:semiHidden/>
    <w:unhideWhenUsed/>
    <w:rsid w:val="005F6AA9"/>
  </w:style>
  <w:style w:type="table" w:customStyle="1" w:styleId="Mkatabulky26">
    <w:name w:val="Mřížka tabulky26"/>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5">
    <w:name w:val="Světlý seznam – zvýraznění 115"/>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24">
    <w:name w:val="Bez seznamu24"/>
    <w:next w:val="Bezseznamu"/>
    <w:uiPriority w:val="99"/>
    <w:semiHidden/>
    <w:unhideWhenUsed/>
    <w:rsid w:val="005F6AA9"/>
  </w:style>
  <w:style w:type="table" w:customStyle="1" w:styleId="Mkatabulky33">
    <w:name w:val="Mřížka tabulky33"/>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3">
    <w:name w:val="Elegantní tabulka13"/>
    <w:basedOn w:val="Normlntabulka"/>
    <w:next w:val="Elegantntabulka"/>
    <w:rsid w:val="005F6AA9"/>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3">
    <w:name w:val="Mřížka tabulky113"/>
    <w:basedOn w:val="Normlntabulka"/>
    <w:next w:val="Mkatabulky"/>
    <w:uiPriority w:val="5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4">
    <w:name w:val="Bez seznamu11114"/>
    <w:next w:val="Bezseznamu"/>
    <w:uiPriority w:val="99"/>
    <w:semiHidden/>
    <w:unhideWhenUsed/>
    <w:rsid w:val="005F6AA9"/>
  </w:style>
  <w:style w:type="table" w:customStyle="1" w:styleId="Mkatabulky214">
    <w:name w:val="Mřížka tabulky214"/>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4">
    <w:name w:val="Bez seznamu34"/>
    <w:next w:val="Bezseznamu"/>
    <w:uiPriority w:val="99"/>
    <w:semiHidden/>
    <w:unhideWhenUsed/>
    <w:rsid w:val="005F6AA9"/>
  </w:style>
  <w:style w:type="table" w:customStyle="1" w:styleId="Mkatabulky43">
    <w:name w:val="Mřížka tabulky43"/>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3">
    <w:name w:val="Elegantní tabulka23"/>
    <w:basedOn w:val="Normlntabulka"/>
    <w:next w:val="Elegantntabulka"/>
    <w:rsid w:val="005F6AA9"/>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3">
    <w:name w:val="Mřížka tabulky123"/>
    <w:basedOn w:val="Normlntabulka"/>
    <w:next w:val="Mkatabulky"/>
    <w:uiPriority w:val="5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4">
    <w:name w:val="Bez seznamu124"/>
    <w:next w:val="Bezseznamu"/>
    <w:uiPriority w:val="99"/>
    <w:semiHidden/>
    <w:unhideWhenUsed/>
    <w:rsid w:val="005F6AA9"/>
  </w:style>
  <w:style w:type="table" w:customStyle="1" w:styleId="Mkatabulky225">
    <w:name w:val="Mřížka tabulky225"/>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3">
    <w:name w:val="Světlý seznam – zvýraznění 123"/>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2213">
    <w:name w:val="Mřížka tabulky2213"/>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3">
    <w:name w:val="Mřížka tabulky2223"/>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3">
    <w:name w:val="Mřížka tabulky2113"/>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4">
    <w:name w:val="Bez seznamu111114"/>
    <w:next w:val="Bezseznamu"/>
    <w:uiPriority w:val="99"/>
    <w:semiHidden/>
    <w:unhideWhenUsed/>
    <w:rsid w:val="005F6AA9"/>
  </w:style>
  <w:style w:type="numbering" w:customStyle="1" w:styleId="Bezseznamu44">
    <w:name w:val="Bez seznamu44"/>
    <w:next w:val="Bezseznamu"/>
    <w:uiPriority w:val="99"/>
    <w:semiHidden/>
    <w:unhideWhenUsed/>
    <w:rsid w:val="005F6AA9"/>
  </w:style>
  <w:style w:type="numbering" w:customStyle="1" w:styleId="Bezseznamu53">
    <w:name w:val="Bez seznamu53"/>
    <w:next w:val="Bezseznamu"/>
    <w:uiPriority w:val="99"/>
    <w:semiHidden/>
    <w:unhideWhenUsed/>
    <w:rsid w:val="005F6AA9"/>
  </w:style>
  <w:style w:type="numbering" w:customStyle="1" w:styleId="Bezseznamu133">
    <w:name w:val="Bez seznamu133"/>
    <w:next w:val="Bezseznamu"/>
    <w:uiPriority w:val="99"/>
    <w:semiHidden/>
    <w:unhideWhenUsed/>
    <w:rsid w:val="005F6AA9"/>
  </w:style>
  <w:style w:type="table" w:customStyle="1" w:styleId="Mkatabulky52">
    <w:name w:val="Mřížka tabulky52"/>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32">
    <w:name w:val="Elegantní tabulka32"/>
    <w:basedOn w:val="Normlntabulka"/>
    <w:next w:val="Elegantntabulka"/>
    <w:rsid w:val="005F6AA9"/>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32">
    <w:name w:val="Mřížka tabulky132"/>
    <w:basedOn w:val="Normlntabulka"/>
    <w:next w:val="Mkatabulky"/>
    <w:uiPriority w:val="5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3">
    <w:name w:val="Bez seznamu1123"/>
    <w:next w:val="Bezseznamu"/>
    <w:uiPriority w:val="99"/>
    <w:semiHidden/>
    <w:unhideWhenUsed/>
    <w:rsid w:val="005F6AA9"/>
  </w:style>
  <w:style w:type="table" w:customStyle="1" w:styleId="Mkatabulky232">
    <w:name w:val="Mřížka tabulky232"/>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32">
    <w:name w:val="Světlý seznam – zvýraznění 132"/>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213">
    <w:name w:val="Bez seznamu213"/>
    <w:next w:val="Bezseznamu"/>
    <w:uiPriority w:val="99"/>
    <w:semiHidden/>
    <w:unhideWhenUsed/>
    <w:rsid w:val="005F6AA9"/>
  </w:style>
  <w:style w:type="table" w:customStyle="1" w:styleId="Mkatabulky312">
    <w:name w:val="Mřížka tabulky312"/>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12">
    <w:name w:val="Elegantní tabulka112"/>
    <w:basedOn w:val="Normlntabulka"/>
    <w:next w:val="Elegantntabulka"/>
    <w:rsid w:val="005F6AA9"/>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12">
    <w:name w:val="Mřížka tabulky1112"/>
    <w:basedOn w:val="Normlntabulka"/>
    <w:next w:val="Mkatabulky"/>
    <w:uiPriority w:val="5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13">
    <w:name w:val="Bez seznamu1111113"/>
    <w:next w:val="Bezseznamu"/>
    <w:uiPriority w:val="99"/>
    <w:semiHidden/>
    <w:unhideWhenUsed/>
    <w:rsid w:val="005F6AA9"/>
  </w:style>
  <w:style w:type="table" w:customStyle="1" w:styleId="Mkatabulky2122">
    <w:name w:val="Mřížka tabulky2122"/>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12">
    <w:name w:val="Světlý seznam – zvýraznění 1112"/>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313">
    <w:name w:val="Bez seznamu313"/>
    <w:next w:val="Bezseznamu"/>
    <w:uiPriority w:val="99"/>
    <w:semiHidden/>
    <w:unhideWhenUsed/>
    <w:rsid w:val="005F6AA9"/>
  </w:style>
  <w:style w:type="table" w:customStyle="1" w:styleId="Mkatabulky412">
    <w:name w:val="Mřížka tabulky412"/>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12">
    <w:name w:val="Elegantní tabulka212"/>
    <w:basedOn w:val="Normlntabulka"/>
    <w:next w:val="Elegantntabulka"/>
    <w:rsid w:val="005F6AA9"/>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12">
    <w:name w:val="Mřížka tabulky1212"/>
    <w:basedOn w:val="Normlntabulka"/>
    <w:next w:val="Mkatabulky"/>
    <w:uiPriority w:val="5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3">
    <w:name w:val="Bez seznamu1213"/>
    <w:next w:val="Bezseznamu"/>
    <w:uiPriority w:val="99"/>
    <w:semiHidden/>
    <w:unhideWhenUsed/>
    <w:rsid w:val="005F6AA9"/>
  </w:style>
  <w:style w:type="table" w:customStyle="1" w:styleId="Mkatabulky2232">
    <w:name w:val="Mřížka tabulky2232"/>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12">
    <w:name w:val="Světlý seznam – zvýraznění 1212"/>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22112">
    <w:name w:val="Mřížka tabulky22112"/>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12">
    <w:name w:val="Mřížka tabulky22212"/>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12">
    <w:name w:val="Mřížka tabulky21112"/>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113">
    <w:name w:val="Bez seznamu11111113"/>
    <w:next w:val="Bezseznamu"/>
    <w:uiPriority w:val="99"/>
    <w:semiHidden/>
    <w:unhideWhenUsed/>
    <w:rsid w:val="005F6AA9"/>
  </w:style>
  <w:style w:type="numbering" w:customStyle="1" w:styleId="Bezseznamu413">
    <w:name w:val="Bez seznamu413"/>
    <w:next w:val="Bezseznamu"/>
    <w:uiPriority w:val="99"/>
    <w:semiHidden/>
    <w:unhideWhenUsed/>
    <w:rsid w:val="005F6AA9"/>
  </w:style>
  <w:style w:type="table" w:customStyle="1" w:styleId="Svtlseznamzvraznn15">
    <w:name w:val="Světlý seznam – zvýraznění 15"/>
    <w:basedOn w:val="Normlntabulka"/>
    <w:next w:val="Svtlseznamzvraznn1"/>
    <w:uiPriority w:val="61"/>
    <w:semiHidden/>
    <w:unhideWhenUsed/>
    <w:rsid w:val="005F6AA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numbering" w:customStyle="1" w:styleId="Bezseznamu62">
    <w:name w:val="Bez seznamu62"/>
    <w:next w:val="Bezseznamu"/>
    <w:uiPriority w:val="99"/>
    <w:semiHidden/>
    <w:unhideWhenUsed/>
    <w:rsid w:val="005F6AA9"/>
  </w:style>
  <w:style w:type="table" w:customStyle="1" w:styleId="Mkatabulky63">
    <w:name w:val="Mřížka tabulky63"/>
    <w:basedOn w:val="Normlntabulka"/>
    <w:next w:val="Mkatabulky"/>
    <w:uiPriority w:val="39"/>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41">
    <w:name w:val="Elegantní tabulka41"/>
    <w:basedOn w:val="Normlntabulka"/>
    <w:next w:val="Elegantntabulka"/>
    <w:rsid w:val="005F6AA9"/>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41">
    <w:name w:val="Mřížka tabulky141"/>
    <w:basedOn w:val="Normlntabulka"/>
    <w:next w:val="Mkatabulky"/>
    <w:uiPriority w:val="5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42">
    <w:name w:val="Bez seznamu142"/>
    <w:next w:val="Bezseznamu"/>
    <w:uiPriority w:val="99"/>
    <w:semiHidden/>
    <w:unhideWhenUsed/>
    <w:rsid w:val="005F6AA9"/>
  </w:style>
  <w:style w:type="table" w:customStyle="1" w:styleId="Mkatabulky241">
    <w:name w:val="Mřížka tabulky24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41">
    <w:name w:val="Světlý seznam – zvýraznění 141"/>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222">
    <w:name w:val="Bez seznamu222"/>
    <w:next w:val="Bezseznamu"/>
    <w:uiPriority w:val="99"/>
    <w:semiHidden/>
    <w:unhideWhenUsed/>
    <w:rsid w:val="005F6AA9"/>
  </w:style>
  <w:style w:type="table" w:customStyle="1" w:styleId="Mkatabulky321">
    <w:name w:val="Mřížka tabulky32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21">
    <w:name w:val="Elegantní tabulka121"/>
    <w:basedOn w:val="Normlntabulka"/>
    <w:next w:val="Elegantntabulka"/>
    <w:rsid w:val="005F6AA9"/>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21">
    <w:name w:val="Mřížka tabulky1121"/>
    <w:basedOn w:val="Normlntabulka"/>
    <w:next w:val="Mkatabulky"/>
    <w:uiPriority w:val="5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32">
    <w:name w:val="Bez seznamu1132"/>
    <w:next w:val="Bezseznamu"/>
    <w:uiPriority w:val="99"/>
    <w:semiHidden/>
    <w:unhideWhenUsed/>
    <w:rsid w:val="005F6AA9"/>
  </w:style>
  <w:style w:type="table" w:customStyle="1" w:styleId="Mkatabulky2131">
    <w:name w:val="Mřížka tabulky213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21">
    <w:name w:val="Světlý seznam – zvýraznění 1121"/>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322">
    <w:name w:val="Bez seznamu322"/>
    <w:next w:val="Bezseznamu"/>
    <w:uiPriority w:val="99"/>
    <w:semiHidden/>
    <w:unhideWhenUsed/>
    <w:rsid w:val="005F6AA9"/>
  </w:style>
  <w:style w:type="table" w:customStyle="1" w:styleId="Mkatabulky421">
    <w:name w:val="Mřížka tabulky42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21">
    <w:name w:val="Elegantní tabulka221"/>
    <w:basedOn w:val="Normlntabulka"/>
    <w:next w:val="Elegantntabulka"/>
    <w:rsid w:val="005F6AA9"/>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21">
    <w:name w:val="Mřížka tabulky1221"/>
    <w:basedOn w:val="Normlntabulka"/>
    <w:next w:val="Mkatabulky"/>
    <w:uiPriority w:val="5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22">
    <w:name w:val="Bez seznamu1222"/>
    <w:next w:val="Bezseznamu"/>
    <w:uiPriority w:val="99"/>
    <w:semiHidden/>
    <w:unhideWhenUsed/>
    <w:rsid w:val="005F6AA9"/>
  </w:style>
  <w:style w:type="table" w:customStyle="1" w:styleId="Mkatabulky2241">
    <w:name w:val="Mřížka tabulky224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21">
    <w:name w:val="Světlý seznam – zvýraznění 1221"/>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22121">
    <w:name w:val="Mřížka tabulky2212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21">
    <w:name w:val="Mřížka tabulky2222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21">
    <w:name w:val="Mřížka tabulky2112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22">
    <w:name w:val="Bez seznamu11122"/>
    <w:next w:val="Bezseznamu"/>
    <w:uiPriority w:val="99"/>
    <w:semiHidden/>
    <w:unhideWhenUsed/>
    <w:rsid w:val="005F6AA9"/>
  </w:style>
  <w:style w:type="numbering" w:customStyle="1" w:styleId="Bezseznamu422">
    <w:name w:val="Bez seznamu422"/>
    <w:next w:val="Bezseznamu"/>
    <w:uiPriority w:val="99"/>
    <w:semiHidden/>
    <w:unhideWhenUsed/>
    <w:rsid w:val="005F6AA9"/>
  </w:style>
  <w:style w:type="numbering" w:customStyle="1" w:styleId="Bezseznamu512">
    <w:name w:val="Bez seznamu512"/>
    <w:next w:val="Bezseznamu"/>
    <w:uiPriority w:val="99"/>
    <w:semiHidden/>
    <w:unhideWhenUsed/>
    <w:rsid w:val="005F6AA9"/>
  </w:style>
  <w:style w:type="numbering" w:customStyle="1" w:styleId="Bezseznamu1312">
    <w:name w:val="Bez seznamu1312"/>
    <w:next w:val="Bezseznamu"/>
    <w:uiPriority w:val="99"/>
    <w:semiHidden/>
    <w:unhideWhenUsed/>
    <w:rsid w:val="005F6AA9"/>
  </w:style>
  <w:style w:type="table" w:customStyle="1" w:styleId="Mkatabulky511">
    <w:name w:val="Mřížka tabulky51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311">
    <w:name w:val="Elegantní tabulka311"/>
    <w:basedOn w:val="Normlntabulka"/>
    <w:next w:val="Elegantntabulka"/>
    <w:rsid w:val="005F6AA9"/>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311">
    <w:name w:val="Mřížka tabulky1311"/>
    <w:basedOn w:val="Normlntabulka"/>
    <w:next w:val="Mkatabulky"/>
    <w:uiPriority w:val="5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12">
    <w:name w:val="Bez seznamu11212"/>
    <w:next w:val="Bezseznamu"/>
    <w:uiPriority w:val="99"/>
    <w:semiHidden/>
    <w:unhideWhenUsed/>
    <w:rsid w:val="005F6AA9"/>
  </w:style>
  <w:style w:type="table" w:customStyle="1" w:styleId="Mkatabulky2311">
    <w:name w:val="Mřížka tabulky231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311">
    <w:name w:val="Světlý seznam – zvýraznění 1311"/>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2112">
    <w:name w:val="Bez seznamu2112"/>
    <w:next w:val="Bezseznamu"/>
    <w:uiPriority w:val="99"/>
    <w:semiHidden/>
    <w:unhideWhenUsed/>
    <w:rsid w:val="005F6AA9"/>
  </w:style>
  <w:style w:type="table" w:customStyle="1" w:styleId="Mkatabulky3111">
    <w:name w:val="Mřížka tabulky311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111">
    <w:name w:val="Elegantní tabulka1111"/>
    <w:basedOn w:val="Normlntabulka"/>
    <w:next w:val="Elegantntabulka"/>
    <w:rsid w:val="005F6AA9"/>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1111">
    <w:name w:val="Mřížka tabulky11111"/>
    <w:basedOn w:val="Normlntabulka"/>
    <w:next w:val="Mkatabulky"/>
    <w:uiPriority w:val="5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22">
    <w:name w:val="Bez seznamu111122"/>
    <w:next w:val="Bezseznamu"/>
    <w:uiPriority w:val="99"/>
    <w:semiHidden/>
    <w:unhideWhenUsed/>
    <w:rsid w:val="005F6AA9"/>
  </w:style>
  <w:style w:type="table" w:customStyle="1" w:styleId="Mkatabulky21211">
    <w:name w:val="Mřížka tabulky2121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111">
    <w:name w:val="Světlý seznam – zvýraznění 11111"/>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seznamu3112">
    <w:name w:val="Bez seznamu3112"/>
    <w:next w:val="Bezseznamu"/>
    <w:uiPriority w:val="99"/>
    <w:semiHidden/>
    <w:unhideWhenUsed/>
    <w:rsid w:val="005F6AA9"/>
  </w:style>
  <w:style w:type="table" w:customStyle="1" w:styleId="Mkatabulky4111">
    <w:name w:val="Mřížka tabulky411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2111">
    <w:name w:val="Elegantní tabulka2111"/>
    <w:basedOn w:val="Normlntabulka"/>
    <w:next w:val="Elegantntabulka"/>
    <w:rsid w:val="005F6AA9"/>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katabulky12111">
    <w:name w:val="Mřížka tabulky12111"/>
    <w:basedOn w:val="Normlntabulka"/>
    <w:next w:val="Mkatabulky"/>
    <w:uiPriority w:val="5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12">
    <w:name w:val="Bez seznamu12112"/>
    <w:next w:val="Bezseznamu"/>
    <w:uiPriority w:val="99"/>
    <w:semiHidden/>
    <w:unhideWhenUsed/>
    <w:rsid w:val="005F6AA9"/>
  </w:style>
  <w:style w:type="table" w:customStyle="1" w:styleId="Mkatabulky22311">
    <w:name w:val="Mřížka tabulky2231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2111">
    <w:name w:val="Světlý seznam – zvýraznění 12111"/>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221111">
    <w:name w:val="Mřížka tabulky22111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111">
    <w:name w:val="Mřížka tabulky22211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111">
    <w:name w:val="Mřížka tabulky21111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22">
    <w:name w:val="Bez seznamu1111122"/>
    <w:next w:val="Bezseznamu"/>
    <w:uiPriority w:val="99"/>
    <w:semiHidden/>
    <w:unhideWhenUsed/>
    <w:rsid w:val="005F6AA9"/>
  </w:style>
  <w:style w:type="numbering" w:customStyle="1" w:styleId="Bezseznamu4112">
    <w:name w:val="Bez seznamu4112"/>
    <w:next w:val="Bezseznamu"/>
    <w:uiPriority w:val="99"/>
    <w:semiHidden/>
    <w:unhideWhenUsed/>
    <w:rsid w:val="005F6AA9"/>
  </w:style>
  <w:style w:type="table" w:customStyle="1" w:styleId="Mkatabulky611">
    <w:name w:val="Mřížka tabulky611"/>
    <w:basedOn w:val="Normlntabulka"/>
    <w:next w:val="Mkatabulky"/>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1">
    <w:name w:val="Mřížka tabulky71"/>
    <w:basedOn w:val="Normlntabulka"/>
    <w:next w:val="Mkatabulky"/>
    <w:uiPriority w:val="3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1">
    <w:name w:val="Mřížka tabulky81"/>
    <w:basedOn w:val="Normlntabulka"/>
    <w:next w:val="Mkatabulky"/>
    <w:uiPriority w:val="39"/>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31">
    <w:name w:val="Světlý seznam – zvýraznění 1131"/>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tlseznamzvraznn1141">
    <w:name w:val="Světlý seznam – zvýraznění 1141"/>
    <w:basedOn w:val="Normlntabulka"/>
    <w:next w:val="Svtlseznamzvraznn1"/>
    <w:uiPriority w:val="61"/>
    <w:rsid w:val="005F6AA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katabulky621">
    <w:name w:val="Mřížka tabulky621"/>
    <w:basedOn w:val="Normlntabulka"/>
    <w:next w:val="Mkatabulky"/>
    <w:rsid w:val="005F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72">
    <w:name w:val="Bez seznamu72"/>
    <w:next w:val="Bezseznamu"/>
    <w:uiPriority w:val="99"/>
    <w:semiHidden/>
    <w:unhideWhenUsed/>
    <w:rsid w:val="005F6AA9"/>
  </w:style>
  <w:style w:type="table" w:customStyle="1" w:styleId="Mkatabulky91">
    <w:name w:val="Mřížka tabulky91"/>
    <w:basedOn w:val="Normlntabulka"/>
    <w:next w:val="Mkatabulky"/>
    <w:locked/>
    <w:rsid w:val="005F6AA9"/>
    <w:pPr>
      <w:spacing w:after="0" w:line="240" w:lineRule="auto"/>
    </w:pPr>
    <w:rPr>
      <w:rFonts w:ascii="Calibri" w:eastAsia="Times New Roman"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211">
    <w:name w:val="Světlý seznam – zvýraznění 211"/>
    <w:basedOn w:val="Normlntabulka"/>
    <w:next w:val="Svtlseznamzvraznn2"/>
    <w:uiPriority w:val="61"/>
    <w:locked/>
    <w:rsid w:val="005F6AA9"/>
    <w:pPr>
      <w:spacing w:after="0" w:line="240" w:lineRule="auto"/>
    </w:pPr>
    <w:rPr>
      <w:rFonts w:ascii="Calibri" w:eastAsia="Times New Roman" w:hAnsi="Calibri" w:cs="Times New Roman"/>
      <w:sz w:val="20"/>
      <w:szCs w:val="20"/>
      <w:lang w:eastAsia="cs-C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Svtlstnovnzvraznn211">
    <w:name w:val="Světlé stínování – zvýraznění 211"/>
    <w:basedOn w:val="Normlntabulka"/>
    <w:next w:val="Svtlstnovnzvraznn2"/>
    <w:uiPriority w:val="60"/>
    <w:locked/>
    <w:rsid w:val="005F6AA9"/>
    <w:pPr>
      <w:spacing w:after="0" w:line="240" w:lineRule="auto"/>
    </w:pPr>
    <w:rPr>
      <w:rFonts w:ascii="Calibri" w:eastAsia="Times New Roman" w:hAnsi="Calibri" w:cs="Times New Roman"/>
      <w:color w:val="943634"/>
      <w:sz w:val="20"/>
      <w:szCs w:val="20"/>
      <w:lang w:eastAsia="cs-CZ"/>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abulkasmkou2zvraznn511">
    <w:name w:val="Tabulka s mřížkou 2 – zvýraznění 511"/>
    <w:basedOn w:val="Normlntabulka"/>
    <w:uiPriority w:val="47"/>
    <w:locked/>
    <w:rsid w:val="005F6AA9"/>
    <w:pPr>
      <w:spacing w:after="0" w:line="240" w:lineRule="auto"/>
    </w:pPr>
    <w:rPr>
      <w:rFonts w:ascii="Calibri" w:eastAsia="Times New Roman" w:hAnsi="Calibri" w:cs="Times New Roman"/>
      <w:sz w:val="20"/>
      <w:szCs w:val="20"/>
      <w:lang w:eastAsia="cs-CZ"/>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rFonts w:cs="Times New Roman"/>
        <w:b/>
        <w:bCs/>
      </w:rPr>
      <w:tblPr/>
      <w:tcPr>
        <w:tcBorders>
          <w:top w:val="nil"/>
          <w:bottom w:val="single" w:sz="12" w:space="0" w:color="92CDDC"/>
          <w:insideH w:val="nil"/>
          <w:insideV w:val="nil"/>
        </w:tcBorders>
        <w:shd w:val="clear" w:color="auto" w:fill="FFFFFF"/>
      </w:tcPr>
    </w:tblStylePr>
    <w:tblStylePr w:type="lastRow">
      <w:rPr>
        <w:rFonts w:cs="Times New Roman"/>
        <w:b/>
        <w:bCs/>
      </w:rPr>
      <w:tblPr/>
      <w:tcPr>
        <w:tcBorders>
          <w:top w:val="double" w:sz="2" w:space="0" w:color="92CDDC"/>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table" w:customStyle="1" w:styleId="Mkatabulky151">
    <w:name w:val="Mřížka tabulky151"/>
    <w:basedOn w:val="Normlntabulka"/>
    <w:next w:val="Mkatabulky"/>
    <w:locked/>
    <w:rsid w:val="005F6AA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mkou4zvraznn311">
    <w:name w:val="Tabulka s mřížkou 4 – zvýraznění 311"/>
    <w:basedOn w:val="Normlntabulka"/>
    <w:uiPriority w:val="49"/>
    <w:locked/>
    <w:rsid w:val="005F6AA9"/>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ulkasmkou4zvraznn611">
    <w:name w:val="Tabulka s mřížkou 4 – zvýraznění 611"/>
    <w:basedOn w:val="Normlntabulka"/>
    <w:uiPriority w:val="49"/>
    <w:rsid w:val="005F6AA9"/>
    <w:pPr>
      <w:spacing w:after="0" w:line="240" w:lineRule="auto"/>
    </w:pPr>
    <w:rPr>
      <w:rFonts w:eastAsia="Times New Roman" w:cs="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Svtlseznamzvraznn22">
    <w:name w:val="Světlý seznam – zvýraznění 22"/>
    <w:basedOn w:val="Normlntabulka"/>
    <w:next w:val="Svtlseznamzvraznn2"/>
    <w:uiPriority w:val="61"/>
    <w:unhideWhenUsed/>
    <w:rsid w:val="005F6AA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Svtlstnovnzvraznn22">
    <w:name w:val="Světlé stínování – zvýraznění 22"/>
    <w:basedOn w:val="Normlntabulka"/>
    <w:next w:val="Svtlstnovnzvraznn2"/>
    <w:uiPriority w:val="60"/>
    <w:unhideWhenUsed/>
    <w:rsid w:val="005F6AA9"/>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Bezseznamu82">
    <w:name w:val="Bez seznamu82"/>
    <w:next w:val="Bezseznamu"/>
    <w:uiPriority w:val="99"/>
    <w:semiHidden/>
    <w:unhideWhenUsed/>
    <w:rsid w:val="005F6AA9"/>
  </w:style>
  <w:style w:type="numbering" w:customStyle="1" w:styleId="Bezseznamu92">
    <w:name w:val="Bez seznamu92"/>
    <w:next w:val="Bezseznamu"/>
    <w:uiPriority w:val="99"/>
    <w:semiHidden/>
    <w:unhideWhenUsed/>
    <w:rsid w:val="005F6AA9"/>
  </w:style>
  <w:style w:type="table" w:customStyle="1" w:styleId="Mkatabulky251">
    <w:name w:val="Mřížka tabulky251"/>
    <w:basedOn w:val="Normlntabulka"/>
    <w:next w:val="Mkatabulky"/>
    <w:rsid w:val="005F6AA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1111">
    <w:name w:val="Bez seznamu111111111"/>
    <w:next w:val="Bezseznamu"/>
    <w:uiPriority w:val="99"/>
    <w:semiHidden/>
    <w:unhideWhenUsed/>
    <w:rsid w:val="005F6AA9"/>
  </w:style>
  <w:style w:type="numbering" w:customStyle="1" w:styleId="seznamliteratury2">
    <w:name w:val="seznam literatury2"/>
    <w:locked/>
    <w:rsid w:val="0039748C"/>
    <w:pPr>
      <w:numPr>
        <w:numId w:val="13"/>
      </w:numPr>
    </w:pPr>
  </w:style>
  <w:style w:type="numbering" w:customStyle="1" w:styleId="WW8Num32">
    <w:name w:val="WW8Num32"/>
    <w:basedOn w:val="Bezseznamu"/>
    <w:rsid w:val="0039748C"/>
    <w:pPr>
      <w:numPr>
        <w:numId w:val="65"/>
      </w:numPr>
    </w:pPr>
  </w:style>
  <w:style w:type="table" w:customStyle="1" w:styleId="Mkatabulky252">
    <w:name w:val="Mřížka tabulky252"/>
    <w:basedOn w:val="Normlntabulka"/>
    <w:next w:val="Mkatabulky"/>
    <w:rsid w:val="004F18D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53">
    <w:name w:val="Mřížka tabulky253"/>
    <w:basedOn w:val="Normlntabulka"/>
    <w:next w:val="Mkatabulky"/>
    <w:rsid w:val="004D65E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7">
    <w:name w:val="Mřížka tabulky17"/>
    <w:basedOn w:val="Normlntabulka"/>
    <w:next w:val="Mkatabulky"/>
    <w:uiPriority w:val="39"/>
    <w:rsid w:val="008E7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8">
    <w:name w:val="Bez seznamu18"/>
    <w:next w:val="Bezseznamu"/>
    <w:uiPriority w:val="99"/>
    <w:semiHidden/>
    <w:unhideWhenUsed/>
    <w:rsid w:val="00FB1999"/>
  </w:style>
  <w:style w:type="table" w:customStyle="1" w:styleId="Mkatabulky226">
    <w:name w:val="Mřížka tabulky226"/>
    <w:basedOn w:val="Normlntabulka"/>
    <w:next w:val="Mkatabulky"/>
    <w:rsid w:val="00FB199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8">
    <w:name w:val="Mřížka tabulky18"/>
    <w:basedOn w:val="Normlntabulka"/>
    <w:next w:val="Mkatabulky"/>
    <w:uiPriority w:val="39"/>
    <w:rsid w:val="00FB1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ovn2Char">
    <w:name w:val="číslování 2 Char"/>
    <w:link w:val="slovn2"/>
    <w:locked/>
    <w:rsid w:val="00FB1999"/>
    <w:rPr>
      <w:rFonts w:ascii="Arial" w:eastAsia="Arial Unicode MS" w:hAnsi="Arial" w:cs="Arial"/>
      <w:sz w:val="24"/>
      <w:szCs w:val="24"/>
      <w:lang w:eastAsia="cs-CZ"/>
    </w:rPr>
  </w:style>
  <w:style w:type="paragraph" w:customStyle="1" w:styleId="1">
    <w:name w:val="Č1"/>
    <w:basedOn w:val="Normln"/>
    <w:link w:val="1Char"/>
    <w:rsid w:val="00FB1999"/>
    <w:pPr>
      <w:numPr>
        <w:numId w:val="219"/>
      </w:numPr>
      <w:shd w:val="clear" w:color="auto" w:fill="FFFFFF" w:themeFill="background1"/>
      <w:spacing w:line="276" w:lineRule="auto"/>
      <w:ind w:left="567" w:hanging="567"/>
    </w:pPr>
    <w:rPr>
      <w:rFonts w:ascii="Arial" w:eastAsia="Arial Unicode MS" w:hAnsi="Arial" w:cs="Arial"/>
      <w:bCs/>
      <w:sz w:val="24"/>
      <w:szCs w:val="24"/>
      <w:lang w:eastAsia="cs-CZ"/>
    </w:rPr>
  </w:style>
  <w:style w:type="character" w:customStyle="1" w:styleId="1Char">
    <w:name w:val="Č1 Char"/>
    <w:basedOn w:val="Standardnpsmoodstavce"/>
    <w:link w:val="1"/>
    <w:rsid w:val="00FB1999"/>
    <w:rPr>
      <w:rFonts w:ascii="Arial" w:eastAsia="Arial Unicode MS" w:hAnsi="Arial" w:cs="Arial"/>
      <w:bCs/>
      <w:sz w:val="24"/>
      <w:szCs w:val="24"/>
      <w:shd w:val="clear" w:color="auto" w:fill="FFFFFF" w:themeFill="background1"/>
      <w:lang w:eastAsia="cs-CZ"/>
    </w:rPr>
  </w:style>
  <w:style w:type="paragraph" w:customStyle="1" w:styleId="Zkladntextodsazendek">
    <w:name w:val="Základní text odsazený řádek"/>
    <w:basedOn w:val="Normln"/>
    <w:link w:val="ZkladntextodsazendekChar"/>
    <w:rsid w:val="00FB1999"/>
    <w:pPr>
      <w:widowControl w:val="0"/>
      <w:spacing w:after="120" w:line="276" w:lineRule="auto"/>
      <w:ind w:firstLine="567"/>
    </w:pPr>
    <w:rPr>
      <w:rFonts w:ascii="Arial" w:hAnsi="Arial" w:cs="Arial"/>
      <w:sz w:val="24"/>
      <w:lang w:eastAsia="cs-CZ"/>
    </w:rPr>
  </w:style>
  <w:style w:type="character" w:customStyle="1" w:styleId="ZkladntextodsazendekChar">
    <w:name w:val="Základní text odsazený řádek Char"/>
    <w:basedOn w:val="Standardnpsmoodstavce"/>
    <w:link w:val="Zkladntextodsazendek"/>
    <w:locked/>
    <w:rsid w:val="00FB1999"/>
    <w:rPr>
      <w:rFonts w:ascii="Arial" w:hAnsi="Arial" w:cs="Arial"/>
      <w:sz w:val="24"/>
      <w:lang w:eastAsia="cs-CZ"/>
    </w:rPr>
  </w:style>
  <w:style w:type="character" w:customStyle="1" w:styleId="PodtitulChar1">
    <w:name w:val="Podtitul Char1"/>
    <w:basedOn w:val="Standardnpsmoodstavce"/>
    <w:uiPriority w:val="99"/>
    <w:rsid w:val="00AF4350"/>
    <w:rPr>
      <w:rFonts w:eastAsiaTheme="minorEastAsia"/>
      <w:color w:val="5A5A5A" w:themeColor="text1" w:themeTint="A5"/>
      <w:spacing w:val="15"/>
    </w:rPr>
  </w:style>
  <w:style w:type="paragraph" w:customStyle="1" w:styleId="Tun">
    <w:name w:val="Tučně"/>
    <w:basedOn w:val="Podtreno"/>
    <w:link w:val="TunChar"/>
    <w:qFormat/>
    <w:rsid w:val="00FF4F44"/>
    <w:pPr>
      <w:keepNext/>
    </w:pPr>
    <w:rPr>
      <w:b/>
      <w:u w:val="none"/>
    </w:rPr>
  </w:style>
  <w:style w:type="table" w:customStyle="1" w:styleId="Mkatabulky19">
    <w:name w:val="Mřížka tabulky19"/>
    <w:basedOn w:val="Normlntabulka"/>
    <w:next w:val="Mkatabulky"/>
    <w:uiPriority w:val="39"/>
    <w:rsid w:val="0058706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unChar">
    <w:name w:val="Tučně Char"/>
    <w:basedOn w:val="PodtrenoChar"/>
    <w:link w:val="Tun"/>
    <w:rsid w:val="00FF4F44"/>
    <w:rPr>
      <w:rFonts w:ascii="Segoe UI" w:eastAsia="Arial Unicode MS" w:hAnsi="Segoe UI" w:cs="Segoe UI"/>
      <w:b/>
      <w:color w:val="000000"/>
      <w:sz w:val="20"/>
      <w:szCs w:val="20"/>
      <w:u w:val="single"/>
      <w:lang w:eastAsia="cs-CZ"/>
    </w:rPr>
  </w:style>
  <w:style w:type="paragraph" w:customStyle="1" w:styleId="odrkaSWOT">
    <w:name w:val="odrážka SWOT"/>
    <w:basedOn w:val="Normln"/>
    <w:link w:val="odrkaSWOTChar"/>
    <w:qFormat/>
    <w:rsid w:val="00806448"/>
    <w:pPr>
      <w:numPr>
        <w:numId w:val="84"/>
      </w:numPr>
      <w:spacing w:before="0"/>
      <w:ind w:left="357" w:hanging="357"/>
      <w:contextualSpacing/>
      <w:jc w:val="left"/>
    </w:pPr>
    <w:rPr>
      <w:rFonts w:cs="Segoe UI"/>
      <w:color w:val="000000" w:themeColor="text1"/>
      <w:sz w:val="18"/>
      <w:szCs w:val="19"/>
      <w:lang w:eastAsia="cs-CZ"/>
    </w:rPr>
  </w:style>
  <w:style w:type="character" w:customStyle="1" w:styleId="odrkaSWOTChar">
    <w:name w:val="odrážka SWOT Char"/>
    <w:basedOn w:val="Standardnpsmoodstavce"/>
    <w:link w:val="odrkaSWOT"/>
    <w:rsid w:val="00806448"/>
    <w:rPr>
      <w:rFonts w:ascii="Segoe UI" w:eastAsia="Times New Roman" w:hAnsi="Segoe UI" w:cs="Segoe UI"/>
      <w:color w:val="000000" w:themeColor="text1"/>
      <w:sz w:val="18"/>
      <w:szCs w:val="19"/>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954">
      <w:bodyDiv w:val="1"/>
      <w:marLeft w:val="0"/>
      <w:marRight w:val="0"/>
      <w:marTop w:val="0"/>
      <w:marBottom w:val="0"/>
      <w:divBdr>
        <w:top w:val="none" w:sz="0" w:space="0" w:color="auto"/>
        <w:left w:val="none" w:sz="0" w:space="0" w:color="auto"/>
        <w:bottom w:val="none" w:sz="0" w:space="0" w:color="auto"/>
        <w:right w:val="none" w:sz="0" w:space="0" w:color="auto"/>
      </w:divBdr>
    </w:div>
    <w:div w:id="121966163">
      <w:bodyDiv w:val="1"/>
      <w:marLeft w:val="0"/>
      <w:marRight w:val="0"/>
      <w:marTop w:val="0"/>
      <w:marBottom w:val="0"/>
      <w:divBdr>
        <w:top w:val="none" w:sz="0" w:space="0" w:color="auto"/>
        <w:left w:val="none" w:sz="0" w:space="0" w:color="auto"/>
        <w:bottom w:val="none" w:sz="0" w:space="0" w:color="auto"/>
        <w:right w:val="none" w:sz="0" w:space="0" w:color="auto"/>
      </w:divBdr>
    </w:div>
    <w:div w:id="358702086">
      <w:bodyDiv w:val="1"/>
      <w:marLeft w:val="0"/>
      <w:marRight w:val="0"/>
      <w:marTop w:val="0"/>
      <w:marBottom w:val="0"/>
      <w:divBdr>
        <w:top w:val="none" w:sz="0" w:space="0" w:color="auto"/>
        <w:left w:val="none" w:sz="0" w:space="0" w:color="auto"/>
        <w:bottom w:val="none" w:sz="0" w:space="0" w:color="auto"/>
        <w:right w:val="none" w:sz="0" w:space="0" w:color="auto"/>
      </w:divBdr>
      <w:divsChild>
        <w:div w:id="1789547072">
          <w:marLeft w:val="547"/>
          <w:marRight w:val="0"/>
          <w:marTop w:val="120"/>
          <w:marBottom w:val="0"/>
          <w:divBdr>
            <w:top w:val="none" w:sz="0" w:space="0" w:color="auto"/>
            <w:left w:val="none" w:sz="0" w:space="0" w:color="auto"/>
            <w:bottom w:val="none" w:sz="0" w:space="0" w:color="auto"/>
            <w:right w:val="none" w:sz="0" w:space="0" w:color="auto"/>
          </w:divBdr>
        </w:div>
        <w:div w:id="892351959">
          <w:marLeft w:val="547"/>
          <w:marRight w:val="0"/>
          <w:marTop w:val="120"/>
          <w:marBottom w:val="0"/>
          <w:divBdr>
            <w:top w:val="none" w:sz="0" w:space="0" w:color="auto"/>
            <w:left w:val="none" w:sz="0" w:space="0" w:color="auto"/>
            <w:bottom w:val="none" w:sz="0" w:space="0" w:color="auto"/>
            <w:right w:val="none" w:sz="0" w:space="0" w:color="auto"/>
          </w:divBdr>
        </w:div>
        <w:div w:id="1806043571">
          <w:marLeft w:val="547"/>
          <w:marRight w:val="0"/>
          <w:marTop w:val="120"/>
          <w:marBottom w:val="0"/>
          <w:divBdr>
            <w:top w:val="none" w:sz="0" w:space="0" w:color="auto"/>
            <w:left w:val="none" w:sz="0" w:space="0" w:color="auto"/>
            <w:bottom w:val="none" w:sz="0" w:space="0" w:color="auto"/>
            <w:right w:val="none" w:sz="0" w:space="0" w:color="auto"/>
          </w:divBdr>
        </w:div>
        <w:div w:id="1265066203">
          <w:marLeft w:val="547"/>
          <w:marRight w:val="0"/>
          <w:marTop w:val="120"/>
          <w:marBottom w:val="0"/>
          <w:divBdr>
            <w:top w:val="none" w:sz="0" w:space="0" w:color="auto"/>
            <w:left w:val="none" w:sz="0" w:space="0" w:color="auto"/>
            <w:bottom w:val="none" w:sz="0" w:space="0" w:color="auto"/>
            <w:right w:val="none" w:sz="0" w:space="0" w:color="auto"/>
          </w:divBdr>
        </w:div>
        <w:div w:id="1701858163">
          <w:marLeft w:val="547"/>
          <w:marRight w:val="0"/>
          <w:marTop w:val="120"/>
          <w:marBottom w:val="0"/>
          <w:divBdr>
            <w:top w:val="none" w:sz="0" w:space="0" w:color="auto"/>
            <w:left w:val="none" w:sz="0" w:space="0" w:color="auto"/>
            <w:bottom w:val="none" w:sz="0" w:space="0" w:color="auto"/>
            <w:right w:val="none" w:sz="0" w:space="0" w:color="auto"/>
          </w:divBdr>
        </w:div>
      </w:divsChild>
    </w:div>
    <w:div w:id="386031248">
      <w:bodyDiv w:val="1"/>
      <w:marLeft w:val="0"/>
      <w:marRight w:val="0"/>
      <w:marTop w:val="0"/>
      <w:marBottom w:val="0"/>
      <w:divBdr>
        <w:top w:val="none" w:sz="0" w:space="0" w:color="auto"/>
        <w:left w:val="none" w:sz="0" w:space="0" w:color="auto"/>
        <w:bottom w:val="none" w:sz="0" w:space="0" w:color="auto"/>
        <w:right w:val="none" w:sz="0" w:space="0" w:color="auto"/>
      </w:divBdr>
    </w:div>
    <w:div w:id="570501572">
      <w:bodyDiv w:val="1"/>
      <w:marLeft w:val="0"/>
      <w:marRight w:val="0"/>
      <w:marTop w:val="0"/>
      <w:marBottom w:val="0"/>
      <w:divBdr>
        <w:top w:val="none" w:sz="0" w:space="0" w:color="auto"/>
        <w:left w:val="none" w:sz="0" w:space="0" w:color="auto"/>
        <w:bottom w:val="none" w:sz="0" w:space="0" w:color="auto"/>
        <w:right w:val="none" w:sz="0" w:space="0" w:color="auto"/>
      </w:divBdr>
    </w:div>
    <w:div w:id="573702929">
      <w:bodyDiv w:val="1"/>
      <w:marLeft w:val="0"/>
      <w:marRight w:val="0"/>
      <w:marTop w:val="0"/>
      <w:marBottom w:val="0"/>
      <w:divBdr>
        <w:top w:val="none" w:sz="0" w:space="0" w:color="auto"/>
        <w:left w:val="none" w:sz="0" w:space="0" w:color="auto"/>
        <w:bottom w:val="none" w:sz="0" w:space="0" w:color="auto"/>
        <w:right w:val="none" w:sz="0" w:space="0" w:color="auto"/>
      </w:divBdr>
    </w:div>
    <w:div w:id="601231845">
      <w:bodyDiv w:val="1"/>
      <w:marLeft w:val="0"/>
      <w:marRight w:val="0"/>
      <w:marTop w:val="0"/>
      <w:marBottom w:val="0"/>
      <w:divBdr>
        <w:top w:val="none" w:sz="0" w:space="0" w:color="auto"/>
        <w:left w:val="none" w:sz="0" w:space="0" w:color="auto"/>
        <w:bottom w:val="none" w:sz="0" w:space="0" w:color="auto"/>
        <w:right w:val="none" w:sz="0" w:space="0" w:color="auto"/>
      </w:divBdr>
    </w:div>
    <w:div w:id="703362877">
      <w:bodyDiv w:val="1"/>
      <w:marLeft w:val="0"/>
      <w:marRight w:val="0"/>
      <w:marTop w:val="0"/>
      <w:marBottom w:val="0"/>
      <w:divBdr>
        <w:top w:val="none" w:sz="0" w:space="0" w:color="auto"/>
        <w:left w:val="none" w:sz="0" w:space="0" w:color="auto"/>
        <w:bottom w:val="none" w:sz="0" w:space="0" w:color="auto"/>
        <w:right w:val="none" w:sz="0" w:space="0" w:color="auto"/>
      </w:divBdr>
    </w:div>
    <w:div w:id="740913003">
      <w:bodyDiv w:val="1"/>
      <w:marLeft w:val="0"/>
      <w:marRight w:val="0"/>
      <w:marTop w:val="0"/>
      <w:marBottom w:val="0"/>
      <w:divBdr>
        <w:top w:val="none" w:sz="0" w:space="0" w:color="auto"/>
        <w:left w:val="none" w:sz="0" w:space="0" w:color="auto"/>
        <w:bottom w:val="none" w:sz="0" w:space="0" w:color="auto"/>
        <w:right w:val="none" w:sz="0" w:space="0" w:color="auto"/>
      </w:divBdr>
    </w:div>
    <w:div w:id="1054697374">
      <w:bodyDiv w:val="1"/>
      <w:marLeft w:val="0"/>
      <w:marRight w:val="0"/>
      <w:marTop w:val="0"/>
      <w:marBottom w:val="0"/>
      <w:divBdr>
        <w:top w:val="none" w:sz="0" w:space="0" w:color="auto"/>
        <w:left w:val="none" w:sz="0" w:space="0" w:color="auto"/>
        <w:bottom w:val="none" w:sz="0" w:space="0" w:color="auto"/>
        <w:right w:val="none" w:sz="0" w:space="0" w:color="auto"/>
      </w:divBdr>
    </w:div>
    <w:div w:id="1143082406">
      <w:bodyDiv w:val="1"/>
      <w:marLeft w:val="0"/>
      <w:marRight w:val="0"/>
      <w:marTop w:val="0"/>
      <w:marBottom w:val="0"/>
      <w:divBdr>
        <w:top w:val="none" w:sz="0" w:space="0" w:color="auto"/>
        <w:left w:val="none" w:sz="0" w:space="0" w:color="auto"/>
        <w:bottom w:val="none" w:sz="0" w:space="0" w:color="auto"/>
        <w:right w:val="none" w:sz="0" w:space="0" w:color="auto"/>
      </w:divBdr>
    </w:div>
    <w:div w:id="1177962860">
      <w:bodyDiv w:val="1"/>
      <w:marLeft w:val="0"/>
      <w:marRight w:val="0"/>
      <w:marTop w:val="0"/>
      <w:marBottom w:val="0"/>
      <w:divBdr>
        <w:top w:val="none" w:sz="0" w:space="0" w:color="auto"/>
        <w:left w:val="none" w:sz="0" w:space="0" w:color="auto"/>
        <w:bottom w:val="none" w:sz="0" w:space="0" w:color="auto"/>
        <w:right w:val="none" w:sz="0" w:space="0" w:color="auto"/>
      </w:divBdr>
    </w:div>
    <w:div w:id="1476144873">
      <w:bodyDiv w:val="1"/>
      <w:marLeft w:val="0"/>
      <w:marRight w:val="0"/>
      <w:marTop w:val="0"/>
      <w:marBottom w:val="0"/>
      <w:divBdr>
        <w:top w:val="none" w:sz="0" w:space="0" w:color="auto"/>
        <w:left w:val="none" w:sz="0" w:space="0" w:color="auto"/>
        <w:bottom w:val="none" w:sz="0" w:space="0" w:color="auto"/>
        <w:right w:val="none" w:sz="0" w:space="0" w:color="auto"/>
      </w:divBdr>
    </w:div>
    <w:div w:id="1561482865">
      <w:bodyDiv w:val="1"/>
      <w:marLeft w:val="0"/>
      <w:marRight w:val="0"/>
      <w:marTop w:val="0"/>
      <w:marBottom w:val="0"/>
      <w:divBdr>
        <w:top w:val="none" w:sz="0" w:space="0" w:color="auto"/>
        <w:left w:val="none" w:sz="0" w:space="0" w:color="auto"/>
        <w:bottom w:val="none" w:sz="0" w:space="0" w:color="auto"/>
        <w:right w:val="none" w:sz="0" w:space="0" w:color="auto"/>
      </w:divBdr>
    </w:div>
    <w:div w:id="2044624074">
      <w:bodyDiv w:val="1"/>
      <w:marLeft w:val="0"/>
      <w:marRight w:val="0"/>
      <w:marTop w:val="0"/>
      <w:marBottom w:val="0"/>
      <w:divBdr>
        <w:top w:val="none" w:sz="0" w:space="0" w:color="auto"/>
        <w:left w:val="none" w:sz="0" w:space="0" w:color="auto"/>
        <w:bottom w:val="none" w:sz="0" w:space="0" w:color="auto"/>
        <w:right w:val="none" w:sz="0" w:space="0" w:color="auto"/>
      </w:divBdr>
    </w:div>
    <w:div w:id="205530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chart" Target="charts/chart1.xml"/><Relationship Id="rId47" Type="http://schemas.openxmlformats.org/officeDocument/2006/relationships/hyperlink" Target="http://www.mpsv.cz/files/clanky/10774/umluva_CJ_rev.pdf" TargetMode="External"/><Relationship Id="rId63" Type="http://schemas.openxmlformats.org/officeDocument/2006/relationships/diagramColors" Target="diagrams/colors2.xml"/><Relationship Id="rId68" Type="http://schemas.openxmlformats.org/officeDocument/2006/relationships/hyperlink" Target="https://www.mpsv.cz/documents/20142/225517/K3_Metodick%C3%A1_doporu%C4%8Den%C3%AD_v2.pdf/d812783a-e5cb-1dbb-daf8-6975b13af8b3" TargetMode="External"/><Relationship Id="rId84" Type="http://schemas.openxmlformats.org/officeDocument/2006/relationships/hyperlink" Target="mailto:blanka.hruba@prerov.eu" TargetMode="External"/><Relationship Id="rId89" Type="http://schemas.openxmlformats.org/officeDocument/2006/relationships/hyperlink" Target="mailto:alena.horakova@prostejov.eu"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hyperlink" Target="mailto:Marcela.vejmelkova@prostejov.eu"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png"/><Relationship Id="rId53" Type="http://schemas.openxmlformats.org/officeDocument/2006/relationships/image" Target="media/image34.png"/><Relationship Id="rId58" Type="http://schemas.openxmlformats.org/officeDocument/2006/relationships/hyperlink" Target="mailto:sitovani@olkraj.cz" TargetMode="External"/><Relationship Id="rId66" Type="http://schemas.openxmlformats.org/officeDocument/2006/relationships/image" Target="media/image40.png"/><Relationship Id="rId74" Type="http://schemas.openxmlformats.org/officeDocument/2006/relationships/hyperlink" Target="mailto:p.podivinsky@olkraj.cz" TargetMode="External"/><Relationship Id="rId79" Type="http://schemas.openxmlformats.org/officeDocument/2006/relationships/hyperlink" Target="mailto:h.bodnarova@olkraj.cz" TargetMode="External"/><Relationship Id="rId87" Type="http://schemas.openxmlformats.org/officeDocument/2006/relationships/hyperlink" Target="mailto:dagmar.prachniarova@olomouc.eu" TargetMode="External"/><Relationship Id="rId102" Type="http://schemas.openxmlformats.org/officeDocument/2006/relationships/hyperlink" Target="mailto:jemelkova@mesto-lipnik.cz" TargetMode="External"/><Relationship Id="rId5" Type="http://schemas.openxmlformats.org/officeDocument/2006/relationships/webSettings" Target="webSettings.xml"/><Relationship Id="rId61" Type="http://schemas.openxmlformats.org/officeDocument/2006/relationships/diagramLayout" Target="diagrams/layout2.xml"/><Relationship Id="rId82" Type="http://schemas.openxmlformats.org/officeDocument/2006/relationships/hyperlink" Target="mailto:slavena.karkoskova@sumperk.cz" TargetMode="External"/><Relationship Id="rId90" Type="http://schemas.openxmlformats.org/officeDocument/2006/relationships/hyperlink" Target="mailto:vlcek@mesto-lipnik.cz" TargetMode="External"/><Relationship Id="rId95" Type="http://schemas.openxmlformats.org/officeDocument/2006/relationships/hyperlink" Target="mailto:pavla.skalova@sumperk.cz"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chart" Target="charts/chart2.xml"/><Relationship Id="rId48" Type="http://schemas.openxmlformats.org/officeDocument/2006/relationships/diagramData" Target="diagrams/data1.xml"/><Relationship Id="rId56" Type="http://schemas.openxmlformats.org/officeDocument/2006/relationships/image" Target="media/image37.png"/><Relationship Id="rId64" Type="http://schemas.microsoft.com/office/2007/relationships/diagramDrawing" Target="diagrams/drawing2.xml"/><Relationship Id="rId69" Type="http://schemas.openxmlformats.org/officeDocument/2006/relationships/hyperlink" Target="https://1url.cz/WrE66" TargetMode="External"/><Relationship Id="rId77" Type="http://schemas.openxmlformats.org/officeDocument/2006/relationships/hyperlink" Target="mailto:p.drexler@olkraj.cz" TargetMode="External"/><Relationship Id="rId100" Type="http://schemas.openxmlformats.org/officeDocument/2006/relationships/hyperlink" Target="mailto:jana.krivankova@mujes.cz" TargetMode="External"/><Relationship Id="rId105" Type="http://schemas.openxmlformats.org/officeDocument/2006/relationships/hyperlink" Target="mailto:zajacova@sternberk.cz" TargetMode="External"/><Relationship Id="rId8" Type="http://schemas.openxmlformats.org/officeDocument/2006/relationships/image" Target="media/image1.png"/><Relationship Id="rId51" Type="http://schemas.openxmlformats.org/officeDocument/2006/relationships/diagramColors" Target="diagrams/colors1.xml"/><Relationship Id="rId72" Type="http://schemas.openxmlformats.org/officeDocument/2006/relationships/hyperlink" Target="mailto:v.navratilova@olkra.cz" TargetMode="External"/><Relationship Id="rId80" Type="http://schemas.openxmlformats.org/officeDocument/2006/relationships/hyperlink" Target="mailto:k.spacilova@olkraj.cz" TargetMode="External"/><Relationship Id="rId85" Type="http://schemas.openxmlformats.org/officeDocument/2006/relationships/hyperlink" Target="mailto:fricarovae@mohelnice.cz" TargetMode="External"/><Relationship Id="rId93" Type="http://schemas.openxmlformats.org/officeDocument/2006/relationships/hyperlink" Target="mailto:zajacova@sternberk.cz" TargetMode="External"/><Relationship Id="rId98" Type="http://schemas.openxmlformats.org/officeDocument/2006/relationships/hyperlink" Target="mailto:fricarovae@mohelnice.cz"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hyperlink" Target="mailto:sitovani@olkraj.cz" TargetMode="External"/><Relationship Id="rId67" Type="http://schemas.openxmlformats.org/officeDocument/2006/relationships/hyperlink" Target="https://www.feantsa.org/download/cz___8621229557703714801.pdf" TargetMode="External"/><Relationship Id="rId103" Type="http://schemas.openxmlformats.org/officeDocument/2006/relationships/hyperlink" Target="mailto:prochazka@mestolitovel.cz" TargetMode="External"/><Relationship Id="rId108"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5.png"/><Relationship Id="rId62" Type="http://schemas.openxmlformats.org/officeDocument/2006/relationships/diagramQuickStyle" Target="diagrams/quickStyle2.xml"/><Relationship Id="rId70" Type="http://schemas.openxmlformats.org/officeDocument/2006/relationships/hyperlink" Target="mailto:z.vocka@olkraj.cz" TargetMode="External"/><Relationship Id="rId75" Type="http://schemas.openxmlformats.org/officeDocument/2006/relationships/hyperlink" Target="mailto:h.zatloukalova@olkraj.cz" TargetMode="External"/><Relationship Id="rId83" Type="http://schemas.openxmlformats.org/officeDocument/2006/relationships/hyperlink" Target="mailto:jana.kapplova@muzabreh.cz" TargetMode="External"/><Relationship Id="rId88" Type="http://schemas.openxmlformats.org/officeDocument/2006/relationships/hyperlink" Target="mailto:marketa.hlavickova@mesto-hranice.cz" TargetMode="External"/><Relationship Id="rId91" Type="http://schemas.openxmlformats.org/officeDocument/2006/relationships/hyperlink" Target="mailto:Ludmila.zavadilova@sternberk.charita.cz" TargetMode="External"/><Relationship Id="rId96" Type="http://schemas.openxmlformats.org/officeDocument/2006/relationships/hyperlink" Target="mailto:jana.kapplova@muzabreh.c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diagramLayout" Target="diagrams/layout1.xml"/><Relationship Id="rId57" Type="http://schemas.openxmlformats.org/officeDocument/2006/relationships/image" Target="media/image38.emf"/><Relationship Id="rId106" Type="http://schemas.openxmlformats.org/officeDocument/2006/relationships/hyperlink" Target="mailto:michaela.pesanova@mesto-hranice.cz"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chart" Target="charts/chart3.xml"/><Relationship Id="rId52" Type="http://schemas.microsoft.com/office/2007/relationships/diagramDrawing" Target="diagrams/drawing1.xml"/><Relationship Id="rId60" Type="http://schemas.openxmlformats.org/officeDocument/2006/relationships/diagramData" Target="diagrams/data2.xml"/><Relationship Id="rId65" Type="http://schemas.openxmlformats.org/officeDocument/2006/relationships/image" Target="media/image39.png"/><Relationship Id="rId73" Type="http://schemas.openxmlformats.org/officeDocument/2006/relationships/hyperlink" Target="mailto:o.nepsinska@olkraj.cz" TargetMode="External"/><Relationship Id="rId78" Type="http://schemas.openxmlformats.org/officeDocument/2006/relationships/hyperlink" Target="mailto:z.starostova@olkraj.cz" TargetMode="External"/><Relationship Id="rId81" Type="http://schemas.openxmlformats.org/officeDocument/2006/relationships/hyperlink" Target="mailto:k.gajdosova@olkraj.cz" TargetMode="External"/><Relationship Id="rId86" Type="http://schemas.openxmlformats.org/officeDocument/2006/relationships/hyperlink" Target="mailto:bohumila.ptackova@mujes.cz" TargetMode="External"/><Relationship Id="rId94" Type="http://schemas.openxmlformats.org/officeDocument/2006/relationships/hyperlink" Target="mailto:a.stavova@radnice.kojetin.cz" TargetMode="External"/><Relationship Id="rId99" Type="http://schemas.openxmlformats.org/officeDocument/2006/relationships/hyperlink" Target="mailto:hana.koudelkova@konice.cz" TargetMode="External"/><Relationship Id="rId101" Type="http://schemas.openxmlformats.org/officeDocument/2006/relationships/hyperlink" Target="mailto:michal.majer@olomouc.eu" TargetMode="External"/><Relationship Id="rId4" Type="http://schemas.openxmlformats.org/officeDocument/2006/relationships/settings" Target="settings.xml"/><Relationship Id="rId9" Type="http://schemas.openxmlformats.org/officeDocument/2006/relationships/hyperlink" Target="http://www.olkraj.cz/" TargetMode="External"/><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diagramQuickStyle" Target="diagrams/quickStyle1.xml"/><Relationship Id="rId55" Type="http://schemas.openxmlformats.org/officeDocument/2006/relationships/image" Target="media/image36.png"/><Relationship Id="rId76" Type="http://schemas.openxmlformats.org/officeDocument/2006/relationships/hyperlink" Target="mailto:p.hemzska@olkraj.cz" TargetMode="External"/><Relationship Id="rId97" Type="http://schemas.openxmlformats.org/officeDocument/2006/relationships/hyperlink" Target="mailto:romana.pospisilova@prerov.eu" TargetMode="External"/><Relationship Id="rId104" Type="http://schemas.openxmlformats.org/officeDocument/2006/relationships/hyperlink" Target="mailto:iolbert@unicov.cz" TargetMode="External"/><Relationship Id="rId7" Type="http://schemas.openxmlformats.org/officeDocument/2006/relationships/endnotes" Target="endnotes.xml"/><Relationship Id="rId71" Type="http://schemas.openxmlformats.org/officeDocument/2006/relationships/hyperlink" Target="mailto:i.slavotinek@olkraj.cz" TargetMode="External"/><Relationship Id="rId92" Type="http://schemas.openxmlformats.org/officeDocument/2006/relationships/hyperlink" Target="mailto:kpss.unicov@seznam.cz"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eskatelevize.cz/porady/10861835905-pet-statecnych/" TargetMode="External"/><Relationship Id="rId2" Type="http://schemas.openxmlformats.org/officeDocument/2006/relationships/hyperlink" Target="https://www.feantsa.org/download/cz___8621229557703714801.pdf" TargetMode="External"/><Relationship Id="rId1" Type="http://schemas.openxmlformats.org/officeDocument/2006/relationships/hyperlink" Target="https://www.mpsv.cz/files/clanky/23439/kriteria_111115.pdf" TargetMode="External"/><Relationship Id="rId5" Type="http://schemas.openxmlformats.org/officeDocument/2006/relationships/hyperlink" Target="https://cs.wikipedia.org/wiki/Speci%C3%A1ln%C3%AD:Zdroje_knih/9788073151980" TargetMode="External"/><Relationship Id="rId4" Type="http://schemas.openxmlformats.org/officeDocument/2006/relationships/hyperlink" Target="https://cs.wikipedia.org/wiki/Speci%C3%A1ln%C3%AD:Zdroje_knih/9788024717333"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ist_aplikac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List_aplikac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List_aplikace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595217264508603E-2"/>
          <c:y val="0.10433192686357243"/>
          <c:w val="0.8979418197725284"/>
          <c:h val="0.67832648825873521"/>
        </c:manualLayout>
      </c:layout>
      <c:barChart>
        <c:barDir val="col"/>
        <c:grouping val="clustered"/>
        <c:varyColors val="0"/>
        <c:ser>
          <c:idx val="0"/>
          <c:order val="0"/>
          <c:tx>
            <c:strRef>
              <c:f>List1!$B$1</c:f>
              <c:strCache>
                <c:ptCount val="1"/>
                <c:pt idx="0">
                  <c:v>odmítnutí žadatelé (z důvodu naplněné kapacity)</c:v>
                </c:pt>
              </c:strCache>
            </c:strRef>
          </c:tx>
          <c:spPr>
            <a:solidFill>
              <a:schemeClr val="accent1"/>
            </a:solidFill>
            <a:ln>
              <a:noFill/>
            </a:ln>
            <a:effectLst/>
          </c:spPr>
          <c:invertIfNegative val="0"/>
          <c:dLbls>
            <c:dLbl>
              <c:idx val="0"/>
              <c:layout>
                <c:manualLayout>
                  <c:x val="-6.9444444444444441E-3"/>
                  <c:y val="-6.5533946550665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B3-4C93-8D81-F91B5093A132}"/>
                </c:ext>
              </c:extLst>
            </c:dLbl>
            <c:dLbl>
              <c:idx val="1"/>
              <c:layout>
                <c:manualLayout>
                  <c:x val="-6.94444444444452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B3-4C93-8D81-F91B5093A132}"/>
                </c:ext>
              </c:extLst>
            </c:dLbl>
            <c:dLbl>
              <c:idx val="2"/>
              <c:layout>
                <c:manualLayout>
                  <c:x val="-9.2592592592592587E-3"/>
                  <c:y val="-6.5533946550665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B3-4C93-8D81-F91B5093A1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List1!$A$2:$A$4</c:f>
              <c:numCache>
                <c:formatCode>General</c:formatCode>
                <c:ptCount val="3"/>
                <c:pt idx="0">
                  <c:v>2019</c:v>
                </c:pt>
                <c:pt idx="1">
                  <c:v>2020</c:v>
                </c:pt>
                <c:pt idx="2">
                  <c:v>2021</c:v>
                </c:pt>
              </c:numCache>
            </c:numRef>
          </c:cat>
          <c:val>
            <c:numRef>
              <c:f>List1!$B$2:$B$4</c:f>
              <c:numCache>
                <c:formatCode>General</c:formatCode>
                <c:ptCount val="3"/>
                <c:pt idx="0">
                  <c:v>442</c:v>
                </c:pt>
                <c:pt idx="1">
                  <c:v>578</c:v>
                </c:pt>
                <c:pt idx="2">
                  <c:v>542</c:v>
                </c:pt>
              </c:numCache>
            </c:numRef>
          </c:val>
          <c:extLst>
            <c:ext xmlns:c16="http://schemas.microsoft.com/office/drawing/2014/chart" uri="{C3380CC4-5D6E-409C-BE32-E72D297353CC}">
              <c16:uniqueId val="{00000003-07B3-4C93-8D81-F91B5093A132}"/>
            </c:ext>
          </c:extLst>
        </c:ser>
        <c:ser>
          <c:idx val="1"/>
          <c:order val="1"/>
          <c:tx>
            <c:strRef>
              <c:f>List1!$C$1</c:f>
              <c:strCache>
                <c:ptCount val="1"/>
                <c:pt idx="0">
                  <c:v>uživatelé (všechny věkové skupiny; i opakovaně v průběhu roku)</c:v>
                </c:pt>
              </c:strCache>
            </c:strRef>
          </c:tx>
          <c:spPr>
            <a:solidFill>
              <a:schemeClr val="accent2"/>
            </a:solidFill>
            <a:ln>
              <a:noFill/>
            </a:ln>
            <a:effectLst/>
          </c:spPr>
          <c:invertIfNegative val="0"/>
          <c:dLbls>
            <c:dLbl>
              <c:idx val="0"/>
              <c:layout>
                <c:manualLayout>
                  <c:x val="-3.718354103374912E-3"/>
                  <c:y val="-2.31994077663370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B3-4C93-8D81-F91B5093A132}"/>
                </c:ext>
              </c:extLst>
            </c:dLbl>
            <c:dLbl>
              <c:idx val="1"/>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B3-4C93-8D81-F91B5093A132}"/>
                </c:ext>
              </c:extLst>
            </c:dLbl>
            <c:dLbl>
              <c:idx val="2"/>
              <c:layout>
                <c:manualLayout>
                  <c:x val="0"/>
                  <c:y val="1.0723860589812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B3-4C93-8D81-F91B5093A1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List1!$A$2:$A$4</c:f>
              <c:numCache>
                <c:formatCode>General</c:formatCode>
                <c:ptCount val="3"/>
                <c:pt idx="0">
                  <c:v>2019</c:v>
                </c:pt>
                <c:pt idx="1">
                  <c:v>2020</c:v>
                </c:pt>
                <c:pt idx="2">
                  <c:v>2021</c:v>
                </c:pt>
              </c:numCache>
            </c:numRef>
          </c:cat>
          <c:val>
            <c:numRef>
              <c:f>List1!$C$2:$C$4</c:f>
              <c:numCache>
                <c:formatCode>General</c:formatCode>
                <c:ptCount val="3"/>
                <c:pt idx="0">
                  <c:v>1361</c:v>
                </c:pt>
                <c:pt idx="1">
                  <c:v>1265</c:v>
                </c:pt>
                <c:pt idx="2">
                  <c:v>1453</c:v>
                </c:pt>
              </c:numCache>
            </c:numRef>
          </c:val>
          <c:extLst>
            <c:ext xmlns:c16="http://schemas.microsoft.com/office/drawing/2014/chart" uri="{C3380CC4-5D6E-409C-BE32-E72D297353CC}">
              <c16:uniqueId val="{00000007-07B3-4C93-8D81-F91B5093A132}"/>
            </c:ext>
          </c:extLst>
        </c:ser>
        <c:ser>
          <c:idx val="2"/>
          <c:order val="2"/>
          <c:tx>
            <c:strRef>
              <c:f>List1!$D$1</c:f>
              <c:strCache>
                <c:ptCount val="1"/>
                <c:pt idx="0">
                  <c:v>unikátní uživatelé (od 18 let)</c:v>
                </c:pt>
              </c:strCache>
            </c:strRef>
          </c:tx>
          <c:spPr>
            <a:solidFill>
              <a:srgbClr val="FFC000"/>
            </a:solidFill>
            <a:ln>
              <a:noFill/>
            </a:ln>
            <a:effectLst/>
          </c:spPr>
          <c:invertIfNegative val="0"/>
          <c:dPt>
            <c:idx val="2"/>
            <c:invertIfNegative val="0"/>
            <c:bubble3D val="0"/>
            <c:spPr>
              <a:solidFill>
                <a:srgbClr val="FFC000"/>
              </a:solidFill>
              <a:ln>
                <a:noFill/>
              </a:ln>
              <a:effectLst/>
            </c:spPr>
            <c:extLst>
              <c:ext xmlns:c16="http://schemas.microsoft.com/office/drawing/2014/chart" uri="{C3380CC4-5D6E-409C-BE32-E72D297353CC}">
                <c16:uniqueId val="{00000009-07B3-4C93-8D81-F91B5093A132}"/>
              </c:ext>
            </c:extLst>
          </c:dPt>
          <c:dLbls>
            <c:dLbl>
              <c:idx val="0"/>
              <c:layout>
                <c:manualLayout>
                  <c:x val="1.1574074074074073E-2"/>
                  <c:y val="4.07168943024213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B3-4C93-8D81-F91B5093A132}"/>
                </c:ext>
              </c:extLst>
            </c:dLbl>
            <c:dLbl>
              <c:idx val="1"/>
              <c:layout>
                <c:manualLayout>
                  <c:x val="2.31481481481481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B3-4C93-8D81-F91B5093A132}"/>
                </c:ext>
              </c:extLst>
            </c:dLbl>
            <c:dLbl>
              <c:idx val="2"/>
              <c:layout>
                <c:manualLayout>
                  <c:x val="1.388888888888872E-2"/>
                  <c:y val="-3.276697327533295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B3-4C93-8D81-F91B5093A1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List1!$A$2:$A$4</c:f>
              <c:numCache>
                <c:formatCode>General</c:formatCode>
                <c:ptCount val="3"/>
                <c:pt idx="0">
                  <c:v>2019</c:v>
                </c:pt>
                <c:pt idx="1">
                  <c:v>2020</c:v>
                </c:pt>
                <c:pt idx="2">
                  <c:v>2021</c:v>
                </c:pt>
              </c:numCache>
            </c:numRef>
          </c:cat>
          <c:val>
            <c:numRef>
              <c:f>List1!$D$2:$D$4</c:f>
              <c:numCache>
                <c:formatCode>General</c:formatCode>
                <c:ptCount val="3"/>
                <c:pt idx="0">
                  <c:v>1066</c:v>
                </c:pt>
                <c:pt idx="1">
                  <c:v>990</c:v>
                </c:pt>
                <c:pt idx="2">
                  <c:v>1010</c:v>
                </c:pt>
              </c:numCache>
            </c:numRef>
          </c:val>
          <c:extLst>
            <c:ext xmlns:c16="http://schemas.microsoft.com/office/drawing/2014/chart" uri="{C3380CC4-5D6E-409C-BE32-E72D297353CC}">
              <c16:uniqueId val="{0000000C-07B3-4C93-8D81-F91B5093A132}"/>
            </c:ext>
          </c:extLst>
        </c:ser>
        <c:ser>
          <c:idx val="3"/>
          <c:order val="3"/>
          <c:tx>
            <c:strRef>
              <c:f>List1!$E$1</c:f>
              <c:strCache>
                <c:ptCount val="1"/>
                <c:pt idx="0">
                  <c:v>děti do 15 let (i opakovaně v průběhu roku)</c:v>
                </c:pt>
              </c:strCache>
            </c:strRef>
          </c:tx>
          <c:spPr>
            <a:solidFill>
              <a:srgbClr val="92D050"/>
            </a:solidFill>
            <a:ln>
              <a:noFill/>
            </a:ln>
            <a:effectLst/>
          </c:spPr>
          <c:invertIfNegative val="0"/>
          <c:dLbls>
            <c:dLbl>
              <c:idx val="0"/>
              <c:layout>
                <c:manualLayout>
                  <c:x val="1.8518518518518517E-2"/>
                  <c:y val="4.17555044225356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7B3-4C93-8D81-F91B5093A132}"/>
                </c:ext>
              </c:extLst>
            </c:dLbl>
            <c:dLbl>
              <c:idx val="1"/>
              <c:layout>
                <c:manualLayout>
                  <c:x val="6.9444444444444441E-3"/>
                  <c:y val="3.57462019660411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7B3-4C93-8D81-F91B5093A132}"/>
                </c:ext>
              </c:extLst>
            </c:dLbl>
            <c:dLbl>
              <c:idx val="2"/>
              <c:layout>
                <c:manualLayout>
                  <c:x val="6.9444444444444441E-3"/>
                  <c:y val="-6.5533946550665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7B3-4C93-8D81-F91B5093A1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List1!$A$2:$A$4</c:f>
              <c:numCache>
                <c:formatCode>General</c:formatCode>
                <c:ptCount val="3"/>
                <c:pt idx="0">
                  <c:v>2019</c:v>
                </c:pt>
                <c:pt idx="1">
                  <c:v>2020</c:v>
                </c:pt>
                <c:pt idx="2">
                  <c:v>2021</c:v>
                </c:pt>
              </c:numCache>
            </c:numRef>
          </c:cat>
          <c:val>
            <c:numRef>
              <c:f>List1!$E$2:$E$4</c:f>
              <c:numCache>
                <c:formatCode>General</c:formatCode>
                <c:ptCount val="3"/>
                <c:pt idx="0">
                  <c:v>314</c:v>
                </c:pt>
                <c:pt idx="1">
                  <c:v>282</c:v>
                </c:pt>
                <c:pt idx="2">
                  <c:v>459</c:v>
                </c:pt>
              </c:numCache>
            </c:numRef>
          </c:val>
          <c:extLst>
            <c:ext xmlns:c16="http://schemas.microsoft.com/office/drawing/2014/chart" uri="{C3380CC4-5D6E-409C-BE32-E72D297353CC}">
              <c16:uniqueId val="{00000010-07B3-4C93-8D81-F91B5093A132}"/>
            </c:ext>
          </c:extLst>
        </c:ser>
        <c:dLbls>
          <c:showLegendKey val="0"/>
          <c:showVal val="0"/>
          <c:showCatName val="0"/>
          <c:showSerName val="0"/>
          <c:showPercent val="0"/>
          <c:showBubbleSize val="0"/>
        </c:dLbls>
        <c:gapWidth val="219"/>
        <c:overlap val="23"/>
        <c:axId val="-1020902720"/>
        <c:axId val="-1020901632"/>
      </c:barChart>
      <c:catAx>
        <c:axId val="-102090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0901632"/>
        <c:crosses val="autoZero"/>
        <c:auto val="1"/>
        <c:lblAlgn val="ctr"/>
        <c:lblOffset val="100"/>
        <c:noMultiLvlLbl val="0"/>
      </c:catAx>
      <c:valAx>
        <c:axId val="-102090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0902720"/>
        <c:crosses val="autoZero"/>
        <c:crossBetween val="between"/>
      </c:valAx>
      <c:spPr>
        <a:noFill/>
        <a:ln>
          <a:noFill/>
        </a:ln>
        <a:effectLst/>
      </c:spPr>
    </c:plotArea>
    <c:legend>
      <c:legendPos val="b"/>
      <c:legendEntry>
        <c:idx val="0"/>
        <c:txPr>
          <a:bodyPr rot="0" spcFirstLastPara="1" vertOverflow="ellipsis" vert="horz" wrap="square" anchor="ctr" anchorCtr="0"/>
          <a:lstStyle/>
          <a:p>
            <a:pPr algn="just">
              <a:defRPr sz="800" b="0" i="0" u="none" strike="noStrike" kern="1200" baseline="0">
                <a:solidFill>
                  <a:schemeClr val="tx1">
                    <a:lumMod val="65000"/>
                    <a:lumOff val="35000"/>
                  </a:schemeClr>
                </a:solidFill>
                <a:latin typeface="+mn-lt"/>
                <a:ea typeface="+mn-ea"/>
                <a:cs typeface="+mn-cs"/>
              </a:defRPr>
            </a:pPr>
            <a:endParaRPr lang="cs-CZ"/>
          </a:p>
        </c:txPr>
      </c:legendEntry>
      <c:legendEntry>
        <c:idx val="1"/>
        <c:txPr>
          <a:bodyPr rot="0" spcFirstLastPara="1" vertOverflow="ellipsis" vert="horz" wrap="square" anchor="ctr" anchorCtr="0"/>
          <a:lstStyle/>
          <a:p>
            <a:pPr algn="just">
              <a:defRPr sz="800" b="0" i="0" u="none" strike="noStrike" kern="1200" baseline="0">
                <a:solidFill>
                  <a:schemeClr val="tx1">
                    <a:lumMod val="65000"/>
                    <a:lumOff val="35000"/>
                  </a:schemeClr>
                </a:solidFill>
                <a:latin typeface="+mn-lt"/>
                <a:ea typeface="+mn-ea"/>
                <a:cs typeface="+mn-cs"/>
              </a:defRPr>
            </a:pPr>
            <a:endParaRPr lang="cs-CZ"/>
          </a:p>
        </c:txPr>
      </c:legendEntry>
      <c:legendEntry>
        <c:idx val="2"/>
        <c:txPr>
          <a:bodyPr rot="0" spcFirstLastPara="1" vertOverflow="ellipsis" vert="horz" wrap="square" anchor="ctr" anchorCtr="0"/>
          <a:lstStyle/>
          <a:p>
            <a:pPr algn="just">
              <a:defRPr sz="800" b="0" i="0" u="none" strike="noStrike" kern="1200" baseline="0">
                <a:solidFill>
                  <a:schemeClr val="tx1">
                    <a:lumMod val="65000"/>
                    <a:lumOff val="35000"/>
                  </a:schemeClr>
                </a:solidFill>
                <a:latin typeface="+mn-lt"/>
                <a:ea typeface="+mn-ea"/>
                <a:cs typeface="+mn-cs"/>
              </a:defRPr>
            </a:pPr>
            <a:endParaRPr lang="cs-CZ"/>
          </a:p>
        </c:txPr>
      </c:legendEntry>
      <c:legendEntry>
        <c:idx val="3"/>
        <c:txPr>
          <a:bodyPr rot="0" spcFirstLastPara="1" vertOverflow="ellipsis" vert="horz" wrap="square" anchor="ctr" anchorCtr="0"/>
          <a:lstStyle/>
          <a:p>
            <a:pPr algn="just">
              <a:defRPr sz="800" b="0" i="0" u="none" strike="noStrike" kern="1200" baseline="0">
                <a:solidFill>
                  <a:schemeClr val="tx1">
                    <a:lumMod val="65000"/>
                    <a:lumOff val="35000"/>
                  </a:schemeClr>
                </a:solidFill>
                <a:latin typeface="+mn-lt"/>
                <a:ea typeface="+mn-ea"/>
                <a:cs typeface="+mn-cs"/>
              </a:defRPr>
            </a:pPr>
            <a:endParaRPr lang="cs-CZ"/>
          </a:p>
        </c:txPr>
      </c:legendEntry>
      <c:layout>
        <c:manualLayout>
          <c:xMode val="edge"/>
          <c:yMode val="edge"/>
          <c:x val="8.8300220750551876E-3"/>
          <c:y val="0.88582173803617004"/>
          <c:w val="0.98896247240618107"/>
          <c:h val="0.10495648570244509"/>
        </c:manualLayout>
      </c:layout>
      <c:overlay val="0"/>
      <c:spPr>
        <a:noFill/>
        <a:ln>
          <a:noFill/>
        </a:ln>
        <a:effectLst/>
      </c:spPr>
      <c:txPr>
        <a:bodyPr rot="0" spcFirstLastPara="1" vertOverflow="ellipsis" vert="horz" wrap="square" anchor="ctr" anchorCtr="0"/>
        <a:lstStyle/>
        <a:p>
          <a:pPr algn="just">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595217264508603E-2"/>
          <c:y val="0.10433192686357243"/>
          <c:w val="0.8979418197725284"/>
          <c:h val="0.67467560695538054"/>
        </c:manualLayout>
      </c:layout>
      <c:barChart>
        <c:barDir val="col"/>
        <c:grouping val="clustered"/>
        <c:varyColors val="0"/>
        <c:ser>
          <c:idx val="0"/>
          <c:order val="0"/>
          <c:tx>
            <c:strRef>
              <c:f>List1!$B$1</c:f>
              <c:strCache>
                <c:ptCount val="1"/>
                <c:pt idx="0">
                  <c:v>odmítnutí žadatelé (z důvodu naplněné kapacity)</c:v>
                </c:pt>
              </c:strCache>
            </c:strRef>
          </c:tx>
          <c:spPr>
            <a:solidFill>
              <a:schemeClr val="accent1"/>
            </a:solidFill>
            <a:ln>
              <a:noFill/>
            </a:ln>
            <a:effectLst/>
          </c:spPr>
          <c:invertIfNegative val="0"/>
          <c:dLbls>
            <c:dLbl>
              <c:idx val="0"/>
              <c:layout>
                <c:manualLayout>
                  <c:x val="-6.9444444444444441E-3"/>
                  <c:y val="-6.5533946550665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DC-4E78-A311-19B200416CD2}"/>
                </c:ext>
              </c:extLst>
            </c:dLbl>
            <c:dLbl>
              <c:idx val="1"/>
              <c:layout>
                <c:manualLayout>
                  <c:x val="-6.94444444444452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DC-4E78-A311-19B200416CD2}"/>
                </c:ext>
              </c:extLst>
            </c:dLbl>
            <c:dLbl>
              <c:idx val="2"/>
              <c:layout>
                <c:manualLayout>
                  <c:x val="-9.2592592592592587E-3"/>
                  <c:y val="-6.5533946550665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DC-4E78-A311-19B200416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List1!$A$2:$A$4</c:f>
              <c:numCache>
                <c:formatCode>General</c:formatCode>
                <c:ptCount val="3"/>
                <c:pt idx="0">
                  <c:v>2019</c:v>
                </c:pt>
                <c:pt idx="1">
                  <c:v>2020</c:v>
                </c:pt>
                <c:pt idx="2">
                  <c:v>2021</c:v>
                </c:pt>
              </c:numCache>
            </c:numRef>
          </c:cat>
          <c:val>
            <c:numRef>
              <c:f>List1!$B$2:$B$4</c:f>
              <c:numCache>
                <c:formatCode>General</c:formatCode>
                <c:ptCount val="3"/>
                <c:pt idx="0">
                  <c:v>123</c:v>
                </c:pt>
                <c:pt idx="1">
                  <c:v>154</c:v>
                </c:pt>
                <c:pt idx="2">
                  <c:v>173</c:v>
                </c:pt>
              </c:numCache>
            </c:numRef>
          </c:val>
          <c:extLst>
            <c:ext xmlns:c16="http://schemas.microsoft.com/office/drawing/2014/chart" uri="{C3380CC4-5D6E-409C-BE32-E72D297353CC}">
              <c16:uniqueId val="{00000003-05DC-4E78-A311-19B200416CD2}"/>
            </c:ext>
          </c:extLst>
        </c:ser>
        <c:ser>
          <c:idx val="1"/>
          <c:order val="1"/>
          <c:tx>
            <c:strRef>
              <c:f>List1!$C$1</c:f>
              <c:strCache>
                <c:ptCount val="1"/>
                <c:pt idx="0">
                  <c:v>uživatelé (všechny věkové skupiny; i opakovaně v průběhu roku)</c:v>
                </c:pt>
              </c:strCache>
            </c:strRef>
          </c:tx>
          <c:spPr>
            <a:solidFill>
              <a:schemeClr val="accent2"/>
            </a:solidFill>
            <a:ln>
              <a:noFill/>
            </a:ln>
            <a:effectLst/>
          </c:spPr>
          <c:invertIfNegative val="0"/>
          <c:dLbls>
            <c:dLbl>
              <c:idx val="0"/>
              <c:layout>
                <c:manualLayout>
                  <c:x val="-3.718354103374912E-3"/>
                  <c:y val="-2.31994077663370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DC-4E78-A311-19B200416CD2}"/>
                </c:ext>
              </c:extLst>
            </c:dLbl>
            <c:dLbl>
              <c:idx val="1"/>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DC-4E78-A311-19B200416CD2}"/>
                </c:ext>
              </c:extLst>
            </c:dLbl>
            <c:dLbl>
              <c:idx val="2"/>
              <c:layout>
                <c:manualLayout>
                  <c:x val="0"/>
                  <c:y val="1.0723860589812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DC-4E78-A311-19B200416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List1!$A$2:$A$4</c:f>
              <c:numCache>
                <c:formatCode>General</c:formatCode>
                <c:ptCount val="3"/>
                <c:pt idx="0">
                  <c:v>2019</c:v>
                </c:pt>
                <c:pt idx="1">
                  <c:v>2020</c:v>
                </c:pt>
                <c:pt idx="2">
                  <c:v>2021</c:v>
                </c:pt>
              </c:numCache>
            </c:numRef>
          </c:cat>
          <c:val>
            <c:numRef>
              <c:f>List1!$C$2:$C$4</c:f>
              <c:numCache>
                <c:formatCode>General</c:formatCode>
                <c:ptCount val="3"/>
                <c:pt idx="0">
                  <c:v>985</c:v>
                </c:pt>
                <c:pt idx="1">
                  <c:v>749</c:v>
                </c:pt>
                <c:pt idx="2">
                  <c:v>802</c:v>
                </c:pt>
              </c:numCache>
            </c:numRef>
          </c:val>
          <c:extLst>
            <c:ext xmlns:c16="http://schemas.microsoft.com/office/drawing/2014/chart" uri="{C3380CC4-5D6E-409C-BE32-E72D297353CC}">
              <c16:uniqueId val="{00000007-05DC-4E78-A311-19B200416CD2}"/>
            </c:ext>
          </c:extLst>
        </c:ser>
        <c:ser>
          <c:idx val="2"/>
          <c:order val="2"/>
          <c:tx>
            <c:strRef>
              <c:f>List1!$D$1</c:f>
              <c:strCache>
                <c:ptCount val="1"/>
                <c:pt idx="0">
                  <c:v>unikátní uživatelé (od 18 let)</c:v>
                </c:pt>
              </c:strCache>
            </c:strRef>
          </c:tx>
          <c:spPr>
            <a:solidFill>
              <a:srgbClr val="FFC000"/>
            </a:solidFill>
            <a:ln>
              <a:noFill/>
            </a:ln>
            <a:effectLst/>
          </c:spPr>
          <c:invertIfNegative val="0"/>
          <c:dPt>
            <c:idx val="2"/>
            <c:invertIfNegative val="0"/>
            <c:bubble3D val="0"/>
            <c:spPr>
              <a:solidFill>
                <a:srgbClr val="FFC000"/>
              </a:solidFill>
              <a:ln>
                <a:noFill/>
              </a:ln>
              <a:effectLst/>
            </c:spPr>
            <c:extLst>
              <c:ext xmlns:c16="http://schemas.microsoft.com/office/drawing/2014/chart" uri="{C3380CC4-5D6E-409C-BE32-E72D297353CC}">
                <c16:uniqueId val="{00000009-05DC-4E78-A311-19B200416CD2}"/>
              </c:ext>
            </c:extLst>
          </c:dPt>
          <c:dLbls>
            <c:dLbl>
              <c:idx val="0"/>
              <c:layout>
                <c:manualLayout>
                  <c:x val="1.1574074074074073E-2"/>
                  <c:y val="4.07168943024213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DC-4E78-A311-19B200416CD2}"/>
                </c:ext>
              </c:extLst>
            </c:dLbl>
            <c:dLbl>
              <c:idx val="1"/>
              <c:layout>
                <c:manualLayout>
                  <c:x val="2.31481481481481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5DC-4E78-A311-19B200416CD2}"/>
                </c:ext>
              </c:extLst>
            </c:dLbl>
            <c:dLbl>
              <c:idx val="2"/>
              <c:layout>
                <c:manualLayout>
                  <c:x val="1.388888888888872E-2"/>
                  <c:y val="-3.276697327533295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DC-4E78-A311-19B200416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List1!$A$2:$A$4</c:f>
              <c:numCache>
                <c:formatCode>General</c:formatCode>
                <c:ptCount val="3"/>
                <c:pt idx="0">
                  <c:v>2019</c:v>
                </c:pt>
                <c:pt idx="1">
                  <c:v>2020</c:v>
                </c:pt>
                <c:pt idx="2">
                  <c:v>2021</c:v>
                </c:pt>
              </c:numCache>
            </c:numRef>
          </c:cat>
          <c:val>
            <c:numRef>
              <c:f>List1!$D$2:$D$4</c:f>
              <c:numCache>
                <c:formatCode>General</c:formatCode>
                <c:ptCount val="3"/>
                <c:pt idx="0">
                  <c:v>971</c:v>
                </c:pt>
                <c:pt idx="1">
                  <c:v>663</c:v>
                </c:pt>
                <c:pt idx="2">
                  <c:v>802</c:v>
                </c:pt>
              </c:numCache>
            </c:numRef>
          </c:val>
          <c:extLst>
            <c:ext xmlns:c16="http://schemas.microsoft.com/office/drawing/2014/chart" uri="{C3380CC4-5D6E-409C-BE32-E72D297353CC}">
              <c16:uniqueId val="{0000000C-05DC-4E78-A311-19B200416CD2}"/>
            </c:ext>
          </c:extLst>
        </c:ser>
        <c:ser>
          <c:idx val="3"/>
          <c:order val="3"/>
          <c:tx>
            <c:strRef>
              <c:f>List1!$E$1</c:f>
              <c:strCache>
                <c:ptCount val="1"/>
                <c:pt idx="0">
                  <c:v>děti do 15 let (i opakovaně v průběhu roku)</c:v>
                </c:pt>
              </c:strCache>
            </c:strRef>
          </c:tx>
          <c:spPr>
            <a:solidFill>
              <a:srgbClr val="92D050"/>
            </a:solidFill>
            <a:ln>
              <a:noFill/>
            </a:ln>
            <a:effectLst/>
          </c:spPr>
          <c:invertIfNegative val="0"/>
          <c:dLbls>
            <c:dLbl>
              <c:idx val="0"/>
              <c:layout>
                <c:manualLayout>
                  <c:x val="1.8518518518518517E-2"/>
                  <c:y val="4.17555044225356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5DC-4E78-A311-19B200416CD2}"/>
                </c:ext>
              </c:extLst>
            </c:dLbl>
            <c:dLbl>
              <c:idx val="1"/>
              <c:layout>
                <c:manualLayout>
                  <c:x val="6.9444444444444441E-3"/>
                  <c:y val="3.57462019660411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5DC-4E78-A311-19B200416CD2}"/>
                </c:ext>
              </c:extLst>
            </c:dLbl>
            <c:dLbl>
              <c:idx val="2"/>
              <c:layout>
                <c:manualLayout>
                  <c:x val="6.9444444444444441E-3"/>
                  <c:y val="-6.5533946550665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5DC-4E78-A311-19B200416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List1!$A$2:$A$4</c:f>
              <c:numCache>
                <c:formatCode>General</c:formatCode>
                <c:ptCount val="3"/>
                <c:pt idx="0">
                  <c:v>2019</c:v>
                </c:pt>
                <c:pt idx="1">
                  <c:v>2020</c:v>
                </c:pt>
                <c:pt idx="2">
                  <c:v>2021</c:v>
                </c:pt>
              </c:numCache>
            </c:numRef>
          </c:cat>
          <c:val>
            <c:numRef>
              <c:f>List1!$E$2:$E$4</c:f>
              <c:numCache>
                <c:formatCode>General</c:formatCode>
                <c:ptCount val="3"/>
                <c:pt idx="0">
                  <c:v>58</c:v>
                </c:pt>
                <c:pt idx="1">
                  <c:v>0</c:v>
                </c:pt>
                <c:pt idx="2">
                  <c:v>0</c:v>
                </c:pt>
              </c:numCache>
            </c:numRef>
          </c:val>
          <c:extLst>
            <c:ext xmlns:c16="http://schemas.microsoft.com/office/drawing/2014/chart" uri="{C3380CC4-5D6E-409C-BE32-E72D297353CC}">
              <c16:uniqueId val="{00000010-05DC-4E78-A311-19B200416CD2}"/>
            </c:ext>
          </c:extLst>
        </c:ser>
        <c:dLbls>
          <c:showLegendKey val="0"/>
          <c:showVal val="0"/>
          <c:showCatName val="0"/>
          <c:showSerName val="0"/>
          <c:showPercent val="0"/>
          <c:showBubbleSize val="0"/>
        </c:dLbls>
        <c:gapWidth val="219"/>
        <c:overlap val="23"/>
        <c:axId val="-1020898912"/>
        <c:axId val="-1020895648"/>
      </c:barChart>
      <c:catAx>
        <c:axId val="-102089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0895648"/>
        <c:crosses val="autoZero"/>
        <c:auto val="1"/>
        <c:lblAlgn val="ctr"/>
        <c:lblOffset val="100"/>
        <c:noMultiLvlLbl val="0"/>
      </c:catAx>
      <c:valAx>
        <c:axId val="-102089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08989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Entry>
      <c:legendEntry>
        <c:idx val="3"/>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Entry>
      <c:layout>
        <c:manualLayout>
          <c:xMode val="edge"/>
          <c:yMode val="edge"/>
          <c:x val="1.2454750242833816E-2"/>
          <c:y val="0.87479658792650916"/>
          <c:w val="0.9782859032384732"/>
          <c:h val="0.105745570866141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595217264508603E-2"/>
          <c:y val="0.10433192686357243"/>
          <c:w val="0.8979418197725284"/>
          <c:h val="0.67773228346456693"/>
        </c:manualLayout>
      </c:layout>
      <c:barChart>
        <c:barDir val="col"/>
        <c:grouping val="clustered"/>
        <c:varyColors val="0"/>
        <c:ser>
          <c:idx val="0"/>
          <c:order val="0"/>
          <c:tx>
            <c:strRef>
              <c:f>List1!$B$1</c:f>
              <c:strCache>
                <c:ptCount val="1"/>
                <c:pt idx="0">
                  <c:v>hygiena (osobní hygiena a praní prádla)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List1!$A$2:$A$4</c:f>
              <c:numCache>
                <c:formatCode>General</c:formatCode>
                <c:ptCount val="3"/>
                <c:pt idx="0">
                  <c:v>2019</c:v>
                </c:pt>
                <c:pt idx="1">
                  <c:v>2020</c:v>
                </c:pt>
                <c:pt idx="2">
                  <c:v>2021</c:v>
                </c:pt>
              </c:numCache>
            </c:numRef>
          </c:cat>
          <c:val>
            <c:numRef>
              <c:f>List1!$B$2:$B$4</c:f>
              <c:numCache>
                <c:formatCode>General</c:formatCode>
                <c:ptCount val="3"/>
                <c:pt idx="0">
                  <c:v>6530</c:v>
                </c:pt>
                <c:pt idx="1">
                  <c:v>11573</c:v>
                </c:pt>
                <c:pt idx="2">
                  <c:v>12141</c:v>
                </c:pt>
              </c:numCache>
            </c:numRef>
          </c:val>
          <c:extLst>
            <c:ext xmlns:c16="http://schemas.microsoft.com/office/drawing/2014/chart" uri="{C3380CC4-5D6E-409C-BE32-E72D297353CC}">
              <c16:uniqueId val="{00000000-0EB0-4DB6-A74B-6848B5B5B136}"/>
            </c:ext>
          </c:extLst>
        </c:ser>
        <c:ser>
          <c:idx val="1"/>
          <c:order val="1"/>
          <c:tx>
            <c:strRef>
              <c:f>List1!$C$1</c:f>
              <c:strCache>
                <c:ptCount val="1"/>
                <c:pt idx="0">
                  <c:v>počet porcí jídla</c:v>
                </c:pt>
              </c:strCache>
            </c:strRef>
          </c:tx>
          <c:spPr>
            <a:solidFill>
              <a:schemeClr val="accent2"/>
            </a:solidFill>
            <a:ln>
              <a:noFill/>
            </a:ln>
            <a:effectLst/>
          </c:spPr>
          <c:invertIfNegative val="0"/>
          <c:dLbls>
            <c:dLbl>
              <c:idx val="0"/>
              <c:layout>
                <c:manualLayout>
                  <c:x val="-6.9444444444444441E-3"/>
                  <c:y val="-6.5533946550665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B0-4DB6-A74B-6848B5B5B136}"/>
                </c:ext>
              </c:extLst>
            </c:dLbl>
            <c:dLbl>
              <c:idx val="1"/>
              <c:layout>
                <c:manualLayout>
                  <c:x val="-6.94444444444452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B0-4DB6-A74B-6848B5B5B136}"/>
                </c:ext>
              </c:extLst>
            </c:dLbl>
            <c:dLbl>
              <c:idx val="2"/>
              <c:layout>
                <c:manualLayout>
                  <c:x val="-9.2592592592592587E-3"/>
                  <c:y val="-6.5533946550665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B0-4DB6-A74B-6848B5B5B1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List1!$A$2:$A$4</c:f>
              <c:numCache>
                <c:formatCode>General</c:formatCode>
                <c:ptCount val="3"/>
                <c:pt idx="0">
                  <c:v>2019</c:v>
                </c:pt>
                <c:pt idx="1">
                  <c:v>2020</c:v>
                </c:pt>
                <c:pt idx="2">
                  <c:v>2021</c:v>
                </c:pt>
              </c:numCache>
            </c:numRef>
          </c:cat>
          <c:val>
            <c:numRef>
              <c:f>List1!$C$2:$C$4</c:f>
              <c:numCache>
                <c:formatCode>General</c:formatCode>
                <c:ptCount val="3"/>
                <c:pt idx="0">
                  <c:v>43388</c:v>
                </c:pt>
                <c:pt idx="1">
                  <c:v>34072</c:v>
                </c:pt>
                <c:pt idx="2">
                  <c:v>30692</c:v>
                </c:pt>
              </c:numCache>
            </c:numRef>
          </c:val>
          <c:extLst>
            <c:ext xmlns:c16="http://schemas.microsoft.com/office/drawing/2014/chart" uri="{C3380CC4-5D6E-409C-BE32-E72D297353CC}">
              <c16:uniqueId val="{00000004-0EB0-4DB6-A74B-6848B5B5B136}"/>
            </c:ext>
          </c:extLst>
        </c:ser>
        <c:ser>
          <c:idx val="2"/>
          <c:order val="2"/>
          <c:tx>
            <c:strRef>
              <c:f>List1!$D$1</c:f>
              <c:strCache>
                <c:ptCount val="1"/>
                <c:pt idx="0">
                  <c:v>počet vstupů do zařízení (i opakovaně)</c:v>
                </c:pt>
              </c:strCache>
            </c:strRef>
          </c:tx>
          <c:spPr>
            <a:solidFill>
              <a:srgbClr val="00B0F0"/>
            </a:solidFill>
            <a:ln>
              <a:noFill/>
            </a:ln>
            <a:effectLst/>
          </c:spPr>
          <c:invertIfNegative val="0"/>
          <c:dLbls>
            <c:dLbl>
              <c:idx val="0"/>
              <c:layout>
                <c:manualLayout>
                  <c:x val="-3.718354103374912E-3"/>
                  <c:y val="-2.31994077663370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B0-4DB6-A74B-6848B5B5B136}"/>
                </c:ext>
              </c:extLst>
            </c:dLbl>
            <c:dLbl>
              <c:idx val="1"/>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B0-4DB6-A74B-6848B5B5B136}"/>
                </c:ext>
              </c:extLst>
            </c:dLbl>
            <c:dLbl>
              <c:idx val="2"/>
              <c:layout>
                <c:manualLayout>
                  <c:x val="0"/>
                  <c:y val="1.0723860589812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B0-4DB6-A74B-6848B5B5B1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List1!$A$2:$A$4</c:f>
              <c:numCache>
                <c:formatCode>General</c:formatCode>
                <c:ptCount val="3"/>
                <c:pt idx="0">
                  <c:v>2019</c:v>
                </c:pt>
                <c:pt idx="1">
                  <c:v>2020</c:v>
                </c:pt>
                <c:pt idx="2">
                  <c:v>2021</c:v>
                </c:pt>
              </c:numCache>
            </c:numRef>
          </c:cat>
          <c:val>
            <c:numRef>
              <c:f>List1!$D$2:$D$4</c:f>
              <c:numCache>
                <c:formatCode>General</c:formatCode>
                <c:ptCount val="3"/>
                <c:pt idx="0">
                  <c:v>45929</c:v>
                </c:pt>
                <c:pt idx="1">
                  <c:v>47626</c:v>
                </c:pt>
                <c:pt idx="2">
                  <c:v>45721</c:v>
                </c:pt>
              </c:numCache>
            </c:numRef>
          </c:val>
          <c:extLst>
            <c:ext xmlns:c16="http://schemas.microsoft.com/office/drawing/2014/chart" uri="{C3380CC4-5D6E-409C-BE32-E72D297353CC}">
              <c16:uniqueId val="{00000008-0EB0-4DB6-A74B-6848B5B5B136}"/>
            </c:ext>
          </c:extLst>
        </c:ser>
        <c:ser>
          <c:idx val="3"/>
          <c:order val="3"/>
          <c:tx>
            <c:strRef>
              <c:f>List1!$E$1</c:f>
              <c:strCache>
                <c:ptCount val="1"/>
                <c:pt idx="0">
                  <c:v>unikátní uživatelé (od 18 let)</c:v>
                </c:pt>
              </c:strCache>
            </c:strRef>
          </c:tx>
          <c:spPr>
            <a:solidFill>
              <a:srgbClr val="FFC000"/>
            </a:solidFill>
            <a:ln>
              <a:noFill/>
            </a:ln>
            <a:effectLst/>
          </c:spPr>
          <c:invertIfNegative val="0"/>
          <c:dPt>
            <c:idx val="2"/>
            <c:invertIfNegative val="0"/>
            <c:bubble3D val="0"/>
            <c:spPr>
              <a:solidFill>
                <a:srgbClr val="FFC000"/>
              </a:solidFill>
              <a:ln>
                <a:noFill/>
              </a:ln>
              <a:effectLst/>
            </c:spPr>
            <c:extLst>
              <c:ext xmlns:c16="http://schemas.microsoft.com/office/drawing/2014/chart" uri="{C3380CC4-5D6E-409C-BE32-E72D297353CC}">
                <c16:uniqueId val="{0000000A-0EB0-4DB6-A74B-6848B5B5B136}"/>
              </c:ext>
            </c:extLst>
          </c:dPt>
          <c:dLbls>
            <c:dLbl>
              <c:idx val="0"/>
              <c:layout>
                <c:manualLayout>
                  <c:x val="1.1574074074074073E-2"/>
                  <c:y val="4.07168943024213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B0-4DB6-A74B-6848B5B5B136}"/>
                </c:ext>
              </c:extLst>
            </c:dLbl>
            <c:dLbl>
              <c:idx val="1"/>
              <c:layout>
                <c:manualLayout>
                  <c:x val="2.31481481481481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B0-4DB6-A74B-6848B5B5B136}"/>
                </c:ext>
              </c:extLst>
            </c:dLbl>
            <c:dLbl>
              <c:idx val="2"/>
              <c:layout>
                <c:manualLayout>
                  <c:x val="1.388888888888872E-2"/>
                  <c:y val="-3.276697327533295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B0-4DB6-A74B-6848B5B5B1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List1!$A$2:$A$4</c:f>
              <c:numCache>
                <c:formatCode>General</c:formatCode>
                <c:ptCount val="3"/>
                <c:pt idx="0">
                  <c:v>2019</c:v>
                </c:pt>
                <c:pt idx="1">
                  <c:v>2020</c:v>
                </c:pt>
                <c:pt idx="2">
                  <c:v>2021</c:v>
                </c:pt>
              </c:numCache>
            </c:numRef>
          </c:cat>
          <c:val>
            <c:numRef>
              <c:f>List1!$E$2:$E$4</c:f>
              <c:numCache>
                <c:formatCode>General</c:formatCode>
                <c:ptCount val="3"/>
                <c:pt idx="0">
                  <c:v>1512</c:v>
                </c:pt>
                <c:pt idx="1">
                  <c:v>1558</c:v>
                </c:pt>
                <c:pt idx="2">
                  <c:v>1389</c:v>
                </c:pt>
              </c:numCache>
            </c:numRef>
          </c:val>
          <c:extLst>
            <c:ext xmlns:c16="http://schemas.microsoft.com/office/drawing/2014/chart" uri="{C3380CC4-5D6E-409C-BE32-E72D297353CC}">
              <c16:uniqueId val="{0000000D-0EB0-4DB6-A74B-6848B5B5B136}"/>
            </c:ext>
          </c:extLst>
        </c:ser>
        <c:ser>
          <c:idx val="4"/>
          <c:order val="4"/>
          <c:tx>
            <c:strRef>
              <c:f>List1!$F$1</c:f>
              <c:strCache>
                <c:ptCount val="1"/>
                <c:pt idx="0">
                  <c:v>odmítnutí žadatelé (z důvodu naplněné kapacity)</c:v>
                </c:pt>
              </c:strCache>
            </c:strRef>
          </c:tx>
          <c:spPr>
            <a:solidFill>
              <a:srgbClr val="92D050"/>
            </a:solidFill>
            <a:ln>
              <a:noFill/>
            </a:ln>
            <a:effectLst/>
          </c:spPr>
          <c:invertIfNegative val="0"/>
          <c:dLbls>
            <c:dLbl>
              <c:idx val="0"/>
              <c:layout>
                <c:manualLayout>
                  <c:x val="1.8518518518518517E-2"/>
                  <c:y val="4.17555044225356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EB0-4DB6-A74B-6848B5B5B136}"/>
                </c:ext>
              </c:extLst>
            </c:dLbl>
            <c:dLbl>
              <c:idx val="1"/>
              <c:layout>
                <c:manualLayout>
                  <c:x val="6.9444444444444441E-3"/>
                  <c:y val="3.57462019660411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EB0-4DB6-A74B-6848B5B5B136}"/>
                </c:ext>
              </c:extLst>
            </c:dLbl>
            <c:dLbl>
              <c:idx val="2"/>
              <c:layout>
                <c:manualLayout>
                  <c:x val="6.9444444444444441E-3"/>
                  <c:y val="-6.5533946550665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EB0-4DB6-A74B-6848B5B5B1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List1!$A$2:$A$4</c:f>
              <c:numCache>
                <c:formatCode>General</c:formatCode>
                <c:ptCount val="3"/>
                <c:pt idx="0">
                  <c:v>2019</c:v>
                </c:pt>
                <c:pt idx="1">
                  <c:v>2020</c:v>
                </c:pt>
                <c:pt idx="2">
                  <c:v>2021</c:v>
                </c:pt>
              </c:numCache>
            </c:numRef>
          </c:cat>
          <c:val>
            <c:numRef>
              <c:f>List1!$F$2:$F$4</c:f>
              <c:numCache>
                <c:formatCode>General</c:formatCode>
                <c:ptCount val="3"/>
                <c:pt idx="0">
                  <c:v>0</c:v>
                </c:pt>
                <c:pt idx="1">
                  <c:v>0</c:v>
                </c:pt>
                <c:pt idx="2">
                  <c:v>0</c:v>
                </c:pt>
              </c:numCache>
            </c:numRef>
          </c:val>
          <c:extLst>
            <c:ext xmlns:c16="http://schemas.microsoft.com/office/drawing/2014/chart" uri="{C3380CC4-5D6E-409C-BE32-E72D297353CC}">
              <c16:uniqueId val="{00000011-0EB0-4DB6-A74B-6848B5B5B136}"/>
            </c:ext>
          </c:extLst>
        </c:ser>
        <c:dLbls>
          <c:showLegendKey val="0"/>
          <c:showVal val="0"/>
          <c:showCatName val="0"/>
          <c:showSerName val="0"/>
          <c:showPercent val="0"/>
          <c:showBubbleSize val="0"/>
        </c:dLbls>
        <c:gapWidth val="219"/>
        <c:overlap val="23"/>
        <c:axId val="-1020902176"/>
        <c:axId val="-1020895104"/>
      </c:barChart>
      <c:catAx>
        <c:axId val="-102090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0895104"/>
        <c:crosses val="autoZero"/>
        <c:auto val="1"/>
        <c:lblAlgn val="ctr"/>
        <c:lblOffset val="100"/>
        <c:noMultiLvlLbl val="0"/>
      </c:catAx>
      <c:valAx>
        <c:axId val="-102089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09021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Entry>
      <c:legendEntry>
        <c:idx val="3"/>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Entry>
      <c:legendEntry>
        <c:idx val="4"/>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Entry>
      <c:layout>
        <c:manualLayout>
          <c:xMode val="edge"/>
          <c:yMode val="edge"/>
          <c:x val="4.7658324887606872E-2"/>
          <c:y val="0.87128821018584801"/>
          <c:w val="0.92813925487036897"/>
          <c:h val="0.114686751112632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A21317-3F36-4AB9-9471-FCAF84F11F30}" type="doc">
      <dgm:prSet loTypeId="urn:microsoft.com/office/officeart/2005/8/layout/chevron2" loCatId="process" qsTypeId="urn:microsoft.com/office/officeart/2005/8/quickstyle/simple4" qsCatId="simple" csTypeId="urn:microsoft.com/office/officeart/2005/8/colors/colorful2" csCatId="colorful" phldr="1"/>
      <dgm:spPr/>
      <dgm:t>
        <a:bodyPr/>
        <a:lstStyle/>
        <a:p>
          <a:endParaRPr lang="cs-CZ"/>
        </a:p>
      </dgm:t>
    </dgm:pt>
    <dgm:pt modelId="{2E396643-BF39-4555-93F6-F35F3F3BD4A7}">
      <dgm:prSet phldrT="[Text]"/>
      <dgm:spPr>
        <a:xfrm rot="5400000">
          <a:off x="-171471" y="329627"/>
          <a:ext cx="1143144" cy="800201"/>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w="6350" cap="flat" cmpd="sng" algn="ctr">
          <a:solidFill>
            <a:srgbClr val="ED7D31">
              <a:hueOff val="0"/>
              <a:satOff val="0"/>
              <a:lumOff val="0"/>
              <a:alphaOff val="0"/>
            </a:srgbClr>
          </a:solidFill>
          <a:prstDash val="solid"/>
          <a:miter lim="800000"/>
        </a:ln>
        <a:effectLst/>
      </dgm:spPr>
      <dgm:t>
        <a:bodyPr/>
        <a:lstStyle/>
        <a:p>
          <a:r>
            <a:rPr lang="cs-CZ">
              <a:solidFill>
                <a:sysClr val="window" lastClr="FFFFFF"/>
              </a:solidFill>
              <a:latin typeface="Calibri" panose="020F0502020204030204"/>
              <a:ea typeface="+mn-ea"/>
              <a:cs typeface="+mn-cs"/>
            </a:rPr>
            <a:t>I. etapa</a:t>
          </a:r>
        </a:p>
      </dgm:t>
    </dgm:pt>
    <dgm:pt modelId="{2ABB5AF0-4C07-4125-983B-FF1844A23EFC}" type="parTrans" cxnId="{F012C0BD-E816-4D02-B2C2-2FC3633AD69E}">
      <dgm:prSet/>
      <dgm:spPr/>
      <dgm:t>
        <a:bodyPr/>
        <a:lstStyle/>
        <a:p>
          <a:endParaRPr lang="cs-CZ"/>
        </a:p>
      </dgm:t>
    </dgm:pt>
    <dgm:pt modelId="{5DD60F2F-7C97-4603-ADFC-AE5A243EADDD}" type="sibTrans" cxnId="{F012C0BD-E816-4D02-B2C2-2FC3633AD69E}">
      <dgm:prSet/>
      <dgm:spPr/>
      <dgm:t>
        <a:bodyPr/>
        <a:lstStyle/>
        <a:p>
          <a:endParaRPr lang="cs-CZ"/>
        </a:p>
      </dgm:t>
    </dgm:pt>
    <dgm:pt modelId="{C61DF382-CC71-422B-B9D5-4EFF6BDA652B}">
      <dgm:prSet phldrT="[Text]" custT="1"/>
      <dgm:spPr>
        <a:xfrm rot="5400000">
          <a:off x="2996355" y="-2075994"/>
          <a:ext cx="819034" cy="5211343"/>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cs-CZ" sz="800">
              <a:solidFill>
                <a:sysClr val="windowText" lastClr="000000">
                  <a:hueOff val="0"/>
                  <a:satOff val="0"/>
                  <a:lumOff val="0"/>
                  <a:alphaOff val="0"/>
                </a:sysClr>
              </a:solidFill>
              <a:latin typeface="Calibri" panose="020F0502020204030204"/>
              <a:ea typeface="+mn-ea"/>
              <a:cs typeface="+mn-cs"/>
            </a:rPr>
            <a:t>V rámci I. etapy byly zakoupeny a zrekonstruovány 3 domy v Července, Drahanovicích a Uničově, kam se přestěhovalo 17 uživatelů služby chráněné bydlení. Celkové náklady na realizaci I. etapy činily 15,244 mil. Kč, z toho 8,860 mil. Kč bylo hrazeno z dotace IROP (2016-2017).</a:t>
          </a:r>
        </a:p>
      </dgm:t>
    </dgm:pt>
    <dgm:pt modelId="{0863CFA2-611D-4ED6-BEAA-2A4B2E47C89A}" type="parTrans" cxnId="{3CCBC74B-2B0B-4E91-A630-0972EFA5429A}">
      <dgm:prSet/>
      <dgm:spPr/>
      <dgm:t>
        <a:bodyPr/>
        <a:lstStyle/>
        <a:p>
          <a:endParaRPr lang="cs-CZ"/>
        </a:p>
      </dgm:t>
    </dgm:pt>
    <dgm:pt modelId="{BC19ACAD-ADA7-48DC-9D07-1C426216CA2F}" type="sibTrans" cxnId="{3CCBC74B-2B0B-4E91-A630-0972EFA5429A}">
      <dgm:prSet/>
      <dgm:spPr/>
      <dgm:t>
        <a:bodyPr/>
        <a:lstStyle/>
        <a:p>
          <a:endParaRPr lang="cs-CZ"/>
        </a:p>
      </dgm:t>
    </dgm:pt>
    <dgm:pt modelId="{B1DA527D-972A-4743-A167-9673CDF5E83E}">
      <dgm:prSet phldrT="[Text]"/>
      <dgm:spPr>
        <a:xfrm rot="5400000">
          <a:off x="-171471" y="1463884"/>
          <a:ext cx="1143144" cy="800201"/>
        </a:xfrm>
        <a:gradFill rotWithShape="0">
          <a:gsLst>
            <a:gs pos="0">
              <a:srgbClr val="ED7D31">
                <a:hueOff val="-363841"/>
                <a:satOff val="-20982"/>
                <a:lumOff val="2157"/>
                <a:alphaOff val="0"/>
                <a:satMod val="103000"/>
                <a:lumMod val="102000"/>
                <a:tint val="94000"/>
              </a:srgbClr>
            </a:gs>
            <a:gs pos="50000">
              <a:srgbClr val="ED7D31">
                <a:hueOff val="-363841"/>
                <a:satOff val="-20982"/>
                <a:lumOff val="2157"/>
                <a:alphaOff val="0"/>
                <a:satMod val="110000"/>
                <a:lumMod val="100000"/>
                <a:shade val="100000"/>
              </a:srgbClr>
            </a:gs>
            <a:gs pos="100000">
              <a:srgbClr val="ED7D31">
                <a:hueOff val="-363841"/>
                <a:satOff val="-20982"/>
                <a:lumOff val="2157"/>
                <a:alphaOff val="0"/>
                <a:lumMod val="99000"/>
                <a:satMod val="120000"/>
                <a:shade val="78000"/>
              </a:srgbClr>
            </a:gs>
          </a:gsLst>
          <a:lin ang="5400000" scaled="0"/>
        </a:gradFill>
        <a:ln w="6350" cap="flat" cmpd="sng" algn="ctr">
          <a:solidFill>
            <a:srgbClr val="ED7D31">
              <a:hueOff val="-363841"/>
              <a:satOff val="-20982"/>
              <a:lumOff val="2157"/>
              <a:alphaOff val="0"/>
            </a:srgbClr>
          </a:solidFill>
          <a:prstDash val="solid"/>
          <a:miter lim="800000"/>
        </a:ln>
        <a:effectLst/>
      </dgm:spPr>
      <dgm:t>
        <a:bodyPr/>
        <a:lstStyle/>
        <a:p>
          <a:r>
            <a:rPr lang="cs-CZ">
              <a:solidFill>
                <a:sysClr val="window" lastClr="FFFFFF"/>
              </a:solidFill>
              <a:latin typeface="Calibri" panose="020F0502020204030204"/>
              <a:ea typeface="+mn-ea"/>
              <a:cs typeface="+mn-cs"/>
            </a:rPr>
            <a:t>II. etapa</a:t>
          </a:r>
        </a:p>
      </dgm:t>
    </dgm:pt>
    <dgm:pt modelId="{6B51693C-DA8C-4570-B76D-320B0F0FF6D0}" type="parTrans" cxnId="{4C859523-75A2-4BA8-9AB4-787A4DC1E1B9}">
      <dgm:prSet/>
      <dgm:spPr/>
      <dgm:t>
        <a:bodyPr/>
        <a:lstStyle/>
        <a:p>
          <a:endParaRPr lang="cs-CZ"/>
        </a:p>
      </dgm:t>
    </dgm:pt>
    <dgm:pt modelId="{F21B8607-1E84-4692-A61D-27CD0425D9DC}" type="sibTrans" cxnId="{4C859523-75A2-4BA8-9AB4-787A4DC1E1B9}">
      <dgm:prSet/>
      <dgm:spPr/>
      <dgm:t>
        <a:bodyPr/>
        <a:lstStyle/>
        <a:p>
          <a:endParaRPr lang="cs-CZ"/>
        </a:p>
      </dgm:t>
    </dgm:pt>
    <dgm:pt modelId="{0936B312-FDDD-4F32-AF6D-5F02446D56BA}">
      <dgm:prSet phldrT="[Text]" custT="1"/>
      <dgm:spPr>
        <a:xfrm rot="5400000">
          <a:off x="2943811" y="-941737"/>
          <a:ext cx="924123" cy="5211343"/>
        </a:xfrm>
        <a:solidFill>
          <a:sysClr val="window" lastClr="FFFFFF">
            <a:alpha val="90000"/>
            <a:hueOff val="0"/>
            <a:satOff val="0"/>
            <a:lumOff val="0"/>
            <a:alphaOff val="0"/>
          </a:sysClr>
        </a:solidFill>
        <a:ln w="6350" cap="flat" cmpd="sng" algn="ctr">
          <a:solidFill>
            <a:srgbClr val="ED7D31">
              <a:hueOff val="-363841"/>
              <a:satOff val="-20982"/>
              <a:lumOff val="2157"/>
              <a:alphaOff val="0"/>
            </a:srgbClr>
          </a:solidFill>
          <a:prstDash val="solid"/>
          <a:miter lim="800000"/>
        </a:ln>
        <a:effectLst/>
      </dgm:spPr>
      <dgm:t>
        <a:bodyPr/>
        <a:lstStyle/>
        <a:p>
          <a:r>
            <a:rPr lang="cs-CZ" sz="800">
              <a:solidFill>
                <a:sysClr val="windowText" lastClr="000000">
                  <a:hueOff val="0"/>
                  <a:satOff val="0"/>
                  <a:lumOff val="0"/>
                  <a:alphaOff val="0"/>
                </a:sysClr>
              </a:solidFill>
              <a:latin typeface="Calibri" panose="020F0502020204030204"/>
              <a:ea typeface="+mn-ea"/>
              <a:cs typeface="+mn-cs"/>
            </a:rPr>
            <a:t>V rámci II. etapy byl zakoupen pozemek a realizována výstavba nového objektu s dvěma domácnostmi v obci Měrotín, kam se přestěhovalo 12 uživatelů služby DOZP (2020-2021)</a:t>
          </a:r>
        </a:p>
      </dgm:t>
    </dgm:pt>
    <dgm:pt modelId="{3F6F01FD-349F-4C4B-B23F-60D994DC2130}" type="parTrans" cxnId="{7BCEAD0D-A37F-4011-A2B1-B138BB340FFD}">
      <dgm:prSet/>
      <dgm:spPr/>
      <dgm:t>
        <a:bodyPr/>
        <a:lstStyle/>
        <a:p>
          <a:endParaRPr lang="cs-CZ"/>
        </a:p>
      </dgm:t>
    </dgm:pt>
    <dgm:pt modelId="{34CD272C-4972-4C93-8A00-317023E27100}" type="sibTrans" cxnId="{7BCEAD0D-A37F-4011-A2B1-B138BB340FFD}">
      <dgm:prSet/>
      <dgm:spPr/>
      <dgm:t>
        <a:bodyPr/>
        <a:lstStyle/>
        <a:p>
          <a:endParaRPr lang="cs-CZ"/>
        </a:p>
      </dgm:t>
    </dgm:pt>
    <dgm:pt modelId="{D1583ACD-9722-4EEB-A7E5-FF63CB2EB0B3}">
      <dgm:prSet phldrT="[Text]"/>
      <dgm:spPr>
        <a:xfrm rot="5400000">
          <a:off x="-171471" y="3876708"/>
          <a:ext cx="1143144" cy="800201"/>
        </a:xfrm>
        <a:gradFill rotWithShape="0">
          <a:gsLst>
            <a:gs pos="0">
              <a:srgbClr val="ED7D31">
                <a:hueOff val="-1091522"/>
                <a:satOff val="-62946"/>
                <a:lumOff val="6471"/>
                <a:alphaOff val="0"/>
                <a:satMod val="103000"/>
                <a:lumMod val="102000"/>
                <a:tint val="94000"/>
              </a:srgbClr>
            </a:gs>
            <a:gs pos="50000">
              <a:srgbClr val="ED7D31">
                <a:hueOff val="-1091522"/>
                <a:satOff val="-62946"/>
                <a:lumOff val="6471"/>
                <a:alphaOff val="0"/>
                <a:satMod val="110000"/>
                <a:lumMod val="100000"/>
                <a:shade val="100000"/>
              </a:srgbClr>
            </a:gs>
            <a:gs pos="100000">
              <a:srgbClr val="ED7D31">
                <a:hueOff val="-1091522"/>
                <a:satOff val="-62946"/>
                <a:lumOff val="6471"/>
                <a:alphaOff val="0"/>
                <a:lumMod val="99000"/>
                <a:satMod val="120000"/>
                <a:shade val="78000"/>
              </a:srgbClr>
            </a:gs>
          </a:gsLst>
          <a:lin ang="5400000" scaled="0"/>
        </a:gradFill>
        <a:ln w="6350" cap="flat" cmpd="sng" algn="ctr">
          <a:solidFill>
            <a:srgbClr val="ED7D31">
              <a:hueOff val="-1091522"/>
              <a:satOff val="-62946"/>
              <a:lumOff val="6471"/>
              <a:alphaOff val="0"/>
            </a:srgbClr>
          </a:solidFill>
          <a:prstDash val="solid"/>
          <a:miter lim="800000"/>
        </a:ln>
        <a:effectLst/>
      </dgm:spPr>
      <dgm:t>
        <a:bodyPr/>
        <a:lstStyle/>
        <a:p>
          <a:r>
            <a:rPr lang="cs-CZ">
              <a:solidFill>
                <a:sysClr val="window" lastClr="FFFFFF"/>
              </a:solidFill>
              <a:latin typeface="Calibri" panose="020F0502020204030204"/>
              <a:ea typeface="+mn-ea"/>
              <a:cs typeface="+mn-cs"/>
            </a:rPr>
            <a:t>IV. etapa</a:t>
          </a:r>
        </a:p>
      </dgm:t>
    </dgm:pt>
    <dgm:pt modelId="{812F2976-742A-416D-A11F-2962FDD60B03}" type="parTrans" cxnId="{D430E4D1-336B-43C7-BEF0-7604BE5A5CAE}">
      <dgm:prSet/>
      <dgm:spPr/>
      <dgm:t>
        <a:bodyPr/>
        <a:lstStyle/>
        <a:p>
          <a:endParaRPr lang="cs-CZ"/>
        </a:p>
      </dgm:t>
    </dgm:pt>
    <dgm:pt modelId="{FBB2FB24-7B9F-4AFC-A318-C2F608F49549}" type="sibTrans" cxnId="{D430E4D1-336B-43C7-BEF0-7604BE5A5CAE}">
      <dgm:prSet/>
      <dgm:spPr/>
      <dgm:t>
        <a:bodyPr/>
        <a:lstStyle/>
        <a:p>
          <a:endParaRPr lang="cs-CZ"/>
        </a:p>
      </dgm:t>
    </dgm:pt>
    <dgm:pt modelId="{B13B7EF3-1ECE-4C35-8D28-299A4822E687}">
      <dgm:prSet phldrT="[Text]" custT="1"/>
      <dgm:spPr>
        <a:xfrm rot="5400000">
          <a:off x="2957509" y="178821"/>
          <a:ext cx="896727" cy="5211343"/>
        </a:xfrm>
        <a:solidFill>
          <a:sysClr val="window" lastClr="FFFFFF">
            <a:alpha val="90000"/>
            <a:hueOff val="0"/>
            <a:satOff val="0"/>
            <a:lumOff val="0"/>
            <a:alphaOff val="0"/>
          </a:sysClr>
        </a:solidFill>
        <a:ln w="6350" cap="flat" cmpd="sng" algn="ctr">
          <a:solidFill>
            <a:srgbClr val="ED7D31">
              <a:hueOff val="-727682"/>
              <a:satOff val="-41964"/>
              <a:lumOff val="4314"/>
              <a:alphaOff val="0"/>
            </a:srgbClr>
          </a:solidFill>
          <a:prstDash val="solid"/>
          <a:miter lim="800000"/>
        </a:ln>
        <a:effectLst/>
      </dgm:spPr>
      <dgm:t>
        <a:bodyPr/>
        <a:lstStyle/>
        <a:p>
          <a:r>
            <a:rPr lang="cs-CZ" sz="800">
              <a:solidFill>
                <a:sysClr val="windowText" lastClr="000000">
                  <a:hueOff val="0"/>
                  <a:satOff val="0"/>
                  <a:lumOff val="0"/>
                  <a:alphaOff val="0"/>
                </a:sysClr>
              </a:solidFill>
              <a:latin typeface="Calibri" panose="020F0502020204030204"/>
              <a:ea typeface="+mn-ea"/>
              <a:cs typeface="+mn-cs"/>
            </a:rPr>
            <a:t>V rámci III. etapy byly zakoupeny dva domy v k.ú. Červenka pro 8 uživatelů DZR a pro 8 uživatelů služby DOZP; dva domy v k.ú. Litovel pro 16 uživatelů služby CHB, které byly v letech 2019 – 2020 zrekonstruovány. </a:t>
          </a:r>
        </a:p>
      </dgm:t>
    </dgm:pt>
    <dgm:pt modelId="{2109C298-6AED-4473-8323-9B5E5EFC9B28}" type="parTrans" cxnId="{14957141-651F-4075-9D7D-437283C976CD}">
      <dgm:prSet/>
      <dgm:spPr/>
      <dgm:t>
        <a:bodyPr/>
        <a:lstStyle/>
        <a:p>
          <a:endParaRPr lang="cs-CZ"/>
        </a:p>
      </dgm:t>
    </dgm:pt>
    <dgm:pt modelId="{D00B4A9D-B5C0-4859-9918-EFA944FF5965}" type="sibTrans" cxnId="{14957141-651F-4075-9D7D-437283C976CD}">
      <dgm:prSet/>
      <dgm:spPr/>
      <dgm:t>
        <a:bodyPr/>
        <a:lstStyle/>
        <a:p>
          <a:endParaRPr lang="cs-CZ"/>
        </a:p>
      </dgm:t>
    </dgm:pt>
    <dgm:pt modelId="{EEB9B60A-29BE-465E-8E8D-0C078848F586}">
      <dgm:prSet phldrT="[Text]"/>
      <dgm:spPr>
        <a:xfrm rot="5400000">
          <a:off x="-171471" y="2584443"/>
          <a:ext cx="1143144" cy="800201"/>
        </a:xfrm>
        <a:gradFill rotWithShape="0">
          <a:gsLst>
            <a:gs pos="0">
              <a:srgbClr val="ED7D31">
                <a:hueOff val="-727682"/>
                <a:satOff val="-41964"/>
                <a:lumOff val="4314"/>
                <a:alphaOff val="0"/>
                <a:satMod val="103000"/>
                <a:lumMod val="102000"/>
                <a:tint val="94000"/>
              </a:srgbClr>
            </a:gs>
            <a:gs pos="50000">
              <a:srgbClr val="ED7D31">
                <a:hueOff val="-727682"/>
                <a:satOff val="-41964"/>
                <a:lumOff val="4314"/>
                <a:alphaOff val="0"/>
                <a:satMod val="110000"/>
                <a:lumMod val="100000"/>
                <a:shade val="100000"/>
              </a:srgbClr>
            </a:gs>
            <a:gs pos="100000">
              <a:srgbClr val="ED7D31">
                <a:hueOff val="-727682"/>
                <a:satOff val="-41964"/>
                <a:lumOff val="4314"/>
                <a:alphaOff val="0"/>
                <a:lumMod val="99000"/>
                <a:satMod val="120000"/>
                <a:shade val="78000"/>
              </a:srgbClr>
            </a:gs>
          </a:gsLst>
          <a:lin ang="5400000" scaled="0"/>
        </a:gradFill>
        <a:ln w="6350" cap="flat" cmpd="sng" algn="ctr">
          <a:solidFill>
            <a:srgbClr val="ED7D31">
              <a:hueOff val="-727682"/>
              <a:satOff val="-41964"/>
              <a:lumOff val="4314"/>
              <a:alphaOff val="0"/>
            </a:srgbClr>
          </a:solidFill>
          <a:prstDash val="solid"/>
          <a:miter lim="800000"/>
        </a:ln>
        <a:effectLst/>
      </dgm:spPr>
      <dgm:t>
        <a:bodyPr/>
        <a:lstStyle/>
        <a:p>
          <a:r>
            <a:rPr lang="cs-CZ">
              <a:solidFill>
                <a:sysClr val="window" lastClr="FFFFFF"/>
              </a:solidFill>
              <a:latin typeface="Calibri" panose="020F0502020204030204"/>
              <a:ea typeface="+mn-ea"/>
              <a:cs typeface="+mn-cs"/>
            </a:rPr>
            <a:t>III. etapa</a:t>
          </a:r>
        </a:p>
      </dgm:t>
    </dgm:pt>
    <dgm:pt modelId="{4ECE6746-8D27-4638-9C73-3A5A1284DE27}" type="parTrans" cxnId="{BBE5230F-D3F9-4AFA-A477-10D4A7AC5F55}">
      <dgm:prSet/>
      <dgm:spPr/>
      <dgm:t>
        <a:bodyPr/>
        <a:lstStyle/>
        <a:p>
          <a:endParaRPr lang="cs-CZ"/>
        </a:p>
      </dgm:t>
    </dgm:pt>
    <dgm:pt modelId="{C7D5EF5E-268D-467A-BAE7-F8F9607C315F}" type="sibTrans" cxnId="{BBE5230F-D3F9-4AFA-A477-10D4A7AC5F55}">
      <dgm:prSet/>
      <dgm:spPr/>
      <dgm:t>
        <a:bodyPr/>
        <a:lstStyle/>
        <a:p>
          <a:endParaRPr lang="cs-CZ"/>
        </a:p>
      </dgm:t>
    </dgm:pt>
    <dgm:pt modelId="{2F6E9C98-B9CC-4EEC-8A52-902B42675F9C}">
      <dgm:prSet phldrT="[Text]"/>
      <dgm:spPr>
        <a:xfrm rot="5400000">
          <a:off x="-171471" y="5067031"/>
          <a:ext cx="1143144" cy="800201"/>
        </a:xfr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w="6350" cap="flat" cmpd="sng" algn="ctr">
          <a:solidFill>
            <a:srgbClr val="ED7D31">
              <a:hueOff val="-1455363"/>
              <a:satOff val="-83928"/>
              <a:lumOff val="8628"/>
              <a:alphaOff val="0"/>
            </a:srgbClr>
          </a:solidFill>
          <a:prstDash val="solid"/>
          <a:miter lim="800000"/>
        </a:ln>
        <a:effectLst/>
      </dgm:spPr>
      <dgm:t>
        <a:bodyPr/>
        <a:lstStyle/>
        <a:p>
          <a:r>
            <a:rPr lang="cs-CZ">
              <a:solidFill>
                <a:sysClr val="window" lastClr="FFFFFF"/>
              </a:solidFill>
              <a:latin typeface="Calibri" panose="020F0502020204030204"/>
              <a:ea typeface="+mn-ea"/>
              <a:cs typeface="+mn-cs"/>
            </a:rPr>
            <a:t>V. etapa</a:t>
          </a:r>
        </a:p>
      </dgm:t>
    </dgm:pt>
    <dgm:pt modelId="{6529FF94-3C51-4536-B411-669627684544}" type="parTrans" cxnId="{9D707129-4823-4531-9FC6-366ACF8A4CA6}">
      <dgm:prSet/>
      <dgm:spPr/>
      <dgm:t>
        <a:bodyPr/>
        <a:lstStyle/>
        <a:p>
          <a:endParaRPr lang="cs-CZ"/>
        </a:p>
      </dgm:t>
    </dgm:pt>
    <dgm:pt modelId="{6EF81B75-2D11-44F6-BC2F-3E50E1275F11}" type="sibTrans" cxnId="{9D707129-4823-4531-9FC6-366ACF8A4CA6}">
      <dgm:prSet/>
      <dgm:spPr/>
      <dgm:t>
        <a:bodyPr/>
        <a:lstStyle/>
        <a:p>
          <a:endParaRPr lang="cs-CZ"/>
        </a:p>
      </dgm:t>
    </dgm:pt>
    <dgm:pt modelId="{1182BC3A-C4B7-4DA0-B54C-3BD81DDB2024}">
      <dgm:prSet phldrT="[Text]" custT="1"/>
      <dgm:spPr>
        <a:xfrm rot="5400000">
          <a:off x="2785802" y="1471086"/>
          <a:ext cx="1240140" cy="5211343"/>
        </a:xfrm>
        <a:solidFill>
          <a:sysClr val="window" lastClr="FFFFFF">
            <a:alpha val="90000"/>
            <a:hueOff val="0"/>
            <a:satOff val="0"/>
            <a:lumOff val="0"/>
            <a:alphaOff val="0"/>
          </a:sysClr>
        </a:solidFill>
        <a:ln w="6350" cap="flat" cmpd="sng" algn="ctr">
          <a:solidFill>
            <a:srgbClr val="ED7D31">
              <a:hueOff val="-1091522"/>
              <a:satOff val="-62946"/>
              <a:lumOff val="6471"/>
              <a:alphaOff val="0"/>
            </a:srgbClr>
          </a:solidFill>
          <a:prstDash val="solid"/>
          <a:miter lim="800000"/>
        </a:ln>
        <a:effectLst/>
      </dgm:spPr>
      <dgm:t>
        <a:bodyPr/>
        <a:lstStyle/>
        <a:p>
          <a:r>
            <a:rPr lang="cs-CZ" sz="800">
              <a:solidFill>
                <a:sysClr val="windowText" lastClr="000000">
                  <a:hueOff val="0"/>
                  <a:satOff val="0"/>
                  <a:lumOff val="0"/>
                  <a:alphaOff val="0"/>
                </a:sysClr>
              </a:solidFill>
              <a:latin typeface="Calibri" panose="020F0502020204030204"/>
              <a:ea typeface="+mn-ea"/>
              <a:cs typeface="+mn-cs"/>
            </a:rPr>
            <a:t>V rámci IV. etapy byly zakoupeny dva pozemky v k. ú. Zábřeh a zpracována příslušná projektová dokumentace. V lokalitě jsou plánovány dvě novostavby v lokalitě Havlíčkova pro 12 klientů služby DOZP a v lokalitě Malá strana mají být vystavěny tři novostavby pro 18 klientů služby DOZP. </a:t>
          </a:r>
        </a:p>
      </dgm:t>
    </dgm:pt>
    <dgm:pt modelId="{DC87C333-C67F-424F-AC90-2A69254F66E9}" type="parTrans" cxnId="{7EB918D7-25F6-4EBE-B7F3-B1E342C48EF8}">
      <dgm:prSet/>
      <dgm:spPr/>
      <dgm:t>
        <a:bodyPr/>
        <a:lstStyle/>
        <a:p>
          <a:endParaRPr lang="cs-CZ"/>
        </a:p>
      </dgm:t>
    </dgm:pt>
    <dgm:pt modelId="{CFA72806-616E-4075-8B36-1309FD1865F2}" type="sibTrans" cxnId="{7EB918D7-25F6-4EBE-B7F3-B1E342C48EF8}">
      <dgm:prSet/>
      <dgm:spPr/>
      <dgm:t>
        <a:bodyPr/>
        <a:lstStyle/>
        <a:p>
          <a:endParaRPr lang="cs-CZ"/>
        </a:p>
      </dgm:t>
    </dgm:pt>
    <dgm:pt modelId="{B947A5C5-444D-4A1E-9C52-6665FD2E1760}">
      <dgm:prSet phldrT="[Text]" custT="1"/>
      <dgm:spPr>
        <a:xfrm rot="5400000">
          <a:off x="2887744" y="2661410"/>
          <a:ext cx="1036256" cy="5211343"/>
        </a:xfrm>
        <a:solidFill>
          <a:sysClr val="window" lastClr="FFFFFF">
            <a:alpha val="90000"/>
            <a:hueOff val="0"/>
            <a:satOff val="0"/>
            <a:lumOff val="0"/>
            <a:alphaOff val="0"/>
          </a:sysClr>
        </a:solidFill>
        <a:ln w="6350" cap="flat" cmpd="sng" algn="ctr">
          <a:solidFill>
            <a:srgbClr val="ED7D31">
              <a:hueOff val="-1455363"/>
              <a:satOff val="-83928"/>
              <a:lumOff val="8628"/>
              <a:alphaOff val="0"/>
            </a:srgbClr>
          </a:solidFill>
          <a:prstDash val="solid"/>
          <a:miter lim="800000"/>
        </a:ln>
        <a:effectLst/>
      </dgm:spPr>
      <dgm:t>
        <a:bodyPr/>
        <a:lstStyle/>
        <a:p>
          <a:r>
            <a:rPr lang="cs-CZ" sz="800">
              <a:solidFill>
                <a:sysClr val="windowText" lastClr="000000">
                  <a:hueOff val="0"/>
                  <a:satOff val="0"/>
                  <a:lumOff val="0"/>
                  <a:alphaOff val="0"/>
                </a:sysClr>
              </a:solidFill>
              <a:latin typeface="Calibri" panose="020F0502020204030204"/>
              <a:ea typeface="+mn-ea"/>
              <a:cs typeface="+mn-cs"/>
            </a:rPr>
            <a:t>V rámci V. etapy probíhá realizace stavby v obci Medlov, Králová pro 8 uživatelů služby DOZP.</a:t>
          </a:r>
        </a:p>
      </dgm:t>
    </dgm:pt>
    <dgm:pt modelId="{6425504C-8893-4EDB-90D7-A6196F7D772E}" type="parTrans" cxnId="{E8249A0B-BAE5-4D08-85BF-E51019AC786A}">
      <dgm:prSet/>
      <dgm:spPr/>
      <dgm:t>
        <a:bodyPr/>
        <a:lstStyle/>
        <a:p>
          <a:endParaRPr lang="cs-CZ"/>
        </a:p>
      </dgm:t>
    </dgm:pt>
    <dgm:pt modelId="{271E6960-32C5-457D-B54F-C304FFB914DC}" type="sibTrans" cxnId="{E8249A0B-BAE5-4D08-85BF-E51019AC786A}">
      <dgm:prSet/>
      <dgm:spPr/>
      <dgm:t>
        <a:bodyPr/>
        <a:lstStyle/>
        <a:p>
          <a:endParaRPr lang="cs-CZ"/>
        </a:p>
      </dgm:t>
    </dgm:pt>
    <dgm:pt modelId="{A42B88DA-B090-46AC-A75E-3528A5CCB038}">
      <dgm:prSet custT="1"/>
      <dgm:spPr/>
      <dgm:t>
        <a:bodyPr/>
        <a:lstStyle/>
        <a:p>
          <a:r>
            <a:rPr lang="cs-CZ" sz="800">
              <a:solidFill>
                <a:sysClr val="windowText" lastClr="000000">
                  <a:hueOff val="0"/>
                  <a:satOff val="0"/>
                  <a:lumOff val="0"/>
                  <a:alphaOff val="0"/>
                </a:sysClr>
              </a:solidFill>
              <a:latin typeface="Calibri" panose="020F0502020204030204"/>
              <a:ea typeface="+mn-ea"/>
              <a:cs typeface="+mn-cs"/>
            </a:rPr>
            <a:t>Součástí II. etapy byl nákup pozemku a realizace výstavby objektu se dvěma domácnosti pro 12 uživatelů služby chráněné bydlení v obci Drahanovice.</a:t>
          </a:r>
        </a:p>
      </dgm:t>
    </dgm:pt>
    <dgm:pt modelId="{B3A799E4-2341-43C0-A127-FC1FD4A13A40}" type="parTrans" cxnId="{0AD968BA-7ED7-4843-B2CE-9FC49E2A2617}">
      <dgm:prSet/>
      <dgm:spPr/>
      <dgm:t>
        <a:bodyPr/>
        <a:lstStyle/>
        <a:p>
          <a:endParaRPr lang="cs-CZ"/>
        </a:p>
      </dgm:t>
    </dgm:pt>
    <dgm:pt modelId="{9D5C020E-825D-4901-B396-AABF989FB1F5}" type="sibTrans" cxnId="{0AD968BA-7ED7-4843-B2CE-9FC49E2A2617}">
      <dgm:prSet/>
      <dgm:spPr/>
      <dgm:t>
        <a:bodyPr/>
        <a:lstStyle/>
        <a:p>
          <a:endParaRPr lang="cs-CZ"/>
        </a:p>
      </dgm:t>
    </dgm:pt>
    <dgm:pt modelId="{8CFBAAA6-F120-4D38-8F7D-A6BD1F476B0D}">
      <dgm:prSet custT="1"/>
      <dgm:spPr/>
      <dgm:t>
        <a:bodyPr/>
        <a:lstStyle/>
        <a:p>
          <a:r>
            <a:rPr lang="cs-CZ" sz="800">
              <a:solidFill>
                <a:sysClr val="windowText" lastClr="000000">
                  <a:hueOff val="0"/>
                  <a:satOff val="0"/>
                  <a:lumOff val="0"/>
                  <a:alphaOff val="0"/>
                </a:sysClr>
              </a:solidFill>
              <a:latin typeface="Calibri" panose="020F0502020204030204"/>
              <a:ea typeface="+mn-ea"/>
              <a:cs typeface="+mn-cs"/>
            </a:rPr>
            <a:t>Realizace výstavby nového objektu v obci Drahanovice se do dnešního dne neuskutečnila, vzhledem k odporu místních obyvatel se nepodařilo zajistit pravomocné stavební povolení.</a:t>
          </a:r>
        </a:p>
      </dgm:t>
    </dgm:pt>
    <dgm:pt modelId="{DF2D453C-8E38-4845-AFC2-D723416BE4A2}" type="parTrans" cxnId="{EB166B19-FA53-440A-AC09-8D1AB330C1D6}">
      <dgm:prSet/>
      <dgm:spPr/>
      <dgm:t>
        <a:bodyPr/>
        <a:lstStyle/>
        <a:p>
          <a:endParaRPr lang="cs-CZ"/>
        </a:p>
      </dgm:t>
    </dgm:pt>
    <dgm:pt modelId="{B68E13AB-4268-4C07-96C4-8CCEB69FFC6C}" type="sibTrans" cxnId="{EB166B19-FA53-440A-AC09-8D1AB330C1D6}">
      <dgm:prSet/>
      <dgm:spPr/>
      <dgm:t>
        <a:bodyPr/>
        <a:lstStyle/>
        <a:p>
          <a:endParaRPr lang="cs-CZ"/>
        </a:p>
      </dgm:t>
    </dgm:pt>
    <dgm:pt modelId="{32CC4C7B-9735-49B4-BC74-9ABF6A45EF68}">
      <dgm:prSet custT="1"/>
      <dgm:spPr/>
      <dgm:t>
        <a:bodyPr/>
        <a:lstStyle/>
        <a:p>
          <a:r>
            <a:rPr lang="cs-CZ" sz="800" b="1">
              <a:solidFill>
                <a:sysClr val="windowText" lastClr="000000">
                  <a:hueOff val="0"/>
                  <a:satOff val="0"/>
                  <a:lumOff val="0"/>
                  <a:alphaOff val="0"/>
                </a:sysClr>
              </a:solidFill>
              <a:latin typeface="Calibri" panose="020F0502020204030204"/>
              <a:ea typeface="+mn-ea"/>
              <a:cs typeface="+mn-cs"/>
            </a:rPr>
            <a:t>Celkové náklady na částečnou realizaci II. etapy transformace činí dle projektu 23,810 mil. Kč, z toho 14,570 mil. Kč bude hrazeno z dotace IROP</a:t>
          </a:r>
          <a:r>
            <a:rPr lang="cs-CZ" sz="800">
              <a:solidFill>
                <a:sysClr val="windowText" lastClr="000000">
                  <a:hueOff val="0"/>
                  <a:satOff val="0"/>
                  <a:lumOff val="0"/>
                  <a:alphaOff val="0"/>
                </a:sysClr>
              </a:solidFill>
              <a:latin typeface="Calibri" panose="020F0502020204030204"/>
              <a:ea typeface="+mn-ea"/>
              <a:cs typeface="+mn-cs"/>
            </a:rPr>
            <a:t>.</a:t>
          </a:r>
        </a:p>
      </dgm:t>
    </dgm:pt>
    <dgm:pt modelId="{2A8881C1-609D-4B6E-BFD4-DC1F56034DC4}" type="parTrans" cxnId="{A114B146-D8FC-47D6-886D-E6D348B723DB}">
      <dgm:prSet/>
      <dgm:spPr/>
      <dgm:t>
        <a:bodyPr/>
        <a:lstStyle/>
        <a:p>
          <a:endParaRPr lang="cs-CZ"/>
        </a:p>
      </dgm:t>
    </dgm:pt>
    <dgm:pt modelId="{4A1B8F95-15F8-4265-A147-3DEB888CC93D}" type="sibTrans" cxnId="{A114B146-D8FC-47D6-886D-E6D348B723DB}">
      <dgm:prSet/>
      <dgm:spPr/>
      <dgm:t>
        <a:bodyPr/>
        <a:lstStyle/>
        <a:p>
          <a:endParaRPr lang="cs-CZ"/>
        </a:p>
      </dgm:t>
    </dgm:pt>
    <dgm:pt modelId="{7DEB2969-5D5F-4C3B-96C9-497ED3A5CDC2}">
      <dgm:prSet custT="1"/>
      <dgm:spPr/>
      <dgm:t>
        <a:bodyPr/>
        <a:lstStyle/>
        <a:p>
          <a:r>
            <a:rPr lang="cs-CZ" sz="800">
              <a:solidFill>
                <a:sysClr val="windowText" lastClr="000000">
                  <a:hueOff val="0"/>
                  <a:satOff val="0"/>
                  <a:lumOff val="0"/>
                  <a:alphaOff val="0"/>
                </a:sysClr>
              </a:solidFill>
              <a:latin typeface="Calibri" panose="020F0502020204030204"/>
              <a:ea typeface="+mn-ea"/>
              <a:cs typeface="+mn-cs"/>
            </a:rPr>
            <a:t>V průběhu roku 2021 – 2022 probíhá rekonstrukce stávajících dvou objektů pobočky PO Nové Zámky, poskytovatel sociálních služeb v Litovli, které budou sloužit 18 uživatelům služby DOZP. </a:t>
          </a:r>
        </a:p>
      </dgm:t>
    </dgm:pt>
    <dgm:pt modelId="{6AE7ECB6-585B-4915-B3EF-EAA0D0F880B0}" type="parTrans" cxnId="{957843BC-8BC5-463A-90FD-90B32B0F23E1}">
      <dgm:prSet/>
      <dgm:spPr/>
      <dgm:t>
        <a:bodyPr/>
        <a:lstStyle/>
        <a:p>
          <a:endParaRPr lang="cs-CZ"/>
        </a:p>
      </dgm:t>
    </dgm:pt>
    <dgm:pt modelId="{D6BB25A3-8C51-4A87-87C5-AD7EEB7BDAFD}" type="sibTrans" cxnId="{957843BC-8BC5-463A-90FD-90B32B0F23E1}">
      <dgm:prSet/>
      <dgm:spPr/>
      <dgm:t>
        <a:bodyPr/>
        <a:lstStyle/>
        <a:p>
          <a:endParaRPr lang="cs-CZ"/>
        </a:p>
      </dgm:t>
    </dgm:pt>
    <dgm:pt modelId="{454E71FE-65EF-4E99-848F-3ECBC512513B}">
      <dgm:prSet custT="1"/>
      <dgm:spPr/>
      <dgm:t>
        <a:bodyPr/>
        <a:lstStyle/>
        <a:p>
          <a:r>
            <a:rPr lang="cs-CZ" sz="800" b="1">
              <a:solidFill>
                <a:sysClr val="windowText" lastClr="000000">
                  <a:hueOff val="0"/>
                  <a:satOff val="0"/>
                  <a:lumOff val="0"/>
                  <a:alphaOff val="0"/>
                </a:sysClr>
              </a:solidFill>
              <a:latin typeface="Calibri" panose="020F0502020204030204"/>
              <a:ea typeface="+mn-ea"/>
              <a:cs typeface="+mn-cs"/>
            </a:rPr>
            <a:t>Celkové předpokládané náklady na realizaci III. etapy transformace činí dle projektu 70,538 mil. Kč, z toho 60,720 mil. Kč bude hrazeno z dotace IROP.</a:t>
          </a:r>
        </a:p>
      </dgm:t>
    </dgm:pt>
    <dgm:pt modelId="{CC6F2D2E-13F4-48F3-88FC-51E77ADB111B}" type="parTrans" cxnId="{AC296A4A-C754-4102-AB9D-6997E308DA7A}">
      <dgm:prSet/>
      <dgm:spPr/>
      <dgm:t>
        <a:bodyPr/>
        <a:lstStyle/>
        <a:p>
          <a:endParaRPr lang="cs-CZ"/>
        </a:p>
      </dgm:t>
    </dgm:pt>
    <dgm:pt modelId="{2EF43EAD-91C1-45DA-A8C9-9E10F7243D10}" type="sibTrans" cxnId="{AC296A4A-C754-4102-AB9D-6997E308DA7A}">
      <dgm:prSet/>
      <dgm:spPr/>
      <dgm:t>
        <a:bodyPr/>
        <a:lstStyle/>
        <a:p>
          <a:endParaRPr lang="cs-CZ"/>
        </a:p>
      </dgm:t>
    </dgm:pt>
    <dgm:pt modelId="{29499BEA-0909-47F1-98FE-394E4F50F325}">
      <dgm:prSet custT="1"/>
      <dgm:spPr/>
      <dgm:t>
        <a:bodyPr/>
        <a:lstStyle/>
        <a:p>
          <a:r>
            <a:rPr lang="cs-CZ" sz="800">
              <a:solidFill>
                <a:sysClr val="windowText" lastClr="000000">
                  <a:hueOff val="0"/>
                  <a:satOff val="0"/>
                  <a:lumOff val="0"/>
                  <a:alphaOff val="0"/>
                </a:sysClr>
              </a:solidFill>
              <a:latin typeface="Calibri" panose="020F0502020204030204"/>
              <a:ea typeface="+mn-ea"/>
              <a:cs typeface="+mn-cs"/>
            </a:rPr>
            <a:t>Pro novostavby v lokalitě Havlíčkova v roce 2022 nabylo právní moci stavební povolení a probíhá výběrové řízení na zhotovitele stavby. Dokončení novostaveb se předpokládá do poloviny roku 2023. Pro novostavby v lokalitě Malá Strana bylo na základě námitek souseda zastaveno stavební řízení a je nutno upravit projektovou dokumentaci. Dokončení novostaveb musí být dle podmínek dotace do konce roku 2023.</a:t>
          </a:r>
        </a:p>
      </dgm:t>
    </dgm:pt>
    <dgm:pt modelId="{AD252EF0-076D-422A-8B18-0FEE9153DCF6}" type="parTrans" cxnId="{960814E3-46B3-4D6F-A3C3-BD999A089FC0}">
      <dgm:prSet/>
      <dgm:spPr/>
      <dgm:t>
        <a:bodyPr/>
        <a:lstStyle/>
        <a:p>
          <a:endParaRPr lang="cs-CZ"/>
        </a:p>
      </dgm:t>
    </dgm:pt>
    <dgm:pt modelId="{A1D6BCE8-CB47-4C1F-AE48-F47D387A492C}" type="sibTrans" cxnId="{960814E3-46B3-4D6F-A3C3-BD999A089FC0}">
      <dgm:prSet/>
      <dgm:spPr/>
      <dgm:t>
        <a:bodyPr/>
        <a:lstStyle/>
        <a:p>
          <a:endParaRPr lang="cs-CZ"/>
        </a:p>
      </dgm:t>
    </dgm:pt>
    <dgm:pt modelId="{A1097206-ADB6-4F46-827A-921CC9404AA1}">
      <dgm:prSet custT="1"/>
      <dgm:spPr/>
      <dgm:t>
        <a:bodyPr/>
        <a:lstStyle/>
        <a:p>
          <a:r>
            <a:rPr lang="cs-CZ" sz="800" b="1">
              <a:solidFill>
                <a:sysClr val="windowText" lastClr="000000">
                  <a:hueOff val="0"/>
                  <a:satOff val="0"/>
                  <a:lumOff val="0"/>
                  <a:alphaOff val="0"/>
                </a:sysClr>
              </a:solidFill>
              <a:latin typeface="Calibri" panose="020F0502020204030204"/>
              <a:ea typeface="+mn-ea"/>
              <a:cs typeface="+mn-cs"/>
            </a:rPr>
            <a:t>Celkové předpokládané náklady na realizaci IV. etapy transformace jsou  odhadnuty na 74,760 mil. Kč, z toho cca 54 mil. Kč bude hrazeno z dotace IROP</a:t>
          </a:r>
          <a:r>
            <a:rPr lang="cs-CZ" sz="800">
              <a:solidFill>
                <a:sysClr val="windowText" lastClr="000000">
                  <a:hueOff val="0"/>
                  <a:satOff val="0"/>
                  <a:lumOff val="0"/>
                  <a:alphaOff val="0"/>
                </a:sysClr>
              </a:solidFill>
              <a:latin typeface="Calibri" panose="020F0502020204030204"/>
              <a:ea typeface="+mn-ea"/>
              <a:cs typeface="+mn-cs"/>
            </a:rPr>
            <a:t>. </a:t>
          </a:r>
        </a:p>
      </dgm:t>
    </dgm:pt>
    <dgm:pt modelId="{0A1FBA30-BC9D-4DFC-83BC-2A67A09D924C}" type="parTrans" cxnId="{97D3CE2F-87A1-4199-A9ED-248CABE740C4}">
      <dgm:prSet/>
      <dgm:spPr/>
      <dgm:t>
        <a:bodyPr/>
        <a:lstStyle/>
        <a:p>
          <a:endParaRPr lang="cs-CZ"/>
        </a:p>
      </dgm:t>
    </dgm:pt>
    <dgm:pt modelId="{366B3801-0862-4FE7-9659-5E081019885E}" type="sibTrans" cxnId="{97D3CE2F-87A1-4199-A9ED-248CABE740C4}">
      <dgm:prSet/>
      <dgm:spPr/>
      <dgm:t>
        <a:bodyPr/>
        <a:lstStyle/>
        <a:p>
          <a:endParaRPr lang="cs-CZ"/>
        </a:p>
      </dgm:t>
    </dgm:pt>
    <dgm:pt modelId="{33DB86C4-EE33-4C3D-AE75-72C8E6BE3FF8}">
      <dgm:prSet custT="1"/>
      <dgm:spPr/>
      <dgm:t>
        <a:bodyPr/>
        <a:lstStyle/>
        <a:p>
          <a:r>
            <a:rPr lang="cs-CZ" sz="800">
              <a:solidFill>
                <a:sysClr val="windowText" lastClr="000000">
                  <a:hueOff val="0"/>
                  <a:satOff val="0"/>
                  <a:lumOff val="0"/>
                  <a:alphaOff val="0"/>
                </a:sysClr>
              </a:solidFill>
              <a:latin typeface="Calibri" panose="020F0502020204030204"/>
              <a:ea typeface="+mn-ea"/>
              <a:cs typeface="+mn-cs"/>
            </a:rPr>
            <a:t>V průběhu transformačního procesu byla celková kapacita zařízení snížena o 2 uživatele na celkovou kapacitu 143 osob. </a:t>
          </a:r>
        </a:p>
      </dgm:t>
    </dgm:pt>
    <dgm:pt modelId="{14FDCBA6-B288-43C6-8DBC-BB487C4D000F}" type="parTrans" cxnId="{A280F3E7-F4B2-4114-A807-AB0E1374858A}">
      <dgm:prSet/>
      <dgm:spPr/>
      <dgm:t>
        <a:bodyPr/>
        <a:lstStyle/>
        <a:p>
          <a:endParaRPr lang="cs-CZ"/>
        </a:p>
      </dgm:t>
    </dgm:pt>
    <dgm:pt modelId="{B7100699-648C-44CF-B53D-4DE2D7188352}" type="sibTrans" cxnId="{A280F3E7-F4B2-4114-A807-AB0E1374858A}">
      <dgm:prSet/>
      <dgm:spPr/>
      <dgm:t>
        <a:bodyPr/>
        <a:lstStyle/>
        <a:p>
          <a:endParaRPr lang="cs-CZ"/>
        </a:p>
      </dgm:t>
    </dgm:pt>
    <dgm:pt modelId="{0EFB2F28-1A5E-417D-82F2-41638B79D591}">
      <dgm:prSet custT="1"/>
      <dgm:spPr/>
      <dgm:t>
        <a:bodyPr/>
        <a:lstStyle/>
        <a:p>
          <a:endParaRPr lang="cs-CZ" sz="800">
            <a:solidFill>
              <a:sysClr val="windowText" lastClr="000000">
                <a:hueOff val="0"/>
                <a:satOff val="0"/>
                <a:lumOff val="0"/>
                <a:alphaOff val="0"/>
              </a:sysClr>
            </a:solidFill>
            <a:latin typeface="Calibri" panose="020F0502020204030204"/>
            <a:ea typeface="+mn-ea"/>
            <a:cs typeface="+mn-cs"/>
          </a:endParaRPr>
        </a:p>
      </dgm:t>
    </dgm:pt>
    <dgm:pt modelId="{6B95CD7C-2FCC-46FE-87C4-3AC053C19F1E}" type="parTrans" cxnId="{88FD93B0-E68F-4D49-8D22-0A03542DBA5D}">
      <dgm:prSet/>
      <dgm:spPr/>
      <dgm:t>
        <a:bodyPr/>
        <a:lstStyle/>
        <a:p>
          <a:endParaRPr lang="cs-CZ"/>
        </a:p>
      </dgm:t>
    </dgm:pt>
    <dgm:pt modelId="{D5074CF8-680B-477C-9B64-CB2FED36C9FB}" type="sibTrans" cxnId="{88FD93B0-E68F-4D49-8D22-0A03542DBA5D}">
      <dgm:prSet/>
      <dgm:spPr/>
      <dgm:t>
        <a:bodyPr/>
        <a:lstStyle/>
        <a:p>
          <a:endParaRPr lang="cs-CZ"/>
        </a:p>
      </dgm:t>
    </dgm:pt>
    <dgm:pt modelId="{48FC55A5-8137-4C49-A7A8-91FA429B896D}" type="pres">
      <dgm:prSet presAssocID="{60A21317-3F36-4AB9-9471-FCAF84F11F30}" presName="linearFlow" presStyleCnt="0">
        <dgm:presLayoutVars>
          <dgm:dir/>
          <dgm:animLvl val="lvl"/>
          <dgm:resizeHandles val="exact"/>
        </dgm:presLayoutVars>
      </dgm:prSet>
      <dgm:spPr/>
      <dgm:t>
        <a:bodyPr/>
        <a:lstStyle/>
        <a:p>
          <a:endParaRPr lang="cs-CZ"/>
        </a:p>
      </dgm:t>
    </dgm:pt>
    <dgm:pt modelId="{C120AB3F-91BB-43FE-B948-72F72CA40918}" type="pres">
      <dgm:prSet presAssocID="{2E396643-BF39-4555-93F6-F35F3F3BD4A7}" presName="composite" presStyleCnt="0"/>
      <dgm:spPr/>
    </dgm:pt>
    <dgm:pt modelId="{5613A673-CE17-4857-AB1A-E8730D4D70FB}" type="pres">
      <dgm:prSet presAssocID="{2E396643-BF39-4555-93F6-F35F3F3BD4A7}" presName="parentText" presStyleLbl="alignNode1" presStyleIdx="0" presStyleCnt="5">
        <dgm:presLayoutVars>
          <dgm:chMax val="1"/>
          <dgm:bulletEnabled val="1"/>
        </dgm:presLayoutVars>
      </dgm:prSet>
      <dgm:spPr>
        <a:prstGeom prst="chevron">
          <a:avLst/>
        </a:prstGeom>
      </dgm:spPr>
      <dgm:t>
        <a:bodyPr/>
        <a:lstStyle/>
        <a:p>
          <a:endParaRPr lang="cs-CZ"/>
        </a:p>
      </dgm:t>
    </dgm:pt>
    <dgm:pt modelId="{A83A3DF0-1399-4A5A-984B-DADDBCB41FF1}" type="pres">
      <dgm:prSet presAssocID="{2E396643-BF39-4555-93F6-F35F3F3BD4A7}" presName="descendantText" presStyleLbl="alignAcc1" presStyleIdx="0" presStyleCnt="5" custScaleY="100000">
        <dgm:presLayoutVars>
          <dgm:bulletEnabled val="1"/>
        </dgm:presLayoutVars>
      </dgm:prSet>
      <dgm:spPr>
        <a:prstGeom prst="round2SameRect">
          <a:avLst/>
        </a:prstGeom>
      </dgm:spPr>
      <dgm:t>
        <a:bodyPr/>
        <a:lstStyle/>
        <a:p>
          <a:endParaRPr lang="cs-CZ"/>
        </a:p>
      </dgm:t>
    </dgm:pt>
    <dgm:pt modelId="{09ADC730-04F7-4D79-8285-6711145CF242}" type="pres">
      <dgm:prSet presAssocID="{5DD60F2F-7C97-4603-ADFC-AE5A243EADDD}" presName="sp" presStyleCnt="0"/>
      <dgm:spPr/>
    </dgm:pt>
    <dgm:pt modelId="{650910E5-1565-49BA-BAFF-F98603228DC3}" type="pres">
      <dgm:prSet presAssocID="{B1DA527D-972A-4743-A167-9673CDF5E83E}" presName="composite" presStyleCnt="0"/>
      <dgm:spPr/>
    </dgm:pt>
    <dgm:pt modelId="{8DA93526-FEDA-4E07-BCC6-DBCF7DFC229F}" type="pres">
      <dgm:prSet presAssocID="{B1DA527D-972A-4743-A167-9673CDF5E83E}" presName="parentText" presStyleLbl="alignNode1" presStyleIdx="1" presStyleCnt="5">
        <dgm:presLayoutVars>
          <dgm:chMax val="1"/>
          <dgm:bulletEnabled val="1"/>
        </dgm:presLayoutVars>
      </dgm:prSet>
      <dgm:spPr>
        <a:prstGeom prst="chevron">
          <a:avLst/>
        </a:prstGeom>
      </dgm:spPr>
      <dgm:t>
        <a:bodyPr/>
        <a:lstStyle/>
        <a:p>
          <a:endParaRPr lang="cs-CZ"/>
        </a:p>
      </dgm:t>
    </dgm:pt>
    <dgm:pt modelId="{F5DA4262-F346-432C-8E16-950D5D80A984}" type="pres">
      <dgm:prSet presAssocID="{B1DA527D-972A-4743-A167-9673CDF5E83E}" presName="descendantText" presStyleLbl="alignAcc1" presStyleIdx="1" presStyleCnt="5" custScaleY="131031">
        <dgm:presLayoutVars>
          <dgm:bulletEnabled val="1"/>
        </dgm:presLayoutVars>
      </dgm:prSet>
      <dgm:spPr>
        <a:prstGeom prst="round2SameRect">
          <a:avLst/>
        </a:prstGeom>
      </dgm:spPr>
      <dgm:t>
        <a:bodyPr/>
        <a:lstStyle/>
        <a:p>
          <a:endParaRPr lang="cs-CZ"/>
        </a:p>
      </dgm:t>
    </dgm:pt>
    <dgm:pt modelId="{6D16DA08-CC62-4659-A3C6-971953D1F1D6}" type="pres">
      <dgm:prSet presAssocID="{F21B8607-1E84-4692-A61D-27CD0425D9DC}" presName="sp" presStyleCnt="0"/>
      <dgm:spPr/>
    </dgm:pt>
    <dgm:pt modelId="{DB8D6597-7848-467C-9EF7-92F74159B40B}" type="pres">
      <dgm:prSet presAssocID="{EEB9B60A-29BE-465E-8E8D-0C078848F586}" presName="composite" presStyleCnt="0"/>
      <dgm:spPr/>
    </dgm:pt>
    <dgm:pt modelId="{FEE43A8A-B76B-4E94-A4BC-A8B545206B5B}" type="pres">
      <dgm:prSet presAssocID="{EEB9B60A-29BE-465E-8E8D-0C078848F586}" presName="parentText" presStyleLbl="alignNode1" presStyleIdx="2" presStyleCnt="5">
        <dgm:presLayoutVars>
          <dgm:chMax val="1"/>
          <dgm:bulletEnabled val="1"/>
        </dgm:presLayoutVars>
      </dgm:prSet>
      <dgm:spPr>
        <a:prstGeom prst="chevron">
          <a:avLst/>
        </a:prstGeom>
      </dgm:spPr>
      <dgm:t>
        <a:bodyPr/>
        <a:lstStyle/>
        <a:p>
          <a:endParaRPr lang="cs-CZ"/>
        </a:p>
      </dgm:t>
    </dgm:pt>
    <dgm:pt modelId="{D01DCB41-F6CD-4436-826E-2CF7C35DA756}" type="pres">
      <dgm:prSet presAssocID="{EEB9B60A-29BE-465E-8E8D-0C078848F586}" presName="descendantText" presStyleLbl="alignAcc1" presStyleIdx="2" presStyleCnt="5" custScaleY="115754">
        <dgm:presLayoutVars>
          <dgm:bulletEnabled val="1"/>
        </dgm:presLayoutVars>
      </dgm:prSet>
      <dgm:spPr>
        <a:prstGeom prst="round2SameRect">
          <a:avLst/>
        </a:prstGeom>
      </dgm:spPr>
      <dgm:t>
        <a:bodyPr/>
        <a:lstStyle/>
        <a:p>
          <a:endParaRPr lang="cs-CZ"/>
        </a:p>
      </dgm:t>
    </dgm:pt>
    <dgm:pt modelId="{BF7B0B38-D19F-44D1-9F6B-B28A789A957E}" type="pres">
      <dgm:prSet presAssocID="{C7D5EF5E-268D-467A-BAE7-F8F9607C315F}" presName="sp" presStyleCnt="0"/>
      <dgm:spPr/>
    </dgm:pt>
    <dgm:pt modelId="{43617318-9DA8-4AF4-BDB0-29B27F60C6E4}" type="pres">
      <dgm:prSet presAssocID="{D1583ACD-9722-4EEB-A7E5-FF63CB2EB0B3}" presName="composite" presStyleCnt="0"/>
      <dgm:spPr/>
    </dgm:pt>
    <dgm:pt modelId="{8D512C2C-661B-46FE-9A06-9487C77D38B5}" type="pres">
      <dgm:prSet presAssocID="{D1583ACD-9722-4EEB-A7E5-FF63CB2EB0B3}" presName="parentText" presStyleLbl="alignNode1" presStyleIdx="3" presStyleCnt="5">
        <dgm:presLayoutVars>
          <dgm:chMax val="1"/>
          <dgm:bulletEnabled val="1"/>
        </dgm:presLayoutVars>
      </dgm:prSet>
      <dgm:spPr>
        <a:prstGeom prst="chevron">
          <a:avLst/>
        </a:prstGeom>
      </dgm:spPr>
      <dgm:t>
        <a:bodyPr/>
        <a:lstStyle/>
        <a:p>
          <a:endParaRPr lang="cs-CZ"/>
        </a:p>
      </dgm:t>
    </dgm:pt>
    <dgm:pt modelId="{C7F5DF75-5322-4942-97C4-3CC727943A99}" type="pres">
      <dgm:prSet presAssocID="{D1583ACD-9722-4EEB-A7E5-FF63CB2EB0B3}" presName="descendantText" presStyleLbl="alignAcc1" presStyleIdx="3" presStyleCnt="5" custScaleY="166900">
        <dgm:presLayoutVars>
          <dgm:bulletEnabled val="1"/>
        </dgm:presLayoutVars>
      </dgm:prSet>
      <dgm:spPr>
        <a:prstGeom prst="round2SameRect">
          <a:avLst/>
        </a:prstGeom>
      </dgm:spPr>
      <dgm:t>
        <a:bodyPr/>
        <a:lstStyle/>
        <a:p>
          <a:endParaRPr lang="cs-CZ"/>
        </a:p>
      </dgm:t>
    </dgm:pt>
    <dgm:pt modelId="{369DDCF0-FF41-43E0-A640-0B578A13AE26}" type="pres">
      <dgm:prSet presAssocID="{FBB2FB24-7B9F-4AFC-A318-C2F608F49549}" presName="sp" presStyleCnt="0"/>
      <dgm:spPr/>
    </dgm:pt>
    <dgm:pt modelId="{BFEB373F-A31B-43C6-BDE1-A488F90C231A}" type="pres">
      <dgm:prSet presAssocID="{2F6E9C98-B9CC-4EEC-8A52-902B42675F9C}" presName="composite" presStyleCnt="0"/>
      <dgm:spPr/>
    </dgm:pt>
    <dgm:pt modelId="{FED4CB43-63CD-4CFE-8980-1C091768702A}" type="pres">
      <dgm:prSet presAssocID="{2F6E9C98-B9CC-4EEC-8A52-902B42675F9C}" presName="parentText" presStyleLbl="alignNode1" presStyleIdx="4" presStyleCnt="5">
        <dgm:presLayoutVars>
          <dgm:chMax val="1"/>
          <dgm:bulletEnabled val="1"/>
        </dgm:presLayoutVars>
      </dgm:prSet>
      <dgm:spPr>
        <a:prstGeom prst="chevron">
          <a:avLst/>
        </a:prstGeom>
      </dgm:spPr>
      <dgm:t>
        <a:bodyPr/>
        <a:lstStyle/>
        <a:p>
          <a:endParaRPr lang="cs-CZ"/>
        </a:p>
      </dgm:t>
    </dgm:pt>
    <dgm:pt modelId="{78724991-5620-415E-835B-C584EDCBC0BF}" type="pres">
      <dgm:prSet presAssocID="{2F6E9C98-B9CC-4EEC-8A52-902B42675F9C}" presName="descendantText" presStyleLbl="alignAcc1" presStyleIdx="4" presStyleCnt="5" custScaleX="100116" custScaleY="80916">
        <dgm:presLayoutVars>
          <dgm:bulletEnabled val="1"/>
        </dgm:presLayoutVars>
      </dgm:prSet>
      <dgm:spPr>
        <a:prstGeom prst="round2SameRect">
          <a:avLst/>
        </a:prstGeom>
      </dgm:spPr>
      <dgm:t>
        <a:bodyPr/>
        <a:lstStyle/>
        <a:p>
          <a:endParaRPr lang="cs-CZ"/>
        </a:p>
      </dgm:t>
    </dgm:pt>
  </dgm:ptLst>
  <dgm:cxnLst>
    <dgm:cxn modelId="{5E68E5DE-842B-4D71-841F-629233F077F8}" type="presOf" srcId="{EEB9B60A-29BE-465E-8E8D-0C078848F586}" destId="{FEE43A8A-B76B-4E94-A4BC-A8B545206B5B}" srcOrd="0" destOrd="0" presId="urn:microsoft.com/office/officeart/2005/8/layout/chevron2"/>
    <dgm:cxn modelId="{9D707129-4823-4531-9FC6-366ACF8A4CA6}" srcId="{60A21317-3F36-4AB9-9471-FCAF84F11F30}" destId="{2F6E9C98-B9CC-4EEC-8A52-902B42675F9C}" srcOrd="4" destOrd="0" parTransId="{6529FF94-3C51-4536-B411-669627684544}" sibTransId="{6EF81B75-2D11-44F6-BC2F-3E50E1275F11}"/>
    <dgm:cxn modelId="{1A42BA5F-773C-4650-BC3E-EF15C0BC7D5D}" type="presOf" srcId="{32CC4C7B-9735-49B4-BC74-9ABF6A45EF68}" destId="{F5DA4262-F346-432C-8E16-950D5D80A984}" srcOrd="0" destOrd="3" presId="urn:microsoft.com/office/officeart/2005/8/layout/chevron2"/>
    <dgm:cxn modelId="{957843BC-8BC5-463A-90FD-90B32B0F23E1}" srcId="{EEB9B60A-29BE-465E-8E8D-0C078848F586}" destId="{7DEB2969-5D5F-4C3B-96C9-497ED3A5CDC2}" srcOrd="1" destOrd="0" parTransId="{6AE7ECB6-585B-4915-B3EF-EAA0D0F880B0}" sibTransId="{D6BB25A3-8C51-4A87-87C5-AD7EEB7BDAFD}"/>
    <dgm:cxn modelId="{4297DFBF-CB9F-4DF1-BEFF-0E8CC8CC059D}" type="presOf" srcId="{D1583ACD-9722-4EEB-A7E5-FF63CB2EB0B3}" destId="{8D512C2C-661B-46FE-9A06-9487C77D38B5}" srcOrd="0" destOrd="0" presId="urn:microsoft.com/office/officeart/2005/8/layout/chevron2"/>
    <dgm:cxn modelId="{EB166B19-FA53-440A-AC09-8D1AB330C1D6}" srcId="{B1DA527D-972A-4743-A167-9673CDF5E83E}" destId="{8CFBAAA6-F120-4D38-8F7D-A6BD1F476B0D}" srcOrd="2" destOrd="0" parTransId="{DF2D453C-8E38-4845-AFC2-D723416BE4A2}" sibTransId="{B68E13AB-4268-4C07-96C4-8CCEB69FFC6C}"/>
    <dgm:cxn modelId="{FBB1BC33-9925-42A5-B13D-7B5A021A8DBD}" type="presOf" srcId="{1182BC3A-C4B7-4DA0-B54C-3BD81DDB2024}" destId="{C7F5DF75-5322-4942-97C4-3CC727943A99}" srcOrd="0" destOrd="0" presId="urn:microsoft.com/office/officeart/2005/8/layout/chevron2"/>
    <dgm:cxn modelId="{DBCF6B75-655D-4F5A-A8BA-26449BF7E902}" type="presOf" srcId="{7DEB2969-5D5F-4C3B-96C9-497ED3A5CDC2}" destId="{D01DCB41-F6CD-4436-826E-2CF7C35DA756}" srcOrd="0" destOrd="1" presId="urn:microsoft.com/office/officeart/2005/8/layout/chevron2"/>
    <dgm:cxn modelId="{43331687-EA92-45C1-863C-90F3E1ADAF42}" type="presOf" srcId="{A1097206-ADB6-4F46-827A-921CC9404AA1}" destId="{C7F5DF75-5322-4942-97C4-3CC727943A99}" srcOrd="0" destOrd="2" presId="urn:microsoft.com/office/officeart/2005/8/layout/chevron2"/>
    <dgm:cxn modelId="{7BCEAD0D-A37F-4011-A2B1-B138BB340FFD}" srcId="{B1DA527D-972A-4743-A167-9673CDF5E83E}" destId="{0936B312-FDDD-4F32-AF6D-5F02446D56BA}" srcOrd="0" destOrd="0" parTransId="{3F6F01FD-349F-4C4B-B23F-60D994DC2130}" sibTransId="{34CD272C-4972-4C93-8A00-317023E27100}"/>
    <dgm:cxn modelId="{A280F3E7-F4B2-4114-A807-AB0E1374858A}" srcId="{2F6E9C98-B9CC-4EEC-8A52-902B42675F9C}" destId="{33DB86C4-EE33-4C3D-AE75-72C8E6BE3FF8}" srcOrd="1" destOrd="0" parTransId="{14FDCBA6-B288-43C6-8DBC-BB487C4D000F}" sibTransId="{B7100699-648C-44CF-B53D-4DE2D7188352}"/>
    <dgm:cxn modelId="{3CCBC74B-2B0B-4E91-A630-0972EFA5429A}" srcId="{2E396643-BF39-4555-93F6-F35F3F3BD4A7}" destId="{C61DF382-CC71-422B-B9D5-4EFF6BDA652B}" srcOrd="0" destOrd="0" parTransId="{0863CFA2-611D-4ED6-BEAA-2A4B2E47C89A}" sibTransId="{BC19ACAD-ADA7-48DC-9D07-1C426216CA2F}"/>
    <dgm:cxn modelId="{EA811393-88A6-44E7-B9DC-B1B6A0BB6ADA}" type="presOf" srcId="{B947A5C5-444D-4A1E-9C52-6665FD2E1760}" destId="{78724991-5620-415E-835B-C584EDCBC0BF}" srcOrd="0" destOrd="0" presId="urn:microsoft.com/office/officeart/2005/8/layout/chevron2"/>
    <dgm:cxn modelId="{960814E3-46B3-4D6F-A3C3-BD999A089FC0}" srcId="{D1583ACD-9722-4EEB-A7E5-FF63CB2EB0B3}" destId="{29499BEA-0909-47F1-98FE-394E4F50F325}" srcOrd="1" destOrd="0" parTransId="{AD252EF0-076D-422A-8B18-0FEE9153DCF6}" sibTransId="{A1D6BCE8-CB47-4C1F-AE48-F47D387A492C}"/>
    <dgm:cxn modelId="{D430E4D1-336B-43C7-BEF0-7604BE5A5CAE}" srcId="{60A21317-3F36-4AB9-9471-FCAF84F11F30}" destId="{D1583ACD-9722-4EEB-A7E5-FF63CB2EB0B3}" srcOrd="3" destOrd="0" parTransId="{812F2976-742A-416D-A11F-2962FDD60B03}" sibTransId="{FBB2FB24-7B9F-4AFC-A318-C2F608F49549}"/>
    <dgm:cxn modelId="{88FD93B0-E68F-4D49-8D22-0A03542DBA5D}" srcId="{2F6E9C98-B9CC-4EEC-8A52-902B42675F9C}" destId="{0EFB2F28-1A5E-417D-82F2-41638B79D591}" srcOrd="2" destOrd="0" parTransId="{6B95CD7C-2FCC-46FE-87C4-3AC053C19F1E}" sibTransId="{D5074CF8-680B-477C-9B64-CB2FED36C9FB}"/>
    <dgm:cxn modelId="{ECB6492C-B147-418F-A324-A6CEE4DA3C41}" type="presOf" srcId="{454E71FE-65EF-4E99-848F-3ECBC512513B}" destId="{D01DCB41-F6CD-4436-826E-2CF7C35DA756}" srcOrd="0" destOrd="2" presId="urn:microsoft.com/office/officeart/2005/8/layout/chevron2"/>
    <dgm:cxn modelId="{7EB918D7-25F6-4EBE-B7F3-B1E342C48EF8}" srcId="{D1583ACD-9722-4EEB-A7E5-FF63CB2EB0B3}" destId="{1182BC3A-C4B7-4DA0-B54C-3BD81DDB2024}" srcOrd="0" destOrd="0" parTransId="{DC87C333-C67F-424F-AC90-2A69254F66E9}" sibTransId="{CFA72806-616E-4075-8B36-1309FD1865F2}"/>
    <dgm:cxn modelId="{5EC4A0AA-9F89-40C2-81BC-4317E0F1ED45}" type="presOf" srcId="{29499BEA-0909-47F1-98FE-394E4F50F325}" destId="{C7F5DF75-5322-4942-97C4-3CC727943A99}" srcOrd="0" destOrd="1" presId="urn:microsoft.com/office/officeart/2005/8/layout/chevron2"/>
    <dgm:cxn modelId="{A41598F7-D711-40B5-A21C-EBDA3A054722}" type="presOf" srcId="{60A21317-3F36-4AB9-9471-FCAF84F11F30}" destId="{48FC55A5-8137-4C49-A7A8-91FA429B896D}" srcOrd="0" destOrd="0" presId="urn:microsoft.com/office/officeart/2005/8/layout/chevron2"/>
    <dgm:cxn modelId="{52B5E505-0560-4669-8DFD-0116C49E50BE}" type="presOf" srcId="{B13B7EF3-1ECE-4C35-8D28-299A4822E687}" destId="{D01DCB41-F6CD-4436-826E-2CF7C35DA756}" srcOrd="0" destOrd="0" presId="urn:microsoft.com/office/officeart/2005/8/layout/chevron2"/>
    <dgm:cxn modelId="{4C859523-75A2-4BA8-9AB4-787A4DC1E1B9}" srcId="{60A21317-3F36-4AB9-9471-FCAF84F11F30}" destId="{B1DA527D-972A-4743-A167-9673CDF5E83E}" srcOrd="1" destOrd="0" parTransId="{6B51693C-DA8C-4570-B76D-320B0F0FF6D0}" sibTransId="{F21B8607-1E84-4692-A61D-27CD0425D9DC}"/>
    <dgm:cxn modelId="{E8249A0B-BAE5-4D08-85BF-E51019AC786A}" srcId="{2F6E9C98-B9CC-4EEC-8A52-902B42675F9C}" destId="{B947A5C5-444D-4A1E-9C52-6665FD2E1760}" srcOrd="0" destOrd="0" parTransId="{6425504C-8893-4EDB-90D7-A6196F7D772E}" sibTransId="{271E6960-32C5-457D-B54F-C304FFB914DC}"/>
    <dgm:cxn modelId="{AC296A4A-C754-4102-AB9D-6997E308DA7A}" srcId="{EEB9B60A-29BE-465E-8E8D-0C078848F586}" destId="{454E71FE-65EF-4E99-848F-3ECBC512513B}" srcOrd="2" destOrd="0" parTransId="{CC6F2D2E-13F4-48F3-88FC-51E77ADB111B}" sibTransId="{2EF43EAD-91C1-45DA-A8C9-9E10F7243D10}"/>
    <dgm:cxn modelId="{A114B146-D8FC-47D6-886D-E6D348B723DB}" srcId="{B1DA527D-972A-4743-A167-9673CDF5E83E}" destId="{32CC4C7B-9735-49B4-BC74-9ABF6A45EF68}" srcOrd="3" destOrd="0" parTransId="{2A8881C1-609D-4B6E-BFD4-DC1F56034DC4}" sibTransId="{4A1B8F95-15F8-4265-A147-3DEB888CC93D}"/>
    <dgm:cxn modelId="{2762A4A0-2FCA-4A33-BDDE-A9EF682451C7}" type="presOf" srcId="{0936B312-FDDD-4F32-AF6D-5F02446D56BA}" destId="{F5DA4262-F346-432C-8E16-950D5D80A984}" srcOrd="0" destOrd="0" presId="urn:microsoft.com/office/officeart/2005/8/layout/chevron2"/>
    <dgm:cxn modelId="{E3E01AD2-CE16-4A7F-A3A8-2B4AFBC46749}" type="presOf" srcId="{A42B88DA-B090-46AC-A75E-3528A5CCB038}" destId="{F5DA4262-F346-432C-8E16-950D5D80A984}" srcOrd="0" destOrd="1" presId="urn:microsoft.com/office/officeart/2005/8/layout/chevron2"/>
    <dgm:cxn modelId="{24D6736C-4AF8-4C8F-9391-8BAC0CD45E8B}" type="presOf" srcId="{8CFBAAA6-F120-4D38-8F7D-A6BD1F476B0D}" destId="{F5DA4262-F346-432C-8E16-950D5D80A984}" srcOrd="0" destOrd="2" presId="urn:microsoft.com/office/officeart/2005/8/layout/chevron2"/>
    <dgm:cxn modelId="{586E8262-E01F-4224-B607-2883D98F5E38}" type="presOf" srcId="{C61DF382-CC71-422B-B9D5-4EFF6BDA652B}" destId="{A83A3DF0-1399-4A5A-984B-DADDBCB41FF1}" srcOrd="0" destOrd="0" presId="urn:microsoft.com/office/officeart/2005/8/layout/chevron2"/>
    <dgm:cxn modelId="{97D3CE2F-87A1-4199-A9ED-248CABE740C4}" srcId="{D1583ACD-9722-4EEB-A7E5-FF63CB2EB0B3}" destId="{A1097206-ADB6-4F46-827A-921CC9404AA1}" srcOrd="2" destOrd="0" parTransId="{0A1FBA30-BC9D-4DFC-83BC-2A67A09D924C}" sibTransId="{366B3801-0862-4FE7-9659-5E081019885E}"/>
    <dgm:cxn modelId="{F012C0BD-E816-4D02-B2C2-2FC3633AD69E}" srcId="{60A21317-3F36-4AB9-9471-FCAF84F11F30}" destId="{2E396643-BF39-4555-93F6-F35F3F3BD4A7}" srcOrd="0" destOrd="0" parTransId="{2ABB5AF0-4C07-4125-983B-FF1844A23EFC}" sibTransId="{5DD60F2F-7C97-4603-ADFC-AE5A243EADDD}"/>
    <dgm:cxn modelId="{EF45E30E-8ABB-4E4E-A9AF-E8A8600BA8D5}" type="presOf" srcId="{0EFB2F28-1A5E-417D-82F2-41638B79D591}" destId="{78724991-5620-415E-835B-C584EDCBC0BF}" srcOrd="0" destOrd="2" presId="urn:microsoft.com/office/officeart/2005/8/layout/chevron2"/>
    <dgm:cxn modelId="{BBE5230F-D3F9-4AFA-A477-10D4A7AC5F55}" srcId="{60A21317-3F36-4AB9-9471-FCAF84F11F30}" destId="{EEB9B60A-29BE-465E-8E8D-0C078848F586}" srcOrd="2" destOrd="0" parTransId="{4ECE6746-8D27-4638-9C73-3A5A1284DE27}" sibTransId="{C7D5EF5E-268D-467A-BAE7-F8F9607C315F}"/>
    <dgm:cxn modelId="{FB26D0E6-EB6F-47DC-A093-8FBDBAB27D99}" type="presOf" srcId="{B1DA527D-972A-4743-A167-9673CDF5E83E}" destId="{8DA93526-FEDA-4E07-BCC6-DBCF7DFC229F}" srcOrd="0" destOrd="0" presId="urn:microsoft.com/office/officeart/2005/8/layout/chevron2"/>
    <dgm:cxn modelId="{BD860158-A942-45B1-8BAC-F6348E866DDE}" type="presOf" srcId="{33DB86C4-EE33-4C3D-AE75-72C8E6BE3FF8}" destId="{78724991-5620-415E-835B-C584EDCBC0BF}" srcOrd="0" destOrd="1" presId="urn:microsoft.com/office/officeart/2005/8/layout/chevron2"/>
    <dgm:cxn modelId="{F613F962-ED6A-4B6D-B7E2-B882FBF55CAA}" type="presOf" srcId="{2E396643-BF39-4555-93F6-F35F3F3BD4A7}" destId="{5613A673-CE17-4857-AB1A-E8730D4D70FB}" srcOrd="0" destOrd="0" presId="urn:microsoft.com/office/officeart/2005/8/layout/chevron2"/>
    <dgm:cxn modelId="{0AD968BA-7ED7-4843-B2CE-9FC49E2A2617}" srcId="{B1DA527D-972A-4743-A167-9673CDF5E83E}" destId="{A42B88DA-B090-46AC-A75E-3528A5CCB038}" srcOrd="1" destOrd="0" parTransId="{B3A799E4-2341-43C0-A127-FC1FD4A13A40}" sibTransId="{9D5C020E-825D-4901-B396-AABF989FB1F5}"/>
    <dgm:cxn modelId="{33DF4C84-3442-48F7-9276-FF041E9B290B}" type="presOf" srcId="{2F6E9C98-B9CC-4EEC-8A52-902B42675F9C}" destId="{FED4CB43-63CD-4CFE-8980-1C091768702A}" srcOrd="0" destOrd="0" presId="urn:microsoft.com/office/officeart/2005/8/layout/chevron2"/>
    <dgm:cxn modelId="{14957141-651F-4075-9D7D-437283C976CD}" srcId="{EEB9B60A-29BE-465E-8E8D-0C078848F586}" destId="{B13B7EF3-1ECE-4C35-8D28-299A4822E687}" srcOrd="0" destOrd="0" parTransId="{2109C298-6AED-4473-8323-9B5E5EFC9B28}" sibTransId="{D00B4A9D-B5C0-4859-9918-EFA944FF5965}"/>
    <dgm:cxn modelId="{8940876B-0E0B-4ED4-922D-7EA7EC730416}" type="presParOf" srcId="{48FC55A5-8137-4C49-A7A8-91FA429B896D}" destId="{C120AB3F-91BB-43FE-B948-72F72CA40918}" srcOrd="0" destOrd="0" presId="urn:microsoft.com/office/officeart/2005/8/layout/chevron2"/>
    <dgm:cxn modelId="{08AA33CE-E228-4508-B8A9-1D4CF061D14D}" type="presParOf" srcId="{C120AB3F-91BB-43FE-B948-72F72CA40918}" destId="{5613A673-CE17-4857-AB1A-E8730D4D70FB}" srcOrd="0" destOrd="0" presId="urn:microsoft.com/office/officeart/2005/8/layout/chevron2"/>
    <dgm:cxn modelId="{3476DC62-6DE5-483D-8C5A-D40AAD612A2C}" type="presParOf" srcId="{C120AB3F-91BB-43FE-B948-72F72CA40918}" destId="{A83A3DF0-1399-4A5A-984B-DADDBCB41FF1}" srcOrd="1" destOrd="0" presId="urn:microsoft.com/office/officeart/2005/8/layout/chevron2"/>
    <dgm:cxn modelId="{1E4A2ECE-4979-4ADD-8C80-E7FF714D4700}" type="presParOf" srcId="{48FC55A5-8137-4C49-A7A8-91FA429B896D}" destId="{09ADC730-04F7-4D79-8285-6711145CF242}" srcOrd="1" destOrd="0" presId="urn:microsoft.com/office/officeart/2005/8/layout/chevron2"/>
    <dgm:cxn modelId="{8C2E9AE2-22A7-408D-B10A-F07433C9B359}" type="presParOf" srcId="{48FC55A5-8137-4C49-A7A8-91FA429B896D}" destId="{650910E5-1565-49BA-BAFF-F98603228DC3}" srcOrd="2" destOrd="0" presId="urn:microsoft.com/office/officeart/2005/8/layout/chevron2"/>
    <dgm:cxn modelId="{76ED1370-36F4-4EA0-BD1D-16E084F9A5C8}" type="presParOf" srcId="{650910E5-1565-49BA-BAFF-F98603228DC3}" destId="{8DA93526-FEDA-4E07-BCC6-DBCF7DFC229F}" srcOrd="0" destOrd="0" presId="urn:microsoft.com/office/officeart/2005/8/layout/chevron2"/>
    <dgm:cxn modelId="{9063A566-2C88-4B10-9987-C5F285970443}" type="presParOf" srcId="{650910E5-1565-49BA-BAFF-F98603228DC3}" destId="{F5DA4262-F346-432C-8E16-950D5D80A984}" srcOrd="1" destOrd="0" presId="urn:microsoft.com/office/officeart/2005/8/layout/chevron2"/>
    <dgm:cxn modelId="{2926AB03-C946-4CC5-9AC0-BC104830379D}" type="presParOf" srcId="{48FC55A5-8137-4C49-A7A8-91FA429B896D}" destId="{6D16DA08-CC62-4659-A3C6-971953D1F1D6}" srcOrd="3" destOrd="0" presId="urn:microsoft.com/office/officeart/2005/8/layout/chevron2"/>
    <dgm:cxn modelId="{91930052-24E5-4824-8409-C874901CDED5}" type="presParOf" srcId="{48FC55A5-8137-4C49-A7A8-91FA429B896D}" destId="{DB8D6597-7848-467C-9EF7-92F74159B40B}" srcOrd="4" destOrd="0" presId="urn:microsoft.com/office/officeart/2005/8/layout/chevron2"/>
    <dgm:cxn modelId="{4E4545EE-723C-44D2-876D-DA69A8B1E79D}" type="presParOf" srcId="{DB8D6597-7848-467C-9EF7-92F74159B40B}" destId="{FEE43A8A-B76B-4E94-A4BC-A8B545206B5B}" srcOrd="0" destOrd="0" presId="urn:microsoft.com/office/officeart/2005/8/layout/chevron2"/>
    <dgm:cxn modelId="{2BA8ED59-437B-4DAE-9B44-E6B17CAA02F5}" type="presParOf" srcId="{DB8D6597-7848-467C-9EF7-92F74159B40B}" destId="{D01DCB41-F6CD-4436-826E-2CF7C35DA756}" srcOrd="1" destOrd="0" presId="urn:microsoft.com/office/officeart/2005/8/layout/chevron2"/>
    <dgm:cxn modelId="{CE00AF2C-7900-4100-87A8-988EF3A607BB}" type="presParOf" srcId="{48FC55A5-8137-4C49-A7A8-91FA429B896D}" destId="{BF7B0B38-D19F-44D1-9F6B-B28A789A957E}" srcOrd="5" destOrd="0" presId="urn:microsoft.com/office/officeart/2005/8/layout/chevron2"/>
    <dgm:cxn modelId="{40C2C7AD-1EBF-4A17-8DD3-EE07613E4051}" type="presParOf" srcId="{48FC55A5-8137-4C49-A7A8-91FA429B896D}" destId="{43617318-9DA8-4AF4-BDB0-29B27F60C6E4}" srcOrd="6" destOrd="0" presId="urn:microsoft.com/office/officeart/2005/8/layout/chevron2"/>
    <dgm:cxn modelId="{238A9C89-0D6A-4308-B2B0-BAC07EA71B7D}" type="presParOf" srcId="{43617318-9DA8-4AF4-BDB0-29B27F60C6E4}" destId="{8D512C2C-661B-46FE-9A06-9487C77D38B5}" srcOrd="0" destOrd="0" presId="urn:microsoft.com/office/officeart/2005/8/layout/chevron2"/>
    <dgm:cxn modelId="{616FF19A-CAED-4197-A79E-949258BCE74A}" type="presParOf" srcId="{43617318-9DA8-4AF4-BDB0-29B27F60C6E4}" destId="{C7F5DF75-5322-4942-97C4-3CC727943A99}" srcOrd="1" destOrd="0" presId="urn:microsoft.com/office/officeart/2005/8/layout/chevron2"/>
    <dgm:cxn modelId="{BB57607C-81C5-4982-9819-70B3D590B01B}" type="presParOf" srcId="{48FC55A5-8137-4C49-A7A8-91FA429B896D}" destId="{369DDCF0-FF41-43E0-A640-0B578A13AE26}" srcOrd="7" destOrd="0" presId="urn:microsoft.com/office/officeart/2005/8/layout/chevron2"/>
    <dgm:cxn modelId="{FB3164EB-AF59-47B5-9834-8D352C5C15D4}" type="presParOf" srcId="{48FC55A5-8137-4C49-A7A8-91FA429B896D}" destId="{BFEB373F-A31B-43C6-BDE1-A488F90C231A}" srcOrd="8" destOrd="0" presId="urn:microsoft.com/office/officeart/2005/8/layout/chevron2"/>
    <dgm:cxn modelId="{5EBE94C5-16E2-4880-AF5F-54493D33CF4D}" type="presParOf" srcId="{BFEB373F-A31B-43C6-BDE1-A488F90C231A}" destId="{FED4CB43-63CD-4CFE-8980-1C091768702A}" srcOrd="0" destOrd="0" presId="urn:microsoft.com/office/officeart/2005/8/layout/chevron2"/>
    <dgm:cxn modelId="{9B256735-4C5E-422F-89B2-B6EC7D9CAF2E}" type="presParOf" srcId="{BFEB373F-A31B-43C6-BDE1-A488F90C231A}" destId="{78724991-5620-415E-835B-C584EDCBC0BF}"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C5D58A-7302-4927-B840-9A8F6D5527E3}" type="doc">
      <dgm:prSet loTypeId="urn:microsoft.com/office/officeart/2008/layout/HalfCircleOrganizationChart" loCatId="hierarchy" qsTypeId="urn:microsoft.com/office/officeart/2005/8/quickstyle/3d4" qsCatId="3D" csTypeId="urn:microsoft.com/office/officeart/2005/8/colors/accent6_2" csCatId="accent6" phldr="1"/>
      <dgm:spPr/>
      <dgm:t>
        <a:bodyPr/>
        <a:lstStyle/>
        <a:p>
          <a:endParaRPr lang="cs-CZ"/>
        </a:p>
      </dgm:t>
    </dgm:pt>
    <dgm:pt modelId="{0A861096-A4EA-47FE-BE50-98787F21DA47}">
      <dgm:prSet phldrT="[Text]"/>
      <dgm:spPr>
        <a:xfrm>
          <a:off x="1961139" y="167836"/>
          <a:ext cx="1079092" cy="345309"/>
        </a:xfrm>
        <a:noFill/>
        <a:ln w="6350" cap="flat" cmpd="sng" algn="ctr">
          <a:noFill/>
          <a:prstDash val="solid"/>
          <a:miter lim="800000"/>
        </a:ln>
        <a:effectLst/>
        <a:scene3d>
          <a:camera prst="orthographicFront"/>
          <a:lightRig rig="chilly" dir="t"/>
        </a:scene3d>
        <a:sp3d/>
      </dgm:spPr>
      <dgm:t>
        <a:bodyPr/>
        <a:lstStyle/>
        <a:p>
          <a:pPr algn="ctr"/>
          <a:r>
            <a:rPr lang="cs-CZ">
              <a:solidFill>
                <a:sysClr val="windowText" lastClr="000000">
                  <a:hueOff val="0"/>
                  <a:satOff val="0"/>
                  <a:lumOff val="0"/>
                  <a:alphaOff val="0"/>
                </a:sysClr>
              </a:solidFill>
              <a:latin typeface="Segoe UI" panose="020B0502040204020203" pitchFamily="34" charset="0"/>
              <a:ea typeface="+mn-ea"/>
              <a:cs typeface="Segoe UI" panose="020B0502040204020203" pitchFamily="34" charset="0"/>
            </a:rPr>
            <a:t>Parametry pro modelaci sítě</a:t>
          </a:r>
        </a:p>
      </dgm:t>
    </dgm:pt>
    <dgm:pt modelId="{79F985D3-54F5-4AB2-BF8F-830C9ABB70B7}" type="parTrans" cxnId="{7460916D-4AF8-4B42-B7CA-5CBB0C2554C2}">
      <dgm:prSet/>
      <dgm:spPr/>
      <dgm:t>
        <a:bodyPr/>
        <a:lstStyle/>
        <a:p>
          <a:pPr algn="ctr"/>
          <a:endParaRPr lang="cs-CZ">
            <a:latin typeface="Segoe UI" panose="020B0502040204020203" pitchFamily="34" charset="0"/>
            <a:cs typeface="Segoe UI" panose="020B0502040204020203" pitchFamily="34" charset="0"/>
          </a:endParaRPr>
        </a:p>
      </dgm:t>
    </dgm:pt>
    <dgm:pt modelId="{19FC666A-CA58-4D78-9260-82734D4AA19D}" type="sibTrans" cxnId="{7460916D-4AF8-4B42-B7CA-5CBB0C2554C2}">
      <dgm:prSet/>
      <dgm:spPr/>
      <dgm:t>
        <a:bodyPr/>
        <a:lstStyle/>
        <a:p>
          <a:pPr algn="ctr"/>
          <a:endParaRPr lang="cs-CZ">
            <a:latin typeface="Segoe UI" panose="020B0502040204020203" pitchFamily="34" charset="0"/>
            <a:cs typeface="Segoe UI" panose="020B0502040204020203" pitchFamily="34" charset="0"/>
          </a:endParaRPr>
        </a:p>
      </dgm:t>
    </dgm:pt>
    <dgm:pt modelId="{7175F795-6E00-456C-9C34-177A782EBE20}">
      <dgm:prSet phldrT="[Text]"/>
      <dgm:spPr>
        <a:xfrm>
          <a:off x="2587" y="933991"/>
          <a:ext cx="1079092" cy="345309"/>
        </a:xfrm>
        <a:noFill/>
        <a:ln w="6350" cap="flat" cmpd="sng" algn="ctr">
          <a:noFill/>
          <a:prstDash val="solid"/>
          <a:miter lim="800000"/>
        </a:ln>
        <a:effectLst/>
        <a:scene3d>
          <a:camera prst="orthographicFront"/>
          <a:lightRig rig="chilly" dir="t"/>
        </a:scene3d>
        <a:sp3d/>
      </dgm:spPr>
      <dgm:t>
        <a:bodyPr/>
        <a:lstStyle/>
        <a:p>
          <a:pPr algn="ctr"/>
          <a:r>
            <a:rPr lang="cs-CZ" b="1">
              <a:solidFill>
                <a:sysClr val="windowText" lastClr="000000">
                  <a:hueOff val="0"/>
                  <a:satOff val="0"/>
                  <a:lumOff val="0"/>
                  <a:alphaOff val="0"/>
                </a:sysClr>
              </a:solidFill>
              <a:latin typeface="Segoe UI" panose="020B0502040204020203" pitchFamily="34" charset="0"/>
              <a:ea typeface="+mn-ea"/>
              <a:cs typeface="Segoe UI" panose="020B0502040204020203" pitchFamily="34" charset="0"/>
            </a:rPr>
            <a:t>POTŘEBNOST</a:t>
          </a:r>
        </a:p>
      </dgm:t>
    </dgm:pt>
    <dgm:pt modelId="{CEB97673-1CCD-42B4-A35B-67AD22C2F948}" type="parTrans" cxnId="{DE7D4E5A-7F79-420E-A63E-64D77C02B29D}">
      <dgm:prSet/>
      <dgm:spPr>
        <a:xfrm>
          <a:off x="542133" y="610263"/>
          <a:ext cx="1958552" cy="226609"/>
        </a:xfrm>
        <a:noFill/>
        <a:ln w="12700" cap="flat" cmpd="sng" algn="ctr">
          <a:solidFill>
            <a:srgbClr val="70AD47">
              <a:shade val="60000"/>
              <a:hueOff val="0"/>
              <a:satOff val="0"/>
              <a:lumOff val="0"/>
              <a:alphaOff val="0"/>
            </a:srgbClr>
          </a:solidFill>
          <a:prstDash val="solid"/>
          <a:miter lim="800000"/>
        </a:ln>
        <a:effectLst/>
        <a:sp3d z="-40000" prstMaterial="matte"/>
      </dgm:spPr>
      <dgm:t>
        <a:bodyPr/>
        <a:lstStyle/>
        <a:p>
          <a:pPr algn="ctr"/>
          <a:endParaRPr lang="cs-CZ">
            <a:latin typeface="Segoe UI" panose="020B0502040204020203" pitchFamily="34" charset="0"/>
            <a:cs typeface="Segoe UI" panose="020B0502040204020203" pitchFamily="34" charset="0"/>
          </a:endParaRPr>
        </a:p>
      </dgm:t>
    </dgm:pt>
    <dgm:pt modelId="{D2D2E289-6225-46AA-83FC-20280EDD7805}" type="sibTrans" cxnId="{DE7D4E5A-7F79-420E-A63E-64D77C02B29D}">
      <dgm:prSet/>
      <dgm:spPr/>
      <dgm:t>
        <a:bodyPr/>
        <a:lstStyle/>
        <a:p>
          <a:pPr algn="ctr"/>
          <a:endParaRPr lang="cs-CZ">
            <a:latin typeface="Segoe UI" panose="020B0502040204020203" pitchFamily="34" charset="0"/>
            <a:cs typeface="Segoe UI" panose="020B0502040204020203" pitchFamily="34" charset="0"/>
          </a:endParaRPr>
        </a:p>
      </dgm:t>
    </dgm:pt>
    <dgm:pt modelId="{3FF1C705-B413-4F5F-8D3C-BFC003DFEE67}">
      <dgm:prSet phldrT="[Text]"/>
      <dgm:spPr>
        <a:xfrm>
          <a:off x="2613990" y="933991"/>
          <a:ext cx="1079092" cy="345309"/>
        </a:xfrm>
        <a:noFill/>
        <a:ln w="6350" cap="flat" cmpd="sng" algn="ctr">
          <a:noFill/>
          <a:prstDash val="solid"/>
          <a:miter lim="800000"/>
        </a:ln>
        <a:effectLst/>
        <a:scene3d>
          <a:camera prst="orthographicFront"/>
          <a:lightRig rig="chilly" dir="t"/>
        </a:scene3d>
        <a:sp3d/>
      </dgm:spPr>
      <dgm:t>
        <a:bodyPr/>
        <a:lstStyle/>
        <a:p>
          <a:pPr algn="ctr"/>
          <a:r>
            <a:rPr lang="cs-CZ" b="1">
              <a:solidFill>
                <a:sysClr val="windowText" lastClr="000000">
                  <a:hueOff val="0"/>
                  <a:satOff val="0"/>
                  <a:lumOff val="0"/>
                  <a:alphaOff val="0"/>
                </a:sysClr>
              </a:solidFill>
              <a:latin typeface="Segoe UI" panose="020B0502040204020203" pitchFamily="34" charset="0"/>
              <a:ea typeface="+mn-ea"/>
              <a:cs typeface="Segoe UI" panose="020B0502040204020203" pitchFamily="34" charset="0"/>
            </a:rPr>
            <a:t>NÁKLADOVOST</a:t>
          </a:r>
        </a:p>
      </dgm:t>
    </dgm:pt>
    <dgm:pt modelId="{A7F3ED74-CE1E-4AD7-B43D-450EBD116E59}" type="parTrans" cxnId="{FCE45613-D8BA-420C-87F1-23492BE878AE}">
      <dgm:prSet/>
      <dgm:spPr>
        <a:xfrm>
          <a:off x="2500685" y="610263"/>
          <a:ext cx="652850" cy="226609"/>
        </a:xfrm>
        <a:noFill/>
        <a:ln w="12700" cap="flat" cmpd="sng" algn="ctr">
          <a:solidFill>
            <a:srgbClr val="70AD47">
              <a:shade val="60000"/>
              <a:hueOff val="0"/>
              <a:satOff val="0"/>
              <a:lumOff val="0"/>
              <a:alphaOff val="0"/>
            </a:srgbClr>
          </a:solidFill>
          <a:prstDash val="solid"/>
          <a:miter lim="800000"/>
        </a:ln>
        <a:effectLst/>
        <a:sp3d z="-40000" prstMaterial="matte"/>
      </dgm:spPr>
      <dgm:t>
        <a:bodyPr/>
        <a:lstStyle/>
        <a:p>
          <a:pPr algn="ctr"/>
          <a:endParaRPr lang="cs-CZ">
            <a:latin typeface="Segoe UI" panose="020B0502040204020203" pitchFamily="34" charset="0"/>
            <a:cs typeface="Segoe UI" panose="020B0502040204020203" pitchFamily="34" charset="0"/>
          </a:endParaRPr>
        </a:p>
      </dgm:t>
    </dgm:pt>
    <dgm:pt modelId="{920C04C0-D764-4819-B3AD-632D19A64DD0}" type="sibTrans" cxnId="{FCE45613-D8BA-420C-87F1-23492BE878AE}">
      <dgm:prSet/>
      <dgm:spPr/>
      <dgm:t>
        <a:bodyPr/>
        <a:lstStyle/>
        <a:p>
          <a:pPr algn="ctr"/>
          <a:endParaRPr lang="cs-CZ">
            <a:latin typeface="Segoe UI" panose="020B0502040204020203" pitchFamily="34" charset="0"/>
            <a:cs typeface="Segoe UI" panose="020B0502040204020203" pitchFamily="34" charset="0"/>
          </a:endParaRPr>
        </a:p>
      </dgm:t>
    </dgm:pt>
    <dgm:pt modelId="{00A99800-7CAC-4F21-852E-A09B237D4734}">
      <dgm:prSet phldrT="[Text]"/>
      <dgm:spPr>
        <a:xfrm>
          <a:off x="3919691" y="933991"/>
          <a:ext cx="1079092" cy="345309"/>
        </a:xfrm>
        <a:noFill/>
        <a:ln w="6350" cap="flat" cmpd="sng" algn="ctr">
          <a:noFill/>
          <a:prstDash val="solid"/>
          <a:miter lim="800000"/>
        </a:ln>
        <a:effectLst/>
        <a:scene3d>
          <a:camera prst="orthographicFront"/>
          <a:lightRig rig="chilly" dir="t"/>
        </a:scene3d>
        <a:sp3d/>
      </dgm:spPr>
      <dgm:t>
        <a:bodyPr/>
        <a:lstStyle/>
        <a:p>
          <a:pPr algn="ctr"/>
          <a:r>
            <a:rPr lang="cs-CZ" b="1">
              <a:solidFill>
                <a:sysClr val="windowText" lastClr="000000">
                  <a:hueOff val="0"/>
                  <a:satOff val="0"/>
                  <a:lumOff val="0"/>
                  <a:alphaOff val="0"/>
                </a:sysClr>
              </a:solidFill>
              <a:latin typeface="Segoe UI" panose="020B0502040204020203" pitchFamily="34" charset="0"/>
              <a:ea typeface="+mn-ea"/>
              <a:cs typeface="Segoe UI" panose="020B0502040204020203" pitchFamily="34" charset="0"/>
            </a:rPr>
            <a:t>KVALITA</a:t>
          </a:r>
        </a:p>
      </dgm:t>
    </dgm:pt>
    <dgm:pt modelId="{F0FF2889-0096-4CA5-BFA1-26B27D832EF4}" type="parTrans" cxnId="{8A4E946B-4BEB-43D1-806B-06339E6AEF7A}">
      <dgm:prSet/>
      <dgm:spPr>
        <a:xfrm>
          <a:off x="2500685" y="610263"/>
          <a:ext cx="1958552" cy="226609"/>
        </a:xfrm>
        <a:noFill/>
        <a:ln w="12700" cap="flat" cmpd="sng" algn="ctr">
          <a:solidFill>
            <a:srgbClr val="70AD47">
              <a:shade val="60000"/>
              <a:hueOff val="0"/>
              <a:satOff val="0"/>
              <a:lumOff val="0"/>
              <a:alphaOff val="0"/>
            </a:srgbClr>
          </a:solidFill>
          <a:prstDash val="solid"/>
          <a:miter lim="800000"/>
        </a:ln>
        <a:effectLst/>
        <a:sp3d z="-40000" prstMaterial="matte"/>
      </dgm:spPr>
      <dgm:t>
        <a:bodyPr/>
        <a:lstStyle/>
        <a:p>
          <a:pPr algn="ctr"/>
          <a:endParaRPr lang="cs-CZ">
            <a:latin typeface="Segoe UI" panose="020B0502040204020203" pitchFamily="34" charset="0"/>
            <a:cs typeface="Segoe UI" panose="020B0502040204020203" pitchFamily="34" charset="0"/>
          </a:endParaRPr>
        </a:p>
      </dgm:t>
    </dgm:pt>
    <dgm:pt modelId="{8E659CD8-1543-465B-B4E6-522222545AB8}" type="sibTrans" cxnId="{8A4E946B-4BEB-43D1-806B-06339E6AEF7A}">
      <dgm:prSet/>
      <dgm:spPr/>
      <dgm:t>
        <a:bodyPr/>
        <a:lstStyle/>
        <a:p>
          <a:pPr algn="ctr"/>
          <a:endParaRPr lang="cs-CZ">
            <a:latin typeface="Segoe UI" panose="020B0502040204020203" pitchFamily="34" charset="0"/>
            <a:cs typeface="Segoe UI" panose="020B0502040204020203" pitchFamily="34" charset="0"/>
          </a:endParaRPr>
        </a:p>
      </dgm:t>
    </dgm:pt>
    <dgm:pt modelId="{439294D3-C37A-4AC6-8FED-839E305EE265}">
      <dgm:prSet phldrT="[Text]"/>
      <dgm:spPr>
        <a:xfrm>
          <a:off x="1308288" y="933991"/>
          <a:ext cx="1079092" cy="345309"/>
        </a:xfrm>
        <a:noFill/>
        <a:ln w="6350" cap="flat" cmpd="sng" algn="ctr">
          <a:noFill/>
          <a:prstDash val="solid"/>
          <a:miter lim="800000"/>
        </a:ln>
        <a:effectLst/>
        <a:scene3d>
          <a:camera prst="orthographicFront"/>
          <a:lightRig rig="chilly" dir="t"/>
        </a:scene3d>
        <a:sp3d/>
      </dgm:spPr>
      <dgm:t>
        <a:bodyPr/>
        <a:lstStyle/>
        <a:p>
          <a:pPr algn="ctr"/>
          <a:r>
            <a:rPr lang="cs-CZ" b="1">
              <a:solidFill>
                <a:sysClr val="windowText" lastClr="000000">
                  <a:hueOff val="0"/>
                  <a:satOff val="0"/>
                  <a:lumOff val="0"/>
                  <a:alphaOff val="0"/>
                </a:sysClr>
              </a:solidFill>
              <a:latin typeface="Segoe UI" panose="020B0502040204020203" pitchFamily="34" charset="0"/>
              <a:ea typeface="+mn-ea"/>
              <a:cs typeface="Segoe UI" panose="020B0502040204020203" pitchFamily="34" charset="0"/>
            </a:rPr>
            <a:t>DOSTUPNOST</a:t>
          </a:r>
        </a:p>
      </dgm:t>
    </dgm:pt>
    <dgm:pt modelId="{145DA85A-BAF8-43B7-BA7D-ED38F40916DD}" type="parTrans" cxnId="{76E5A384-F229-4D0B-9DBA-28ED809BB109}">
      <dgm:prSet/>
      <dgm:spPr>
        <a:xfrm>
          <a:off x="1847834" y="610263"/>
          <a:ext cx="652850" cy="226609"/>
        </a:xfrm>
        <a:noFill/>
        <a:ln w="12700" cap="flat" cmpd="sng" algn="ctr">
          <a:solidFill>
            <a:srgbClr val="70AD47">
              <a:shade val="60000"/>
              <a:hueOff val="0"/>
              <a:satOff val="0"/>
              <a:lumOff val="0"/>
              <a:alphaOff val="0"/>
            </a:srgbClr>
          </a:solidFill>
          <a:prstDash val="solid"/>
          <a:miter lim="800000"/>
        </a:ln>
        <a:effectLst/>
        <a:sp3d z="-40000" prstMaterial="matte"/>
      </dgm:spPr>
      <dgm:t>
        <a:bodyPr/>
        <a:lstStyle/>
        <a:p>
          <a:pPr algn="ctr"/>
          <a:endParaRPr lang="cs-CZ">
            <a:latin typeface="Segoe UI" panose="020B0502040204020203" pitchFamily="34" charset="0"/>
            <a:cs typeface="Segoe UI" panose="020B0502040204020203" pitchFamily="34" charset="0"/>
          </a:endParaRPr>
        </a:p>
      </dgm:t>
    </dgm:pt>
    <dgm:pt modelId="{C1A50E2F-5A4D-4D8C-9B60-56A4F52F84D6}" type="sibTrans" cxnId="{76E5A384-F229-4D0B-9DBA-28ED809BB109}">
      <dgm:prSet/>
      <dgm:spPr/>
      <dgm:t>
        <a:bodyPr/>
        <a:lstStyle/>
        <a:p>
          <a:pPr algn="ctr"/>
          <a:endParaRPr lang="cs-CZ">
            <a:latin typeface="Segoe UI" panose="020B0502040204020203" pitchFamily="34" charset="0"/>
            <a:cs typeface="Segoe UI" panose="020B0502040204020203" pitchFamily="34" charset="0"/>
          </a:endParaRPr>
        </a:p>
      </dgm:t>
    </dgm:pt>
    <dgm:pt modelId="{BDC857A2-80F8-4134-96CA-58BAF90CC2AC}" type="pres">
      <dgm:prSet presAssocID="{7BC5D58A-7302-4927-B840-9A8F6D5527E3}" presName="Name0" presStyleCnt="0">
        <dgm:presLayoutVars>
          <dgm:orgChart val="1"/>
          <dgm:chPref val="1"/>
          <dgm:dir/>
          <dgm:animOne val="branch"/>
          <dgm:animLvl val="lvl"/>
          <dgm:resizeHandles/>
        </dgm:presLayoutVars>
      </dgm:prSet>
      <dgm:spPr/>
      <dgm:t>
        <a:bodyPr/>
        <a:lstStyle/>
        <a:p>
          <a:endParaRPr lang="cs-CZ"/>
        </a:p>
      </dgm:t>
    </dgm:pt>
    <dgm:pt modelId="{E71C064F-8D53-44F8-908F-2F30084CF394}" type="pres">
      <dgm:prSet presAssocID="{0A861096-A4EA-47FE-BE50-98787F21DA47}" presName="hierRoot1" presStyleCnt="0">
        <dgm:presLayoutVars>
          <dgm:hierBranch val="init"/>
        </dgm:presLayoutVars>
      </dgm:prSet>
      <dgm:spPr/>
    </dgm:pt>
    <dgm:pt modelId="{5329D382-0419-4768-B233-5674F99A49DA}" type="pres">
      <dgm:prSet presAssocID="{0A861096-A4EA-47FE-BE50-98787F21DA47}" presName="rootComposite1" presStyleCnt="0"/>
      <dgm:spPr/>
    </dgm:pt>
    <dgm:pt modelId="{BEECB434-DC23-4F5A-9159-64EAFD8D64FD}" type="pres">
      <dgm:prSet presAssocID="{0A861096-A4EA-47FE-BE50-98787F21DA47}" presName="rootText1" presStyleLbl="alignAcc1" presStyleIdx="0" presStyleCnt="0">
        <dgm:presLayoutVars>
          <dgm:chPref val="3"/>
        </dgm:presLayoutVars>
      </dgm:prSet>
      <dgm:spPr>
        <a:prstGeom prst="rect">
          <a:avLst/>
        </a:prstGeom>
      </dgm:spPr>
      <dgm:t>
        <a:bodyPr/>
        <a:lstStyle/>
        <a:p>
          <a:endParaRPr lang="cs-CZ"/>
        </a:p>
      </dgm:t>
    </dgm:pt>
    <dgm:pt modelId="{77F40C6A-7857-440D-B2BF-56BA869C7801}" type="pres">
      <dgm:prSet presAssocID="{0A861096-A4EA-47FE-BE50-98787F21DA47}" presName="topArc1" presStyleLbl="parChTrans1D1" presStyleIdx="0" presStyleCnt="10"/>
      <dgm:spPr>
        <a:xfrm>
          <a:off x="2230912" y="70717"/>
          <a:ext cx="539546" cy="539546"/>
        </a:xfrm>
        <a:prstGeom prst="arc">
          <a:avLst>
            <a:gd name="adj1" fmla="val 13200000"/>
            <a:gd name="adj2" fmla="val 192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gm:spPr>
      <dgm:t>
        <a:bodyPr/>
        <a:lstStyle/>
        <a:p>
          <a:endParaRPr lang="cs-CZ"/>
        </a:p>
      </dgm:t>
    </dgm:pt>
    <dgm:pt modelId="{6A44ED28-9AB8-488C-BDA9-1C7062D7E70E}" type="pres">
      <dgm:prSet presAssocID="{0A861096-A4EA-47FE-BE50-98787F21DA47}" presName="bottomArc1" presStyleLbl="parChTrans1D1" presStyleIdx="1" presStyleCnt="10"/>
      <dgm:spPr>
        <a:xfrm>
          <a:off x="2230912" y="70717"/>
          <a:ext cx="539546" cy="539546"/>
        </a:xfrm>
        <a:prstGeom prst="arc">
          <a:avLst>
            <a:gd name="adj1" fmla="val 2400000"/>
            <a:gd name="adj2" fmla="val 84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gm:spPr>
      <dgm:t>
        <a:bodyPr/>
        <a:lstStyle/>
        <a:p>
          <a:endParaRPr lang="cs-CZ"/>
        </a:p>
      </dgm:t>
    </dgm:pt>
    <dgm:pt modelId="{30268271-5487-4EF3-9550-7D5950FD5539}" type="pres">
      <dgm:prSet presAssocID="{0A861096-A4EA-47FE-BE50-98787F21DA47}" presName="topConnNode1" presStyleLbl="node1" presStyleIdx="0" presStyleCnt="0"/>
      <dgm:spPr/>
      <dgm:t>
        <a:bodyPr/>
        <a:lstStyle/>
        <a:p>
          <a:endParaRPr lang="cs-CZ"/>
        </a:p>
      </dgm:t>
    </dgm:pt>
    <dgm:pt modelId="{EF184952-F913-4E66-835D-E59E7E49A3E0}" type="pres">
      <dgm:prSet presAssocID="{0A861096-A4EA-47FE-BE50-98787F21DA47}" presName="hierChild2" presStyleCnt="0"/>
      <dgm:spPr/>
    </dgm:pt>
    <dgm:pt modelId="{1F687792-2401-4347-8AD4-5F877CF92118}" type="pres">
      <dgm:prSet presAssocID="{CEB97673-1CCD-42B4-A35B-67AD22C2F948}" presName="Name28" presStyleLbl="parChTrans1D2" presStyleIdx="0" presStyleCnt="4"/>
      <dgm:spPr>
        <a:custGeom>
          <a:avLst/>
          <a:gdLst/>
          <a:ahLst/>
          <a:cxnLst/>
          <a:rect l="0" t="0" r="0" b="0"/>
          <a:pathLst>
            <a:path>
              <a:moveTo>
                <a:pt x="1958552" y="0"/>
              </a:moveTo>
              <a:lnTo>
                <a:pt x="1958552" y="113304"/>
              </a:lnTo>
              <a:lnTo>
                <a:pt x="0" y="113304"/>
              </a:lnTo>
              <a:lnTo>
                <a:pt x="0" y="226609"/>
              </a:lnTo>
            </a:path>
          </a:pathLst>
        </a:custGeom>
      </dgm:spPr>
      <dgm:t>
        <a:bodyPr/>
        <a:lstStyle/>
        <a:p>
          <a:endParaRPr lang="cs-CZ"/>
        </a:p>
      </dgm:t>
    </dgm:pt>
    <dgm:pt modelId="{1602C110-02DD-4144-A458-CC4193FCC38F}" type="pres">
      <dgm:prSet presAssocID="{7175F795-6E00-456C-9C34-177A782EBE20}" presName="hierRoot2" presStyleCnt="0">
        <dgm:presLayoutVars>
          <dgm:hierBranch val="init"/>
        </dgm:presLayoutVars>
      </dgm:prSet>
      <dgm:spPr/>
    </dgm:pt>
    <dgm:pt modelId="{D72F9842-25D4-45D0-A043-6A311668A324}" type="pres">
      <dgm:prSet presAssocID="{7175F795-6E00-456C-9C34-177A782EBE20}" presName="rootComposite2" presStyleCnt="0"/>
      <dgm:spPr/>
    </dgm:pt>
    <dgm:pt modelId="{4C82BBAA-68B6-4978-8797-5C869FA057FC}" type="pres">
      <dgm:prSet presAssocID="{7175F795-6E00-456C-9C34-177A782EBE20}" presName="rootText2" presStyleLbl="alignAcc1" presStyleIdx="0" presStyleCnt="0">
        <dgm:presLayoutVars>
          <dgm:chPref val="3"/>
        </dgm:presLayoutVars>
      </dgm:prSet>
      <dgm:spPr>
        <a:prstGeom prst="rect">
          <a:avLst/>
        </a:prstGeom>
      </dgm:spPr>
      <dgm:t>
        <a:bodyPr/>
        <a:lstStyle/>
        <a:p>
          <a:endParaRPr lang="cs-CZ"/>
        </a:p>
      </dgm:t>
    </dgm:pt>
    <dgm:pt modelId="{79E4350A-A462-4908-8C91-339C4CABB6FD}" type="pres">
      <dgm:prSet presAssocID="{7175F795-6E00-456C-9C34-177A782EBE20}" presName="topArc2" presStyleLbl="parChTrans1D1" presStyleIdx="2" presStyleCnt="10"/>
      <dgm:spPr>
        <a:xfrm>
          <a:off x="272360" y="836873"/>
          <a:ext cx="539546" cy="539546"/>
        </a:xfrm>
        <a:prstGeom prst="arc">
          <a:avLst>
            <a:gd name="adj1" fmla="val 13200000"/>
            <a:gd name="adj2" fmla="val 192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gm:spPr>
      <dgm:t>
        <a:bodyPr/>
        <a:lstStyle/>
        <a:p>
          <a:endParaRPr lang="cs-CZ"/>
        </a:p>
      </dgm:t>
    </dgm:pt>
    <dgm:pt modelId="{2DD36500-E87E-4BC2-95A3-318AD304A7B0}" type="pres">
      <dgm:prSet presAssocID="{7175F795-6E00-456C-9C34-177A782EBE20}" presName="bottomArc2" presStyleLbl="parChTrans1D1" presStyleIdx="3" presStyleCnt="10"/>
      <dgm:spPr>
        <a:xfrm>
          <a:off x="272360" y="836873"/>
          <a:ext cx="539546" cy="539546"/>
        </a:xfrm>
        <a:prstGeom prst="arc">
          <a:avLst>
            <a:gd name="adj1" fmla="val 2400000"/>
            <a:gd name="adj2" fmla="val 84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gm:spPr>
      <dgm:t>
        <a:bodyPr/>
        <a:lstStyle/>
        <a:p>
          <a:endParaRPr lang="cs-CZ"/>
        </a:p>
      </dgm:t>
    </dgm:pt>
    <dgm:pt modelId="{45D149F2-BCE1-47B5-9548-DB053F5693A7}" type="pres">
      <dgm:prSet presAssocID="{7175F795-6E00-456C-9C34-177A782EBE20}" presName="topConnNode2" presStyleLbl="node2" presStyleIdx="0" presStyleCnt="0"/>
      <dgm:spPr/>
      <dgm:t>
        <a:bodyPr/>
        <a:lstStyle/>
        <a:p>
          <a:endParaRPr lang="cs-CZ"/>
        </a:p>
      </dgm:t>
    </dgm:pt>
    <dgm:pt modelId="{2BCEDFFE-7068-4D96-9165-FA06A716F97B}" type="pres">
      <dgm:prSet presAssocID="{7175F795-6E00-456C-9C34-177A782EBE20}" presName="hierChild4" presStyleCnt="0"/>
      <dgm:spPr/>
    </dgm:pt>
    <dgm:pt modelId="{1DEC1F46-085A-46EA-96AE-8D2EC670859C}" type="pres">
      <dgm:prSet presAssocID="{7175F795-6E00-456C-9C34-177A782EBE20}" presName="hierChild5" presStyleCnt="0"/>
      <dgm:spPr/>
    </dgm:pt>
    <dgm:pt modelId="{BD5DAEE7-2A74-492F-9503-4D0AEDDB7E38}" type="pres">
      <dgm:prSet presAssocID="{145DA85A-BAF8-43B7-BA7D-ED38F40916DD}" presName="Name28" presStyleLbl="parChTrans1D2" presStyleIdx="1" presStyleCnt="4"/>
      <dgm:spPr>
        <a:custGeom>
          <a:avLst/>
          <a:gdLst/>
          <a:ahLst/>
          <a:cxnLst/>
          <a:rect l="0" t="0" r="0" b="0"/>
          <a:pathLst>
            <a:path>
              <a:moveTo>
                <a:pt x="652850" y="0"/>
              </a:moveTo>
              <a:lnTo>
                <a:pt x="652850" y="113304"/>
              </a:lnTo>
              <a:lnTo>
                <a:pt x="0" y="113304"/>
              </a:lnTo>
              <a:lnTo>
                <a:pt x="0" y="226609"/>
              </a:lnTo>
            </a:path>
          </a:pathLst>
        </a:custGeom>
      </dgm:spPr>
      <dgm:t>
        <a:bodyPr/>
        <a:lstStyle/>
        <a:p>
          <a:endParaRPr lang="cs-CZ"/>
        </a:p>
      </dgm:t>
    </dgm:pt>
    <dgm:pt modelId="{BF0BCA57-2FFA-4B6F-BB45-52C881C7AA15}" type="pres">
      <dgm:prSet presAssocID="{439294D3-C37A-4AC6-8FED-839E305EE265}" presName="hierRoot2" presStyleCnt="0">
        <dgm:presLayoutVars>
          <dgm:hierBranch val="init"/>
        </dgm:presLayoutVars>
      </dgm:prSet>
      <dgm:spPr/>
    </dgm:pt>
    <dgm:pt modelId="{D1D83B2F-2B73-4E4C-A088-E7CE5AD57E79}" type="pres">
      <dgm:prSet presAssocID="{439294D3-C37A-4AC6-8FED-839E305EE265}" presName="rootComposite2" presStyleCnt="0"/>
      <dgm:spPr/>
    </dgm:pt>
    <dgm:pt modelId="{30926E8C-2A5B-49CB-A1DA-8A7297546E5D}" type="pres">
      <dgm:prSet presAssocID="{439294D3-C37A-4AC6-8FED-839E305EE265}" presName="rootText2" presStyleLbl="alignAcc1" presStyleIdx="0" presStyleCnt="0">
        <dgm:presLayoutVars>
          <dgm:chPref val="3"/>
        </dgm:presLayoutVars>
      </dgm:prSet>
      <dgm:spPr>
        <a:prstGeom prst="rect">
          <a:avLst/>
        </a:prstGeom>
      </dgm:spPr>
      <dgm:t>
        <a:bodyPr/>
        <a:lstStyle/>
        <a:p>
          <a:endParaRPr lang="cs-CZ"/>
        </a:p>
      </dgm:t>
    </dgm:pt>
    <dgm:pt modelId="{61B49308-4913-4C49-94C7-3EA1CC1D9489}" type="pres">
      <dgm:prSet presAssocID="{439294D3-C37A-4AC6-8FED-839E305EE265}" presName="topArc2" presStyleLbl="parChTrans1D1" presStyleIdx="4" presStyleCnt="10"/>
      <dgm:spPr>
        <a:xfrm>
          <a:off x="1578061" y="836873"/>
          <a:ext cx="539546" cy="539546"/>
        </a:xfrm>
        <a:prstGeom prst="arc">
          <a:avLst>
            <a:gd name="adj1" fmla="val 13200000"/>
            <a:gd name="adj2" fmla="val 192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gm:spPr>
      <dgm:t>
        <a:bodyPr/>
        <a:lstStyle/>
        <a:p>
          <a:endParaRPr lang="cs-CZ"/>
        </a:p>
      </dgm:t>
    </dgm:pt>
    <dgm:pt modelId="{3502AC81-F7B7-47DE-8B49-240701354D1E}" type="pres">
      <dgm:prSet presAssocID="{439294D3-C37A-4AC6-8FED-839E305EE265}" presName="bottomArc2" presStyleLbl="parChTrans1D1" presStyleIdx="5" presStyleCnt="10"/>
      <dgm:spPr>
        <a:xfrm>
          <a:off x="1578061" y="836873"/>
          <a:ext cx="539546" cy="539546"/>
        </a:xfrm>
        <a:prstGeom prst="arc">
          <a:avLst>
            <a:gd name="adj1" fmla="val 2400000"/>
            <a:gd name="adj2" fmla="val 84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gm:spPr>
      <dgm:t>
        <a:bodyPr/>
        <a:lstStyle/>
        <a:p>
          <a:endParaRPr lang="cs-CZ"/>
        </a:p>
      </dgm:t>
    </dgm:pt>
    <dgm:pt modelId="{0F9DDAF0-75E3-4407-AEAC-B9D6107CE198}" type="pres">
      <dgm:prSet presAssocID="{439294D3-C37A-4AC6-8FED-839E305EE265}" presName="topConnNode2" presStyleLbl="node2" presStyleIdx="0" presStyleCnt="0"/>
      <dgm:spPr/>
      <dgm:t>
        <a:bodyPr/>
        <a:lstStyle/>
        <a:p>
          <a:endParaRPr lang="cs-CZ"/>
        </a:p>
      </dgm:t>
    </dgm:pt>
    <dgm:pt modelId="{E44421D9-D24A-48FC-9B8D-6802EFA59D0A}" type="pres">
      <dgm:prSet presAssocID="{439294D3-C37A-4AC6-8FED-839E305EE265}" presName="hierChild4" presStyleCnt="0"/>
      <dgm:spPr/>
    </dgm:pt>
    <dgm:pt modelId="{99D6C5BA-8399-468C-97C5-D045A9A0C6C5}" type="pres">
      <dgm:prSet presAssocID="{439294D3-C37A-4AC6-8FED-839E305EE265}" presName="hierChild5" presStyleCnt="0"/>
      <dgm:spPr/>
    </dgm:pt>
    <dgm:pt modelId="{3BC9F652-3697-44B9-8CC3-790867B6F00E}" type="pres">
      <dgm:prSet presAssocID="{A7F3ED74-CE1E-4AD7-B43D-450EBD116E59}" presName="Name28" presStyleLbl="parChTrans1D2" presStyleIdx="2" presStyleCnt="4"/>
      <dgm:spPr>
        <a:custGeom>
          <a:avLst/>
          <a:gdLst/>
          <a:ahLst/>
          <a:cxnLst/>
          <a:rect l="0" t="0" r="0" b="0"/>
          <a:pathLst>
            <a:path>
              <a:moveTo>
                <a:pt x="0" y="0"/>
              </a:moveTo>
              <a:lnTo>
                <a:pt x="0" y="113304"/>
              </a:lnTo>
              <a:lnTo>
                <a:pt x="652850" y="113304"/>
              </a:lnTo>
              <a:lnTo>
                <a:pt x="652850" y="226609"/>
              </a:lnTo>
            </a:path>
          </a:pathLst>
        </a:custGeom>
      </dgm:spPr>
      <dgm:t>
        <a:bodyPr/>
        <a:lstStyle/>
        <a:p>
          <a:endParaRPr lang="cs-CZ"/>
        </a:p>
      </dgm:t>
    </dgm:pt>
    <dgm:pt modelId="{BD55C428-365F-45B4-BD63-4DB40466C4CD}" type="pres">
      <dgm:prSet presAssocID="{3FF1C705-B413-4F5F-8D3C-BFC003DFEE67}" presName="hierRoot2" presStyleCnt="0">
        <dgm:presLayoutVars>
          <dgm:hierBranch val="init"/>
        </dgm:presLayoutVars>
      </dgm:prSet>
      <dgm:spPr/>
    </dgm:pt>
    <dgm:pt modelId="{BC2808F8-7AFD-4560-BEEA-7829AE0D2986}" type="pres">
      <dgm:prSet presAssocID="{3FF1C705-B413-4F5F-8D3C-BFC003DFEE67}" presName="rootComposite2" presStyleCnt="0"/>
      <dgm:spPr/>
    </dgm:pt>
    <dgm:pt modelId="{BA65E936-0076-4415-B609-206B3A0AAA60}" type="pres">
      <dgm:prSet presAssocID="{3FF1C705-B413-4F5F-8D3C-BFC003DFEE67}" presName="rootText2" presStyleLbl="alignAcc1" presStyleIdx="0" presStyleCnt="0">
        <dgm:presLayoutVars>
          <dgm:chPref val="3"/>
        </dgm:presLayoutVars>
      </dgm:prSet>
      <dgm:spPr>
        <a:prstGeom prst="rect">
          <a:avLst/>
        </a:prstGeom>
      </dgm:spPr>
      <dgm:t>
        <a:bodyPr/>
        <a:lstStyle/>
        <a:p>
          <a:endParaRPr lang="cs-CZ"/>
        </a:p>
      </dgm:t>
    </dgm:pt>
    <dgm:pt modelId="{63DFC477-5081-44F7-9440-A22C061DC85A}" type="pres">
      <dgm:prSet presAssocID="{3FF1C705-B413-4F5F-8D3C-BFC003DFEE67}" presName="topArc2" presStyleLbl="parChTrans1D1" presStyleIdx="6" presStyleCnt="10"/>
      <dgm:spPr>
        <a:xfrm>
          <a:off x="2883763" y="836873"/>
          <a:ext cx="539546" cy="539546"/>
        </a:xfrm>
        <a:prstGeom prst="arc">
          <a:avLst>
            <a:gd name="adj1" fmla="val 13200000"/>
            <a:gd name="adj2" fmla="val 192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gm:spPr>
      <dgm:t>
        <a:bodyPr/>
        <a:lstStyle/>
        <a:p>
          <a:endParaRPr lang="cs-CZ"/>
        </a:p>
      </dgm:t>
    </dgm:pt>
    <dgm:pt modelId="{CEDDDA82-6499-4579-A5E4-FB19ED3E34F7}" type="pres">
      <dgm:prSet presAssocID="{3FF1C705-B413-4F5F-8D3C-BFC003DFEE67}" presName="bottomArc2" presStyleLbl="parChTrans1D1" presStyleIdx="7" presStyleCnt="10"/>
      <dgm:spPr>
        <a:xfrm>
          <a:off x="2883763" y="836873"/>
          <a:ext cx="539546" cy="539546"/>
        </a:xfrm>
        <a:prstGeom prst="arc">
          <a:avLst>
            <a:gd name="adj1" fmla="val 2400000"/>
            <a:gd name="adj2" fmla="val 84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gm:spPr>
      <dgm:t>
        <a:bodyPr/>
        <a:lstStyle/>
        <a:p>
          <a:endParaRPr lang="cs-CZ"/>
        </a:p>
      </dgm:t>
    </dgm:pt>
    <dgm:pt modelId="{194205C0-8EB0-4215-B922-96C6B475AC5F}" type="pres">
      <dgm:prSet presAssocID="{3FF1C705-B413-4F5F-8D3C-BFC003DFEE67}" presName="topConnNode2" presStyleLbl="node2" presStyleIdx="0" presStyleCnt="0"/>
      <dgm:spPr/>
      <dgm:t>
        <a:bodyPr/>
        <a:lstStyle/>
        <a:p>
          <a:endParaRPr lang="cs-CZ"/>
        </a:p>
      </dgm:t>
    </dgm:pt>
    <dgm:pt modelId="{5F96980C-60D4-48C6-A678-EEAFE3A5547D}" type="pres">
      <dgm:prSet presAssocID="{3FF1C705-B413-4F5F-8D3C-BFC003DFEE67}" presName="hierChild4" presStyleCnt="0"/>
      <dgm:spPr/>
    </dgm:pt>
    <dgm:pt modelId="{5A23D363-35E4-4CF3-8573-D373D0923840}" type="pres">
      <dgm:prSet presAssocID="{3FF1C705-B413-4F5F-8D3C-BFC003DFEE67}" presName="hierChild5" presStyleCnt="0"/>
      <dgm:spPr/>
    </dgm:pt>
    <dgm:pt modelId="{443431C1-1098-45A7-BFA4-C8FC020A0F90}" type="pres">
      <dgm:prSet presAssocID="{F0FF2889-0096-4CA5-BFA1-26B27D832EF4}" presName="Name28" presStyleLbl="parChTrans1D2" presStyleIdx="3" presStyleCnt="4"/>
      <dgm:spPr>
        <a:custGeom>
          <a:avLst/>
          <a:gdLst/>
          <a:ahLst/>
          <a:cxnLst/>
          <a:rect l="0" t="0" r="0" b="0"/>
          <a:pathLst>
            <a:path>
              <a:moveTo>
                <a:pt x="0" y="0"/>
              </a:moveTo>
              <a:lnTo>
                <a:pt x="0" y="113304"/>
              </a:lnTo>
              <a:lnTo>
                <a:pt x="1958552" y="113304"/>
              </a:lnTo>
              <a:lnTo>
                <a:pt x="1958552" y="226609"/>
              </a:lnTo>
            </a:path>
          </a:pathLst>
        </a:custGeom>
      </dgm:spPr>
      <dgm:t>
        <a:bodyPr/>
        <a:lstStyle/>
        <a:p>
          <a:endParaRPr lang="cs-CZ"/>
        </a:p>
      </dgm:t>
    </dgm:pt>
    <dgm:pt modelId="{190B810E-F88F-4454-987A-4C0C9A825BF0}" type="pres">
      <dgm:prSet presAssocID="{00A99800-7CAC-4F21-852E-A09B237D4734}" presName="hierRoot2" presStyleCnt="0">
        <dgm:presLayoutVars>
          <dgm:hierBranch val="init"/>
        </dgm:presLayoutVars>
      </dgm:prSet>
      <dgm:spPr/>
    </dgm:pt>
    <dgm:pt modelId="{D9434767-2B1D-4E74-96F8-8EE63E08D499}" type="pres">
      <dgm:prSet presAssocID="{00A99800-7CAC-4F21-852E-A09B237D4734}" presName="rootComposite2" presStyleCnt="0"/>
      <dgm:spPr/>
    </dgm:pt>
    <dgm:pt modelId="{1C44D359-06F5-4912-8A82-D615D1AA4765}" type="pres">
      <dgm:prSet presAssocID="{00A99800-7CAC-4F21-852E-A09B237D4734}" presName="rootText2" presStyleLbl="alignAcc1" presStyleIdx="0" presStyleCnt="0">
        <dgm:presLayoutVars>
          <dgm:chPref val="3"/>
        </dgm:presLayoutVars>
      </dgm:prSet>
      <dgm:spPr>
        <a:prstGeom prst="rect">
          <a:avLst/>
        </a:prstGeom>
      </dgm:spPr>
      <dgm:t>
        <a:bodyPr/>
        <a:lstStyle/>
        <a:p>
          <a:endParaRPr lang="cs-CZ"/>
        </a:p>
      </dgm:t>
    </dgm:pt>
    <dgm:pt modelId="{06F325A9-5484-4472-ABA9-5A06B4DC7A7B}" type="pres">
      <dgm:prSet presAssocID="{00A99800-7CAC-4F21-852E-A09B237D4734}" presName="topArc2" presStyleLbl="parChTrans1D1" presStyleIdx="8" presStyleCnt="10"/>
      <dgm:spPr>
        <a:xfrm>
          <a:off x="4189464" y="836873"/>
          <a:ext cx="539546" cy="539546"/>
        </a:xfrm>
        <a:prstGeom prst="arc">
          <a:avLst>
            <a:gd name="adj1" fmla="val 13200000"/>
            <a:gd name="adj2" fmla="val 192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gm:spPr>
      <dgm:t>
        <a:bodyPr/>
        <a:lstStyle/>
        <a:p>
          <a:endParaRPr lang="cs-CZ"/>
        </a:p>
      </dgm:t>
    </dgm:pt>
    <dgm:pt modelId="{EFDAFE91-8342-49E2-8C6F-CB33139D108C}" type="pres">
      <dgm:prSet presAssocID="{00A99800-7CAC-4F21-852E-A09B237D4734}" presName="bottomArc2" presStyleLbl="parChTrans1D1" presStyleIdx="9" presStyleCnt="10"/>
      <dgm:spPr>
        <a:xfrm>
          <a:off x="4189464" y="836873"/>
          <a:ext cx="539546" cy="539546"/>
        </a:xfrm>
        <a:prstGeom prst="arc">
          <a:avLst>
            <a:gd name="adj1" fmla="val 2400000"/>
            <a:gd name="adj2" fmla="val 84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gm:spPr>
      <dgm:t>
        <a:bodyPr/>
        <a:lstStyle/>
        <a:p>
          <a:endParaRPr lang="cs-CZ"/>
        </a:p>
      </dgm:t>
    </dgm:pt>
    <dgm:pt modelId="{83AEB1DA-1451-4813-91CC-D1C2C10B43A9}" type="pres">
      <dgm:prSet presAssocID="{00A99800-7CAC-4F21-852E-A09B237D4734}" presName="topConnNode2" presStyleLbl="node2" presStyleIdx="0" presStyleCnt="0"/>
      <dgm:spPr/>
      <dgm:t>
        <a:bodyPr/>
        <a:lstStyle/>
        <a:p>
          <a:endParaRPr lang="cs-CZ"/>
        </a:p>
      </dgm:t>
    </dgm:pt>
    <dgm:pt modelId="{DB348461-8C62-4F91-BC0B-5888729DF07D}" type="pres">
      <dgm:prSet presAssocID="{00A99800-7CAC-4F21-852E-A09B237D4734}" presName="hierChild4" presStyleCnt="0"/>
      <dgm:spPr/>
    </dgm:pt>
    <dgm:pt modelId="{A67DE3B5-0F85-4739-86A3-E392162AE461}" type="pres">
      <dgm:prSet presAssocID="{00A99800-7CAC-4F21-852E-A09B237D4734}" presName="hierChild5" presStyleCnt="0"/>
      <dgm:spPr/>
    </dgm:pt>
    <dgm:pt modelId="{2F467027-EACD-425C-91C0-5D5F5B069D29}" type="pres">
      <dgm:prSet presAssocID="{0A861096-A4EA-47FE-BE50-98787F21DA47}" presName="hierChild3" presStyleCnt="0"/>
      <dgm:spPr/>
    </dgm:pt>
  </dgm:ptLst>
  <dgm:cxnLst>
    <dgm:cxn modelId="{E7B7D8C7-F49B-48EB-996F-07459A509E4F}" type="presOf" srcId="{7BC5D58A-7302-4927-B840-9A8F6D5527E3}" destId="{BDC857A2-80F8-4134-96CA-58BAF90CC2AC}" srcOrd="0" destOrd="0" presId="urn:microsoft.com/office/officeart/2008/layout/HalfCircleOrganizationChart"/>
    <dgm:cxn modelId="{DE7D4E5A-7F79-420E-A63E-64D77C02B29D}" srcId="{0A861096-A4EA-47FE-BE50-98787F21DA47}" destId="{7175F795-6E00-456C-9C34-177A782EBE20}" srcOrd="0" destOrd="0" parTransId="{CEB97673-1CCD-42B4-A35B-67AD22C2F948}" sibTransId="{D2D2E289-6225-46AA-83FC-20280EDD7805}"/>
    <dgm:cxn modelId="{A24C9445-7724-4BDA-9600-C8E5632632FF}" type="presOf" srcId="{0A861096-A4EA-47FE-BE50-98787F21DA47}" destId="{BEECB434-DC23-4F5A-9159-64EAFD8D64FD}" srcOrd="0" destOrd="0" presId="urn:microsoft.com/office/officeart/2008/layout/HalfCircleOrganizationChart"/>
    <dgm:cxn modelId="{7460916D-4AF8-4B42-B7CA-5CBB0C2554C2}" srcId="{7BC5D58A-7302-4927-B840-9A8F6D5527E3}" destId="{0A861096-A4EA-47FE-BE50-98787F21DA47}" srcOrd="0" destOrd="0" parTransId="{79F985D3-54F5-4AB2-BF8F-830C9ABB70B7}" sibTransId="{19FC666A-CA58-4D78-9260-82734D4AA19D}"/>
    <dgm:cxn modelId="{8A4E946B-4BEB-43D1-806B-06339E6AEF7A}" srcId="{0A861096-A4EA-47FE-BE50-98787F21DA47}" destId="{00A99800-7CAC-4F21-852E-A09B237D4734}" srcOrd="3" destOrd="0" parTransId="{F0FF2889-0096-4CA5-BFA1-26B27D832EF4}" sibTransId="{8E659CD8-1543-465B-B4E6-522222545AB8}"/>
    <dgm:cxn modelId="{EB6638D4-B6DC-4A64-ACB1-6C41D24F3863}" type="presOf" srcId="{00A99800-7CAC-4F21-852E-A09B237D4734}" destId="{1C44D359-06F5-4912-8A82-D615D1AA4765}" srcOrd="0" destOrd="0" presId="urn:microsoft.com/office/officeart/2008/layout/HalfCircleOrganizationChart"/>
    <dgm:cxn modelId="{75D4AA33-3300-4D32-8EC6-9710AFB3FCD3}" type="presOf" srcId="{7175F795-6E00-456C-9C34-177A782EBE20}" destId="{45D149F2-BCE1-47B5-9548-DB053F5693A7}" srcOrd="1" destOrd="0" presId="urn:microsoft.com/office/officeart/2008/layout/HalfCircleOrganizationChart"/>
    <dgm:cxn modelId="{0B4E35D1-2A49-4422-9CC1-F7FD73F98B35}" type="presOf" srcId="{0A861096-A4EA-47FE-BE50-98787F21DA47}" destId="{30268271-5487-4EF3-9550-7D5950FD5539}" srcOrd="1" destOrd="0" presId="urn:microsoft.com/office/officeart/2008/layout/HalfCircleOrganizationChart"/>
    <dgm:cxn modelId="{EA378561-732F-4E49-912A-D82B0807164F}" type="presOf" srcId="{CEB97673-1CCD-42B4-A35B-67AD22C2F948}" destId="{1F687792-2401-4347-8AD4-5F877CF92118}" srcOrd="0" destOrd="0" presId="urn:microsoft.com/office/officeart/2008/layout/HalfCircleOrganizationChart"/>
    <dgm:cxn modelId="{BFAD57F1-6936-4307-BA84-C2A088AC13AB}" type="presOf" srcId="{7175F795-6E00-456C-9C34-177A782EBE20}" destId="{4C82BBAA-68B6-4978-8797-5C869FA057FC}" srcOrd="0" destOrd="0" presId="urn:microsoft.com/office/officeart/2008/layout/HalfCircleOrganizationChart"/>
    <dgm:cxn modelId="{CBCD57EC-3FBA-4E3A-936A-743411FDD427}" type="presOf" srcId="{145DA85A-BAF8-43B7-BA7D-ED38F40916DD}" destId="{BD5DAEE7-2A74-492F-9503-4D0AEDDB7E38}" srcOrd="0" destOrd="0" presId="urn:microsoft.com/office/officeart/2008/layout/HalfCircleOrganizationChart"/>
    <dgm:cxn modelId="{76E5A384-F229-4D0B-9DBA-28ED809BB109}" srcId="{0A861096-A4EA-47FE-BE50-98787F21DA47}" destId="{439294D3-C37A-4AC6-8FED-839E305EE265}" srcOrd="1" destOrd="0" parTransId="{145DA85A-BAF8-43B7-BA7D-ED38F40916DD}" sibTransId="{C1A50E2F-5A4D-4D8C-9B60-56A4F52F84D6}"/>
    <dgm:cxn modelId="{097115C8-CE38-4DE1-8CCE-FB4BEA79CCEA}" type="presOf" srcId="{00A99800-7CAC-4F21-852E-A09B237D4734}" destId="{83AEB1DA-1451-4813-91CC-D1C2C10B43A9}" srcOrd="1" destOrd="0" presId="urn:microsoft.com/office/officeart/2008/layout/HalfCircleOrganizationChart"/>
    <dgm:cxn modelId="{60CCF3F9-5F14-46D6-B49E-69435ECD45EA}" type="presOf" srcId="{A7F3ED74-CE1E-4AD7-B43D-450EBD116E59}" destId="{3BC9F652-3697-44B9-8CC3-790867B6F00E}" srcOrd="0" destOrd="0" presId="urn:microsoft.com/office/officeart/2008/layout/HalfCircleOrganizationChart"/>
    <dgm:cxn modelId="{61E33397-B7B1-485F-AF7C-EE5811D02455}" type="presOf" srcId="{3FF1C705-B413-4F5F-8D3C-BFC003DFEE67}" destId="{194205C0-8EB0-4215-B922-96C6B475AC5F}" srcOrd="1" destOrd="0" presId="urn:microsoft.com/office/officeart/2008/layout/HalfCircleOrganizationChart"/>
    <dgm:cxn modelId="{B321C8DC-D4A5-4972-8ADD-B328E9F7B2C5}" type="presOf" srcId="{F0FF2889-0096-4CA5-BFA1-26B27D832EF4}" destId="{443431C1-1098-45A7-BFA4-C8FC020A0F90}" srcOrd="0" destOrd="0" presId="urn:microsoft.com/office/officeart/2008/layout/HalfCircleOrganizationChart"/>
    <dgm:cxn modelId="{FCE45613-D8BA-420C-87F1-23492BE878AE}" srcId="{0A861096-A4EA-47FE-BE50-98787F21DA47}" destId="{3FF1C705-B413-4F5F-8D3C-BFC003DFEE67}" srcOrd="2" destOrd="0" parTransId="{A7F3ED74-CE1E-4AD7-B43D-450EBD116E59}" sibTransId="{920C04C0-D764-4819-B3AD-632D19A64DD0}"/>
    <dgm:cxn modelId="{708B89FC-78F7-46DF-9AE5-48E7500E5BC1}" type="presOf" srcId="{439294D3-C37A-4AC6-8FED-839E305EE265}" destId="{30926E8C-2A5B-49CB-A1DA-8A7297546E5D}" srcOrd="0" destOrd="0" presId="urn:microsoft.com/office/officeart/2008/layout/HalfCircleOrganizationChart"/>
    <dgm:cxn modelId="{139457F5-969E-4D91-8DEC-5C5D1051C373}" type="presOf" srcId="{3FF1C705-B413-4F5F-8D3C-BFC003DFEE67}" destId="{BA65E936-0076-4415-B609-206B3A0AAA60}" srcOrd="0" destOrd="0" presId="urn:microsoft.com/office/officeart/2008/layout/HalfCircleOrganizationChart"/>
    <dgm:cxn modelId="{40EA1B1D-CEDF-434D-9C73-5808788B219E}" type="presOf" srcId="{439294D3-C37A-4AC6-8FED-839E305EE265}" destId="{0F9DDAF0-75E3-4407-AEAC-B9D6107CE198}" srcOrd="1" destOrd="0" presId="urn:microsoft.com/office/officeart/2008/layout/HalfCircleOrganizationChart"/>
    <dgm:cxn modelId="{C32DBEB1-E962-4408-A5A4-EF5B3E1E8CD9}" type="presParOf" srcId="{BDC857A2-80F8-4134-96CA-58BAF90CC2AC}" destId="{E71C064F-8D53-44F8-908F-2F30084CF394}" srcOrd="0" destOrd="0" presId="urn:microsoft.com/office/officeart/2008/layout/HalfCircleOrganizationChart"/>
    <dgm:cxn modelId="{DDB4BE46-776A-4643-B0F4-998F6BA3B9D6}" type="presParOf" srcId="{E71C064F-8D53-44F8-908F-2F30084CF394}" destId="{5329D382-0419-4768-B233-5674F99A49DA}" srcOrd="0" destOrd="0" presId="urn:microsoft.com/office/officeart/2008/layout/HalfCircleOrganizationChart"/>
    <dgm:cxn modelId="{CDFCC158-7F4F-4637-9024-16F470949F20}" type="presParOf" srcId="{5329D382-0419-4768-B233-5674F99A49DA}" destId="{BEECB434-DC23-4F5A-9159-64EAFD8D64FD}" srcOrd="0" destOrd="0" presId="urn:microsoft.com/office/officeart/2008/layout/HalfCircleOrganizationChart"/>
    <dgm:cxn modelId="{1E665AEF-EED4-41B4-8564-727CE686AC63}" type="presParOf" srcId="{5329D382-0419-4768-B233-5674F99A49DA}" destId="{77F40C6A-7857-440D-B2BF-56BA869C7801}" srcOrd="1" destOrd="0" presId="urn:microsoft.com/office/officeart/2008/layout/HalfCircleOrganizationChart"/>
    <dgm:cxn modelId="{51E0068C-3D6F-447A-9956-97E0197BBDC7}" type="presParOf" srcId="{5329D382-0419-4768-B233-5674F99A49DA}" destId="{6A44ED28-9AB8-488C-BDA9-1C7062D7E70E}" srcOrd="2" destOrd="0" presId="urn:microsoft.com/office/officeart/2008/layout/HalfCircleOrganizationChart"/>
    <dgm:cxn modelId="{8C258A19-E9F7-47B9-A3E1-058E57EE117C}" type="presParOf" srcId="{5329D382-0419-4768-B233-5674F99A49DA}" destId="{30268271-5487-4EF3-9550-7D5950FD5539}" srcOrd="3" destOrd="0" presId="urn:microsoft.com/office/officeart/2008/layout/HalfCircleOrganizationChart"/>
    <dgm:cxn modelId="{7ACA01A3-F947-46A5-A3E7-9EFA30BCCD7C}" type="presParOf" srcId="{E71C064F-8D53-44F8-908F-2F30084CF394}" destId="{EF184952-F913-4E66-835D-E59E7E49A3E0}" srcOrd="1" destOrd="0" presId="urn:microsoft.com/office/officeart/2008/layout/HalfCircleOrganizationChart"/>
    <dgm:cxn modelId="{47056BA5-65A9-4B23-97E3-49D143D0D5A8}" type="presParOf" srcId="{EF184952-F913-4E66-835D-E59E7E49A3E0}" destId="{1F687792-2401-4347-8AD4-5F877CF92118}" srcOrd="0" destOrd="0" presId="urn:microsoft.com/office/officeart/2008/layout/HalfCircleOrganizationChart"/>
    <dgm:cxn modelId="{F80B5BD7-70F7-48FB-939F-6B1A1667F212}" type="presParOf" srcId="{EF184952-F913-4E66-835D-E59E7E49A3E0}" destId="{1602C110-02DD-4144-A458-CC4193FCC38F}" srcOrd="1" destOrd="0" presId="urn:microsoft.com/office/officeart/2008/layout/HalfCircleOrganizationChart"/>
    <dgm:cxn modelId="{2498FF48-C333-43F5-882E-7BB2FC990180}" type="presParOf" srcId="{1602C110-02DD-4144-A458-CC4193FCC38F}" destId="{D72F9842-25D4-45D0-A043-6A311668A324}" srcOrd="0" destOrd="0" presId="urn:microsoft.com/office/officeart/2008/layout/HalfCircleOrganizationChart"/>
    <dgm:cxn modelId="{9CA4E059-B1F8-4280-8F5C-5535AA769D07}" type="presParOf" srcId="{D72F9842-25D4-45D0-A043-6A311668A324}" destId="{4C82BBAA-68B6-4978-8797-5C869FA057FC}" srcOrd="0" destOrd="0" presId="urn:microsoft.com/office/officeart/2008/layout/HalfCircleOrganizationChart"/>
    <dgm:cxn modelId="{0C775ABE-5067-477E-A89F-CD68A2B081C2}" type="presParOf" srcId="{D72F9842-25D4-45D0-A043-6A311668A324}" destId="{79E4350A-A462-4908-8C91-339C4CABB6FD}" srcOrd="1" destOrd="0" presId="urn:microsoft.com/office/officeart/2008/layout/HalfCircleOrganizationChart"/>
    <dgm:cxn modelId="{790C41FB-24B5-491F-87C7-E39EF8807F7D}" type="presParOf" srcId="{D72F9842-25D4-45D0-A043-6A311668A324}" destId="{2DD36500-E87E-4BC2-95A3-318AD304A7B0}" srcOrd="2" destOrd="0" presId="urn:microsoft.com/office/officeart/2008/layout/HalfCircleOrganizationChart"/>
    <dgm:cxn modelId="{7649828C-CABE-4783-9CB9-60457A6CDD92}" type="presParOf" srcId="{D72F9842-25D4-45D0-A043-6A311668A324}" destId="{45D149F2-BCE1-47B5-9548-DB053F5693A7}" srcOrd="3" destOrd="0" presId="urn:microsoft.com/office/officeart/2008/layout/HalfCircleOrganizationChart"/>
    <dgm:cxn modelId="{8E126742-ED3B-45FA-9DC6-80A8DFFADCA5}" type="presParOf" srcId="{1602C110-02DD-4144-A458-CC4193FCC38F}" destId="{2BCEDFFE-7068-4D96-9165-FA06A716F97B}" srcOrd="1" destOrd="0" presId="urn:microsoft.com/office/officeart/2008/layout/HalfCircleOrganizationChart"/>
    <dgm:cxn modelId="{7B307915-23F3-45E5-A0EB-6F5B21D64C21}" type="presParOf" srcId="{1602C110-02DD-4144-A458-CC4193FCC38F}" destId="{1DEC1F46-085A-46EA-96AE-8D2EC670859C}" srcOrd="2" destOrd="0" presId="urn:microsoft.com/office/officeart/2008/layout/HalfCircleOrganizationChart"/>
    <dgm:cxn modelId="{5D7AFA67-F5BC-497C-B978-4CC55C6DCB7B}" type="presParOf" srcId="{EF184952-F913-4E66-835D-E59E7E49A3E0}" destId="{BD5DAEE7-2A74-492F-9503-4D0AEDDB7E38}" srcOrd="2" destOrd="0" presId="urn:microsoft.com/office/officeart/2008/layout/HalfCircleOrganizationChart"/>
    <dgm:cxn modelId="{71859BC6-4092-45D2-8282-40D767A9FF69}" type="presParOf" srcId="{EF184952-F913-4E66-835D-E59E7E49A3E0}" destId="{BF0BCA57-2FFA-4B6F-BB45-52C881C7AA15}" srcOrd="3" destOrd="0" presId="urn:microsoft.com/office/officeart/2008/layout/HalfCircleOrganizationChart"/>
    <dgm:cxn modelId="{9FEF7651-0DAD-47EE-85BD-ED1D09ABE773}" type="presParOf" srcId="{BF0BCA57-2FFA-4B6F-BB45-52C881C7AA15}" destId="{D1D83B2F-2B73-4E4C-A088-E7CE5AD57E79}" srcOrd="0" destOrd="0" presId="urn:microsoft.com/office/officeart/2008/layout/HalfCircleOrganizationChart"/>
    <dgm:cxn modelId="{ABF800DA-AB85-4787-B036-0B218A731FE2}" type="presParOf" srcId="{D1D83B2F-2B73-4E4C-A088-E7CE5AD57E79}" destId="{30926E8C-2A5B-49CB-A1DA-8A7297546E5D}" srcOrd="0" destOrd="0" presId="urn:microsoft.com/office/officeart/2008/layout/HalfCircleOrganizationChart"/>
    <dgm:cxn modelId="{5E41DB19-417E-4D7F-8546-691801C38605}" type="presParOf" srcId="{D1D83B2F-2B73-4E4C-A088-E7CE5AD57E79}" destId="{61B49308-4913-4C49-94C7-3EA1CC1D9489}" srcOrd="1" destOrd="0" presId="urn:microsoft.com/office/officeart/2008/layout/HalfCircleOrganizationChart"/>
    <dgm:cxn modelId="{6056C98F-D1D7-4E9F-8909-62B70B1C9932}" type="presParOf" srcId="{D1D83B2F-2B73-4E4C-A088-E7CE5AD57E79}" destId="{3502AC81-F7B7-47DE-8B49-240701354D1E}" srcOrd="2" destOrd="0" presId="urn:microsoft.com/office/officeart/2008/layout/HalfCircleOrganizationChart"/>
    <dgm:cxn modelId="{241C8090-418A-493B-B098-909A7A8E7CAB}" type="presParOf" srcId="{D1D83B2F-2B73-4E4C-A088-E7CE5AD57E79}" destId="{0F9DDAF0-75E3-4407-AEAC-B9D6107CE198}" srcOrd="3" destOrd="0" presId="urn:microsoft.com/office/officeart/2008/layout/HalfCircleOrganizationChart"/>
    <dgm:cxn modelId="{A877B559-6BE3-4AF1-92A2-DD6F3369AB48}" type="presParOf" srcId="{BF0BCA57-2FFA-4B6F-BB45-52C881C7AA15}" destId="{E44421D9-D24A-48FC-9B8D-6802EFA59D0A}" srcOrd="1" destOrd="0" presId="urn:microsoft.com/office/officeart/2008/layout/HalfCircleOrganizationChart"/>
    <dgm:cxn modelId="{338856A9-C40A-4BBD-BE30-AA5B8C4F2C95}" type="presParOf" srcId="{BF0BCA57-2FFA-4B6F-BB45-52C881C7AA15}" destId="{99D6C5BA-8399-468C-97C5-D045A9A0C6C5}" srcOrd="2" destOrd="0" presId="urn:microsoft.com/office/officeart/2008/layout/HalfCircleOrganizationChart"/>
    <dgm:cxn modelId="{66D527D6-3BA2-42C2-8A10-F904E663C378}" type="presParOf" srcId="{EF184952-F913-4E66-835D-E59E7E49A3E0}" destId="{3BC9F652-3697-44B9-8CC3-790867B6F00E}" srcOrd="4" destOrd="0" presId="urn:microsoft.com/office/officeart/2008/layout/HalfCircleOrganizationChart"/>
    <dgm:cxn modelId="{DE0B58AF-EB09-4D86-9A83-F109768B3632}" type="presParOf" srcId="{EF184952-F913-4E66-835D-E59E7E49A3E0}" destId="{BD55C428-365F-45B4-BD63-4DB40466C4CD}" srcOrd="5" destOrd="0" presId="urn:microsoft.com/office/officeart/2008/layout/HalfCircleOrganizationChart"/>
    <dgm:cxn modelId="{DCC3901D-71D7-49DD-8979-A7AADDE662DD}" type="presParOf" srcId="{BD55C428-365F-45B4-BD63-4DB40466C4CD}" destId="{BC2808F8-7AFD-4560-BEEA-7829AE0D2986}" srcOrd="0" destOrd="0" presId="urn:microsoft.com/office/officeart/2008/layout/HalfCircleOrganizationChart"/>
    <dgm:cxn modelId="{B0C4BC70-C559-49AE-B0B1-4BDF94809D5F}" type="presParOf" srcId="{BC2808F8-7AFD-4560-BEEA-7829AE0D2986}" destId="{BA65E936-0076-4415-B609-206B3A0AAA60}" srcOrd="0" destOrd="0" presId="urn:microsoft.com/office/officeart/2008/layout/HalfCircleOrganizationChart"/>
    <dgm:cxn modelId="{2893A228-F4A8-4B0C-ACEA-30533CA0ECFC}" type="presParOf" srcId="{BC2808F8-7AFD-4560-BEEA-7829AE0D2986}" destId="{63DFC477-5081-44F7-9440-A22C061DC85A}" srcOrd="1" destOrd="0" presId="urn:microsoft.com/office/officeart/2008/layout/HalfCircleOrganizationChart"/>
    <dgm:cxn modelId="{32F9AF9E-E5AE-4F27-A858-7C4ECCDCAF0F}" type="presParOf" srcId="{BC2808F8-7AFD-4560-BEEA-7829AE0D2986}" destId="{CEDDDA82-6499-4579-A5E4-FB19ED3E34F7}" srcOrd="2" destOrd="0" presId="urn:microsoft.com/office/officeart/2008/layout/HalfCircleOrganizationChart"/>
    <dgm:cxn modelId="{021AB9F9-73A5-4844-9A58-4BBDD96069AF}" type="presParOf" srcId="{BC2808F8-7AFD-4560-BEEA-7829AE0D2986}" destId="{194205C0-8EB0-4215-B922-96C6B475AC5F}" srcOrd="3" destOrd="0" presId="urn:microsoft.com/office/officeart/2008/layout/HalfCircleOrganizationChart"/>
    <dgm:cxn modelId="{B0513C15-D83C-40AB-AC3B-8E177702C025}" type="presParOf" srcId="{BD55C428-365F-45B4-BD63-4DB40466C4CD}" destId="{5F96980C-60D4-48C6-A678-EEAFE3A5547D}" srcOrd="1" destOrd="0" presId="urn:microsoft.com/office/officeart/2008/layout/HalfCircleOrganizationChart"/>
    <dgm:cxn modelId="{A5998E2F-3EE1-4773-9BE3-8F9C56CFCD66}" type="presParOf" srcId="{BD55C428-365F-45B4-BD63-4DB40466C4CD}" destId="{5A23D363-35E4-4CF3-8573-D373D0923840}" srcOrd="2" destOrd="0" presId="urn:microsoft.com/office/officeart/2008/layout/HalfCircleOrganizationChart"/>
    <dgm:cxn modelId="{71A4223B-A421-4A34-8148-AF0A9CEDF0BC}" type="presParOf" srcId="{EF184952-F913-4E66-835D-E59E7E49A3E0}" destId="{443431C1-1098-45A7-BFA4-C8FC020A0F90}" srcOrd="6" destOrd="0" presId="urn:microsoft.com/office/officeart/2008/layout/HalfCircleOrganizationChart"/>
    <dgm:cxn modelId="{026F7068-A390-4372-992E-DF5958EA88CC}" type="presParOf" srcId="{EF184952-F913-4E66-835D-E59E7E49A3E0}" destId="{190B810E-F88F-4454-987A-4C0C9A825BF0}" srcOrd="7" destOrd="0" presId="urn:microsoft.com/office/officeart/2008/layout/HalfCircleOrganizationChart"/>
    <dgm:cxn modelId="{90BBCAE0-2127-49C6-9AB0-308DF68506C8}" type="presParOf" srcId="{190B810E-F88F-4454-987A-4C0C9A825BF0}" destId="{D9434767-2B1D-4E74-96F8-8EE63E08D499}" srcOrd="0" destOrd="0" presId="urn:microsoft.com/office/officeart/2008/layout/HalfCircleOrganizationChart"/>
    <dgm:cxn modelId="{4B3A87D5-E5BC-4386-AE8D-B7C481228C34}" type="presParOf" srcId="{D9434767-2B1D-4E74-96F8-8EE63E08D499}" destId="{1C44D359-06F5-4912-8A82-D615D1AA4765}" srcOrd="0" destOrd="0" presId="urn:microsoft.com/office/officeart/2008/layout/HalfCircleOrganizationChart"/>
    <dgm:cxn modelId="{5DB414E4-0CF7-4102-ACE8-B71AC6DAA523}" type="presParOf" srcId="{D9434767-2B1D-4E74-96F8-8EE63E08D499}" destId="{06F325A9-5484-4472-ABA9-5A06B4DC7A7B}" srcOrd="1" destOrd="0" presId="urn:microsoft.com/office/officeart/2008/layout/HalfCircleOrganizationChart"/>
    <dgm:cxn modelId="{4C327782-39D4-4927-91DF-8BCB116BF8B1}" type="presParOf" srcId="{D9434767-2B1D-4E74-96F8-8EE63E08D499}" destId="{EFDAFE91-8342-49E2-8C6F-CB33139D108C}" srcOrd="2" destOrd="0" presId="urn:microsoft.com/office/officeart/2008/layout/HalfCircleOrganizationChart"/>
    <dgm:cxn modelId="{9D8DA60E-341D-4707-932F-F35818B16B09}" type="presParOf" srcId="{D9434767-2B1D-4E74-96F8-8EE63E08D499}" destId="{83AEB1DA-1451-4813-91CC-D1C2C10B43A9}" srcOrd="3" destOrd="0" presId="urn:microsoft.com/office/officeart/2008/layout/HalfCircleOrganizationChart"/>
    <dgm:cxn modelId="{72AD8684-66E3-43C4-A9FC-3DD95B79E447}" type="presParOf" srcId="{190B810E-F88F-4454-987A-4C0C9A825BF0}" destId="{DB348461-8C62-4F91-BC0B-5888729DF07D}" srcOrd="1" destOrd="0" presId="urn:microsoft.com/office/officeart/2008/layout/HalfCircleOrganizationChart"/>
    <dgm:cxn modelId="{A93E8ACC-9561-4364-8991-86084A2DB885}" type="presParOf" srcId="{190B810E-F88F-4454-987A-4C0C9A825BF0}" destId="{A67DE3B5-0F85-4739-86A3-E392162AE461}" srcOrd="2" destOrd="0" presId="urn:microsoft.com/office/officeart/2008/layout/HalfCircleOrganizationChart"/>
    <dgm:cxn modelId="{CE1B7306-1E4E-40F1-8E42-C6890A675ED4}" type="presParOf" srcId="{E71C064F-8D53-44F8-908F-2F30084CF394}" destId="{2F467027-EACD-425C-91C0-5D5F5B069D29}" srcOrd="2" destOrd="0" presId="urn:microsoft.com/office/officeart/2008/layout/HalfCircleOrganizationChar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13A673-CE17-4857-AB1A-E8730D4D70FB}">
      <dsp:nvSpPr>
        <dsp:cNvPr id="0" name=""/>
        <dsp:cNvSpPr/>
      </dsp:nvSpPr>
      <dsp:spPr>
        <a:xfrm rot="5400000">
          <a:off x="-179519" y="277878"/>
          <a:ext cx="1186783" cy="830748"/>
        </a:xfrm>
        <a:prstGeom prst="chevron">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cs-CZ" sz="1800" kern="1200">
              <a:solidFill>
                <a:sysClr val="window" lastClr="FFFFFF"/>
              </a:solidFill>
              <a:latin typeface="Calibri" panose="020F0502020204030204"/>
              <a:ea typeface="+mn-ea"/>
              <a:cs typeface="+mn-cs"/>
            </a:rPr>
            <a:t>I. etapa</a:t>
          </a:r>
        </a:p>
      </dsp:txBody>
      <dsp:txXfrm rot="-5400000">
        <a:off x="-1501" y="515234"/>
        <a:ext cx="830748" cy="356035"/>
      </dsp:txXfrm>
    </dsp:sp>
    <dsp:sp modelId="{A83A3DF0-1399-4A5A-984B-DADDBCB41FF1}">
      <dsp:nvSpPr>
        <dsp:cNvPr id="0" name=""/>
        <dsp:cNvSpPr/>
      </dsp:nvSpPr>
      <dsp:spPr>
        <a:xfrm rot="5400000">
          <a:off x="3033939" y="-2104833"/>
          <a:ext cx="771409" cy="5180796"/>
        </a:xfrm>
        <a:prstGeom prst="round2Same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cs-CZ" sz="800" kern="1200">
              <a:solidFill>
                <a:sysClr val="windowText" lastClr="000000">
                  <a:hueOff val="0"/>
                  <a:satOff val="0"/>
                  <a:lumOff val="0"/>
                  <a:alphaOff val="0"/>
                </a:sysClr>
              </a:solidFill>
              <a:latin typeface="Calibri" panose="020F0502020204030204"/>
              <a:ea typeface="+mn-ea"/>
              <a:cs typeface="+mn-cs"/>
            </a:rPr>
            <a:t>V rámci I. etapy byly zakoupeny a zrekonstruovány 3 domy v Července, Drahanovicích a Uničově, kam se přestěhovalo 17 uživatelů služby chráněné bydlení. Celkové náklady na realizaci I. etapy činily 15,244 mil. Kč, z toho 8,860 mil. Kč bylo hrazeno z dotace IROP (2016-2017).</a:t>
          </a:r>
        </a:p>
      </dsp:txBody>
      <dsp:txXfrm rot="-5400000">
        <a:off x="829246" y="137517"/>
        <a:ext cx="5143139" cy="696095"/>
      </dsp:txXfrm>
    </dsp:sp>
    <dsp:sp modelId="{8DA93526-FEDA-4E07-BCC6-DBCF7DFC229F}">
      <dsp:nvSpPr>
        <dsp:cNvPr id="0" name=""/>
        <dsp:cNvSpPr/>
      </dsp:nvSpPr>
      <dsp:spPr>
        <a:xfrm rot="5400000">
          <a:off x="-179519" y="1481132"/>
          <a:ext cx="1186783" cy="830748"/>
        </a:xfrm>
        <a:prstGeom prst="chevron">
          <a:avLst/>
        </a:prstGeom>
        <a:gradFill rotWithShape="0">
          <a:gsLst>
            <a:gs pos="0">
              <a:srgbClr val="ED7D31">
                <a:hueOff val="-363841"/>
                <a:satOff val="-20982"/>
                <a:lumOff val="2157"/>
                <a:alphaOff val="0"/>
                <a:satMod val="103000"/>
                <a:lumMod val="102000"/>
                <a:tint val="94000"/>
              </a:srgbClr>
            </a:gs>
            <a:gs pos="50000">
              <a:srgbClr val="ED7D31">
                <a:hueOff val="-363841"/>
                <a:satOff val="-20982"/>
                <a:lumOff val="2157"/>
                <a:alphaOff val="0"/>
                <a:satMod val="110000"/>
                <a:lumMod val="100000"/>
                <a:shade val="100000"/>
              </a:srgbClr>
            </a:gs>
            <a:gs pos="100000">
              <a:srgbClr val="ED7D31">
                <a:hueOff val="-363841"/>
                <a:satOff val="-20982"/>
                <a:lumOff val="2157"/>
                <a:alphaOff val="0"/>
                <a:lumMod val="99000"/>
                <a:satMod val="120000"/>
                <a:shade val="78000"/>
              </a:srgbClr>
            </a:gs>
          </a:gsLst>
          <a:lin ang="5400000" scaled="0"/>
        </a:gradFill>
        <a:ln w="6350" cap="flat" cmpd="sng" algn="ctr">
          <a:solidFill>
            <a:srgbClr val="ED7D31">
              <a:hueOff val="-363841"/>
              <a:satOff val="-20982"/>
              <a:lumOff val="2157"/>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cs-CZ" sz="1800" kern="1200">
              <a:solidFill>
                <a:sysClr val="window" lastClr="FFFFFF"/>
              </a:solidFill>
              <a:latin typeface="Calibri" panose="020F0502020204030204"/>
              <a:ea typeface="+mn-ea"/>
              <a:cs typeface="+mn-cs"/>
            </a:rPr>
            <a:t>II. etapa</a:t>
          </a:r>
        </a:p>
      </dsp:txBody>
      <dsp:txXfrm rot="-5400000">
        <a:off x="-1501" y="1718488"/>
        <a:ext cx="830748" cy="356035"/>
      </dsp:txXfrm>
    </dsp:sp>
    <dsp:sp modelId="{F5DA4262-F346-432C-8E16-950D5D80A984}">
      <dsp:nvSpPr>
        <dsp:cNvPr id="0" name=""/>
        <dsp:cNvSpPr/>
      </dsp:nvSpPr>
      <dsp:spPr>
        <a:xfrm rot="5400000">
          <a:off x="2914251" y="-901578"/>
          <a:ext cx="1010784" cy="5180796"/>
        </a:xfrm>
        <a:prstGeom prst="round2SameRect">
          <a:avLst/>
        </a:prstGeom>
        <a:solidFill>
          <a:sysClr val="window" lastClr="FFFFFF">
            <a:alpha val="90000"/>
            <a:hueOff val="0"/>
            <a:satOff val="0"/>
            <a:lumOff val="0"/>
            <a:alphaOff val="0"/>
          </a:sysClr>
        </a:solidFill>
        <a:ln w="6350" cap="flat" cmpd="sng" algn="ctr">
          <a:solidFill>
            <a:srgbClr val="ED7D31">
              <a:hueOff val="-363841"/>
              <a:satOff val="-20982"/>
              <a:lumOff val="215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cs-CZ" sz="800" kern="1200">
              <a:solidFill>
                <a:sysClr val="windowText" lastClr="000000">
                  <a:hueOff val="0"/>
                  <a:satOff val="0"/>
                  <a:lumOff val="0"/>
                  <a:alphaOff val="0"/>
                </a:sysClr>
              </a:solidFill>
              <a:latin typeface="Calibri" panose="020F0502020204030204"/>
              <a:ea typeface="+mn-ea"/>
              <a:cs typeface="+mn-cs"/>
            </a:rPr>
            <a:t>V rámci II. etapy byl zakoupen pozemek a realizována výstavba nového objektu s dvěma domácnostmi v obci Měrotín, kam se přestěhovalo 12 uživatelů služby DOZP (2020-2021)</a:t>
          </a:r>
        </a:p>
        <a:p>
          <a:pPr marL="57150" lvl="1" indent="-57150" algn="l" defTabSz="355600">
            <a:lnSpc>
              <a:spcPct val="90000"/>
            </a:lnSpc>
            <a:spcBef>
              <a:spcPct val="0"/>
            </a:spcBef>
            <a:spcAft>
              <a:spcPct val="15000"/>
            </a:spcAft>
            <a:buChar char="••"/>
          </a:pPr>
          <a:r>
            <a:rPr lang="cs-CZ" sz="800" kern="1200">
              <a:solidFill>
                <a:sysClr val="windowText" lastClr="000000">
                  <a:hueOff val="0"/>
                  <a:satOff val="0"/>
                  <a:lumOff val="0"/>
                  <a:alphaOff val="0"/>
                </a:sysClr>
              </a:solidFill>
              <a:latin typeface="Calibri" panose="020F0502020204030204"/>
              <a:ea typeface="+mn-ea"/>
              <a:cs typeface="+mn-cs"/>
            </a:rPr>
            <a:t>Součástí II. etapy byl nákup pozemku a realizace výstavby objektu se dvěma domácnosti pro 12 uživatelů služby chráněné bydlení v obci Drahanovice.</a:t>
          </a:r>
        </a:p>
        <a:p>
          <a:pPr marL="57150" lvl="1" indent="-57150" algn="l" defTabSz="355600">
            <a:lnSpc>
              <a:spcPct val="90000"/>
            </a:lnSpc>
            <a:spcBef>
              <a:spcPct val="0"/>
            </a:spcBef>
            <a:spcAft>
              <a:spcPct val="15000"/>
            </a:spcAft>
            <a:buChar char="••"/>
          </a:pPr>
          <a:r>
            <a:rPr lang="cs-CZ" sz="800" kern="1200">
              <a:solidFill>
                <a:sysClr val="windowText" lastClr="000000">
                  <a:hueOff val="0"/>
                  <a:satOff val="0"/>
                  <a:lumOff val="0"/>
                  <a:alphaOff val="0"/>
                </a:sysClr>
              </a:solidFill>
              <a:latin typeface="Calibri" panose="020F0502020204030204"/>
              <a:ea typeface="+mn-ea"/>
              <a:cs typeface="+mn-cs"/>
            </a:rPr>
            <a:t>Realizace výstavby nového objektu v obci Drahanovice se do dnešního dne neuskutečnila, vzhledem k odporu místních obyvatel se nepodařilo zajistit pravomocné stavební povolení.</a:t>
          </a:r>
        </a:p>
        <a:p>
          <a:pPr marL="57150" lvl="1" indent="-57150" algn="l" defTabSz="355600">
            <a:lnSpc>
              <a:spcPct val="90000"/>
            </a:lnSpc>
            <a:spcBef>
              <a:spcPct val="0"/>
            </a:spcBef>
            <a:spcAft>
              <a:spcPct val="15000"/>
            </a:spcAft>
            <a:buChar char="••"/>
          </a:pPr>
          <a:r>
            <a:rPr lang="cs-CZ" sz="800" b="1" kern="1200">
              <a:solidFill>
                <a:sysClr val="windowText" lastClr="000000">
                  <a:hueOff val="0"/>
                  <a:satOff val="0"/>
                  <a:lumOff val="0"/>
                  <a:alphaOff val="0"/>
                </a:sysClr>
              </a:solidFill>
              <a:latin typeface="Calibri" panose="020F0502020204030204"/>
              <a:ea typeface="+mn-ea"/>
              <a:cs typeface="+mn-cs"/>
            </a:rPr>
            <a:t>Celkové náklady na částečnou realizaci II. etapy transformace činí dle projektu 23,810 mil. Kč, z toho 14,570 mil. Kč bude hrazeno z dotace IROP</a:t>
          </a:r>
          <a:r>
            <a:rPr lang="cs-CZ" sz="800" kern="1200">
              <a:solidFill>
                <a:sysClr val="windowText" lastClr="000000">
                  <a:hueOff val="0"/>
                  <a:satOff val="0"/>
                  <a:lumOff val="0"/>
                  <a:alphaOff val="0"/>
                </a:sysClr>
              </a:solidFill>
              <a:latin typeface="Calibri" panose="020F0502020204030204"/>
              <a:ea typeface="+mn-ea"/>
              <a:cs typeface="+mn-cs"/>
            </a:rPr>
            <a:t>.</a:t>
          </a:r>
        </a:p>
      </dsp:txBody>
      <dsp:txXfrm rot="-5400000">
        <a:off x="829245" y="1232770"/>
        <a:ext cx="5131454" cy="912100"/>
      </dsp:txXfrm>
    </dsp:sp>
    <dsp:sp modelId="{FEE43A8A-B76B-4E94-A4BC-A8B545206B5B}">
      <dsp:nvSpPr>
        <dsp:cNvPr id="0" name=""/>
        <dsp:cNvSpPr/>
      </dsp:nvSpPr>
      <dsp:spPr>
        <a:xfrm rot="5400000">
          <a:off x="-179519" y="2625463"/>
          <a:ext cx="1186783" cy="830748"/>
        </a:xfrm>
        <a:prstGeom prst="chevron">
          <a:avLst/>
        </a:prstGeom>
        <a:gradFill rotWithShape="0">
          <a:gsLst>
            <a:gs pos="0">
              <a:srgbClr val="ED7D31">
                <a:hueOff val="-727682"/>
                <a:satOff val="-41964"/>
                <a:lumOff val="4314"/>
                <a:alphaOff val="0"/>
                <a:satMod val="103000"/>
                <a:lumMod val="102000"/>
                <a:tint val="94000"/>
              </a:srgbClr>
            </a:gs>
            <a:gs pos="50000">
              <a:srgbClr val="ED7D31">
                <a:hueOff val="-727682"/>
                <a:satOff val="-41964"/>
                <a:lumOff val="4314"/>
                <a:alphaOff val="0"/>
                <a:satMod val="110000"/>
                <a:lumMod val="100000"/>
                <a:shade val="100000"/>
              </a:srgbClr>
            </a:gs>
            <a:gs pos="100000">
              <a:srgbClr val="ED7D31">
                <a:hueOff val="-727682"/>
                <a:satOff val="-41964"/>
                <a:lumOff val="4314"/>
                <a:alphaOff val="0"/>
                <a:lumMod val="99000"/>
                <a:satMod val="120000"/>
                <a:shade val="78000"/>
              </a:srgbClr>
            </a:gs>
          </a:gsLst>
          <a:lin ang="5400000" scaled="0"/>
        </a:gradFill>
        <a:ln w="6350" cap="flat" cmpd="sng" algn="ctr">
          <a:solidFill>
            <a:srgbClr val="ED7D31">
              <a:hueOff val="-727682"/>
              <a:satOff val="-41964"/>
              <a:lumOff val="4314"/>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cs-CZ" sz="1800" kern="1200">
              <a:solidFill>
                <a:sysClr val="window" lastClr="FFFFFF"/>
              </a:solidFill>
              <a:latin typeface="Calibri" panose="020F0502020204030204"/>
              <a:ea typeface="+mn-ea"/>
              <a:cs typeface="+mn-cs"/>
            </a:rPr>
            <a:t>III. etapa</a:t>
          </a:r>
        </a:p>
      </dsp:txBody>
      <dsp:txXfrm rot="-5400000">
        <a:off x="-1501" y="2862819"/>
        <a:ext cx="830748" cy="356035"/>
      </dsp:txXfrm>
    </dsp:sp>
    <dsp:sp modelId="{D01DCB41-F6CD-4436-826E-2CF7C35DA756}">
      <dsp:nvSpPr>
        <dsp:cNvPr id="0" name=""/>
        <dsp:cNvSpPr/>
      </dsp:nvSpPr>
      <dsp:spPr>
        <a:xfrm rot="5400000">
          <a:off x="2973175" y="242752"/>
          <a:ext cx="892936" cy="5180796"/>
        </a:xfrm>
        <a:prstGeom prst="round2SameRect">
          <a:avLst/>
        </a:prstGeom>
        <a:solidFill>
          <a:sysClr val="window" lastClr="FFFFFF">
            <a:alpha val="90000"/>
            <a:hueOff val="0"/>
            <a:satOff val="0"/>
            <a:lumOff val="0"/>
            <a:alphaOff val="0"/>
          </a:sysClr>
        </a:solidFill>
        <a:ln w="6350" cap="flat" cmpd="sng" algn="ctr">
          <a:solidFill>
            <a:srgbClr val="ED7D31">
              <a:hueOff val="-727682"/>
              <a:satOff val="-41964"/>
              <a:lumOff val="4314"/>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cs-CZ" sz="800" kern="1200">
              <a:solidFill>
                <a:sysClr val="windowText" lastClr="000000">
                  <a:hueOff val="0"/>
                  <a:satOff val="0"/>
                  <a:lumOff val="0"/>
                  <a:alphaOff val="0"/>
                </a:sysClr>
              </a:solidFill>
              <a:latin typeface="Calibri" panose="020F0502020204030204"/>
              <a:ea typeface="+mn-ea"/>
              <a:cs typeface="+mn-cs"/>
            </a:rPr>
            <a:t>V rámci III. etapy byly zakoupeny dva domy v k.ú. Červenka pro 8 uživatelů DZR a pro 8 uživatelů služby DOZP; dva domy v k.ú. Litovel pro 16 uživatelů služby CHB, které byly v letech 2019 – 2020 zrekonstruovány. </a:t>
          </a:r>
        </a:p>
        <a:p>
          <a:pPr marL="57150" lvl="1" indent="-57150" algn="l" defTabSz="355600">
            <a:lnSpc>
              <a:spcPct val="90000"/>
            </a:lnSpc>
            <a:spcBef>
              <a:spcPct val="0"/>
            </a:spcBef>
            <a:spcAft>
              <a:spcPct val="15000"/>
            </a:spcAft>
            <a:buChar char="••"/>
          </a:pPr>
          <a:r>
            <a:rPr lang="cs-CZ" sz="800" kern="1200">
              <a:solidFill>
                <a:sysClr val="windowText" lastClr="000000">
                  <a:hueOff val="0"/>
                  <a:satOff val="0"/>
                  <a:lumOff val="0"/>
                  <a:alphaOff val="0"/>
                </a:sysClr>
              </a:solidFill>
              <a:latin typeface="Calibri" panose="020F0502020204030204"/>
              <a:ea typeface="+mn-ea"/>
              <a:cs typeface="+mn-cs"/>
            </a:rPr>
            <a:t>V průběhu roku 2021 – 2022 probíhá rekonstrukce stávajících dvou objektů pobočky PO Nové Zámky, poskytovatel sociálních služeb v Litovli, které budou sloužit 18 uživatelům služby DOZP. </a:t>
          </a:r>
        </a:p>
        <a:p>
          <a:pPr marL="57150" lvl="1" indent="-57150" algn="l" defTabSz="355600">
            <a:lnSpc>
              <a:spcPct val="90000"/>
            </a:lnSpc>
            <a:spcBef>
              <a:spcPct val="0"/>
            </a:spcBef>
            <a:spcAft>
              <a:spcPct val="15000"/>
            </a:spcAft>
            <a:buChar char="••"/>
          </a:pPr>
          <a:r>
            <a:rPr lang="cs-CZ" sz="800" b="1" kern="1200">
              <a:solidFill>
                <a:sysClr val="windowText" lastClr="000000">
                  <a:hueOff val="0"/>
                  <a:satOff val="0"/>
                  <a:lumOff val="0"/>
                  <a:alphaOff val="0"/>
                </a:sysClr>
              </a:solidFill>
              <a:latin typeface="Calibri" panose="020F0502020204030204"/>
              <a:ea typeface="+mn-ea"/>
              <a:cs typeface="+mn-cs"/>
            </a:rPr>
            <a:t>Celkové předpokládané náklady na realizaci III. etapy transformace činí dle projektu 70,538 mil. Kč, z toho 60,720 mil. Kč bude hrazeno z dotace IROP.</a:t>
          </a:r>
        </a:p>
      </dsp:txBody>
      <dsp:txXfrm rot="-5400000">
        <a:off x="829245" y="2430272"/>
        <a:ext cx="5137206" cy="805756"/>
      </dsp:txXfrm>
    </dsp:sp>
    <dsp:sp modelId="{8D512C2C-661B-46FE-9A06-9487C77D38B5}">
      <dsp:nvSpPr>
        <dsp:cNvPr id="0" name=""/>
        <dsp:cNvSpPr/>
      </dsp:nvSpPr>
      <dsp:spPr>
        <a:xfrm rot="5400000">
          <a:off x="-179519" y="3967066"/>
          <a:ext cx="1186783" cy="830748"/>
        </a:xfrm>
        <a:prstGeom prst="chevron">
          <a:avLst/>
        </a:prstGeom>
        <a:gradFill rotWithShape="0">
          <a:gsLst>
            <a:gs pos="0">
              <a:srgbClr val="ED7D31">
                <a:hueOff val="-1091522"/>
                <a:satOff val="-62946"/>
                <a:lumOff val="6471"/>
                <a:alphaOff val="0"/>
                <a:satMod val="103000"/>
                <a:lumMod val="102000"/>
                <a:tint val="94000"/>
              </a:srgbClr>
            </a:gs>
            <a:gs pos="50000">
              <a:srgbClr val="ED7D31">
                <a:hueOff val="-1091522"/>
                <a:satOff val="-62946"/>
                <a:lumOff val="6471"/>
                <a:alphaOff val="0"/>
                <a:satMod val="110000"/>
                <a:lumMod val="100000"/>
                <a:shade val="100000"/>
              </a:srgbClr>
            </a:gs>
            <a:gs pos="100000">
              <a:srgbClr val="ED7D31">
                <a:hueOff val="-1091522"/>
                <a:satOff val="-62946"/>
                <a:lumOff val="6471"/>
                <a:alphaOff val="0"/>
                <a:lumMod val="99000"/>
                <a:satMod val="120000"/>
                <a:shade val="78000"/>
              </a:srgbClr>
            </a:gs>
          </a:gsLst>
          <a:lin ang="5400000" scaled="0"/>
        </a:gradFill>
        <a:ln w="6350" cap="flat" cmpd="sng" algn="ctr">
          <a:solidFill>
            <a:srgbClr val="ED7D31">
              <a:hueOff val="-1091522"/>
              <a:satOff val="-62946"/>
              <a:lumOff val="6471"/>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cs-CZ" sz="1800" kern="1200">
              <a:solidFill>
                <a:sysClr val="window" lastClr="FFFFFF"/>
              </a:solidFill>
              <a:latin typeface="Calibri" panose="020F0502020204030204"/>
              <a:ea typeface="+mn-ea"/>
              <a:cs typeface="+mn-cs"/>
            </a:rPr>
            <a:t>IV. etapa</a:t>
          </a:r>
        </a:p>
      </dsp:txBody>
      <dsp:txXfrm rot="-5400000">
        <a:off x="-1501" y="4204422"/>
        <a:ext cx="830748" cy="356035"/>
      </dsp:txXfrm>
    </dsp:sp>
    <dsp:sp modelId="{C7F5DF75-5322-4942-97C4-3CC727943A99}">
      <dsp:nvSpPr>
        <dsp:cNvPr id="0" name=""/>
        <dsp:cNvSpPr/>
      </dsp:nvSpPr>
      <dsp:spPr>
        <a:xfrm rot="5400000">
          <a:off x="2775903" y="1584355"/>
          <a:ext cx="1287481" cy="5180796"/>
        </a:xfrm>
        <a:prstGeom prst="round2SameRect">
          <a:avLst/>
        </a:prstGeom>
        <a:solidFill>
          <a:sysClr val="window" lastClr="FFFFFF">
            <a:alpha val="90000"/>
            <a:hueOff val="0"/>
            <a:satOff val="0"/>
            <a:lumOff val="0"/>
            <a:alphaOff val="0"/>
          </a:sysClr>
        </a:solidFill>
        <a:ln w="6350" cap="flat" cmpd="sng" algn="ctr">
          <a:solidFill>
            <a:srgbClr val="ED7D31">
              <a:hueOff val="-1091522"/>
              <a:satOff val="-62946"/>
              <a:lumOff val="6471"/>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cs-CZ" sz="800" kern="1200">
              <a:solidFill>
                <a:sysClr val="windowText" lastClr="000000">
                  <a:hueOff val="0"/>
                  <a:satOff val="0"/>
                  <a:lumOff val="0"/>
                  <a:alphaOff val="0"/>
                </a:sysClr>
              </a:solidFill>
              <a:latin typeface="Calibri" panose="020F0502020204030204"/>
              <a:ea typeface="+mn-ea"/>
              <a:cs typeface="+mn-cs"/>
            </a:rPr>
            <a:t>V rámci IV. etapy byly zakoupeny dva pozemky v k. ú. Zábřeh a zpracována příslušná projektová dokumentace. V lokalitě jsou plánovány dvě novostavby v lokalitě Havlíčkova pro 12 klientů služby DOZP a v lokalitě Malá strana mají být vystavěny tři novostavby pro 18 klientů služby DOZP. </a:t>
          </a:r>
        </a:p>
        <a:p>
          <a:pPr marL="57150" lvl="1" indent="-57150" algn="l" defTabSz="355600">
            <a:lnSpc>
              <a:spcPct val="90000"/>
            </a:lnSpc>
            <a:spcBef>
              <a:spcPct val="0"/>
            </a:spcBef>
            <a:spcAft>
              <a:spcPct val="15000"/>
            </a:spcAft>
            <a:buChar char="••"/>
          </a:pPr>
          <a:r>
            <a:rPr lang="cs-CZ" sz="800" kern="1200">
              <a:solidFill>
                <a:sysClr val="windowText" lastClr="000000">
                  <a:hueOff val="0"/>
                  <a:satOff val="0"/>
                  <a:lumOff val="0"/>
                  <a:alphaOff val="0"/>
                </a:sysClr>
              </a:solidFill>
              <a:latin typeface="Calibri" panose="020F0502020204030204"/>
              <a:ea typeface="+mn-ea"/>
              <a:cs typeface="+mn-cs"/>
            </a:rPr>
            <a:t>Pro novostavby v lokalitě Havlíčkova v roce 2022 nabylo právní moci stavební povolení a probíhá výběrové řízení na zhotovitele stavby. Dokončení novostaveb se předpokládá do poloviny roku 2023. Pro novostavby v lokalitě Malá Strana bylo na základě námitek souseda zastaveno stavební řízení a je nutno upravit projektovou dokumentaci. Dokončení novostaveb musí být dle podmínek dotace do konce roku 2023.</a:t>
          </a:r>
        </a:p>
        <a:p>
          <a:pPr marL="57150" lvl="1" indent="-57150" algn="l" defTabSz="355600">
            <a:lnSpc>
              <a:spcPct val="90000"/>
            </a:lnSpc>
            <a:spcBef>
              <a:spcPct val="0"/>
            </a:spcBef>
            <a:spcAft>
              <a:spcPct val="15000"/>
            </a:spcAft>
            <a:buChar char="••"/>
          </a:pPr>
          <a:r>
            <a:rPr lang="cs-CZ" sz="800" b="1" kern="1200">
              <a:solidFill>
                <a:sysClr val="windowText" lastClr="000000">
                  <a:hueOff val="0"/>
                  <a:satOff val="0"/>
                  <a:lumOff val="0"/>
                  <a:alphaOff val="0"/>
                </a:sysClr>
              </a:solidFill>
              <a:latin typeface="Calibri" panose="020F0502020204030204"/>
              <a:ea typeface="+mn-ea"/>
              <a:cs typeface="+mn-cs"/>
            </a:rPr>
            <a:t>Celkové předpokládané náklady na realizaci IV. etapy transformace jsou  odhadnuty na 74,760 mil. Kč, z toho cca 54 mil. Kč bude hrazeno z dotace IROP</a:t>
          </a:r>
          <a:r>
            <a:rPr lang="cs-CZ" sz="800" kern="1200">
              <a:solidFill>
                <a:sysClr val="windowText" lastClr="000000">
                  <a:hueOff val="0"/>
                  <a:satOff val="0"/>
                  <a:lumOff val="0"/>
                  <a:alphaOff val="0"/>
                </a:sysClr>
              </a:solidFill>
              <a:latin typeface="Calibri" panose="020F0502020204030204"/>
              <a:ea typeface="+mn-ea"/>
              <a:cs typeface="+mn-cs"/>
            </a:rPr>
            <a:t>. </a:t>
          </a:r>
        </a:p>
      </dsp:txBody>
      <dsp:txXfrm rot="-5400000">
        <a:off x="829246" y="3593862"/>
        <a:ext cx="5117946" cy="1161781"/>
      </dsp:txXfrm>
    </dsp:sp>
    <dsp:sp modelId="{FED4CB43-63CD-4CFE-8980-1C091768702A}">
      <dsp:nvSpPr>
        <dsp:cNvPr id="0" name=""/>
        <dsp:cNvSpPr/>
      </dsp:nvSpPr>
      <dsp:spPr>
        <a:xfrm rot="5400000">
          <a:off x="-179519" y="5050633"/>
          <a:ext cx="1186783" cy="830748"/>
        </a:xfrm>
        <a:prstGeom prst="chevron">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w="6350" cap="flat" cmpd="sng" algn="ctr">
          <a:solidFill>
            <a:srgbClr val="ED7D31">
              <a:hueOff val="-1455363"/>
              <a:satOff val="-83928"/>
              <a:lumOff val="8628"/>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cs-CZ" sz="1800" kern="1200">
              <a:solidFill>
                <a:sysClr val="window" lastClr="FFFFFF"/>
              </a:solidFill>
              <a:latin typeface="Calibri" panose="020F0502020204030204"/>
              <a:ea typeface="+mn-ea"/>
              <a:cs typeface="+mn-cs"/>
            </a:rPr>
            <a:t>V. etapa</a:t>
          </a:r>
        </a:p>
      </dsp:txBody>
      <dsp:txXfrm rot="-5400000">
        <a:off x="-1501" y="5287989"/>
        <a:ext cx="830748" cy="356035"/>
      </dsp:txXfrm>
    </dsp:sp>
    <dsp:sp modelId="{78724991-5620-415E-835B-C584EDCBC0BF}">
      <dsp:nvSpPr>
        <dsp:cNvPr id="0" name=""/>
        <dsp:cNvSpPr/>
      </dsp:nvSpPr>
      <dsp:spPr>
        <a:xfrm rot="5400000">
          <a:off x="3107547" y="2664917"/>
          <a:ext cx="624193" cy="5186806"/>
        </a:xfrm>
        <a:prstGeom prst="round2SameRect">
          <a:avLst/>
        </a:prstGeom>
        <a:solidFill>
          <a:sysClr val="window" lastClr="FFFFFF">
            <a:alpha val="90000"/>
            <a:hueOff val="0"/>
            <a:satOff val="0"/>
            <a:lumOff val="0"/>
            <a:alphaOff val="0"/>
          </a:sysClr>
        </a:solidFill>
        <a:ln w="6350" cap="flat" cmpd="sng" algn="ctr">
          <a:solidFill>
            <a:srgbClr val="ED7D31">
              <a:hueOff val="-1455363"/>
              <a:satOff val="-83928"/>
              <a:lumOff val="862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cs-CZ" sz="800" kern="1200">
              <a:solidFill>
                <a:sysClr val="windowText" lastClr="000000">
                  <a:hueOff val="0"/>
                  <a:satOff val="0"/>
                  <a:lumOff val="0"/>
                  <a:alphaOff val="0"/>
                </a:sysClr>
              </a:solidFill>
              <a:latin typeface="Calibri" panose="020F0502020204030204"/>
              <a:ea typeface="+mn-ea"/>
              <a:cs typeface="+mn-cs"/>
            </a:rPr>
            <a:t>V rámci V. etapy probíhá realizace stavby v obci Medlov, Králová pro 8 uživatelů služby DOZP.</a:t>
          </a:r>
        </a:p>
        <a:p>
          <a:pPr marL="57150" lvl="1" indent="-57150" algn="l" defTabSz="355600">
            <a:lnSpc>
              <a:spcPct val="90000"/>
            </a:lnSpc>
            <a:spcBef>
              <a:spcPct val="0"/>
            </a:spcBef>
            <a:spcAft>
              <a:spcPct val="15000"/>
            </a:spcAft>
            <a:buChar char="••"/>
          </a:pPr>
          <a:r>
            <a:rPr lang="cs-CZ" sz="800" kern="1200">
              <a:solidFill>
                <a:sysClr val="windowText" lastClr="000000">
                  <a:hueOff val="0"/>
                  <a:satOff val="0"/>
                  <a:lumOff val="0"/>
                  <a:alphaOff val="0"/>
                </a:sysClr>
              </a:solidFill>
              <a:latin typeface="Calibri" panose="020F0502020204030204"/>
              <a:ea typeface="+mn-ea"/>
              <a:cs typeface="+mn-cs"/>
            </a:rPr>
            <a:t>V průběhu transformačního procesu byla celková kapacita zařízení snížena o 2 uživatele na celkovou kapacitu 143 osob. </a:t>
          </a:r>
        </a:p>
        <a:p>
          <a:pPr marL="57150" lvl="1" indent="-57150" algn="l" defTabSz="355600">
            <a:lnSpc>
              <a:spcPct val="90000"/>
            </a:lnSpc>
            <a:spcBef>
              <a:spcPct val="0"/>
            </a:spcBef>
            <a:spcAft>
              <a:spcPct val="15000"/>
            </a:spcAft>
            <a:buChar char="••"/>
          </a:pPr>
          <a:endParaRPr lang="cs-CZ" sz="800" kern="1200">
            <a:solidFill>
              <a:sysClr val="windowText" lastClr="000000">
                <a:hueOff val="0"/>
                <a:satOff val="0"/>
                <a:lumOff val="0"/>
                <a:alphaOff val="0"/>
              </a:sysClr>
            </a:solidFill>
            <a:latin typeface="Calibri" panose="020F0502020204030204"/>
            <a:ea typeface="+mn-ea"/>
            <a:cs typeface="+mn-cs"/>
          </a:endParaRPr>
        </a:p>
      </dsp:txBody>
      <dsp:txXfrm rot="-5400000">
        <a:off x="826241" y="4976695"/>
        <a:ext cx="5156335" cy="5632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3431C1-1098-45A7-BFA4-C8FC020A0F90}">
      <dsp:nvSpPr>
        <dsp:cNvPr id="0" name=""/>
        <dsp:cNvSpPr/>
      </dsp:nvSpPr>
      <dsp:spPr>
        <a:xfrm>
          <a:off x="2500685" y="610263"/>
          <a:ext cx="1958552" cy="226609"/>
        </a:xfrm>
        <a:custGeom>
          <a:avLst/>
          <a:gdLst/>
          <a:ahLst/>
          <a:cxnLst/>
          <a:rect l="0" t="0" r="0" b="0"/>
          <a:pathLst>
            <a:path>
              <a:moveTo>
                <a:pt x="0" y="0"/>
              </a:moveTo>
              <a:lnTo>
                <a:pt x="0" y="113304"/>
              </a:lnTo>
              <a:lnTo>
                <a:pt x="1958552" y="113304"/>
              </a:lnTo>
              <a:lnTo>
                <a:pt x="1958552" y="226609"/>
              </a:lnTo>
            </a:path>
          </a:pathLst>
        </a:custGeom>
        <a:noFill/>
        <a:ln w="12700" cap="flat" cmpd="sng" algn="ctr">
          <a:solidFill>
            <a:srgbClr val="70AD47">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3BC9F652-3697-44B9-8CC3-790867B6F00E}">
      <dsp:nvSpPr>
        <dsp:cNvPr id="0" name=""/>
        <dsp:cNvSpPr/>
      </dsp:nvSpPr>
      <dsp:spPr>
        <a:xfrm>
          <a:off x="2500685" y="610263"/>
          <a:ext cx="652850" cy="226609"/>
        </a:xfrm>
        <a:custGeom>
          <a:avLst/>
          <a:gdLst/>
          <a:ahLst/>
          <a:cxnLst/>
          <a:rect l="0" t="0" r="0" b="0"/>
          <a:pathLst>
            <a:path>
              <a:moveTo>
                <a:pt x="0" y="0"/>
              </a:moveTo>
              <a:lnTo>
                <a:pt x="0" y="113304"/>
              </a:lnTo>
              <a:lnTo>
                <a:pt x="652850" y="113304"/>
              </a:lnTo>
              <a:lnTo>
                <a:pt x="652850" y="226609"/>
              </a:lnTo>
            </a:path>
          </a:pathLst>
        </a:custGeom>
        <a:noFill/>
        <a:ln w="12700" cap="flat" cmpd="sng" algn="ctr">
          <a:solidFill>
            <a:srgbClr val="70AD47">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D5DAEE7-2A74-492F-9503-4D0AEDDB7E38}">
      <dsp:nvSpPr>
        <dsp:cNvPr id="0" name=""/>
        <dsp:cNvSpPr/>
      </dsp:nvSpPr>
      <dsp:spPr>
        <a:xfrm>
          <a:off x="1847834" y="610263"/>
          <a:ext cx="652850" cy="226609"/>
        </a:xfrm>
        <a:custGeom>
          <a:avLst/>
          <a:gdLst/>
          <a:ahLst/>
          <a:cxnLst/>
          <a:rect l="0" t="0" r="0" b="0"/>
          <a:pathLst>
            <a:path>
              <a:moveTo>
                <a:pt x="652850" y="0"/>
              </a:moveTo>
              <a:lnTo>
                <a:pt x="652850" y="113304"/>
              </a:lnTo>
              <a:lnTo>
                <a:pt x="0" y="113304"/>
              </a:lnTo>
              <a:lnTo>
                <a:pt x="0" y="226609"/>
              </a:lnTo>
            </a:path>
          </a:pathLst>
        </a:custGeom>
        <a:noFill/>
        <a:ln w="12700" cap="flat" cmpd="sng" algn="ctr">
          <a:solidFill>
            <a:srgbClr val="70AD47">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F687792-2401-4347-8AD4-5F877CF92118}">
      <dsp:nvSpPr>
        <dsp:cNvPr id="0" name=""/>
        <dsp:cNvSpPr/>
      </dsp:nvSpPr>
      <dsp:spPr>
        <a:xfrm>
          <a:off x="542133" y="610263"/>
          <a:ext cx="1958552" cy="226609"/>
        </a:xfrm>
        <a:custGeom>
          <a:avLst/>
          <a:gdLst/>
          <a:ahLst/>
          <a:cxnLst/>
          <a:rect l="0" t="0" r="0" b="0"/>
          <a:pathLst>
            <a:path>
              <a:moveTo>
                <a:pt x="1958552" y="0"/>
              </a:moveTo>
              <a:lnTo>
                <a:pt x="1958552" y="113304"/>
              </a:lnTo>
              <a:lnTo>
                <a:pt x="0" y="113304"/>
              </a:lnTo>
              <a:lnTo>
                <a:pt x="0" y="226609"/>
              </a:lnTo>
            </a:path>
          </a:pathLst>
        </a:custGeom>
        <a:noFill/>
        <a:ln w="12700" cap="flat" cmpd="sng" algn="ctr">
          <a:solidFill>
            <a:srgbClr val="70AD47">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77F40C6A-7857-440D-B2BF-56BA869C7801}">
      <dsp:nvSpPr>
        <dsp:cNvPr id="0" name=""/>
        <dsp:cNvSpPr/>
      </dsp:nvSpPr>
      <dsp:spPr>
        <a:xfrm>
          <a:off x="2230912" y="70717"/>
          <a:ext cx="539546" cy="539546"/>
        </a:xfrm>
        <a:prstGeom prst="arc">
          <a:avLst>
            <a:gd name="adj1" fmla="val 13200000"/>
            <a:gd name="adj2" fmla="val 192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A44ED28-9AB8-488C-BDA9-1C7062D7E70E}">
      <dsp:nvSpPr>
        <dsp:cNvPr id="0" name=""/>
        <dsp:cNvSpPr/>
      </dsp:nvSpPr>
      <dsp:spPr>
        <a:xfrm>
          <a:off x="2230912" y="70717"/>
          <a:ext cx="539546" cy="539546"/>
        </a:xfrm>
        <a:prstGeom prst="arc">
          <a:avLst>
            <a:gd name="adj1" fmla="val 2400000"/>
            <a:gd name="adj2" fmla="val 84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EECB434-DC23-4F5A-9159-64EAFD8D64FD}">
      <dsp:nvSpPr>
        <dsp:cNvPr id="0" name=""/>
        <dsp:cNvSpPr/>
      </dsp:nvSpPr>
      <dsp:spPr>
        <a:xfrm>
          <a:off x="1961139" y="167836"/>
          <a:ext cx="1079092" cy="345309"/>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solidFill>
                <a:sysClr val="windowText" lastClr="000000">
                  <a:hueOff val="0"/>
                  <a:satOff val="0"/>
                  <a:lumOff val="0"/>
                  <a:alphaOff val="0"/>
                </a:sysClr>
              </a:solidFill>
              <a:latin typeface="Segoe UI" panose="020B0502040204020203" pitchFamily="34" charset="0"/>
              <a:ea typeface="+mn-ea"/>
              <a:cs typeface="Segoe UI" panose="020B0502040204020203" pitchFamily="34" charset="0"/>
            </a:rPr>
            <a:t>Parametry pro modelaci sítě</a:t>
          </a:r>
        </a:p>
      </dsp:txBody>
      <dsp:txXfrm>
        <a:off x="1961139" y="167836"/>
        <a:ext cx="1079092" cy="345309"/>
      </dsp:txXfrm>
    </dsp:sp>
    <dsp:sp modelId="{79E4350A-A462-4908-8C91-339C4CABB6FD}">
      <dsp:nvSpPr>
        <dsp:cNvPr id="0" name=""/>
        <dsp:cNvSpPr/>
      </dsp:nvSpPr>
      <dsp:spPr>
        <a:xfrm>
          <a:off x="272360" y="836873"/>
          <a:ext cx="539546" cy="539546"/>
        </a:xfrm>
        <a:prstGeom prst="arc">
          <a:avLst>
            <a:gd name="adj1" fmla="val 13200000"/>
            <a:gd name="adj2" fmla="val 192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DD36500-E87E-4BC2-95A3-318AD304A7B0}">
      <dsp:nvSpPr>
        <dsp:cNvPr id="0" name=""/>
        <dsp:cNvSpPr/>
      </dsp:nvSpPr>
      <dsp:spPr>
        <a:xfrm>
          <a:off x="272360" y="836873"/>
          <a:ext cx="539546" cy="539546"/>
        </a:xfrm>
        <a:prstGeom prst="arc">
          <a:avLst>
            <a:gd name="adj1" fmla="val 2400000"/>
            <a:gd name="adj2" fmla="val 84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C82BBAA-68B6-4978-8797-5C869FA057FC}">
      <dsp:nvSpPr>
        <dsp:cNvPr id="0" name=""/>
        <dsp:cNvSpPr/>
      </dsp:nvSpPr>
      <dsp:spPr>
        <a:xfrm>
          <a:off x="2587" y="933991"/>
          <a:ext cx="1079092" cy="345309"/>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b="1" kern="1200">
              <a:solidFill>
                <a:sysClr val="windowText" lastClr="000000">
                  <a:hueOff val="0"/>
                  <a:satOff val="0"/>
                  <a:lumOff val="0"/>
                  <a:alphaOff val="0"/>
                </a:sysClr>
              </a:solidFill>
              <a:latin typeface="Segoe UI" panose="020B0502040204020203" pitchFamily="34" charset="0"/>
              <a:ea typeface="+mn-ea"/>
              <a:cs typeface="Segoe UI" panose="020B0502040204020203" pitchFamily="34" charset="0"/>
            </a:rPr>
            <a:t>POTŘEBNOST</a:t>
          </a:r>
        </a:p>
      </dsp:txBody>
      <dsp:txXfrm>
        <a:off x="2587" y="933991"/>
        <a:ext cx="1079092" cy="345309"/>
      </dsp:txXfrm>
    </dsp:sp>
    <dsp:sp modelId="{61B49308-4913-4C49-94C7-3EA1CC1D9489}">
      <dsp:nvSpPr>
        <dsp:cNvPr id="0" name=""/>
        <dsp:cNvSpPr/>
      </dsp:nvSpPr>
      <dsp:spPr>
        <a:xfrm>
          <a:off x="1578061" y="836873"/>
          <a:ext cx="539546" cy="539546"/>
        </a:xfrm>
        <a:prstGeom prst="arc">
          <a:avLst>
            <a:gd name="adj1" fmla="val 13200000"/>
            <a:gd name="adj2" fmla="val 192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502AC81-F7B7-47DE-8B49-240701354D1E}">
      <dsp:nvSpPr>
        <dsp:cNvPr id="0" name=""/>
        <dsp:cNvSpPr/>
      </dsp:nvSpPr>
      <dsp:spPr>
        <a:xfrm>
          <a:off x="1578061" y="836873"/>
          <a:ext cx="539546" cy="539546"/>
        </a:xfrm>
        <a:prstGeom prst="arc">
          <a:avLst>
            <a:gd name="adj1" fmla="val 2400000"/>
            <a:gd name="adj2" fmla="val 84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0926E8C-2A5B-49CB-A1DA-8A7297546E5D}">
      <dsp:nvSpPr>
        <dsp:cNvPr id="0" name=""/>
        <dsp:cNvSpPr/>
      </dsp:nvSpPr>
      <dsp:spPr>
        <a:xfrm>
          <a:off x="1308288" y="933991"/>
          <a:ext cx="1079092" cy="345309"/>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b="1" kern="1200">
              <a:solidFill>
                <a:sysClr val="windowText" lastClr="000000">
                  <a:hueOff val="0"/>
                  <a:satOff val="0"/>
                  <a:lumOff val="0"/>
                  <a:alphaOff val="0"/>
                </a:sysClr>
              </a:solidFill>
              <a:latin typeface="Segoe UI" panose="020B0502040204020203" pitchFamily="34" charset="0"/>
              <a:ea typeface="+mn-ea"/>
              <a:cs typeface="Segoe UI" panose="020B0502040204020203" pitchFamily="34" charset="0"/>
            </a:rPr>
            <a:t>DOSTUPNOST</a:t>
          </a:r>
        </a:p>
      </dsp:txBody>
      <dsp:txXfrm>
        <a:off x="1308288" y="933991"/>
        <a:ext cx="1079092" cy="345309"/>
      </dsp:txXfrm>
    </dsp:sp>
    <dsp:sp modelId="{63DFC477-5081-44F7-9440-A22C061DC85A}">
      <dsp:nvSpPr>
        <dsp:cNvPr id="0" name=""/>
        <dsp:cNvSpPr/>
      </dsp:nvSpPr>
      <dsp:spPr>
        <a:xfrm>
          <a:off x="2883763" y="836873"/>
          <a:ext cx="539546" cy="539546"/>
        </a:xfrm>
        <a:prstGeom prst="arc">
          <a:avLst>
            <a:gd name="adj1" fmla="val 13200000"/>
            <a:gd name="adj2" fmla="val 192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EDDDA82-6499-4579-A5E4-FB19ED3E34F7}">
      <dsp:nvSpPr>
        <dsp:cNvPr id="0" name=""/>
        <dsp:cNvSpPr/>
      </dsp:nvSpPr>
      <dsp:spPr>
        <a:xfrm>
          <a:off x="2883763" y="836873"/>
          <a:ext cx="539546" cy="539546"/>
        </a:xfrm>
        <a:prstGeom prst="arc">
          <a:avLst>
            <a:gd name="adj1" fmla="val 2400000"/>
            <a:gd name="adj2" fmla="val 84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A65E936-0076-4415-B609-206B3A0AAA60}">
      <dsp:nvSpPr>
        <dsp:cNvPr id="0" name=""/>
        <dsp:cNvSpPr/>
      </dsp:nvSpPr>
      <dsp:spPr>
        <a:xfrm>
          <a:off x="2613990" y="933991"/>
          <a:ext cx="1079092" cy="345309"/>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b="1" kern="1200">
              <a:solidFill>
                <a:sysClr val="windowText" lastClr="000000">
                  <a:hueOff val="0"/>
                  <a:satOff val="0"/>
                  <a:lumOff val="0"/>
                  <a:alphaOff val="0"/>
                </a:sysClr>
              </a:solidFill>
              <a:latin typeface="Segoe UI" panose="020B0502040204020203" pitchFamily="34" charset="0"/>
              <a:ea typeface="+mn-ea"/>
              <a:cs typeface="Segoe UI" panose="020B0502040204020203" pitchFamily="34" charset="0"/>
            </a:rPr>
            <a:t>NÁKLADOVOST</a:t>
          </a:r>
        </a:p>
      </dsp:txBody>
      <dsp:txXfrm>
        <a:off x="2613990" y="933991"/>
        <a:ext cx="1079092" cy="345309"/>
      </dsp:txXfrm>
    </dsp:sp>
    <dsp:sp modelId="{06F325A9-5484-4472-ABA9-5A06B4DC7A7B}">
      <dsp:nvSpPr>
        <dsp:cNvPr id="0" name=""/>
        <dsp:cNvSpPr/>
      </dsp:nvSpPr>
      <dsp:spPr>
        <a:xfrm>
          <a:off x="4189464" y="836873"/>
          <a:ext cx="539546" cy="539546"/>
        </a:xfrm>
        <a:prstGeom prst="arc">
          <a:avLst>
            <a:gd name="adj1" fmla="val 13200000"/>
            <a:gd name="adj2" fmla="val 192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EFDAFE91-8342-49E2-8C6F-CB33139D108C}">
      <dsp:nvSpPr>
        <dsp:cNvPr id="0" name=""/>
        <dsp:cNvSpPr/>
      </dsp:nvSpPr>
      <dsp:spPr>
        <a:xfrm>
          <a:off x="4189464" y="836873"/>
          <a:ext cx="539546" cy="539546"/>
        </a:xfrm>
        <a:prstGeom prst="arc">
          <a:avLst>
            <a:gd name="adj1" fmla="val 2400000"/>
            <a:gd name="adj2" fmla="val 8400000"/>
          </a:avLst>
        </a:prstGeom>
        <a:noFill/>
        <a:ln w="12700" cap="flat" cmpd="sng" algn="ctr">
          <a:solidFill>
            <a:srgbClr val="70AD47">
              <a:shade val="6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C44D359-06F5-4912-8A82-D615D1AA4765}">
      <dsp:nvSpPr>
        <dsp:cNvPr id="0" name=""/>
        <dsp:cNvSpPr/>
      </dsp:nvSpPr>
      <dsp:spPr>
        <a:xfrm>
          <a:off x="3919691" y="933991"/>
          <a:ext cx="1079092" cy="345309"/>
        </a:xfrm>
        <a:prstGeom prst="rect">
          <a:avLst/>
        </a:prstGeom>
        <a:noFill/>
        <a:ln w="6350" cap="flat" cmpd="sng" algn="ctr">
          <a:noFill/>
          <a:prstDash val="solid"/>
          <a:miter lim="800000"/>
        </a:ln>
        <a:effectLst/>
        <a:scene3d>
          <a:camera prst="orthographicFront"/>
          <a:lightRig rig="chilly" dir="t"/>
        </a:scene3d>
        <a:sp3d/>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b="1" kern="1200">
              <a:solidFill>
                <a:sysClr val="windowText" lastClr="000000">
                  <a:hueOff val="0"/>
                  <a:satOff val="0"/>
                  <a:lumOff val="0"/>
                  <a:alphaOff val="0"/>
                </a:sysClr>
              </a:solidFill>
              <a:latin typeface="Segoe UI" panose="020B0502040204020203" pitchFamily="34" charset="0"/>
              <a:ea typeface="+mn-ea"/>
              <a:cs typeface="Segoe UI" panose="020B0502040204020203" pitchFamily="34" charset="0"/>
            </a:rPr>
            <a:t>KVALITA</a:t>
          </a:r>
        </a:p>
      </dsp:txBody>
      <dsp:txXfrm>
        <a:off x="3919691" y="933991"/>
        <a:ext cx="1079092" cy="34530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5E280-71E4-4455-B526-26981F0A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214</Pages>
  <Words>78792</Words>
  <Characters>464873</Characters>
  <Application>Microsoft Office Word</Application>
  <DocSecurity>0</DocSecurity>
  <Lines>3873</Lines>
  <Paragraphs>1085</Paragraphs>
  <ScaleCrop>false</ScaleCrop>
  <HeadingPairs>
    <vt:vector size="2" baseType="variant">
      <vt:variant>
        <vt:lpstr>Název</vt:lpstr>
      </vt:variant>
      <vt:variant>
        <vt:i4>1</vt:i4>
      </vt:variant>
    </vt:vector>
  </HeadingPairs>
  <TitlesOfParts>
    <vt:vector size="1" baseType="lpstr">
      <vt:lpstr/>
    </vt:vector>
  </TitlesOfParts>
  <Company>KÚOK</Company>
  <LinksUpToDate>false</LinksUpToDate>
  <CharactersWithSpaces>542580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Spáčilová Kateřina</dc:creator>
  <cp:lastModifiedBy>Bodnarová Hana</cp:lastModifiedBy>
  <cp:revision>4</cp:revision>
  <cp:lastPrinted>2022-10-25T14:27:00Z</cp:lastPrinted>
  <dcterms:created xsi:type="dcterms:W3CDTF">2022-11-15T08:15:00Z</dcterms:created>
  <dcterms:modified xsi:type="dcterms:W3CDTF">2022-11-21T09:56:00Z</dcterms:modified>
</cp:coreProperties>
</file>