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993A81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993A81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993A81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 w:rsidRPr="00993A81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93A8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93A8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 w:rsidRPr="00993A8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 w:rsidRPr="00993A8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93A8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93A8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93A8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007CF4B" w14:textId="77777777" w:rsidR="006E6B3D" w:rsidRPr="00993A81" w:rsidRDefault="006E6B3D" w:rsidP="006E6B3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6A854F4" w14:textId="77777777" w:rsidR="006E6B3D" w:rsidRPr="00993A81" w:rsidRDefault="006E6B3D" w:rsidP="006E6B3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 </w:t>
      </w:r>
      <w:proofErr w:type="spellStart"/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27–4228120277/0100</w:t>
      </w:r>
    </w:p>
    <w:p w14:paraId="161F6CF7" w14:textId="22CFCCEA" w:rsidR="009701E1" w:rsidRPr="00993A81" w:rsidRDefault="006E6B3D" w:rsidP="006E6B3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93A8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93A8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93A8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93A8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993A81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993A81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993A81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993A81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93A8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93A8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993A81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3AA520A9" w:rsidR="00E4510D" w:rsidRPr="00993A81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Údaj o zápisu v</w:t>
      </w:r>
      <w:r w:rsidR="00E0527A" w:rsidRPr="00993A8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E6B3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veřejném rejstříku</w:t>
      </w:r>
    </w:p>
    <w:p w14:paraId="2F065669" w14:textId="0C7F1AD2" w:rsidR="00E4510D" w:rsidRPr="00993A81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6E6B3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588B" w:rsidRPr="00993A81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(zde se vždy uvede účet příspěvkové organizace)</w:t>
      </w:r>
    </w:p>
    <w:p w14:paraId="7BE1F451" w14:textId="77777777" w:rsidR="00D7588B" w:rsidRPr="00993A81" w:rsidRDefault="00D7588B" w:rsidP="00D7588B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zřizovatele: …………………… </w:t>
      </w:r>
      <w:proofErr w:type="spellStart"/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6AADC7FA" w14:textId="77777777" w:rsidR="00D7588B" w:rsidRPr="00993A81" w:rsidRDefault="00D7588B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2DB364" w14:textId="5AC9900A" w:rsidR="00E4510D" w:rsidRPr="00993A81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93A8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93A8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93A8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DEA1B22" w:rsidR="009A3DA5" w:rsidRPr="00993A81" w:rsidRDefault="009A3DA5" w:rsidP="0083348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993A8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83348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za účelem podpory činnosti z oblasti prorodinné politiky určené k rozvoji partnerských vztahů, rodičovských kompetencí, stability rodiny, mezigeneračního soužití, harmonizaci rodinného a profesního života, výchově k odpovědnosti, aktivit zaměřených na </w:t>
      </w:r>
      <w:r w:rsidR="0083348D" w:rsidRPr="00993A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podporu náhradní rodinné péče a dobrovolnických aktivit zaměřených na rodinu a všechny její členy dle 08_01_Dotačního programu pro sociální oblast 2023 a dotačního titulu 08_01_02_Podpora prorodinných aktivit.</w:t>
      </w:r>
    </w:p>
    <w:p w14:paraId="3C9258CF" w14:textId="12D3728A" w:rsidR="009A3DA5" w:rsidRPr="00993A8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93A8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93A8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93A8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93A81">
        <w:rPr>
          <w:rFonts w:ascii="Arial" w:eastAsia="Times New Roman" w:hAnsi="Arial" w:cs="Arial"/>
          <w:sz w:val="24"/>
          <w:szCs w:val="24"/>
          <w:lang w:eastAsia="cs-CZ"/>
        </w:rPr>
        <w:t>„činnost“)</w:t>
      </w:r>
      <w:r w:rsidR="0083348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jejímž cílem je….</w:t>
      </w:r>
    </w:p>
    <w:p w14:paraId="71B7BB92" w14:textId="16D5F38F" w:rsidR="008940FE" w:rsidRPr="00993A81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993A81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0A3D3C4" w14:textId="4800846E" w:rsidR="008940FE" w:rsidRPr="00993A81" w:rsidRDefault="008940FE" w:rsidP="008940F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993A81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32FC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2" w14:textId="12F1034A" w:rsidR="009A3DA5" w:rsidRPr="00993A81" w:rsidRDefault="009A3DA5" w:rsidP="00BA2C2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B491D2C" w:rsidR="009A3DA5" w:rsidRPr="00993A8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Pr="00993A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993A81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993A81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Pr="00993A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 w:rsidRPr="00993A8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5C649C" w:rsidRPr="00993A8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Pr="00993A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93A8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C4AD36B" w:rsidR="00054974" w:rsidRPr="00993A8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993A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</w:t>
      </w:r>
      <w:r w:rsidR="0083348D" w:rsidRPr="00993A81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83348D" w:rsidRPr="00993A81">
        <w:rPr>
          <w:rFonts w:ascii="Arial" w:eastAsia="Times New Roman" w:hAnsi="Arial" w:cs="Arial"/>
          <w:sz w:val="24"/>
          <w:szCs w:val="24"/>
          <w:lang w:eastAsia="cs-CZ"/>
        </w:rPr>
        <w:t>pro sociální oblast 2023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274140" w:rsidRPr="00993A81">
        <w:rPr>
          <w:rFonts w:ascii="Arial" w:eastAsia="Times New Roman" w:hAnsi="Arial" w:cs="Arial"/>
          <w:sz w:val="24"/>
          <w:szCs w:val="24"/>
          <w:lang w:eastAsia="cs-CZ"/>
        </w:rPr>
        <w:t>08_01_02_Podpora prorodinných aktivit</w:t>
      </w:r>
      <w:r w:rsidR="00274140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1B400733" w:rsidR="00054974" w:rsidRPr="00993A8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68FEB507" w14:textId="3B55C706" w:rsidR="006F5AD5" w:rsidRPr="00993A81" w:rsidRDefault="00054974" w:rsidP="006F5AD5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..........…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="00121AE5" w:rsidRPr="00993A81">
        <w:rPr>
          <w:rFonts w:ascii="Arial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2A469AAC" w14:textId="77777777" w:rsidR="00054974" w:rsidRPr="00993A8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93A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93A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93A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7F484B5" w:rsidR="009A3DA5" w:rsidRPr="00993A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93A8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A0CA787" w:rsidR="005F5E04" w:rsidRPr="00993A8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93A8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93A8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93A81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93A8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3A8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93A8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93A8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93A8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4C0B7110" w:rsidR="005A477A" w:rsidRPr="00993A81" w:rsidRDefault="005A477A" w:rsidP="00A2379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EA77CB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31.01.</w:t>
      </w:r>
      <w:r w:rsidR="00CD5170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="00CD5170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F3D05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EA77CB" w:rsidRPr="00993A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CD5170" w:rsidRPr="00993A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E57805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6F7006E1" w:rsidR="00BF3D05" w:rsidRPr="00993A8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55DC6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93A8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 w:rsidRPr="00993A81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Pr="00993A81">
        <w:rPr>
          <w:rFonts w:ascii="Arial" w:hAnsi="Arial" w:cs="Arial"/>
          <w:sz w:val="24"/>
          <w:szCs w:val="24"/>
        </w:rPr>
        <w:t xml:space="preserve">…. % </w:t>
      </w:r>
      <w:r w:rsidRPr="00993A81">
        <w:rPr>
          <w:rFonts w:ascii="Arial" w:hAnsi="Arial" w:cs="Arial"/>
          <w:bCs/>
          <w:i/>
          <w:sz w:val="24"/>
          <w:szCs w:val="24"/>
        </w:rPr>
        <w:t xml:space="preserve"> </w:t>
      </w:r>
      <w:r w:rsidRPr="00993A81">
        <w:rPr>
          <w:rFonts w:ascii="Arial" w:hAnsi="Arial" w:cs="Arial"/>
          <w:sz w:val="24"/>
          <w:szCs w:val="24"/>
        </w:rPr>
        <w:t>celkových</w:t>
      </w:r>
      <w:proofErr w:type="gramEnd"/>
      <w:r w:rsidRPr="00993A81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05B0703" w14:textId="4E0A7AEC" w:rsidR="00BF3D05" w:rsidRPr="00993A81" w:rsidRDefault="00A05E0D" w:rsidP="00A23790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 w:rsidRPr="00993A8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 w:rsidRPr="00993A8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23790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93A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3A216421" w:rsidR="006A1189" w:rsidRPr="00993A81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proofErr w:type="gramStart"/>
      <w:r w:rsidR="00A86168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CD5170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="00CD5170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4F4CC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3B6838" w:rsidRPr="00993A8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993A81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993A81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9C3FF1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A98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 w:rsidRPr="00993A8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993A81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3B683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DE6A9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830B02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DE6A9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830B02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DE6A9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3B6838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E54E6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Pro odeslání dokumentů k vyúčtování, se doporučuje používat přednostně datovou schránku. </w:t>
      </w:r>
      <w:r w:rsidR="00FE54E6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FE54E6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FE54E6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93A81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13C3E0" w:rsidR="006A1189" w:rsidRPr="00993A81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993A8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993A8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993A81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 w:rsidRPr="00993A81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09655DF5" w:rsidR="006A1189" w:rsidRPr="00993A81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993A8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993A8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3790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C009BBF" w:rsidR="006A1189" w:rsidRPr="00993A81" w:rsidRDefault="00D306C0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93A8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1182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794517" w:rsidRPr="00993A81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71182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35D86836" w:rsidR="006A1189" w:rsidRPr="00993A81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závěrečné zprávě.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fotodoku</w:t>
      </w:r>
      <w:r w:rsidR="00F25D16" w:rsidRPr="00993A81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činnosti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CD5170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3B157B" w:rsidR="009A3DA5" w:rsidRPr="00993A81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993A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993A8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Pr="00993A81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 w:rsidRPr="00993A8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 w:rsidRPr="00993A81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 w:rsidRPr="00993A8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7A410C" w:rsidRPr="00993A8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93A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93A81" w:rsidRPr="00993A8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93A8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Pr="00993A8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Pr="00993A8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93A81" w:rsidRPr="00993A8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93A8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93A8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3A81" w:rsidRPr="00993A81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Pr="00993A81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CD790F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Pr="00993A81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3A81" w:rsidRPr="00993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Pr="00993A81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Pr="00993A8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93A81" w:rsidRPr="00993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Pr="00993A81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93A8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3A81" w:rsidRPr="00993A8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93A8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93A8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93A81" w:rsidRPr="00993A8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993A81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93A8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:rsidRPr="00993A81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Pr="00993A81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Pr="00993A81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93A8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0BAA28" w:rsidR="009A3DA5" w:rsidRPr="00993A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0813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93A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D5170" w:rsidRPr="00993A81">
        <w:rPr>
          <w:rFonts w:ascii="Arial" w:hAnsi="Arial" w:cs="Arial"/>
          <w:sz w:val="24"/>
          <w:szCs w:val="24"/>
        </w:rPr>
        <w:t>27-4228320287/0100.</w:t>
      </w:r>
    </w:p>
    <w:p w14:paraId="3C925913" w14:textId="3DB6F479" w:rsidR="009A3DA5" w:rsidRPr="00993A8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jakož i jinými změnami, které mohou podstatně ovlivnit způsob jeho finančního hospodaření a náplň jeho aktivit ve vztahu k poskytnuté dotaci. </w:t>
      </w:r>
      <w:r w:rsidR="00505835" w:rsidRPr="00993A81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0453C134" w:rsidR="00836AA2" w:rsidRPr="00993A8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DF57D1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993A8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993A8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D5170" w:rsidRPr="00993A81">
        <w:rPr>
          <w:rFonts w:ascii="Arial" w:eastAsia="Times New Roman" w:hAnsi="Arial" w:cs="Arial"/>
          <w:sz w:val="24"/>
          <w:szCs w:val="24"/>
          <w:lang w:eastAsia="cs-CZ"/>
        </w:rPr>
        <w:t>její realizace.</w:t>
      </w:r>
    </w:p>
    <w:p w14:paraId="4711E03D" w14:textId="4462E85F" w:rsidR="00836AA2" w:rsidRPr="00993A8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93A8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93A8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93A8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93A8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93A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93A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93A8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93A8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93A8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93A8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993A81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9942E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9942E6"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B55FF6"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58F8E5B3" w:rsidR="006C7815" w:rsidRPr="00993A8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B55FF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993A8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93A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93A8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93A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993A81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93A8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993A81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93A8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96F980C" w:rsidR="00170EC7" w:rsidRPr="00993A81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93A8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993A81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93A8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93A8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93A8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93A8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993A81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443D9ECF" w:rsidR="009D3461" w:rsidRPr="00993A8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3B6094" w:rsidRPr="00993A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93A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93A8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93A8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93A8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93A8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93A81">
        <w:rPr>
          <w:rFonts w:ascii="Arial" w:hAnsi="Arial" w:cs="Arial"/>
          <w:sz w:val="24"/>
          <w:szCs w:val="24"/>
          <w:lang w:eastAsia="cs-CZ"/>
        </w:rPr>
        <w:t>T</w:t>
      </w:r>
      <w:r w:rsidRPr="00993A8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93A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93A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93A8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93A8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993A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64C9F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CC319A7" w14:textId="23AE92E7" w:rsidR="00CB646E" w:rsidRPr="00993A81" w:rsidRDefault="00A34655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3C925923" w14:textId="2CB64CDD" w:rsidR="009A3DA5" w:rsidRPr="00993A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5526A7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</w:t>
      </w:r>
      <w:r w:rsidR="002B3F91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viz čl. 3 část A odst. 4 písm. b) Zásad</w:t>
      </w:r>
      <w:r w:rsidR="005526A7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2B3F91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2B3F91" w:rsidRPr="00993A8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993A8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E06D7FF" w:rsidR="009A3DA5" w:rsidRPr="00993A8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93A81" w:rsidRPr="00993A81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B22ADAF" w:rsidR="009A3DA5" w:rsidRPr="00993A8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Pr="00993A8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Pr="00993A8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93A81" w:rsidRPr="00993A81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Pr="00993A8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</w:t>
            </w:r>
            <w:r w:rsidR="009A3DA5"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E42B839" w:rsidR="009A3DA5" w:rsidRPr="00993A81" w:rsidRDefault="00F25D16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00A2320F" w14:textId="34CE5B55" w:rsidR="00F25D16" w:rsidRPr="00993A81" w:rsidRDefault="00F25D16" w:rsidP="00F25D16">
            <w:pPr>
              <w:pStyle w:val="Odstavecseseznamem"/>
              <w:numPr>
                <w:ilvl w:val="1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1E12BCC8" w:rsidR="00994216" w:rsidRPr="00993A8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A1F089A" w:rsidR="009A3DA5" w:rsidRPr="00993A8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993A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35D50F29" w:rsidR="00DD06DA" w:rsidRPr="00993A8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93A81"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 w:rsidRPr="00993A8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93A8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93A8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93A8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93A8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55DC6" w:rsidRPr="00993A8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93A8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93A8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93A8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885435" w:rsidRPr="00993A8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BC15598" w:rsidR="009B6299" w:rsidRPr="00993A81" w:rsidRDefault="00DD06DA" w:rsidP="009B6299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93A8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560681F1" w14:textId="473051CD" w:rsidR="00DD06DA" w:rsidRPr="00993A81" w:rsidRDefault="00DD06DA" w:rsidP="009B6299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271BFF" w:rsidRPr="00993A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CD5170" w:rsidRPr="00993A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447F3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993A8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47BB883B" w:rsidR="00DD06DA" w:rsidRPr="00993A81" w:rsidRDefault="00DD06DA" w:rsidP="00EE7E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proofErr w:type="gramStart"/>
      <w:r w:rsidR="00271BFF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75333D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="0075333D"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93A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CB646E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794517" w:rsidRPr="00993A8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761611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BD3846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BD3846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</w:t>
      </w:r>
      <w:r w:rsidR="00EE7E55" w:rsidRPr="00993A8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B646E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EE7E55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823FF9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Pro odeslání dokumentů k vyúčtování, se doporučuje používat přednostně datovou schránku.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993A81" w:rsidRDefault="00DD06DA" w:rsidP="00EE7E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867CD1" w:rsidR="00DD06DA" w:rsidRPr="00993A81" w:rsidRDefault="007447F3" w:rsidP="00182B4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D790F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823FF9" w:rsidRPr="00993A8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491C5E" w14:textId="0D8324F0" w:rsidR="00DD06DA" w:rsidRPr="00993A81" w:rsidRDefault="00DC20FC" w:rsidP="00DD06D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993A8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A9098D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761611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dodáním</w:t>
      </w:r>
      <w:r w:rsidR="00A9098D"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datové schránky poskytovatele nebo </w:t>
      </w:r>
      <w:r w:rsidRPr="00993A81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DD06DA" w:rsidRPr="00993A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20D9830E" w:rsidR="00DD06DA" w:rsidRPr="00993A8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zprávě.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poskytovateli </w:t>
      </w:r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>fotodoku</w:t>
      </w:r>
      <w:r w:rsidR="00F25D16" w:rsidRPr="00993A81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činnosti</w:t>
      </w:r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75333D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75333D" w:rsidRPr="00993A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F9848D2" w:rsidR="00DA1381" w:rsidRPr="00993A81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93A81">
        <w:rPr>
          <w:rFonts w:ascii="Arial" w:eastAsia="Times New Roman" w:hAnsi="Arial" w:cs="Arial"/>
          <w:sz w:val="24"/>
          <w:szCs w:val="24"/>
          <w:lang w:eastAsia="cs-CZ"/>
        </w:rPr>
        <w:t>V případě, že d</w:t>
      </w:r>
      <w:bookmarkStart w:id="0" w:name="_GoBack"/>
      <w:bookmarkEnd w:id="0"/>
      <w:r w:rsidRPr="00993A81">
        <w:rPr>
          <w:rFonts w:ascii="Arial" w:eastAsia="Times New Roman" w:hAnsi="Arial" w:cs="Arial"/>
          <w:sz w:val="24"/>
          <w:szCs w:val="24"/>
          <w:lang w:eastAsia="cs-CZ"/>
        </w:rPr>
        <w:t>otace nebyla použita v celé výši v</w:t>
      </w:r>
      <w:r w:rsidR="00DC20FC"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93A81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93A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93A8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993A81" w:rsidSect="00D4323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DBDE" w14:textId="77777777" w:rsidR="00BC15FF" w:rsidRDefault="00BC15FF" w:rsidP="00D40C40">
      <w:r>
        <w:separator/>
      </w:r>
    </w:p>
  </w:endnote>
  <w:endnote w:type="continuationSeparator" w:id="0">
    <w:p w14:paraId="168DF41C" w14:textId="77777777" w:rsidR="00BC15FF" w:rsidRDefault="00BC15F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3EC01151" w:rsidR="00D4323F" w:rsidRPr="001A0DDF" w:rsidRDefault="00F25D16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93A81">
          <w:rPr>
            <w:rFonts w:ascii="Arial" w:hAnsi="Arial" w:cs="Arial"/>
            <w:i/>
            <w:noProof/>
            <w:sz w:val="20"/>
            <w:szCs w:val="20"/>
          </w:rPr>
          <w:t>2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93A81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B81EFC1" w14:textId="1C44F3B0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B99C" w14:textId="77777777" w:rsidR="00BC15FF" w:rsidRDefault="00BC15FF" w:rsidP="00D40C40">
      <w:r>
        <w:separator/>
      </w:r>
    </w:p>
  </w:footnote>
  <w:footnote w:type="continuationSeparator" w:id="0">
    <w:p w14:paraId="6A02F3D7" w14:textId="77777777" w:rsidR="00BC15FF" w:rsidRDefault="00BC15F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084D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1AE5"/>
    <w:rsid w:val="00122793"/>
    <w:rsid w:val="0012330F"/>
    <w:rsid w:val="001235B9"/>
    <w:rsid w:val="0012518C"/>
    <w:rsid w:val="00125FEF"/>
    <w:rsid w:val="001266E2"/>
    <w:rsid w:val="00127828"/>
    <w:rsid w:val="00127AA1"/>
    <w:rsid w:val="001317BE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422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0C9E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ECE"/>
    <w:rsid w:val="00265FDA"/>
    <w:rsid w:val="00266DB4"/>
    <w:rsid w:val="00266EFB"/>
    <w:rsid w:val="00271BFF"/>
    <w:rsid w:val="00273E9B"/>
    <w:rsid w:val="00274140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010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628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26F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44B5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77F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E6B3D"/>
    <w:rsid w:val="006F04C2"/>
    <w:rsid w:val="006F07FC"/>
    <w:rsid w:val="006F1BEC"/>
    <w:rsid w:val="006F1C07"/>
    <w:rsid w:val="006F24F9"/>
    <w:rsid w:val="006F2F24"/>
    <w:rsid w:val="006F5AD5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33D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348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249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638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E74EF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13D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3A81"/>
    <w:rsid w:val="00994216"/>
    <w:rsid w:val="009942E6"/>
    <w:rsid w:val="00994AB4"/>
    <w:rsid w:val="0099507C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299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B28"/>
    <w:rsid w:val="00A10E55"/>
    <w:rsid w:val="00A1282D"/>
    <w:rsid w:val="00A13D1F"/>
    <w:rsid w:val="00A143CD"/>
    <w:rsid w:val="00A2079F"/>
    <w:rsid w:val="00A21946"/>
    <w:rsid w:val="00A22B7A"/>
    <w:rsid w:val="00A2309D"/>
    <w:rsid w:val="00A23790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6168"/>
    <w:rsid w:val="00A87597"/>
    <w:rsid w:val="00A875A5"/>
    <w:rsid w:val="00A9098D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5F5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2C26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5FF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6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0C15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170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588B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9E1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DF78FA"/>
    <w:rsid w:val="00E00BC4"/>
    <w:rsid w:val="00E02D59"/>
    <w:rsid w:val="00E039A3"/>
    <w:rsid w:val="00E0527A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A77CB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5D16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B9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068C-308A-4BAD-99D6-4F64B20B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3718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Brlková Lucie</dc:creator>
  <cp:lastModifiedBy>Brlková Lucie</cp:lastModifiedBy>
  <cp:revision>14</cp:revision>
  <cp:lastPrinted>2018-08-24T12:56:00Z</cp:lastPrinted>
  <dcterms:created xsi:type="dcterms:W3CDTF">2022-11-07T10:26:00Z</dcterms:created>
  <dcterms:modified xsi:type="dcterms:W3CDTF">2022-11-11T08:30:00Z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