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9538C7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9538C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9538C7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9538C7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538C7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538C7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9538C7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9538C7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538C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538C7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6F4707ED" w:rsidR="009701E1" w:rsidRPr="009538C7" w:rsidRDefault="009701E1" w:rsidP="008E7D8D">
      <w:pPr>
        <w:tabs>
          <w:tab w:val="left" w:pos="1985"/>
        </w:tabs>
        <w:spacing w:after="80"/>
        <w:ind w:left="1980" w:hanging="19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506F68B0" w14:textId="3B6AE30F" w:rsidR="008E7D8D" w:rsidRPr="009538C7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Olomouc, </w:t>
      </w:r>
      <w:proofErr w:type="spellStart"/>
      <w:proofErr w:type="gramStart"/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ab/>
        <w:t>27–4228330207/0100</w:t>
      </w:r>
    </w:p>
    <w:p w14:paraId="463FBC16" w14:textId="77777777" w:rsidR="009701E1" w:rsidRPr="009538C7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1F6CF7" w14:textId="77777777" w:rsidR="009701E1" w:rsidRPr="009538C7" w:rsidRDefault="009701E1" w:rsidP="008E7D8D">
      <w:pPr>
        <w:tabs>
          <w:tab w:val="left" w:pos="1985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38C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538C7" w:rsidRDefault="009701E1" w:rsidP="008E7D8D">
      <w:pPr>
        <w:tabs>
          <w:tab w:val="left" w:pos="1985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538C7" w:rsidRDefault="009701E1" w:rsidP="008E7D8D">
      <w:pPr>
        <w:tabs>
          <w:tab w:val="left" w:pos="1985"/>
        </w:tabs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538C7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538C7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538C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538C7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38C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38C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0DFFEDF9" w:rsidR="009701E1" w:rsidRPr="009538C7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94971D2" w14:textId="77777777" w:rsidR="008E7D8D" w:rsidRPr="009538C7" w:rsidRDefault="009701E1" w:rsidP="008E7D8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rejstřík / </w:t>
      </w:r>
    </w:p>
    <w:p w14:paraId="159B5351" w14:textId="067BDD10" w:rsidR="009701E1" w:rsidRPr="009538C7" w:rsidRDefault="008E7D8D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Rejstřík obecně prospěšných společností / Rejstřík ústavů):</w:t>
      </w:r>
    </w:p>
    <w:p w14:paraId="02D7FFC5" w14:textId="77777777" w:rsidR="009701E1" w:rsidRPr="009538C7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538C7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38C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538C7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9538C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45357BB" w14:textId="77777777" w:rsidR="0066089E" w:rsidRPr="009538C7" w:rsidRDefault="009A3DA5" w:rsidP="00142F7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9538C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6089E" w:rsidRPr="009538C7">
        <w:rPr>
          <w:rFonts w:ascii="Arial" w:eastAsia="Times New Roman" w:hAnsi="Arial" w:cs="Arial"/>
          <w:sz w:val="24"/>
          <w:szCs w:val="24"/>
          <w:lang w:eastAsia="cs-CZ"/>
        </w:rPr>
        <w:t>za účelem podpory činnosti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dobrovolnických aktivit zaměřených na rodinu a všechny její členy dle 08_01_Dotačního programu pro sociální oblast 2023 a dotačního titulu 08_01_02_Podpora prorodinných aktivit.</w:t>
      </w:r>
    </w:p>
    <w:p w14:paraId="3C9258CF" w14:textId="64337306" w:rsidR="009A3DA5" w:rsidRPr="009538C7" w:rsidRDefault="009A3DA5" w:rsidP="00142F7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38C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538C7">
        <w:rPr>
          <w:rFonts w:ascii="Arial" w:eastAsia="Times New Roman" w:hAnsi="Arial" w:cs="Arial"/>
          <w:sz w:val="24"/>
          <w:szCs w:val="24"/>
          <w:lang w:eastAsia="cs-CZ"/>
        </w:rPr>
        <w:t>činnost/celoroční činnost</w:t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7D8D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F73535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………</w:t>
      </w:r>
      <w:r w:rsidR="009B1307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…………</w:t>
      </w:r>
      <w:r w:rsidR="008E7D8D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>, je</w:t>
      </w:r>
      <w:r w:rsidR="001924A4" w:rsidRPr="009538C7">
        <w:rPr>
          <w:rFonts w:ascii="Arial" w:eastAsia="Times New Roman" w:hAnsi="Arial" w:cs="Arial"/>
          <w:sz w:val="24"/>
          <w:szCs w:val="24"/>
          <w:lang w:eastAsia="cs-CZ"/>
        </w:rPr>
        <w:t>jímž</w:t>
      </w:r>
      <w:r w:rsidR="008E7D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cílem je….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AC77F4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22554462" w:rsidR="009A3DA5" w:rsidRPr="009538C7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38C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538C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6EE62589" w:rsidR="009A3DA5" w:rsidRPr="009538C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1C87E356" w:rsidR="009A3DA5" w:rsidRPr="009538C7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9538C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9538C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Pr="009538C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9538C7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9538C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7F02A6" w14:textId="09D4852C" w:rsidR="00C33D6E" w:rsidRPr="009538C7" w:rsidRDefault="001C4EF7" w:rsidP="0098414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26B1EC4" w14:textId="77777777" w:rsidR="000C58C8" w:rsidRPr="009538C7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9538C7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9538C7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9538C7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9538C7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9538C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9538C7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38C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22968C7" w:rsidR="00054974" w:rsidRPr="009538C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9538C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08_01_D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pro sociální oblast 2023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08_01_0</w:t>
      </w:r>
      <w:r w:rsidR="0066089E" w:rsidRPr="009538C7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_ Podpora </w:t>
      </w:r>
      <w:r w:rsidR="0066089E" w:rsidRPr="009538C7">
        <w:rPr>
          <w:rFonts w:ascii="Arial" w:eastAsia="Times New Roman" w:hAnsi="Arial" w:cs="Arial"/>
          <w:sz w:val="24"/>
          <w:szCs w:val="24"/>
          <w:lang w:eastAsia="cs-CZ"/>
        </w:rPr>
        <w:t>prorodinných aktivit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482F483C" w:rsidR="00054974" w:rsidRPr="009538C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9A73051" w14:textId="0546CC54" w:rsidR="00A41AA6" w:rsidRPr="009538C7" w:rsidRDefault="00054974" w:rsidP="00A41AA6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..........…………….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A469AAC" w14:textId="77777777" w:rsidR="00054974" w:rsidRPr="009538C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538C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538C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538C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011C824" w:rsidR="009A3DA5" w:rsidRPr="009538C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538C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4C21704" w:rsidR="005F5E04" w:rsidRPr="009538C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38C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538C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38C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538C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38C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38C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38C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538C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D43BDCE" w:rsidR="005A477A" w:rsidRPr="009538C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použít poskytnutou dotaci nejpozději do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E81BC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31.01.2024</w:t>
      </w:r>
      <w:proofErr w:type="gramEnd"/>
      <w:r w:rsidR="009538C7"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5EF4626B" w:rsidR="005A477A" w:rsidRPr="009538C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proofErr w:type="gramStart"/>
      <w:r w:rsidR="00E81BC3" w:rsidRPr="009538C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01.01.2023</w:t>
      </w:r>
      <w:proofErr w:type="gramEnd"/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26284A63" w:rsidR="00BF3D05" w:rsidRPr="009538C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38C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9538C7">
        <w:rPr>
          <w:rFonts w:ascii="Arial" w:hAnsi="Arial" w:cs="Arial"/>
          <w:sz w:val="24"/>
          <w:szCs w:val="24"/>
        </w:rPr>
        <w:t xml:space="preserve">nejvýše </w:t>
      </w:r>
      <w:r w:rsidRPr="009538C7">
        <w:rPr>
          <w:rFonts w:ascii="Arial" w:hAnsi="Arial" w:cs="Arial"/>
          <w:sz w:val="24"/>
          <w:szCs w:val="24"/>
        </w:rPr>
        <w:t>…. %</w:t>
      </w:r>
      <w:r w:rsidRPr="009538C7">
        <w:rPr>
          <w:rFonts w:ascii="Arial" w:hAnsi="Arial" w:cs="Arial"/>
          <w:strike/>
          <w:sz w:val="24"/>
          <w:szCs w:val="24"/>
        </w:rPr>
        <w:t xml:space="preserve"> </w:t>
      </w:r>
      <w:r w:rsidRPr="009538C7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38C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3AAC971B" w:rsidR="00BF3D05" w:rsidRPr="009538C7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9538C7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9538C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38C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85E6840" w:rsidR="006A1189" w:rsidRPr="009538C7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do </w:t>
      </w:r>
      <w:proofErr w:type="gramStart"/>
      <w:r w:rsidR="00E81BC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29.02.2024</w:t>
      </w:r>
      <w:proofErr w:type="gram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předložit poskytovateli vyúčtování poskytnuté dotace</w:t>
      </w:r>
      <w:r w:rsidR="00E80C3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80C3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vyplněné prostřednictvím </w:t>
      </w:r>
      <w:r w:rsidR="00565F44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systému, v němž </w:t>
      </w:r>
      <w:r w:rsidR="00E80C3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příjemce podal žádost o poskytnutí této dotace</w:t>
      </w:r>
      <w:r w:rsidR="00E80C3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6E1C4E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9538C7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9538C7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9538C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9538C7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9538C7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4187C127" w:rsidR="009538C7" w:rsidRPr="009538C7" w:rsidRDefault="006A1189" w:rsidP="009538C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9538C7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9538C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512205AC" w:rsidR="006A1189" w:rsidRPr="009538C7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9538C7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538C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="00AE7211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9538C7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483014EE" w:rsidR="006A1189" w:rsidRPr="009538C7" w:rsidRDefault="006A1189" w:rsidP="00E81BC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(dle Vzoru)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závěrečné zprávě</w:t>
      </w:r>
      <w:r w:rsidR="00E81BC3"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E81BC3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E81BC3" w:rsidRPr="009538C7">
        <w:t xml:space="preserve">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fotodoku</w:t>
      </w:r>
      <w:r w:rsidR="005028E4" w:rsidRPr="009538C7">
        <w:rPr>
          <w:rFonts w:ascii="Arial" w:eastAsia="Times New Roman" w:hAnsi="Arial" w:cs="Arial"/>
          <w:sz w:val="24"/>
          <w:szCs w:val="24"/>
          <w:lang w:eastAsia="cs-CZ"/>
        </w:rPr>
        <w:t>mentaci z průběhu realizace činnosti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E81BC3"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46ED2E67" w:rsidR="009A3DA5" w:rsidRPr="009538C7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9538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9538C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9538C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Pr="009538C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38C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9538C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9538C7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9538C7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9538C7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38C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538C7" w:rsidRPr="009538C7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9538C7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9538C7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9538C7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538C7" w:rsidRPr="009538C7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9538C7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9538C7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38C7" w:rsidRPr="009538C7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9538C7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9538C7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38C7" w:rsidRPr="009538C7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9538C7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9538C7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9538C7" w:rsidRPr="009538C7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9538C7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9538C7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38C7" w:rsidRPr="009538C7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9538C7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9538C7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38C7" w:rsidRPr="009538C7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9538C7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9538C7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9538C7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9538C7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9538C7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38C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674AD34" w:rsidR="009A3DA5" w:rsidRPr="009538C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="00E81BC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27</w:t>
      </w:r>
      <w:proofErr w:type="gramEnd"/>
      <w:r w:rsidR="00E81BC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– </w:t>
      </w:r>
      <w:proofErr w:type="gramStart"/>
      <w:r w:rsidR="00E81BC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4228330207/0100</w:t>
      </w:r>
      <w:proofErr w:type="gramEnd"/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v roce </w:t>
      </w:r>
      <w:r w:rsidR="00E81BC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vrátí příjemce dotaci nebo její část na účet poskytovatele č. </w:t>
      </w:r>
      <w:r w:rsidR="00E81BC3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81BC3" w:rsidRPr="009538C7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="005028E4" w:rsidRPr="009538C7">
        <w:rPr>
          <w:rFonts w:ascii="Arial" w:hAnsi="Arial" w:cs="Arial"/>
          <w:sz w:val="24"/>
          <w:szCs w:val="24"/>
        </w:rPr>
        <w:t>.</w:t>
      </w:r>
    </w:p>
    <w:p w14:paraId="3C925913" w14:textId="77777777" w:rsidR="009A3DA5" w:rsidRPr="009538C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BBCA2D9" w:rsidR="00836AA2" w:rsidRPr="009538C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 němž mu byla poskytnuta dotace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9538C7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9538C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E81BC3" w:rsidRPr="009538C7">
        <w:rPr>
          <w:rFonts w:ascii="Arial" w:eastAsia="Times New Roman" w:hAnsi="Arial" w:cs="Arial"/>
          <w:sz w:val="24"/>
          <w:szCs w:val="24"/>
          <w:lang w:eastAsia="cs-CZ"/>
        </w:rPr>
        <w:t>její realizace.</w:t>
      </w:r>
    </w:p>
    <w:p w14:paraId="4711E03D" w14:textId="7C87FE3C" w:rsidR="00836AA2" w:rsidRPr="009538C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538C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538C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38C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38C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538C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538C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538C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538C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538C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538C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538C7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9538C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9538C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9538C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9538C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9538C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9538C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9538C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9538C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30264D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9538C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38C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38C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538C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9538C7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9538C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9538C7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538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538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538C7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9538C7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38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538C7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9538C7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538C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538C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38C7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9538C7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43342510" w14:textId="15E2E895" w:rsidR="009D3461" w:rsidRPr="009538C7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9538C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9538C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538C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538C7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538C7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38C7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9538C7">
        <w:rPr>
          <w:rFonts w:ascii="Arial" w:hAnsi="Arial" w:cs="Arial"/>
          <w:sz w:val="24"/>
          <w:szCs w:val="24"/>
          <w:lang w:eastAsia="cs-CZ"/>
        </w:rPr>
        <w:t>T</w:t>
      </w:r>
      <w:r w:rsidRPr="009538C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14D0DF38" w:rsidR="00172E6F" w:rsidRPr="009538C7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9538C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9538C7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9538C7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9538C7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91E" w14:textId="77777777" w:rsidR="009A3DA5" w:rsidRPr="009538C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538C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538C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538C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538C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</w:t>
      </w: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usnesením Rady/Zastupitelstva Olomouckého kraje č</w:t>
      </w:r>
      <w:r w:rsidR="00974257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......... ze dne .........</w:t>
      </w:r>
    </w:p>
    <w:p w14:paraId="3C925923" w14:textId="01BCFF4B" w:rsidR="009A3DA5" w:rsidRPr="009538C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A90DD6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9538C7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Pr="009538C7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538C7" w:rsidRPr="009538C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38C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38C7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38C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538C7" w:rsidRPr="009538C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9538C7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953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3E040C45" w:rsidR="009A3DA5" w:rsidRPr="009538C7" w:rsidRDefault="005028E4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3C5797B2" w14:textId="308242A7" w:rsidR="005028E4" w:rsidRPr="009538C7" w:rsidRDefault="005028E4" w:rsidP="005028E4">
            <w:pPr>
              <w:pStyle w:val="Odstavecseseznamem"/>
              <w:numPr>
                <w:ilvl w:val="1"/>
                <w:numId w:val="18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náměstek hejtmana</w:t>
            </w:r>
          </w:p>
          <w:p w14:paraId="3C92592D" w14:textId="19E3C10C" w:rsidR="00994216" w:rsidRPr="009538C7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9538C7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3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</w:t>
            </w:r>
            <w:r w:rsidR="00FA168E" w:rsidRPr="00953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9538C7" w:rsidRDefault="00EC57C5">
      <w:pPr>
        <w:rPr>
          <w:rFonts w:ascii="Arial" w:hAnsi="Arial" w:cs="Arial"/>
          <w:bCs/>
        </w:rPr>
      </w:pPr>
      <w:r w:rsidRPr="009538C7">
        <w:rPr>
          <w:rFonts w:ascii="Arial" w:hAnsi="Arial" w:cs="Arial"/>
          <w:bCs/>
        </w:rPr>
        <w:br w:type="page"/>
      </w:r>
    </w:p>
    <w:p w14:paraId="58F6B8A7" w14:textId="70367A69" w:rsidR="00DD06DA" w:rsidRPr="009538C7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38C7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9538C7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538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538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538C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538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9538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538C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538C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538C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9538C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62E71466" w14:textId="366AF976" w:rsidR="00DD06DA" w:rsidRPr="009538C7" w:rsidRDefault="00DD06DA" w:rsidP="009538C7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Příjemce je povinen použít p</w:t>
      </w:r>
      <w:r w:rsidR="00B31CC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oskytnutou dotaci nejpozději do </w:t>
      </w:r>
      <w:proofErr w:type="gramStart"/>
      <w:r w:rsidR="00B31CCA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31.01.2024</w:t>
      </w:r>
      <w:proofErr w:type="gramEnd"/>
      <w:r w:rsidR="009538C7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560681F1" w14:textId="74B8C223" w:rsidR="00DD06DA" w:rsidRPr="009538C7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9538C7" w:rsidRPr="009538C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</w:t>
      </w:r>
      <w:r w:rsidR="00064C9A" w:rsidRPr="009538C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="00064C9A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470AE8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Pr="009538C7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101AC570" w:rsidR="00DD06DA" w:rsidRPr="009538C7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do </w:t>
      </w:r>
      <w:proofErr w:type="gramStart"/>
      <w:r w:rsidR="009538C7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29.02.</w:t>
      </w:r>
      <w:r w:rsidR="00064C9A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proofErr w:type="gramEnd"/>
      <w:r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předložit poskytovateli vyúčtování poskytnuté dotace</w:t>
      </w:r>
      <w:r w:rsidR="00C933F6" w:rsidRPr="009538C7">
        <w:rPr>
          <w:rFonts w:ascii="Arial" w:eastAsia="Times New Roman" w:hAnsi="Arial" w:cs="Arial"/>
          <w:b/>
          <w:sz w:val="24"/>
          <w:szCs w:val="24"/>
          <w:lang w:eastAsia="cs-CZ"/>
        </w:rPr>
        <w:t>, vyplněné prostřednictvím systému, v němž příjemce podal žádost o poskytnutí této dotace</w:t>
      </w:r>
      <w:r w:rsidR="00C933F6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C933F6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C933F6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764B9E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C933F6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C933F6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33F6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764B9E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C933F6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C933F6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Pr="009538C7" w:rsidRDefault="00DD06DA" w:rsidP="00C933F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14B769D2" w:rsidR="00DD06DA" w:rsidRPr="009538C7" w:rsidRDefault="00717B5B" w:rsidP="00674FDD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D411D" w:rsidRPr="009538C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7478D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D411D" w:rsidRPr="009538C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7478D"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491C5E" w14:textId="47497F68" w:rsidR="00DD06DA" w:rsidRPr="009538C7" w:rsidRDefault="005D411D" w:rsidP="00DD06DA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0A47A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9538C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A47A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92A69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dodáním</w:t>
      </w:r>
      <w:r w:rsidR="00792A69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datové schránky poskytovatele nebo </w:t>
      </w:r>
      <w:r w:rsidR="000A47A3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</w:t>
      </w:r>
      <w:r w:rsidR="00764B9E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atele, uvedenou v záhlaví této s</w:t>
      </w:r>
      <w:r w:rsidR="000A47A3" w:rsidRPr="009538C7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DD06DA" w:rsidRPr="009538C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92A69" w:rsidRPr="009538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AD2226E" w14:textId="4D1715A3" w:rsidR="00DD06DA" w:rsidRPr="009538C7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="00064C9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(dle Vzoru)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="00064C9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064C9A"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64C9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fotodoku</w:t>
      </w:r>
      <w:r w:rsidR="007D15A4" w:rsidRPr="009538C7">
        <w:rPr>
          <w:rFonts w:ascii="Arial" w:eastAsia="Times New Roman" w:hAnsi="Arial" w:cs="Arial"/>
          <w:sz w:val="24"/>
          <w:szCs w:val="24"/>
          <w:lang w:eastAsia="cs-CZ"/>
        </w:rPr>
        <w:t>mentaci z průběhu realizace činnosti</w:t>
      </w:r>
      <w:r w:rsidR="00064C9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064C9A" w:rsidRPr="009538C7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064C9A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064C9A" w:rsidRPr="009538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7E4400FA" w:rsidR="00DA1381" w:rsidRPr="009538C7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9538C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A47A3"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9538C7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38C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38C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9538C7" w:rsidSect="0061019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A450C" w14:textId="77777777" w:rsidR="00632D41" w:rsidRDefault="00632D41" w:rsidP="00D40C40">
      <w:r>
        <w:separator/>
      </w:r>
    </w:p>
  </w:endnote>
  <w:endnote w:type="continuationSeparator" w:id="0">
    <w:p w14:paraId="43DFEAEF" w14:textId="77777777" w:rsidR="00632D41" w:rsidRDefault="00632D4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2D650B6D" w14:textId="08504C94" w:rsidR="001F3C72" w:rsidRDefault="00913D2F" w:rsidP="001F3C72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1F3C72">
          <w:rPr>
            <w:rFonts w:ascii="Arial" w:hAnsi="Arial" w:cs="Arial"/>
            <w:i/>
            <w:sz w:val="20"/>
            <w:szCs w:val="20"/>
          </w:rPr>
          <w:tab/>
        </w:r>
        <w:r w:rsidR="001F3C72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F3C72">
          <w:rPr>
            <w:rFonts w:ascii="Arial" w:hAnsi="Arial" w:cs="Arial"/>
            <w:i/>
            <w:sz w:val="20"/>
            <w:szCs w:val="20"/>
          </w:rPr>
          <w:fldChar w:fldCharType="begin"/>
        </w:r>
        <w:r w:rsidR="001F3C72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F3C7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73409">
          <w:rPr>
            <w:rFonts w:ascii="Arial" w:hAnsi="Arial" w:cs="Arial"/>
            <w:i/>
            <w:noProof/>
            <w:sz w:val="20"/>
            <w:szCs w:val="20"/>
          </w:rPr>
          <w:t>4</w:t>
        </w:r>
        <w:r w:rsidR="001F3C72">
          <w:rPr>
            <w:rFonts w:ascii="Arial" w:hAnsi="Arial" w:cs="Arial"/>
            <w:i/>
            <w:sz w:val="20"/>
            <w:szCs w:val="20"/>
          </w:rPr>
          <w:fldChar w:fldCharType="end"/>
        </w:r>
        <w:r w:rsidR="001F3C72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F3C72">
          <w:rPr>
            <w:rFonts w:ascii="Arial" w:hAnsi="Arial" w:cs="Arial"/>
            <w:i/>
            <w:sz w:val="20"/>
            <w:szCs w:val="20"/>
          </w:rPr>
          <w:fldChar w:fldCharType="begin"/>
        </w:r>
        <w:r w:rsidR="001F3C72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F3C7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73409">
          <w:rPr>
            <w:rFonts w:ascii="Arial" w:hAnsi="Arial" w:cs="Arial"/>
            <w:i/>
            <w:noProof/>
            <w:sz w:val="20"/>
            <w:szCs w:val="20"/>
          </w:rPr>
          <w:t>10</w:t>
        </w:r>
        <w:r w:rsidR="001F3C72">
          <w:rPr>
            <w:rFonts w:ascii="Arial" w:hAnsi="Arial" w:cs="Arial"/>
            <w:i/>
            <w:sz w:val="20"/>
            <w:szCs w:val="20"/>
          </w:rPr>
          <w:fldChar w:fldCharType="end"/>
        </w:r>
        <w:r w:rsidR="001F3C72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38C4B47" w14:textId="4CB4532F" w:rsidR="00913D2F" w:rsidRDefault="00913D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38D0" w14:textId="77777777" w:rsidR="00632D41" w:rsidRDefault="00632D41" w:rsidP="00D40C40">
      <w:r>
        <w:separator/>
      </w:r>
    </w:p>
  </w:footnote>
  <w:footnote w:type="continuationSeparator" w:id="0">
    <w:p w14:paraId="35984C7A" w14:textId="77777777" w:rsidR="00632D41" w:rsidRDefault="00632D4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4C9A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409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4A4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3C72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74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861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089D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28E4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057E"/>
    <w:rsid w:val="00631EC0"/>
    <w:rsid w:val="0063271F"/>
    <w:rsid w:val="00632D35"/>
    <w:rsid w:val="00632D41"/>
    <w:rsid w:val="00644A22"/>
    <w:rsid w:val="00644F18"/>
    <w:rsid w:val="00654C17"/>
    <w:rsid w:val="0066004D"/>
    <w:rsid w:val="0066089E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0CA3"/>
    <w:rsid w:val="006B1973"/>
    <w:rsid w:val="006B1EC8"/>
    <w:rsid w:val="006B3586"/>
    <w:rsid w:val="006B3B2A"/>
    <w:rsid w:val="006B4465"/>
    <w:rsid w:val="006B4F48"/>
    <w:rsid w:val="006C061A"/>
    <w:rsid w:val="006C0D2D"/>
    <w:rsid w:val="006C17D8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155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5D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15A4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27A9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7D8D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3D2F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2462"/>
    <w:rsid w:val="00946358"/>
    <w:rsid w:val="009463E3"/>
    <w:rsid w:val="00946BBE"/>
    <w:rsid w:val="00953119"/>
    <w:rsid w:val="00953452"/>
    <w:rsid w:val="009538C7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4142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3EEF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16E13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C77F4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1CCA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87C0E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E7720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1BC3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6141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AB37-46AC-4D77-B8C7-EBA65922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3584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Poláček Michal</cp:lastModifiedBy>
  <cp:revision>12</cp:revision>
  <cp:lastPrinted>2018-08-24T12:55:00Z</cp:lastPrinted>
  <dcterms:created xsi:type="dcterms:W3CDTF">2022-11-03T07:55:00Z</dcterms:created>
  <dcterms:modified xsi:type="dcterms:W3CDTF">2022-11-10T09:56:00Z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